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441901-2026-06286</w:t>
      </w:r>
    </w:p>
    <w:p>
      <w:pPr>
        <w:pStyle w:val="null3"/>
        <w:jc w:val="center"/>
        <w:outlineLvl w:val="3"/>
      </w:pPr>
      <w:r>
        <w:rPr>
          <w:sz w:val="24"/>
          <w:b/>
        </w:rPr>
        <w:t>采购项目编号：</w:t>
      </w:r>
      <w:r>
        <w:rPr>
          <w:sz w:val="24"/>
          <w:b/>
        </w:rPr>
        <w:t>441901-2026-06286</w:t>
      </w:r>
    </w:p>
    <w:p>
      <w:pPr>
        <w:pStyle w:val="null3"/>
        <w:jc w:val="center"/>
        <w:outlineLvl w:val="3"/>
      </w:pPr>
      <w:r>
        <w:rPr>
          <w:sz w:val="24"/>
          <w:b/>
        </w:rPr>
        <w:t>项目名称：</w:t>
      </w:r>
      <w:r>
        <w:rPr>
          <w:sz w:val="24"/>
          <w:b/>
        </w:rPr>
        <w:t>东莞市第十六届“福彩杯”老年人运动会服务</w:t>
      </w:r>
    </w:p>
    <w:p>
      <w:pPr>
        <w:pStyle w:val="null3"/>
        <w:jc w:val="center"/>
        <w:outlineLvl w:val="3"/>
      </w:pPr>
      <w:r>
        <w:rPr>
          <w:sz w:val="24"/>
          <w:b/>
        </w:rPr>
        <w:t>采购人：</w:t>
      </w:r>
      <w:r>
        <w:rPr>
          <w:sz w:val="24"/>
          <w:b/>
        </w:rPr>
        <w:t>东莞市福利彩票发行中心</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东莞市福利彩票发行中心</w:t>
      </w:r>
      <w:r>
        <w:rPr/>
        <w:t>的委托，采用</w:t>
      </w:r>
      <w:r>
        <w:rPr/>
        <w:t>公开招标</w:t>
      </w:r>
      <w:r>
        <w:rPr/>
        <w:t>方式组织采购</w:t>
      </w:r>
      <w:r>
        <w:rPr/>
        <w:t>东莞市第十六届“福彩杯”老年人运动会服务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东莞市第十六届“福彩杯”老年人运动会服务</w:t>
      </w:r>
    </w:p>
    <w:p>
      <w:pPr>
        <w:pStyle w:val="null3"/>
        <w:ind w:firstLine="480"/>
      </w:pPr>
      <w:r>
        <w:rPr/>
        <w:t>采购计划编号：</w:t>
      </w:r>
      <w:r>
        <w:rPr/>
        <w:t>441901-2026-06286</w:t>
      </w:r>
    </w:p>
    <w:p>
      <w:pPr>
        <w:pStyle w:val="null3"/>
        <w:ind w:firstLine="480"/>
      </w:pPr>
      <w:r>
        <w:rPr/>
        <w:t>采购项目编号：</w:t>
      </w:r>
      <w:r>
        <w:rPr/>
        <w:t>441901-2026-06286</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采购包1(东莞市第十六届“福彩杯”老年人运动会服务):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体育组织服务</w:t>
            </w:r>
          </w:p>
        </w:tc>
        <w:tc>
          <w:tcPr>
            <w:tcW w:type="dxa" w:w="2136"/>
          </w:tcPr>
          <w:p>
            <w:pPr>
              <w:pStyle w:val="null3"/>
            </w:pPr>
            <w:r>
              <w:rPr/>
              <w:t>东莞市第十六届“福彩杯”老年人运动会</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合同履行期限：自合同签订之日起，至赛事筹备、开闭幕式、全部赛事收尾、资料归档并通过采购方最终验收为止。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采购包1（东莞市第十六届“福彩杯”老年人运动会服务）：</w:t>
      </w:r>
      <w:r>
        <w:rPr/>
        <w:t>本项目整体专门面向中小企业采购。供应商须符合本项目采购标的对应行业（本项目行业为：其他未列明行业）的政策划分标准。监狱企业、残疾人福利单位视同小型、微型企业。（注：中小企业以供应商填写的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采购包1（东莞市第十六届“福彩杯”老年人运动会服务）：</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东莞市福利彩票发行中心</w:t>
      </w:r>
    </w:p>
    <w:p>
      <w:pPr>
        <w:pStyle w:val="null3"/>
        <w:ind w:firstLine="480"/>
      </w:pPr>
      <w:r>
        <w:rPr/>
        <w:t xml:space="preserve"> 地址：</w:t>
      </w:r>
      <w:r>
        <w:rPr/>
        <w:t>东莞市东城大道23号骏达商业中心三楼</w:t>
      </w:r>
    </w:p>
    <w:p>
      <w:pPr>
        <w:pStyle w:val="null3"/>
        <w:ind w:firstLine="480"/>
      </w:pPr>
      <w:r>
        <w:rPr/>
        <w:t xml:space="preserve"> 联系方式：</w:t>
      </w:r>
      <w:r>
        <w:rPr/>
        <w:t>0769-21668382</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东莞市南城街道鸿福西路81号国际商会大厦13A层01室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徐柳莉</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通过举</w:t>
      </w:r>
      <w:r>
        <w:rPr>
          <w:sz w:val="21"/>
        </w:rPr>
        <w:t>办东莞市第十六届“福彩杯”老年人运动会，搭建服务全市老年体育爱好者的赛事平台，充分调动我市老年人参与体育健身活动的积极性，宣传福彩“为社会造福，为生活添彩”的社会使命，促进我市福利彩票销售额提升，筹集更多福利彩票公益金。</w:t>
      </w:r>
      <w:r>
        <w:rPr>
          <w:sz w:val="21"/>
        </w:rPr>
        <w:t>为保障赛事安全、规范、有序落地，</w:t>
      </w:r>
      <w:r>
        <w:rPr>
          <w:sz w:val="21"/>
        </w:rPr>
        <w:t>特</w:t>
      </w:r>
      <w:r>
        <w:rPr>
          <w:sz w:val="21"/>
        </w:rPr>
        <w:t>通过公开招标选取专业机构承接全流程运营服务。</w:t>
      </w:r>
    </w:p>
    <w:p>
      <w:pPr>
        <w:pStyle w:val="null3"/>
      </w:pPr>
      <w:r>
        <w:rPr/>
        <w:t>采购包1（东莞市第十六届“福彩杯”老年人运动会服务）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自合同签订之日起，至赛事筹备、开闭幕式、全部赛事收尾、资料归档并通过采购方最终验收为止。</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1期：支付比例30%,合同签订、中标人进场筹备，节点验收合格后支付合同总额30%预付款；</w:t>
            </w:r>
          </w:p>
          <w:p>
            <w:pPr>
              <w:pStyle w:val="null3"/>
            </w:pPr>
            <w:r>
              <w:rPr/>
              <w:t>2期：支付比例40%,开闭幕式落地、半数以上单项赛事完成，阶段性验收合格后支付40%进度款；</w:t>
            </w:r>
          </w:p>
          <w:p>
            <w:pPr>
              <w:pStyle w:val="null3"/>
            </w:pPr>
            <w:r>
              <w:rPr/>
              <w:t>3期：支付比例30%,全部赛事结束、资料完整归档、最终综合验收合格后，支付剩余30%尾款；各阶段付款前中标人须提交验收申请、全套佐证材料，经采购方核验通过后方可办理支付。 注:本项目由政府财政拨款，中标人向采购人提交请款报告，经由财政部门按财政支付流程核准后 30天内进行支付，如因政策的影响，拨款未能及时到位，中标人不得以此为由不履行本合同规定的义务或者追究采购人的违约责任。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1期：（一）验收依据 采购文件、经采购方审定的全套实施方案、国家体育赛事行业规范、安全生产及大型活动管理相关法律法规。 （二）三级验收机制 1.节点阶段性验收：方案报审、物料交付、场地布置、开闭幕式完成、半数赛事落地等关键节点，采购方开展阶段性核验；不合格项限期整改，整改后二次核验仍不达标启动质量扣罚； 2.现场即时核验：各单项赛事、开闭幕式结束后，采购方对现场组织、安全落实、服务质量开展现场核验； 3.最终综合验收：全部赛事结束、全套资料归档移交完成后，组织综合验收，验收合格方可支付尾款。采购人收到中标人验收申请后10个工作日内完成验收，逾期未提异议视为合格。 （三）一票否决情形 1.安保、人流管控措施落实不到位，引发人群聚集、踩踏等重大安全风险； 2.擅自将项目整体或核心服务转包、违法分包； 3.全流程未按要求规范融入福彩公益宣传元素，造成重大舆.情或公益宣传缺失。 （四）核心验收合格要点 1.赛事组织流程规范，赛程设置科学，竞赛公平公正，无重大赛事申诉争议； 2.安全、消防、医疗、人员保险保障体系完整落地，全程无安全、医疗责任事故； 3.物资规格、数量、工艺符合约定标准，无重大质量瑕疵； 4.宣传量化指标全部达标，福彩公益宣传全域覆盖； 5.归档资料完整分类、台账清晰，总结报告详实规范； 6.供应商全面履行合同全部服务条款，无逾期、重大质量问题。</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说明：1、中标人应在采购合同签订前向采购人缴纳履约保证金，履约保证金金额为合同结算上限总金额的5%。履约保证金可以以专业担保机构、金融机构出具的担保函的形式缴交。 采用担保函形式：履约保函应是合法经营的金融机构或担保机构出具的保函。履约保函的内容，应符合招标文件、投标响应文件和采购合同的要求。履约保函应在采购合同期满后28天内继续有效。 如果中标人没有按照上述履约保证金的规定执行，采购人将有充分的理由解除合同，给采购人造成的损失，还应当予以赔偿。 下列情况履约保证金将不予退还： 中标人将中标项目转让给他人，或者在投标文件中未说明，且未经招标人同意将中标项目分包给他人的； （2）中标人在履行采购合同期间，违反相关法律法规的规定及合同约定条款，损害了招标人利益的。 5、中标人在收到中标通知书10日内，应及时将履约保函复印件(加盖公章)提交给采购代理机构。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其他，（1）报价应包含完成本次采购所有内容的费用，包含各种税务费及合同实施过程中的应预见和不可预见费用等完成合同规定责任和义务、达到合同目的的一切费用等。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知识产权约定</w:t>
            </w:r>
          </w:p>
        </w:tc>
        <w:tc>
          <w:tcPr>
            <w:tcW w:type="dxa" w:w="2076"/>
          </w:tcPr>
          <w:p>
            <w:pPr>
              <w:pStyle w:val="null3"/>
              <w:jc w:val="left"/>
            </w:pPr>
            <w:r>
              <w:rPr/>
              <w:t>本项目全部产出成果（方案、宣传片、设计物料、影像素材、赛事文档等）知识产权全部归采购方所有；中标人未经采购方书面许可，不得擅自使用、复制、对外传播、参评各类奖项。</w:t>
            </w:r>
          </w:p>
        </w:tc>
      </w:tr>
      <w:tr>
        <w:tc>
          <w:tcPr>
            <w:tcW w:type="dxa" w:w="2076"/>
          </w:tcPr>
          <w:p/>
        </w:tc>
        <w:tc>
          <w:tcPr>
            <w:tcW w:type="dxa" w:w="2076"/>
          </w:tcPr>
          <w:p>
            <w:pPr>
              <w:pStyle w:val="null3"/>
              <w:jc w:val="center"/>
            </w:pPr>
            <w:r>
              <w:rPr/>
              <w:t>2</w:t>
            </w:r>
          </w:p>
        </w:tc>
        <w:tc>
          <w:tcPr>
            <w:tcW w:type="dxa" w:w="2076"/>
          </w:tcPr>
          <w:p>
            <w:pPr>
              <w:pStyle w:val="null3"/>
              <w:jc w:val="left"/>
            </w:pPr>
            <w:r>
              <w:rPr/>
              <w:t>保密义务</w:t>
            </w:r>
          </w:p>
        </w:tc>
        <w:tc>
          <w:tcPr>
            <w:tcW w:type="dxa" w:w="2076"/>
          </w:tcPr>
          <w:p>
            <w:pPr>
              <w:pStyle w:val="null3"/>
              <w:jc w:val="left"/>
            </w:pPr>
            <w:r>
              <w:rPr/>
              <w:t>中标人对赛事数据、参赛人员个人信息、采购方内部工作资料严格保密，服务期满后永久承担保密责任，不得向第三方泄露。</w:t>
            </w:r>
          </w:p>
        </w:tc>
      </w:tr>
      <w:tr>
        <w:tc>
          <w:tcPr>
            <w:tcW w:type="dxa" w:w="2076"/>
          </w:tcPr>
          <w:p/>
        </w:tc>
        <w:tc>
          <w:tcPr>
            <w:tcW w:type="dxa" w:w="2076"/>
          </w:tcPr>
          <w:p>
            <w:pPr>
              <w:pStyle w:val="null3"/>
              <w:jc w:val="center"/>
            </w:pPr>
            <w:r>
              <w:rPr/>
              <w:t>3</w:t>
            </w:r>
          </w:p>
        </w:tc>
        <w:tc>
          <w:tcPr>
            <w:tcW w:type="dxa" w:w="2076"/>
          </w:tcPr>
          <w:p>
            <w:pPr>
              <w:pStyle w:val="null3"/>
              <w:jc w:val="left"/>
            </w:pPr>
            <w:r>
              <w:rPr/>
              <w:t>违约责任</w:t>
            </w:r>
          </w:p>
        </w:tc>
        <w:tc>
          <w:tcPr>
            <w:tcW w:type="dxa" w:w="2076"/>
          </w:tcPr>
          <w:p>
            <w:pPr>
              <w:pStyle w:val="null3"/>
              <w:jc w:val="left"/>
            </w:pPr>
            <w:r>
              <w:rPr/>
              <w:t>1.进度延误：关键节点逾期交付，每日按合同总金额0.5%支付违约金；逾期超7天且无正当理由，采购方有权单方解约，供应商全额退还已收款项，并支付合同总额5%违约金；资料归档逾期每日按0.3%计收违约金，超15天采购方可暂缓支付尾款； 2.人员违规：核心人员资质不达标、未经许可擅自更换，3个工作日内整改并按5000元/人次支付违约金；逾期未整改造成赛事延误，采购方可解除合同并追偿全部损失； 3.服务质量不达标：物资、服务未达标准限期整改，整改不合格按验收评分扣减合同价款；造成负面舆.情、经济损失由供应商全额赔偿； 4.安全事故责任：因供应商安全管理疏漏引发安全责任事故，全部救治、善后、财产损失由供应商承担，采购方全额扣除履约保证金；情节严重、造成重大负面影响立即解除合同，依法追责； 5.转包分包：擅自转包、分包核心服务，采购方立即解除合同、没收全部履约保证金，供应商支付合同总额10%违约金，并承担全部损失； 6.知识产权与保密违约：擅自使用项目成果、泄露涉密信息，按合同总额5%支付违约金，造成损失另行赔偿，涉嫌违法移交司法机关。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体育组织服务</w:t>
            </w:r>
          </w:p>
        </w:tc>
        <w:tc>
          <w:tcPr>
            <w:tcW w:type="dxa" w:w="933"/>
          </w:tcPr>
          <w:p>
            <w:pPr>
              <w:pStyle w:val="null3"/>
              <w:jc w:val="left"/>
            </w:pPr>
            <w:r>
              <w:rPr/>
              <w:t>东莞市第十六届“福彩杯”老年人运动会</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东莞市第十六届“福彩杯”老年人运动会</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一、比赛时间</w:t>
            </w:r>
          </w:p>
          <w:p>
            <w:pPr>
              <w:pStyle w:val="null3"/>
            </w:pPr>
            <w:r>
              <w:rPr>
                <w:sz w:val="20"/>
              </w:rPr>
              <w:t>拟定于</w:t>
            </w:r>
            <w:r>
              <w:rPr>
                <w:sz w:val="20"/>
              </w:rPr>
              <w:t>2026</w:t>
            </w:r>
            <w:r>
              <w:rPr>
                <w:sz w:val="20"/>
              </w:rPr>
              <w:t>年</w:t>
            </w:r>
            <w:r>
              <w:rPr>
                <w:sz w:val="20"/>
              </w:rPr>
              <w:t>9</w:t>
            </w:r>
            <w:r>
              <w:rPr>
                <w:sz w:val="20"/>
              </w:rPr>
              <w:t>月至</w:t>
            </w:r>
            <w:r>
              <w:rPr>
                <w:sz w:val="20"/>
              </w:rPr>
              <w:t>11</w:t>
            </w:r>
            <w:r>
              <w:rPr>
                <w:sz w:val="20"/>
              </w:rPr>
              <w:t>月</w:t>
            </w:r>
            <w:r>
              <w:rPr>
                <w:sz w:val="20"/>
              </w:rPr>
              <w:t>举办。（比赛时间待定，以采购人通知为准）</w:t>
            </w:r>
          </w:p>
        </w:tc>
      </w:tr>
      <w:tr>
        <w:tc>
          <w:tcPr>
            <w:tcW w:type="dxa" w:w="2076"/>
          </w:tcPr>
          <w:p/>
        </w:tc>
        <w:tc>
          <w:tcPr>
            <w:tcW w:type="dxa" w:w="415"/>
          </w:tcPr>
          <w:p>
            <w:pPr>
              <w:pStyle w:val="null3"/>
            </w:pPr>
            <w:r>
              <w:rPr/>
              <w:t>2</w:t>
            </w:r>
          </w:p>
        </w:tc>
        <w:tc>
          <w:tcPr>
            <w:tcW w:type="dxa" w:w="5814"/>
          </w:tcPr>
          <w:p>
            <w:pPr>
              <w:pStyle w:val="null3"/>
              <w:jc w:val="both"/>
            </w:pPr>
            <w:r>
              <w:rPr>
                <w:sz w:val="20"/>
                <w:b/>
              </w:rPr>
              <w:t>二</w:t>
            </w:r>
            <w:r>
              <w:rPr>
                <w:sz w:val="20"/>
                <w:b/>
              </w:rPr>
              <w:t>、比赛</w:t>
            </w:r>
            <w:r>
              <w:rPr>
                <w:sz w:val="20"/>
                <w:b/>
              </w:rPr>
              <w:t>项目</w:t>
            </w:r>
          </w:p>
          <w:p>
            <w:pPr>
              <w:pStyle w:val="null3"/>
            </w:pPr>
            <w:r>
              <w:rPr>
                <w:sz w:val="21"/>
              </w:rPr>
              <w:t>赛事设置：共设</w:t>
            </w:r>
            <w:r>
              <w:rPr>
                <w:sz w:val="21"/>
              </w:rPr>
              <w:t>17</w:t>
            </w:r>
            <w:r>
              <w:rPr>
                <w:sz w:val="21"/>
              </w:rPr>
              <w:t>个竞赛项目，分别为围棋、象棋、八段锦、门球、乒乓球、游泳、飞镖、钓鱼、篮球定点投准、太极拳、太极剑、太极扇、太极柔力球、健身操、健身球操、健身秧歌操、健身广场舞。</w:t>
            </w:r>
            <w:r>
              <w:rPr>
                <w:sz w:val="21"/>
              </w:rPr>
              <w:t>细化赛事赛程安排。待赛事招标工作完成后，参照</w:t>
            </w:r>
            <w:r>
              <w:rPr>
                <w:sz w:val="21"/>
              </w:rPr>
              <w:t>“</w:t>
            </w:r>
            <w:r>
              <w:rPr>
                <w:sz w:val="21"/>
              </w:rPr>
              <w:t>粤超</w:t>
            </w:r>
            <w:r>
              <w:rPr>
                <w:sz w:val="21"/>
              </w:rPr>
              <w:t>”“</w:t>
            </w:r>
            <w:r>
              <w:rPr>
                <w:sz w:val="21"/>
              </w:rPr>
              <w:t>粤</w:t>
            </w:r>
            <w:r>
              <w:rPr>
                <w:sz w:val="21"/>
              </w:rPr>
              <w:t>BA”“</w:t>
            </w:r>
            <w:r>
              <w:rPr>
                <w:sz w:val="21"/>
              </w:rPr>
              <w:t>镇</w:t>
            </w:r>
            <w:r>
              <w:rPr>
                <w:sz w:val="21"/>
              </w:rPr>
              <w:t>BA”</w:t>
            </w:r>
            <w:r>
              <w:rPr>
                <w:sz w:val="21"/>
              </w:rPr>
              <w:t>办赛模式，由中标单位细化确定各竟赛项目具体举办时间与地点。</w:t>
            </w:r>
          </w:p>
        </w:tc>
      </w:tr>
      <w:tr>
        <w:tc>
          <w:tcPr>
            <w:tcW w:type="dxa" w:w="2076"/>
          </w:tcPr>
          <w:p/>
        </w:tc>
        <w:tc>
          <w:tcPr>
            <w:tcW w:type="dxa" w:w="415"/>
          </w:tcPr>
          <w:p>
            <w:pPr>
              <w:pStyle w:val="null3"/>
            </w:pPr>
            <w:r>
              <w:rPr/>
              <w:t>3</w:t>
            </w:r>
          </w:p>
        </w:tc>
        <w:tc>
          <w:tcPr>
            <w:tcW w:type="dxa" w:w="5814"/>
          </w:tcPr>
          <w:p>
            <w:pPr>
              <w:pStyle w:val="null3"/>
              <w:jc w:val="both"/>
            </w:pPr>
            <w:r>
              <w:rPr>
                <w:sz w:val="20"/>
                <w:b/>
              </w:rPr>
              <w:t>三、奖项设置</w:t>
            </w:r>
          </w:p>
          <w:p>
            <w:pPr>
              <w:pStyle w:val="null3"/>
            </w:pPr>
            <w:r>
              <w:rPr>
                <w:sz w:val="21"/>
              </w:rPr>
              <w:t>各赛项奖励前</w:t>
            </w:r>
            <w:r>
              <w:rPr>
                <w:sz w:val="21"/>
              </w:rPr>
              <w:t>8</w:t>
            </w:r>
            <w:r>
              <w:rPr>
                <w:sz w:val="21"/>
              </w:rPr>
              <w:t>名（团队、个人，其中前</w:t>
            </w:r>
            <w:r>
              <w:rPr>
                <w:sz w:val="21"/>
              </w:rPr>
              <w:t>8</w:t>
            </w:r>
            <w:r>
              <w:rPr>
                <w:sz w:val="21"/>
              </w:rPr>
              <w:t>名颁发奖金），代表团团体总分奖励前</w:t>
            </w:r>
            <w:r>
              <w:rPr>
                <w:sz w:val="21"/>
              </w:rPr>
              <w:t>8</w:t>
            </w:r>
            <w:r>
              <w:rPr>
                <w:sz w:val="21"/>
              </w:rPr>
              <w:t>名。</w:t>
            </w:r>
          </w:p>
        </w:tc>
      </w:tr>
      <w:tr>
        <w:tc>
          <w:tcPr>
            <w:tcW w:type="dxa" w:w="2076"/>
          </w:tcPr>
          <w:p/>
        </w:tc>
        <w:tc>
          <w:tcPr>
            <w:tcW w:type="dxa" w:w="415"/>
          </w:tcPr>
          <w:p>
            <w:pPr>
              <w:pStyle w:val="null3"/>
            </w:pPr>
            <w:r>
              <w:rPr/>
              <w:t>4</w:t>
            </w:r>
          </w:p>
        </w:tc>
        <w:tc>
          <w:tcPr>
            <w:tcW w:type="dxa" w:w="5814"/>
          </w:tcPr>
          <w:p>
            <w:pPr>
              <w:pStyle w:val="null3"/>
              <w:jc w:val="both"/>
            </w:pPr>
            <w:r>
              <w:rPr>
                <w:sz w:val="20"/>
                <w:b/>
              </w:rPr>
              <w:t>四、参赛人员</w:t>
            </w:r>
          </w:p>
          <w:p>
            <w:pPr>
              <w:pStyle w:val="null3"/>
            </w:pPr>
            <w:r>
              <w:rPr>
                <w:sz w:val="20"/>
              </w:rPr>
              <w:t>预计参赛总人数约</w:t>
            </w:r>
            <w:r>
              <w:rPr>
                <w:sz w:val="20"/>
              </w:rPr>
              <w:t>1200</w:t>
            </w:r>
            <w:r>
              <w:rPr>
                <w:sz w:val="20"/>
              </w:rPr>
              <w:t>人，由园区、镇</w:t>
            </w:r>
            <w:r>
              <w:rPr>
                <w:sz w:val="20"/>
              </w:rPr>
              <w:t>(</w:t>
            </w:r>
            <w:r>
              <w:rPr>
                <w:sz w:val="20"/>
              </w:rPr>
              <w:t>街道</w:t>
            </w:r>
            <w:r>
              <w:rPr>
                <w:sz w:val="20"/>
              </w:rPr>
              <w:t>)</w:t>
            </w:r>
            <w:r>
              <w:rPr>
                <w:sz w:val="20"/>
              </w:rPr>
              <w:t>，市直属各单位，中央和省驻莞单位组团参赛。</w:t>
            </w:r>
          </w:p>
        </w:tc>
      </w:tr>
      <w:tr>
        <w:tc>
          <w:tcPr>
            <w:tcW w:type="dxa" w:w="2076"/>
          </w:tcPr>
          <w:p/>
        </w:tc>
        <w:tc>
          <w:tcPr>
            <w:tcW w:type="dxa" w:w="415"/>
          </w:tcPr>
          <w:p>
            <w:pPr>
              <w:pStyle w:val="null3"/>
            </w:pPr>
            <w:r>
              <w:rPr/>
              <w:t>5</w:t>
            </w:r>
          </w:p>
        </w:tc>
        <w:tc>
          <w:tcPr>
            <w:tcW w:type="dxa" w:w="5814"/>
          </w:tcPr>
          <w:p>
            <w:pPr>
              <w:pStyle w:val="null3"/>
              <w:jc w:val="both"/>
            </w:pPr>
            <w:r>
              <w:rPr>
                <w:sz w:val="22"/>
                <w:b/>
              </w:rPr>
              <w:t>五</w:t>
            </w:r>
            <w:r>
              <w:rPr>
                <w:sz w:val="22"/>
                <w:b/>
              </w:rPr>
              <w:t>、</w:t>
            </w:r>
            <w:r>
              <w:rPr>
                <w:sz w:val="22"/>
                <w:b/>
              </w:rPr>
              <w:t>服务内容及要求</w:t>
            </w:r>
          </w:p>
          <w:p>
            <w:pPr>
              <w:pStyle w:val="null3"/>
              <w:ind w:firstLine="422"/>
              <w:jc w:val="both"/>
            </w:pPr>
            <w:r>
              <w:rPr>
                <w:sz w:val="21"/>
                <w:b/>
              </w:rPr>
              <w:t>（一）活动赛事报备</w:t>
            </w:r>
          </w:p>
          <w:p>
            <w:pPr>
              <w:pStyle w:val="null3"/>
              <w:ind w:firstLine="420"/>
              <w:jc w:val="both"/>
            </w:pPr>
            <w:r>
              <w:rPr>
                <w:sz w:val="21"/>
              </w:rPr>
              <w:t>中标人</w:t>
            </w:r>
            <w:r>
              <w:rPr>
                <w:sz w:val="21"/>
              </w:rPr>
              <w:t>牵头协同采购单位完成大型群众性活动全部法定审批手续，统筹公安备案、安全风险评估、卫健防疫备案全流程，负责申报材料编制、部门对接、隐患整改闭环，保障活动依法合规举办。</w:t>
            </w:r>
          </w:p>
          <w:p>
            <w:pPr>
              <w:pStyle w:val="null3"/>
              <w:ind w:firstLine="420"/>
              <w:jc w:val="both"/>
            </w:pPr>
            <w:r>
              <w:rPr>
                <w:sz w:val="21"/>
              </w:rPr>
              <w:t>1.</w:t>
            </w:r>
            <w:r>
              <w:rPr>
                <w:sz w:val="21"/>
              </w:rPr>
              <w:t>千人以上活动专项报备：开闭幕式、银龄集市预估参与人数超</w:t>
            </w:r>
            <w:r>
              <w:rPr>
                <w:sz w:val="21"/>
              </w:rPr>
              <w:t>1000</w:t>
            </w:r>
            <w:r>
              <w:rPr>
                <w:sz w:val="21"/>
              </w:rPr>
              <w:t>人的，须配合市民政局，</w:t>
            </w:r>
            <w:r>
              <w:rPr>
                <w:sz w:val="21"/>
              </w:rPr>
              <w:t>于活动举办前</w:t>
            </w:r>
            <w:r>
              <w:rPr>
                <w:sz w:val="21"/>
              </w:rPr>
              <w:t>20</w:t>
            </w:r>
            <w:r>
              <w:rPr>
                <w:sz w:val="21"/>
              </w:rPr>
              <w:t>个工作日完成大型群众性活动安全许可所需全套材料的编制，并报送至市公安局</w:t>
            </w:r>
            <w:r>
              <w:rPr>
                <w:sz w:val="21"/>
              </w:rPr>
              <w:t>；</w:t>
            </w:r>
          </w:p>
          <w:p>
            <w:pPr>
              <w:pStyle w:val="null3"/>
              <w:ind w:firstLine="420"/>
              <w:jc w:val="both"/>
            </w:pPr>
            <w:r>
              <w:rPr>
                <w:sz w:val="21"/>
              </w:rPr>
              <w:t>2.</w:t>
            </w:r>
            <w:r>
              <w:rPr>
                <w:sz w:val="21"/>
              </w:rPr>
              <w:t>常规赛事分级报备：单项赛事预估参与</w:t>
            </w:r>
            <w:r>
              <w:rPr>
                <w:sz w:val="21"/>
              </w:rPr>
              <w:t>人数</w:t>
            </w:r>
            <w:r>
              <w:rPr>
                <w:sz w:val="21"/>
              </w:rPr>
              <w:t>500</w:t>
            </w:r>
            <w:r>
              <w:rPr>
                <w:sz w:val="21"/>
              </w:rPr>
              <w:t>人及以上的，参照上述流程完成公安简易备案；</w:t>
            </w:r>
            <w:r>
              <w:rPr>
                <w:sz w:val="21"/>
              </w:rPr>
              <w:t>500</w:t>
            </w:r>
            <w:r>
              <w:rPr>
                <w:sz w:val="21"/>
              </w:rPr>
              <w:t>人以下按属地要求登记；</w:t>
            </w:r>
          </w:p>
          <w:p>
            <w:pPr>
              <w:pStyle w:val="null3"/>
              <w:ind w:firstLine="420"/>
              <w:jc w:val="both"/>
            </w:pPr>
            <w:r>
              <w:rPr>
                <w:sz w:val="21"/>
              </w:rPr>
              <w:t>3.</w:t>
            </w:r>
            <w:r>
              <w:rPr>
                <w:sz w:val="21"/>
              </w:rPr>
              <w:t>临时搭建物报备：开闭幕式舞台、集市展位、赛场临时构筑物，须由具备资质单位设计施工，全套资质文件报送市民政局、公安部门备案。</w:t>
            </w:r>
          </w:p>
          <w:p>
            <w:pPr>
              <w:pStyle w:val="null3"/>
              <w:ind w:firstLine="422"/>
              <w:jc w:val="both"/>
            </w:pPr>
            <w:r>
              <w:rPr>
                <w:sz w:val="21"/>
                <w:b/>
              </w:rPr>
              <w:t>（</w:t>
            </w:r>
            <w:r>
              <w:rPr>
                <w:sz w:val="21"/>
                <w:b/>
              </w:rPr>
              <w:t>二</w:t>
            </w:r>
            <w:r>
              <w:rPr>
                <w:sz w:val="21"/>
                <w:b/>
              </w:rPr>
              <w:t>）赛事策划与统筹管理</w:t>
            </w:r>
          </w:p>
          <w:p>
            <w:pPr>
              <w:pStyle w:val="null3"/>
              <w:ind w:firstLine="420"/>
              <w:jc w:val="both"/>
            </w:pPr>
            <w:r>
              <w:rPr>
                <w:sz w:val="21"/>
              </w:rPr>
              <w:t>1.</w:t>
            </w:r>
            <w:r>
              <w:rPr>
                <w:sz w:val="21"/>
              </w:rPr>
              <w:t>方案编制报审</w:t>
            </w:r>
            <w:r>
              <w:rPr>
                <w:sz w:val="21"/>
              </w:rPr>
              <w:t>。</w:t>
            </w:r>
            <w:r>
              <w:rPr>
                <w:sz w:val="21"/>
              </w:rPr>
              <w:t>编制总体实施方案、赛程细则、安全应急预案</w:t>
            </w:r>
            <w:r>
              <w:rPr>
                <w:sz w:val="21"/>
              </w:rPr>
              <w:t>，以及</w:t>
            </w:r>
            <w:r>
              <w:rPr>
                <w:sz w:val="21"/>
              </w:rPr>
              <w:t>医疗救护、消防安全、宣传推广、志愿服务、人流疏</w:t>
            </w:r>
            <w:r>
              <w:rPr>
                <w:sz w:val="21"/>
              </w:rPr>
              <w:t>导等</w:t>
            </w:r>
            <w:r>
              <w:rPr>
                <w:sz w:val="21"/>
              </w:rPr>
              <w:t>专项方案，充分适配老年群体身体特征，明确极端天气、群体性疾病、重大安全隐患等场景</w:t>
            </w:r>
            <w:r>
              <w:rPr>
                <w:sz w:val="21"/>
              </w:rPr>
              <w:t>的</w:t>
            </w:r>
            <w:r>
              <w:rPr>
                <w:sz w:val="21"/>
              </w:rPr>
              <w:t>赛事熔断机制及分级处置流程。所有方案须报送市老龄办审核通过，抄送市福彩中心备案后方可实施。</w:t>
            </w:r>
          </w:p>
          <w:p>
            <w:pPr>
              <w:pStyle w:val="null3"/>
              <w:ind w:firstLine="420"/>
              <w:jc w:val="both"/>
            </w:pPr>
            <w:r>
              <w:rPr>
                <w:sz w:val="21"/>
              </w:rPr>
              <w:t>2.</w:t>
            </w:r>
            <w:r>
              <w:rPr>
                <w:sz w:val="21"/>
              </w:rPr>
              <w:t>全链条统筹协调</w:t>
            </w:r>
            <w:r>
              <w:rPr>
                <w:sz w:val="21"/>
              </w:rPr>
              <w:t>。</w:t>
            </w:r>
            <w:r>
              <w:rPr>
                <w:sz w:val="21"/>
              </w:rPr>
              <w:t>统筹赛事前期筹备、现场执行、赛后总结全流程；对接各镇街参赛代表团，统一调度场地、人员、物资、设备等资源，保障各环节高效衔接。</w:t>
            </w:r>
          </w:p>
          <w:p>
            <w:pPr>
              <w:pStyle w:val="null3"/>
              <w:ind w:firstLine="420"/>
              <w:jc w:val="both"/>
            </w:pPr>
            <w:r>
              <w:rPr>
                <w:sz w:val="21"/>
              </w:rPr>
              <w:t>3.</w:t>
            </w:r>
            <w:r>
              <w:rPr>
                <w:sz w:val="21"/>
              </w:rPr>
              <w:t>赛事视觉体系设计</w:t>
            </w:r>
            <w:r>
              <w:rPr>
                <w:sz w:val="21"/>
              </w:rPr>
              <w:t>。</w:t>
            </w:r>
            <w:r>
              <w:rPr>
                <w:sz w:val="21"/>
              </w:rPr>
              <w:t>统一设计赛事全套视觉形象，含赛事</w:t>
            </w:r>
            <w:r>
              <w:rPr>
                <w:sz w:val="21"/>
              </w:rPr>
              <w:t>LOGO</w:t>
            </w:r>
            <w:r>
              <w:rPr>
                <w:sz w:val="21"/>
              </w:rPr>
              <w:t>、主视觉、物料规范体系，风格庄重明快、适配老年群体审美，全系列物料统一视觉调性。</w:t>
            </w:r>
          </w:p>
          <w:p>
            <w:pPr>
              <w:pStyle w:val="null3"/>
              <w:ind w:firstLine="420"/>
              <w:jc w:val="both"/>
            </w:pPr>
            <w:r>
              <w:rPr>
                <w:sz w:val="21"/>
              </w:rPr>
              <w:t>4.</w:t>
            </w:r>
            <w:r>
              <w:rPr>
                <w:sz w:val="21"/>
              </w:rPr>
              <w:t>重大活动统筹保障</w:t>
            </w:r>
            <w:r>
              <w:rPr>
                <w:sz w:val="21"/>
              </w:rPr>
              <w:t>。</w:t>
            </w:r>
            <w:r>
              <w:rPr>
                <w:sz w:val="21"/>
              </w:rPr>
              <w:t>配合组委会完成跨部门协调、开闭幕式筹备、赛程动态调整、领导接待、全域应急统筹等工作。</w:t>
            </w:r>
          </w:p>
          <w:p>
            <w:pPr>
              <w:pStyle w:val="null3"/>
              <w:ind w:firstLine="422"/>
              <w:jc w:val="both"/>
            </w:pPr>
            <w:r>
              <w:rPr>
                <w:sz w:val="21"/>
                <w:b/>
              </w:rPr>
              <w:t>（</w:t>
            </w:r>
            <w:r>
              <w:rPr>
                <w:sz w:val="21"/>
                <w:b/>
              </w:rPr>
              <w:t>三</w:t>
            </w:r>
            <w:r>
              <w:rPr>
                <w:sz w:val="21"/>
                <w:b/>
              </w:rPr>
              <w:t>）全域安全保障体系</w:t>
            </w:r>
          </w:p>
          <w:p>
            <w:pPr>
              <w:pStyle w:val="null3"/>
              <w:ind w:firstLine="420"/>
              <w:jc w:val="both"/>
            </w:pPr>
            <w:r>
              <w:rPr>
                <w:sz w:val="21"/>
              </w:rPr>
              <w:t>1.</w:t>
            </w:r>
            <w:r>
              <w:rPr>
                <w:sz w:val="21"/>
              </w:rPr>
              <w:t>消防安全保障。赛前对所有场馆、临时搭建物开展全覆盖消防排查，配齐消防值守人员与灭火器材；编制灭火疏散预案，赛前组织不少于</w:t>
            </w:r>
            <w:r>
              <w:rPr>
                <w:sz w:val="21"/>
              </w:rPr>
              <w:t>1</w:t>
            </w:r>
            <w:r>
              <w:rPr>
                <w:sz w:val="21"/>
              </w:rPr>
              <w:t>次全员疏散演练；赛事期间常态化防火巡查，保障疏散通道、安全出口全程畅通。</w:t>
            </w:r>
          </w:p>
          <w:p>
            <w:pPr>
              <w:pStyle w:val="null3"/>
              <w:ind w:firstLine="420"/>
              <w:jc w:val="both"/>
            </w:pPr>
            <w:r>
              <w:rPr>
                <w:sz w:val="21"/>
              </w:rPr>
              <w:t>2.</w:t>
            </w:r>
            <w:r>
              <w:rPr>
                <w:sz w:val="21"/>
              </w:rPr>
              <w:t>现场安保与人流管控。一是全域</w:t>
            </w:r>
            <w:r>
              <w:rPr>
                <w:sz w:val="21"/>
              </w:rPr>
              <w:t>分区管控</w:t>
            </w:r>
            <w:r>
              <w:rPr>
                <w:sz w:val="21"/>
              </w:rPr>
              <w:t>：所有活动场地统一设置高度</w:t>
            </w:r>
            <w:r>
              <w:rPr>
                <w:sz w:val="21"/>
              </w:rPr>
              <w:t>≥2</w:t>
            </w:r>
            <w:r>
              <w:rPr>
                <w:sz w:val="21"/>
              </w:rPr>
              <w:t>米硬质围挡、隔离铁马，实施分区闭环管控，划分选手区、观众区、工作区；主会场布设</w:t>
            </w:r>
            <w:r>
              <w:rPr>
                <w:sz w:val="21"/>
              </w:rPr>
              <w:t>X</w:t>
            </w:r>
            <w:r>
              <w:rPr>
                <w:sz w:val="21"/>
              </w:rPr>
              <w:t>光安检设备，严格落实人员核验；二是监控值守：场地布设全覆盖视频监控系统，安排专人</w:t>
            </w:r>
            <w:r>
              <w:rPr>
                <w:sz w:val="21"/>
              </w:rPr>
              <w:t>24</w:t>
            </w:r>
            <w:r>
              <w:rPr>
                <w:sz w:val="21"/>
              </w:rPr>
              <w:t>小时在岗值守；三是安保人员梯度配置：单场参与人数</w:t>
            </w:r>
            <w:r>
              <w:rPr>
                <w:sz w:val="21"/>
              </w:rPr>
              <w:t>500</w:t>
            </w:r>
            <w:r>
              <w:rPr>
                <w:sz w:val="21"/>
              </w:rPr>
              <w:t>人及以上配置专职安保</w:t>
            </w:r>
            <w:r>
              <w:rPr>
                <w:sz w:val="21"/>
              </w:rPr>
              <w:t>≥8</w:t>
            </w:r>
            <w:r>
              <w:rPr>
                <w:sz w:val="21"/>
              </w:rPr>
              <w:t>名；开闭幕式、银龄集市等重点场次安保</w:t>
            </w:r>
            <w:r>
              <w:rPr>
                <w:sz w:val="21"/>
              </w:rPr>
              <w:t>≥15</w:t>
            </w:r>
            <w:r>
              <w:rPr>
                <w:sz w:val="21"/>
              </w:rPr>
              <w:t>名；</w:t>
            </w:r>
            <w:r>
              <w:rPr>
                <w:sz w:val="21"/>
              </w:rPr>
              <w:t>500</w:t>
            </w:r>
            <w:r>
              <w:rPr>
                <w:sz w:val="21"/>
              </w:rPr>
              <w:t>人以下场次配备专职安保不少于</w:t>
            </w:r>
            <w:r>
              <w:rPr>
                <w:sz w:val="21"/>
              </w:rPr>
              <w:t>4</w:t>
            </w:r>
            <w:r>
              <w:rPr>
                <w:sz w:val="21"/>
              </w:rPr>
              <w:t>名；多项目同场同步开赛、集市叠加赛事时，按人流峰值同步增配安保力量；四是联动公安制定人流疏导、防踩踏专项方案，科学划分功能动线，严防拥挤、踩踏等安全事故。</w:t>
            </w:r>
          </w:p>
          <w:p>
            <w:pPr>
              <w:pStyle w:val="null3"/>
              <w:ind w:firstLine="420"/>
              <w:jc w:val="both"/>
            </w:pPr>
            <w:r>
              <w:rPr>
                <w:sz w:val="21"/>
              </w:rPr>
              <w:t>3.</w:t>
            </w:r>
            <w:r>
              <w:rPr>
                <w:sz w:val="21"/>
              </w:rPr>
              <w:t>医疗救护保障。各独立赛场设置固定临时医疗点，配齐急救器械、老年常用药品、转运物资；单场配置中级职称医师</w:t>
            </w:r>
            <w:r>
              <w:rPr>
                <w:sz w:val="21"/>
              </w:rPr>
              <w:t>1</w:t>
            </w:r>
            <w:r>
              <w:rPr>
                <w:sz w:val="21"/>
              </w:rPr>
              <w:t>名、护士</w:t>
            </w:r>
            <w:r>
              <w:rPr>
                <w:sz w:val="21"/>
              </w:rPr>
              <w:t>2</w:t>
            </w:r>
            <w:r>
              <w:rPr>
                <w:sz w:val="21"/>
              </w:rPr>
              <w:t>名，同场地多项目同步开赛按点位叠加配置医护人员；联动属地医疗机构建立急救绿色通道；针对老年常见病、突发晕厥制定专项医疗应急预案；赛前统一开展参赛人员健康提示、健康证明核验工作。</w:t>
            </w:r>
          </w:p>
          <w:p>
            <w:pPr>
              <w:pStyle w:val="null3"/>
              <w:ind w:firstLine="420"/>
              <w:jc w:val="both"/>
            </w:pPr>
            <w:r>
              <w:rPr>
                <w:sz w:val="21"/>
              </w:rPr>
              <w:t>4.</w:t>
            </w:r>
            <w:r>
              <w:rPr>
                <w:sz w:val="21"/>
              </w:rPr>
              <w:t>全员人身风险保障。为全体参赛选手、领队、教练、工作人员、志愿者统一投保人身意外伤害保险，单人保费不低于</w:t>
            </w:r>
            <w:r>
              <w:rPr>
                <w:sz w:val="21"/>
              </w:rPr>
              <w:t>10</w:t>
            </w:r>
            <w:r>
              <w:rPr>
                <w:sz w:val="21"/>
              </w:rPr>
              <w:t>元，保险周期完整覆盖筹备、赛事、返程全时段；同步为集市参展商户、现场观赛群众配套公众责任险。组织全部参赛人员签订《自愿参赛责任书》，落实赛前安全告知。</w:t>
            </w:r>
          </w:p>
          <w:p>
            <w:pPr>
              <w:pStyle w:val="null3"/>
              <w:ind w:firstLine="422"/>
              <w:jc w:val="both"/>
            </w:pPr>
            <w:r>
              <w:rPr>
                <w:sz w:val="21"/>
                <w:b/>
              </w:rPr>
              <w:t>（</w:t>
            </w:r>
            <w:r>
              <w:rPr>
                <w:sz w:val="21"/>
                <w:b/>
              </w:rPr>
              <w:t>四</w:t>
            </w:r>
            <w:r>
              <w:rPr>
                <w:sz w:val="21"/>
                <w:b/>
              </w:rPr>
              <w:t>）活动场地布置</w:t>
            </w:r>
          </w:p>
          <w:p>
            <w:pPr>
              <w:pStyle w:val="null3"/>
              <w:ind w:firstLine="420"/>
              <w:jc w:val="both"/>
            </w:pPr>
            <w:r>
              <w:rPr>
                <w:sz w:val="21"/>
              </w:rPr>
              <w:t>1.</w:t>
            </w:r>
            <w:r>
              <w:rPr>
                <w:sz w:val="21"/>
              </w:rPr>
              <w:t>开闭幕式场地统筹</w:t>
            </w:r>
            <w:r>
              <w:rPr>
                <w:sz w:val="21"/>
              </w:rPr>
              <w:t>。</w:t>
            </w:r>
            <w:r>
              <w:rPr>
                <w:sz w:val="21"/>
              </w:rPr>
              <w:t>开幕式主场地：东莞市体育馆，备</w:t>
            </w:r>
            <w:r>
              <w:rPr>
                <w:sz w:val="21"/>
              </w:rPr>
              <w:t>.</w:t>
            </w:r>
            <w:r>
              <w:rPr>
                <w:sz w:val="21"/>
              </w:rPr>
              <w:t>选东莞银行篮球中心；闭幕式主场地：东城文化中心，备</w:t>
            </w:r>
            <w:r>
              <w:rPr>
                <w:sz w:val="21"/>
              </w:rPr>
              <w:t>.</w:t>
            </w:r>
            <w:r>
              <w:rPr>
                <w:sz w:val="21"/>
              </w:rPr>
              <w:t>选东莞市民艺术中心；负责场地租赁、整体氛围搭建、赛后复原交接。</w:t>
            </w:r>
          </w:p>
          <w:p>
            <w:pPr>
              <w:pStyle w:val="null3"/>
              <w:ind w:firstLine="420"/>
              <w:jc w:val="both"/>
            </w:pPr>
            <w:r>
              <w:rPr>
                <w:sz w:val="21"/>
              </w:rPr>
              <w:t>2.</w:t>
            </w:r>
            <w:r>
              <w:rPr>
                <w:sz w:val="21"/>
              </w:rPr>
              <w:t>银龄集市一体化运营</w:t>
            </w:r>
            <w:r>
              <w:rPr>
                <w:sz w:val="21"/>
              </w:rPr>
              <w:t>。</w:t>
            </w:r>
            <w:r>
              <w:rPr>
                <w:sz w:val="21"/>
              </w:rPr>
              <w:t>统筹开</w:t>
            </w:r>
            <w:r>
              <w:rPr>
                <w:sz w:val="21"/>
              </w:rPr>
              <w:t>、闭</w:t>
            </w:r>
            <w:r>
              <w:rPr>
                <w:sz w:val="21"/>
              </w:rPr>
              <w:t>幕式配套银龄集市场地规划、展位搭建、全周期现场管理，标准化设置不少于</w:t>
            </w:r>
            <w:r>
              <w:rPr>
                <w:sz w:val="21"/>
              </w:rPr>
              <w:t>30</w:t>
            </w:r>
            <w:r>
              <w:rPr>
                <w:sz w:val="21"/>
              </w:rPr>
              <w:t>个</w:t>
            </w:r>
            <w:r>
              <w:rPr>
                <w:sz w:val="21"/>
              </w:rPr>
              <w:t>3m×3m</w:t>
            </w:r>
            <w:r>
              <w:rPr>
                <w:sz w:val="21"/>
              </w:rPr>
              <w:t>标准展位，配套桌椅、供电基础设施</w:t>
            </w:r>
            <w:r>
              <w:rPr>
                <w:sz w:val="21"/>
              </w:rPr>
              <w:t>，并为</w:t>
            </w:r>
            <w:r>
              <w:rPr>
                <w:sz w:val="21"/>
              </w:rPr>
              <w:t>展位</w:t>
            </w:r>
            <w:r>
              <w:rPr>
                <w:sz w:val="21"/>
              </w:rPr>
              <w:t>提供餐饮（</w:t>
            </w:r>
            <w:r>
              <w:rPr>
                <w:sz w:val="21"/>
              </w:rPr>
              <w:t>餐标</w:t>
            </w:r>
            <w:r>
              <w:rPr>
                <w:sz w:val="21"/>
              </w:rPr>
              <w:t>≤40</w:t>
            </w:r>
            <w:r>
              <w:rPr>
                <w:sz w:val="21"/>
              </w:rPr>
              <w:t>元</w:t>
            </w:r>
            <w:r>
              <w:rPr>
                <w:sz w:val="21"/>
              </w:rPr>
              <w:t>/</w:t>
            </w:r>
            <w:r>
              <w:rPr>
                <w:sz w:val="21"/>
              </w:rPr>
              <w:t>人</w:t>
            </w:r>
            <w:r>
              <w:rPr>
                <w:sz w:val="21"/>
              </w:rPr>
              <w:t>/</w:t>
            </w:r>
            <w:r>
              <w:rPr>
                <w:sz w:val="21"/>
              </w:rPr>
              <w:t>餐</w:t>
            </w:r>
            <w:r>
              <w:rPr>
                <w:sz w:val="21"/>
              </w:rPr>
              <w:t>）</w:t>
            </w:r>
            <w:r>
              <w:rPr>
                <w:sz w:val="21"/>
              </w:rPr>
              <w:t>；分设养老服务、健康义诊、适老产品、文化教育、反诈宣传五大功能专区；配套设置八段锦、太极养生免费体验区，安排专业教练定时教学；统一归集所有参展机构资质报送市民政局审核备案，组织全部参展主体签订安全责任书压实安全责任。各单项赛场同步设置小型银龄便民服务专区，常态化开展健康咨询、反诈科普服务。</w:t>
            </w:r>
          </w:p>
          <w:p>
            <w:pPr>
              <w:pStyle w:val="null3"/>
              <w:ind w:firstLine="420"/>
              <w:jc w:val="both"/>
            </w:pPr>
            <w:r>
              <w:rPr>
                <w:sz w:val="21"/>
              </w:rPr>
              <w:t>3.</w:t>
            </w:r>
            <w:r>
              <w:rPr>
                <w:sz w:val="21"/>
              </w:rPr>
              <w:t>竞赛场地保障</w:t>
            </w:r>
            <w:r>
              <w:rPr>
                <w:sz w:val="21"/>
              </w:rPr>
              <w:t>。</w:t>
            </w:r>
            <w:r>
              <w:rPr>
                <w:sz w:val="21"/>
              </w:rPr>
              <w:t>完成</w:t>
            </w:r>
            <w:r>
              <w:rPr>
                <w:sz w:val="21"/>
              </w:rPr>
              <w:t>17</w:t>
            </w:r>
            <w:r>
              <w:rPr>
                <w:sz w:val="21"/>
              </w:rPr>
              <w:t>个竞赛项目预赛、决赛场地遴选、租赁、布置、赛后清理；所选场地需满足各项目国家竞赛规则与安全标准，需同时满足体育部门的规范要求和群众观赛的便利需求，配套设置休息区、医疗点、工作区等功能区域；乒乓球、围棋、象棋分片区举办预赛，优胜选手晋级市级总决赛，晋级规则写入竞赛规程。按需租赁对讲机、打印设备、办公耗材等后勤物资。</w:t>
            </w:r>
          </w:p>
          <w:p>
            <w:pPr>
              <w:pStyle w:val="null3"/>
              <w:ind w:firstLine="420"/>
              <w:jc w:val="both"/>
            </w:pPr>
            <w:r>
              <w:rPr>
                <w:sz w:val="21"/>
              </w:rPr>
              <w:t>4.</w:t>
            </w:r>
            <w:r>
              <w:rPr>
                <w:sz w:val="21"/>
              </w:rPr>
              <w:t>竞赛器材与舞台设备运维</w:t>
            </w:r>
            <w:r>
              <w:rPr>
                <w:sz w:val="21"/>
              </w:rPr>
              <w:t>。</w:t>
            </w:r>
            <w:r>
              <w:rPr>
                <w:sz w:val="21"/>
              </w:rPr>
              <w:t>按市级赛事标准配齐各项目专业竞赛器材、计时计分设备，负责赛前调试、赛中运维、赛后回收；规范完成舞台、背景板搭建，统筹灯光、音响、</w:t>
            </w:r>
            <w:r>
              <w:rPr>
                <w:sz w:val="21"/>
              </w:rPr>
              <w:t>LED</w:t>
            </w:r>
            <w:r>
              <w:rPr>
                <w:sz w:val="21"/>
              </w:rPr>
              <w:t>大屏等设备租赁、安装、全程维护，规范线路铺设，常态化排查用电安全隐患。</w:t>
            </w:r>
          </w:p>
          <w:p>
            <w:pPr>
              <w:pStyle w:val="null3"/>
              <w:ind w:firstLine="420"/>
              <w:jc w:val="both"/>
            </w:pPr>
            <w:r>
              <w:rPr>
                <w:sz w:val="21"/>
              </w:rPr>
              <w:t>5.</w:t>
            </w:r>
            <w:r>
              <w:rPr>
                <w:sz w:val="21"/>
              </w:rPr>
              <w:t>场地收尾交接</w:t>
            </w:r>
            <w:r>
              <w:rPr>
                <w:sz w:val="21"/>
              </w:rPr>
              <w:t>。</w:t>
            </w:r>
            <w:r>
              <w:rPr>
                <w:sz w:val="21"/>
              </w:rPr>
              <w:t>每场赛事结束后及时拆除设施、清理场地、恢复原貌，核查场地损耗并按合同承担修复赔偿，完成与场馆管理方正式交接。</w:t>
            </w:r>
          </w:p>
          <w:p>
            <w:pPr>
              <w:pStyle w:val="null3"/>
              <w:ind w:firstLine="422"/>
              <w:jc w:val="both"/>
            </w:pPr>
            <w:r>
              <w:rPr>
                <w:sz w:val="21"/>
                <w:b/>
              </w:rPr>
              <w:t>（</w:t>
            </w:r>
            <w:r>
              <w:rPr>
                <w:sz w:val="21"/>
                <w:b/>
              </w:rPr>
              <w:t>五</w:t>
            </w:r>
            <w:r>
              <w:rPr>
                <w:sz w:val="21"/>
                <w:b/>
              </w:rPr>
              <w:t>）赛事组织现场执行</w:t>
            </w:r>
          </w:p>
          <w:p>
            <w:pPr>
              <w:pStyle w:val="null3"/>
              <w:ind w:firstLine="420"/>
              <w:jc w:val="both"/>
            </w:pPr>
            <w:r>
              <w:rPr>
                <w:sz w:val="21"/>
              </w:rPr>
              <w:t>1.</w:t>
            </w:r>
            <w:r>
              <w:rPr>
                <w:sz w:val="21"/>
              </w:rPr>
              <w:t>报名与抽签管理。配合采购方依托线上报名平台完成参赛信息汇总、资格初审；组织线下抽签会议确定出场顺序，公示全部抽签结果。</w:t>
            </w:r>
          </w:p>
          <w:p>
            <w:pPr>
              <w:pStyle w:val="null3"/>
              <w:ind w:firstLine="420"/>
              <w:jc w:val="both"/>
            </w:pPr>
            <w:r>
              <w:rPr>
                <w:sz w:val="21"/>
              </w:rPr>
              <w:t>2.</w:t>
            </w:r>
            <w:r>
              <w:rPr>
                <w:sz w:val="21"/>
              </w:rPr>
              <w:t>裁判与仲裁队伍配置。各项目主裁判须具备国家一级及以上裁判资质，规范执裁保障赛事公平；设立赛事仲裁组，成员不少于</w:t>
            </w:r>
            <w:r>
              <w:rPr>
                <w:sz w:val="21"/>
              </w:rPr>
              <w:t>3</w:t>
            </w:r>
            <w:r>
              <w:rPr>
                <w:sz w:val="21"/>
              </w:rPr>
              <w:t>人，具备体育仲裁或法律专业资质，全程受理赛事申诉、处置竞赛争议。</w:t>
            </w:r>
          </w:p>
          <w:p>
            <w:pPr>
              <w:pStyle w:val="null3"/>
              <w:ind w:firstLine="420"/>
              <w:jc w:val="both"/>
            </w:pPr>
            <w:r>
              <w:rPr>
                <w:sz w:val="21"/>
              </w:rPr>
              <w:t>3.</w:t>
            </w:r>
            <w:r>
              <w:rPr>
                <w:sz w:val="21"/>
              </w:rPr>
              <w:t>开闭幕式专项执行。聘请专业导演团队完成流程策划、节目编排、彩排调度；选聘具备大型政务活动主持经验</w:t>
            </w:r>
            <w:r>
              <w:rPr>
                <w:sz w:val="21"/>
              </w:rPr>
              <w:t>的</w:t>
            </w:r>
            <w:r>
              <w:rPr>
                <w:sz w:val="21"/>
              </w:rPr>
              <w:t>主持人；配备不少于</w:t>
            </w:r>
            <w:r>
              <w:rPr>
                <w:sz w:val="21"/>
              </w:rPr>
              <w:t>4</w:t>
            </w:r>
            <w:r>
              <w:rPr>
                <w:sz w:val="21"/>
              </w:rPr>
              <w:t>辆大巴统筹参演、参赛人员交通接送；规范组织闭幕式集体合影，严格按照政务活动标准制定站位方案，赛后交付高清成片并在官方平台刊发留存。</w:t>
            </w:r>
          </w:p>
          <w:p>
            <w:pPr>
              <w:pStyle w:val="null3"/>
              <w:ind w:firstLine="420"/>
              <w:jc w:val="both"/>
            </w:pPr>
            <w:r>
              <w:rPr>
                <w:sz w:val="21"/>
              </w:rPr>
              <w:t>4.</w:t>
            </w:r>
            <w:r>
              <w:rPr>
                <w:sz w:val="21"/>
              </w:rPr>
              <w:t>颁奖流程配套。负责闭幕式颁奖全流程组织，精准核对奖项、获奖人员及荣誉物资；编制奖金发放</w:t>
            </w:r>
            <w:r>
              <w:rPr>
                <w:sz w:val="21"/>
              </w:rPr>
              <w:t>名</w:t>
            </w:r>
            <w:r>
              <w:rPr>
                <w:sz w:val="21"/>
              </w:rPr>
              <w:t>册，配合采购方落实财政资金发放手续。</w:t>
            </w:r>
          </w:p>
          <w:p>
            <w:pPr>
              <w:pStyle w:val="null3"/>
              <w:ind w:firstLine="420"/>
              <w:jc w:val="both"/>
            </w:pPr>
            <w:r>
              <w:rPr>
                <w:sz w:val="21"/>
              </w:rPr>
              <w:t>5.</w:t>
            </w:r>
            <w:r>
              <w:rPr>
                <w:sz w:val="21"/>
              </w:rPr>
              <w:t>志愿者统筹管理。配合采购方开展志愿者岗前培训、排班调度、现场后勤保障，统筹引导、物资分发、现场服务等工作。</w:t>
            </w:r>
          </w:p>
          <w:p>
            <w:pPr>
              <w:pStyle w:val="null3"/>
              <w:ind w:firstLine="422"/>
              <w:jc w:val="both"/>
            </w:pPr>
            <w:r>
              <w:rPr>
                <w:sz w:val="21"/>
                <w:b/>
              </w:rPr>
              <w:t>（</w:t>
            </w:r>
            <w:r>
              <w:rPr>
                <w:sz w:val="21"/>
                <w:b/>
              </w:rPr>
              <w:t>六</w:t>
            </w:r>
            <w:r>
              <w:rPr>
                <w:sz w:val="21"/>
                <w:b/>
              </w:rPr>
              <w:t>）宣传推广与福彩公益传播</w:t>
            </w:r>
          </w:p>
          <w:p>
            <w:pPr>
              <w:pStyle w:val="null3"/>
              <w:ind w:firstLine="420"/>
              <w:jc w:val="both"/>
            </w:pPr>
            <w:r>
              <w:rPr>
                <w:sz w:val="21"/>
              </w:rPr>
              <w:t>1.</w:t>
            </w:r>
            <w:r>
              <w:rPr>
                <w:sz w:val="21"/>
              </w:rPr>
              <w:t>硬性宣传物料制作</w:t>
            </w:r>
          </w:p>
          <w:p>
            <w:pPr>
              <w:pStyle w:val="null3"/>
              <w:ind w:firstLine="420"/>
              <w:jc w:val="both"/>
            </w:pPr>
            <w:r>
              <w:rPr>
                <w:sz w:val="21"/>
              </w:rPr>
              <w:t>（</w:t>
            </w:r>
            <w:r>
              <w:rPr>
                <w:sz w:val="21"/>
              </w:rPr>
              <w:t>1</w:t>
            </w:r>
            <w:r>
              <w:rPr>
                <w:sz w:val="21"/>
              </w:rPr>
              <w:t>）宣传片：赛事主题片、开闭幕式总结片各</w:t>
            </w:r>
            <w:r>
              <w:rPr>
                <w:sz w:val="21"/>
              </w:rPr>
              <w:t>1</w:t>
            </w:r>
            <w:r>
              <w:rPr>
                <w:sz w:val="21"/>
              </w:rPr>
              <w:t>部，</w:t>
            </w:r>
            <w:r>
              <w:rPr>
                <w:sz w:val="21"/>
              </w:rPr>
              <w:t>共</w:t>
            </w:r>
            <w:r>
              <w:rPr>
                <w:sz w:val="21"/>
              </w:rPr>
              <w:t>3</w:t>
            </w:r>
            <w:r>
              <w:rPr>
                <w:sz w:val="21"/>
              </w:rPr>
              <w:t>部。</w:t>
            </w:r>
            <w:r>
              <w:rPr>
                <w:sz w:val="21"/>
              </w:rPr>
              <w:t>单条时长</w:t>
            </w:r>
            <w:r>
              <w:rPr>
                <w:sz w:val="21"/>
              </w:rPr>
              <w:t>分别</w:t>
            </w:r>
            <w:r>
              <w:rPr>
                <w:sz w:val="21"/>
              </w:rPr>
              <w:t>≥3</w:t>
            </w:r>
            <w:r>
              <w:rPr>
                <w:sz w:val="21"/>
              </w:rPr>
              <w:t>分钟</w:t>
            </w:r>
            <w:r>
              <w:rPr>
                <w:sz w:val="21"/>
              </w:rPr>
              <w:t>，分辨率</w:t>
            </w:r>
            <w:r>
              <w:rPr>
                <w:sz w:val="21"/>
              </w:rPr>
              <w:t>1080P</w:t>
            </w:r>
            <w:r>
              <w:rPr>
                <w:sz w:val="21"/>
              </w:rPr>
              <w:t>以上，脚本不少于</w:t>
            </w:r>
            <w:r>
              <w:rPr>
                <w:sz w:val="21"/>
              </w:rPr>
              <w:t>2</w:t>
            </w:r>
            <w:r>
              <w:rPr>
                <w:sz w:val="21"/>
              </w:rPr>
              <w:t>版；多机位全覆盖拍摄</w:t>
            </w:r>
            <w:r>
              <w:rPr>
                <w:sz w:val="21"/>
              </w:rPr>
              <w:t>17</w:t>
            </w:r>
            <w:r>
              <w:rPr>
                <w:sz w:val="21"/>
              </w:rPr>
              <w:t>个项目，原始素材</w:t>
            </w:r>
            <w:r>
              <w:rPr>
                <w:sz w:val="21"/>
              </w:rPr>
              <w:t>容量</w:t>
            </w:r>
            <w:r>
              <w:rPr>
                <w:sz w:val="21"/>
              </w:rPr>
              <w:t>≥80G</w:t>
            </w:r>
            <w:r>
              <w:rPr>
                <w:sz w:val="21"/>
              </w:rPr>
              <w:t>；输出完整版、精简版、竖屏传播版不少于</w:t>
            </w:r>
            <w:r>
              <w:rPr>
                <w:sz w:val="21"/>
              </w:rPr>
              <w:t>3</w:t>
            </w:r>
            <w:r>
              <w:rPr>
                <w:sz w:val="21"/>
              </w:rPr>
              <w:t>个版本；</w:t>
            </w:r>
          </w:p>
          <w:p>
            <w:pPr>
              <w:pStyle w:val="null3"/>
              <w:ind w:firstLine="420"/>
              <w:jc w:val="both"/>
            </w:pPr>
            <w:r>
              <w:rPr>
                <w:sz w:val="21"/>
              </w:rPr>
              <w:t>（</w:t>
            </w:r>
            <w:r>
              <w:rPr>
                <w:sz w:val="21"/>
              </w:rPr>
              <w:t>2</w:t>
            </w:r>
            <w:r>
              <w:rPr>
                <w:sz w:val="21"/>
              </w:rPr>
              <w:t>）海报体系：主视觉海报</w:t>
            </w:r>
            <w:r>
              <w:rPr>
                <w:sz w:val="21"/>
              </w:rPr>
              <w:t>≥3</w:t>
            </w:r>
            <w:r>
              <w:rPr>
                <w:sz w:val="21"/>
              </w:rPr>
              <w:t>款、分项赛事海报</w:t>
            </w:r>
            <w:r>
              <w:rPr>
                <w:sz w:val="21"/>
              </w:rPr>
              <w:t>34</w:t>
            </w:r>
            <w:r>
              <w:rPr>
                <w:sz w:val="21"/>
              </w:rPr>
              <w:t>款（每项目</w:t>
            </w:r>
            <w:r>
              <w:rPr>
                <w:sz w:val="21"/>
              </w:rPr>
              <w:t>2</w:t>
            </w:r>
            <w:r>
              <w:rPr>
                <w:sz w:val="21"/>
              </w:rPr>
              <w:t>款），</w:t>
            </w:r>
            <w:r>
              <w:rPr>
                <w:sz w:val="21"/>
              </w:rPr>
              <w:t>A0</w:t>
            </w:r>
            <w:r>
              <w:rPr>
                <w:sz w:val="21"/>
              </w:rPr>
              <w:t>竖版</w:t>
            </w:r>
            <w:r>
              <w:rPr>
                <w:sz w:val="21"/>
              </w:rPr>
              <w:t>，</w:t>
            </w:r>
            <w:r>
              <w:rPr>
                <w:sz w:val="21"/>
              </w:rPr>
              <w:t>300dpi</w:t>
            </w:r>
            <w:r>
              <w:rPr>
                <w:sz w:val="21"/>
              </w:rPr>
              <w:t xml:space="preserve"> </w:t>
            </w:r>
            <w:r>
              <w:rPr>
                <w:sz w:val="21"/>
              </w:rPr>
              <w:t>CMYK</w:t>
            </w:r>
            <w:r>
              <w:rPr>
                <w:sz w:val="21"/>
              </w:rPr>
              <w:t>印刷，同步提供多尺寸适配版本与源文件；</w:t>
            </w:r>
          </w:p>
          <w:p>
            <w:pPr>
              <w:pStyle w:val="null3"/>
              <w:ind w:firstLine="420"/>
              <w:jc w:val="both"/>
            </w:pPr>
            <w:r>
              <w:rPr>
                <w:sz w:val="21"/>
              </w:rPr>
              <w:t>（</w:t>
            </w:r>
            <w:r>
              <w:rPr>
                <w:sz w:val="21"/>
              </w:rPr>
              <w:t>3</w:t>
            </w:r>
            <w:r>
              <w:rPr>
                <w:sz w:val="21"/>
              </w:rPr>
              <w:t>）</w:t>
            </w:r>
            <w:r>
              <w:rPr>
                <w:sz w:val="21"/>
              </w:rPr>
              <w:t>宣传</w:t>
            </w:r>
            <w:r>
              <w:rPr>
                <w:sz w:val="21"/>
              </w:rPr>
              <w:t>系列物料：</w:t>
            </w:r>
            <w:r>
              <w:rPr>
                <w:sz w:val="21"/>
              </w:rPr>
              <w:t>一是设计宣传效果图。</w:t>
            </w:r>
            <w:r>
              <w:rPr>
                <w:sz w:val="21"/>
              </w:rPr>
              <w:t>报名一图读懂</w:t>
            </w:r>
            <w:r>
              <w:rPr>
                <w:sz w:val="21"/>
              </w:rPr>
              <w:t>1</w:t>
            </w:r>
            <w:r>
              <w:rPr>
                <w:sz w:val="21"/>
              </w:rPr>
              <w:t>套、赛事长图</w:t>
            </w:r>
            <w:r>
              <w:rPr>
                <w:sz w:val="21"/>
              </w:rPr>
              <w:t>≥20</w:t>
            </w:r>
            <w:r>
              <w:rPr>
                <w:sz w:val="21"/>
              </w:rPr>
              <w:t>期、项目专题长图</w:t>
            </w:r>
            <w:r>
              <w:rPr>
                <w:sz w:val="21"/>
              </w:rPr>
              <w:t>17</w:t>
            </w:r>
            <w:r>
              <w:rPr>
                <w:sz w:val="21"/>
              </w:rPr>
              <w:t>期、</w:t>
            </w:r>
            <w:r>
              <w:rPr>
                <w:sz w:val="21"/>
              </w:rPr>
              <w:t>7</w:t>
            </w:r>
            <w:r>
              <w:rPr>
                <w:sz w:val="21"/>
              </w:rPr>
              <w:t>天倒计时海报</w:t>
            </w:r>
            <w:r>
              <w:rPr>
                <w:sz w:val="21"/>
              </w:rPr>
              <w:t>7</w:t>
            </w:r>
            <w:r>
              <w:rPr>
                <w:sz w:val="21"/>
              </w:rPr>
              <w:t>张、项目高清图集</w:t>
            </w:r>
            <w:r>
              <w:rPr>
                <w:sz w:val="21"/>
              </w:rPr>
              <w:t>17</w:t>
            </w:r>
            <w:r>
              <w:rPr>
                <w:sz w:val="21"/>
              </w:rPr>
              <w:t>组、互动</w:t>
            </w:r>
            <w:r>
              <w:rPr>
                <w:sz w:val="21"/>
              </w:rPr>
              <w:t>H5</w:t>
            </w:r>
            <w:r>
              <w:rPr>
                <w:sz w:val="21"/>
              </w:rPr>
              <w:t>页面</w:t>
            </w:r>
            <w:r>
              <w:rPr>
                <w:sz w:val="21"/>
              </w:rPr>
              <w:t>≥1</w:t>
            </w:r>
            <w:r>
              <w:rPr>
                <w:sz w:val="21"/>
              </w:rPr>
              <w:t>个；</w:t>
            </w:r>
            <w:r>
              <w:rPr>
                <w:sz w:val="21"/>
              </w:rPr>
              <w:t>二是印制宣传实物物料。规范赛事视觉形象，制作主题布袋、宣传折扇、记事本、盒装纸巾、书签、纪念徽章、宣传手册、参赛服装等物资，品类不限，具体以对接确认为准，印制总量不少于</w:t>
            </w:r>
            <w:r>
              <w:rPr>
                <w:sz w:val="21"/>
              </w:rPr>
              <w:t>2600</w:t>
            </w:r>
            <w:r>
              <w:rPr>
                <w:sz w:val="21"/>
              </w:rPr>
              <w:t>份，用于开、闭幕式及赛事氛围营造、现场宣传发放及纪念留存，夯实赛事宣传成效。</w:t>
            </w:r>
          </w:p>
          <w:p>
            <w:pPr>
              <w:pStyle w:val="null3"/>
              <w:ind w:firstLine="420"/>
              <w:jc w:val="both"/>
            </w:pPr>
            <w:r>
              <w:rPr>
                <w:sz w:val="21"/>
              </w:rPr>
              <w:t>（</w:t>
            </w:r>
            <w:r>
              <w:rPr>
                <w:sz w:val="21"/>
              </w:rPr>
              <w:t>4</w:t>
            </w:r>
            <w:r>
              <w:rPr>
                <w:sz w:val="21"/>
              </w:rPr>
              <w:t>）公益标语：设计福彩专属宣传标语不少于</w:t>
            </w:r>
            <w:r>
              <w:rPr>
                <w:sz w:val="21"/>
              </w:rPr>
              <w:t>5</w:t>
            </w:r>
            <w:r>
              <w:rPr>
                <w:sz w:val="21"/>
              </w:rPr>
              <w:t>条，经采购方确认</w:t>
            </w:r>
            <w:r>
              <w:rPr>
                <w:sz w:val="21"/>
              </w:rPr>
              <w:t>后</w:t>
            </w:r>
            <w:r>
              <w:rPr>
                <w:sz w:val="21"/>
              </w:rPr>
              <w:t>使用；</w:t>
            </w:r>
          </w:p>
          <w:p>
            <w:pPr>
              <w:pStyle w:val="null3"/>
              <w:ind w:firstLine="420"/>
              <w:jc w:val="both"/>
            </w:pPr>
            <w:r>
              <w:rPr>
                <w:sz w:val="21"/>
              </w:rPr>
              <w:t>（</w:t>
            </w:r>
            <w:r>
              <w:rPr>
                <w:sz w:val="21"/>
              </w:rPr>
              <w:t>5</w:t>
            </w:r>
            <w:r>
              <w:rPr>
                <w:sz w:val="21"/>
              </w:rPr>
              <w:t>）全域福彩覆盖：全部线下物料、线上文稿、新闻报道统一植入福彩</w:t>
            </w:r>
            <w:r>
              <w:rPr>
                <w:sz w:val="21"/>
              </w:rPr>
              <w:t>LOGO</w:t>
            </w:r>
            <w:r>
              <w:rPr>
                <w:sz w:val="21"/>
              </w:rPr>
              <w:t>与公益宣传内容，实现图文、视频、线下展陈全覆盖。</w:t>
            </w:r>
          </w:p>
          <w:p>
            <w:pPr>
              <w:pStyle w:val="null3"/>
              <w:ind w:firstLine="420"/>
              <w:jc w:val="both"/>
            </w:pPr>
            <w:r>
              <w:rPr>
                <w:sz w:val="21"/>
              </w:rPr>
              <w:t>2.</w:t>
            </w:r>
            <w:r>
              <w:rPr>
                <w:sz w:val="21"/>
              </w:rPr>
              <w:t>全媒体宣传运营</w:t>
            </w:r>
          </w:p>
          <w:p>
            <w:pPr>
              <w:pStyle w:val="null3"/>
              <w:ind w:firstLine="420"/>
              <w:jc w:val="both"/>
            </w:pPr>
            <w:r>
              <w:rPr>
                <w:sz w:val="21"/>
              </w:rPr>
              <w:t>（</w:t>
            </w:r>
            <w:r>
              <w:rPr>
                <w:sz w:val="21"/>
              </w:rPr>
              <w:t>1</w:t>
            </w:r>
            <w:r>
              <w:rPr>
                <w:sz w:val="21"/>
              </w:rPr>
              <w:t>）赛事专属线上宣传页面：搭建一体化展示平台，覆盖赛事介绍、赛程、成绩查询、精彩影像；赛事期间更新内容</w:t>
            </w:r>
            <w:r>
              <w:rPr>
                <w:sz w:val="21"/>
              </w:rPr>
              <w:t>≥80</w:t>
            </w:r>
            <w:r>
              <w:rPr>
                <w:sz w:val="21"/>
              </w:rPr>
              <w:t>条，各项目赛后</w:t>
            </w:r>
            <w:r>
              <w:rPr>
                <w:sz w:val="21"/>
              </w:rPr>
              <w:t>3</w:t>
            </w:r>
            <w:r>
              <w:rPr>
                <w:sz w:val="21"/>
              </w:rPr>
              <w:t>小时内更新获奖名单；</w:t>
            </w:r>
          </w:p>
          <w:p>
            <w:pPr>
              <w:pStyle w:val="null3"/>
              <w:ind w:firstLine="420"/>
              <w:jc w:val="both"/>
            </w:pPr>
            <w:r>
              <w:rPr>
                <w:sz w:val="21"/>
              </w:rPr>
              <w:t>（</w:t>
            </w:r>
            <w:r>
              <w:rPr>
                <w:sz w:val="21"/>
              </w:rPr>
              <w:t>2</w:t>
            </w:r>
            <w:r>
              <w:rPr>
                <w:sz w:val="21"/>
              </w:rPr>
              <w:t>）新媒体矩阵运营：微信、抖音、视频号开设专属话题</w:t>
            </w:r>
            <w:r>
              <w:rPr>
                <w:sz w:val="21"/>
              </w:rPr>
              <w:t>≥3</w:t>
            </w:r>
            <w:r>
              <w:rPr>
                <w:sz w:val="21"/>
              </w:rPr>
              <w:t>个，周期发布图文、短视频、直播内容</w:t>
            </w:r>
            <w:r>
              <w:rPr>
                <w:sz w:val="21"/>
              </w:rPr>
              <w:t>≥150</w:t>
            </w:r>
            <w:r>
              <w:rPr>
                <w:sz w:val="21"/>
              </w:rPr>
              <w:t>条；项目短视频</w:t>
            </w:r>
            <w:r>
              <w:rPr>
                <w:sz w:val="21"/>
              </w:rPr>
              <w:t>≥</w:t>
            </w:r>
            <w:r>
              <w:rPr>
                <w:sz w:val="21"/>
              </w:rPr>
              <w:t>51</w:t>
            </w:r>
            <w:r>
              <w:rPr>
                <w:sz w:val="21"/>
              </w:rPr>
              <w:t>条（每项目</w:t>
            </w:r>
            <w:r>
              <w:rPr>
                <w:sz w:val="21"/>
              </w:rPr>
              <w:t>≥3</w:t>
            </w:r>
            <w:r>
              <w:rPr>
                <w:sz w:val="21"/>
              </w:rPr>
              <w:t>条）；宣传优秀选手</w:t>
            </w:r>
            <w:r>
              <w:rPr>
                <w:sz w:val="21"/>
              </w:rPr>
              <w:t>≥36</w:t>
            </w:r>
            <w:r>
              <w:rPr>
                <w:sz w:val="21"/>
              </w:rPr>
              <w:t>名；开展乒乓球、围棋、象棋决赛视频直播</w:t>
            </w:r>
            <w:r>
              <w:rPr>
                <w:sz w:val="21"/>
              </w:rPr>
              <w:t>≥3</w:t>
            </w:r>
            <w:r>
              <w:rPr>
                <w:sz w:val="21"/>
              </w:rPr>
              <w:t>场；线上互动回复率</w:t>
            </w:r>
            <w:r>
              <w:rPr>
                <w:sz w:val="21"/>
              </w:rPr>
              <w:t>≥90%</w:t>
            </w:r>
            <w:r>
              <w:rPr>
                <w:sz w:val="21"/>
              </w:rPr>
              <w:t>；</w:t>
            </w:r>
          </w:p>
          <w:p>
            <w:pPr>
              <w:pStyle w:val="null3"/>
              <w:ind w:firstLine="420"/>
              <w:jc w:val="both"/>
            </w:pPr>
            <w:r>
              <w:rPr>
                <w:sz w:val="21"/>
              </w:rPr>
              <w:t>（</w:t>
            </w:r>
            <w:r>
              <w:rPr>
                <w:sz w:val="21"/>
              </w:rPr>
              <w:t>3</w:t>
            </w:r>
            <w:r>
              <w:rPr>
                <w:sz w:val="21"/>
              </w:rPr>
              <w:t>）专业宣传团队：配置不少于</w:t>
            </w:r>
            <w:r>
              <w:rPr>
                <w:sz w:val="21"/>
              </w:rPr>
              <w:t>4</w:t>
            </w:r>
            <w:r>
              <w:rPr>
                <w:sz w:val="21"/>
              </w:rPr>
              <w:t>名专职宣传人员，持有相关资质、</w:t>
            </w:r>
            <w:r>
              <w:rPr>
                <w:sz w:val="21"/>
              </w:rPr>
              <w:t>3</w:t>
            </w:r>
            <w:r>
              <w:rPr>
                <w:sz w:val="21"/>
              </w:rPr>
              <w:t>年以上大型文体赛事宣传经验，全程驻场；配备</w:t>
            </w:r>
            <w:r>
              <w:rPr>
                <w:sz w:val="21"/>
              </w:rPr>
              <w:t>2</w:t>
            </w:r>
            <w:r>
              <w:rPr>
                <w:sz w:val="21"/>
              </w:rPr>
              <w:t>台以上</w:t>
            </w:r>
            <w:r>
              <w:rPr>
                <w:sz w:val="21"/>
              </w:rPr>
              <w:t>4K</w:t>
            </w:r>
            <w:r>
              <w:rPr>
                <w:sz w:val="21"/>
              </w:rPr>
              <w:t>摄像设备、专业后期工作站，存储容量</w:t>
            </w:r>
            <w:r>
              <w:rPr>
                <w:sz w:val="21"/>
              </w:rPr>
              <w:t>≥2TB</w:t>
            </w:r>
            <w:r>
              <w:rPr>
                <w:sz w:val="21"/>
              </w:rPr>
              <w:t>；建成赛事素材库</w:t>
            </w:r>
            <w:r>
              <w:rPr>
                <w:sz w:val="21"/>
              </w:rPr>
              <w:t>容量</w:t>
            </w:r>
            <w:r>
              <w:rPr>
                <w:sz w:val="21"/>
              </w:rPr>
              <w:t>≥100G</w:t>
            </w:r>
            <w:r>
              <w:rPr>
                <w:sz w:val="21"/>
              </w:rPr>
              <w:t>，参评宣传类奖项须提前取得采购方书面许可；</w:t>
            </w:r>
          </w:p>
          <w:p>
            <w:pPr>
              <w:pStyle w:val="null3"/>
              <w:ind w:firstLine="420"/>
              <w:jc w:val="both"/>
            </w:pPr>
            <w:r>
              <w:rPr>
                <w:sz w:val="21"/>
              </w:rPr>
              <w:t>（</w:t>
            </w:r>
            <w:r>
              <w:rPr>
                <w:sz w:val="21"/>
              </w:rPr>
              <w:t>4</w:t>
            </w:r>
            <w:r>
              <w:rPr>
                <w:sz w:val="21"/>
              </w:rPr>
              <w:t>）主流媒体对接：对接省级媒体</w:t>
            </w:r>
            <w:r>
              <w:rPr>
                <w:sz w:val="21"/>
              </w:rPr>
              <w:t>≥3</w:t>
            </w:r>
            <w:r>
              <w:rPr>
                <w:sz w:val="21"/>
              </w:rPr>
              <w:t>家、市级媒体</w:t>
            </w:r>
            <w:r>
              <w:rPr>
                <w:sz w:val="21"/>
              </w:rPr>
              <w:t>≥3</w:t>
            </w:r>
            <w:r>
              <w:rPr>
                <w:sz w:val="21"/>
              </w:rPr>
              <w:t>家；赛事周期发稿</w:t>
            </w:r>
            <w:r>
              <w:rPr>
                <w:sz w:val="21"/>
              </w:rPr>
              <w:t>≥25</w:t>
            </w:r>
            <w:r>
              <w:rPr>
                <w:sz w:val="21"/>
              </w:rPr>
              <w:t>篇（省级</w:t>
            </w:r>
            <w:r>
              <w:rPr>
                <w:sz w:val="21"/>
              </w:rPr>
              <w:t>≥8</w:t>
            </w:r>
            <w:r>
              <w:rPr>
                <w:sz w:val="21"/>
              </w:rPr>
              <w:t>篇、市级</w:t>
            </w:r>
            <w:r>
              <w:rPr>
                <w:sz w:val="21"/>
              </w:rPr>
              <w:t>≥17</w:t>
            </w:r>
            <w:r>
              <w:rPr>
                <w:sz w:val="21"/>
              </w:rPr>
              <w:t>篇）；每项目专题报道</w:t>
            </w:r>
            <w:r>
              <w:rPr>
                <w:sz w:val="21"/>
              </w:rPr>
              <w:t>≥1</w:t>
            </w:r>
            <w:r>
              <w:rPr>
                <w:sz w:val="21"/>
              </w:rPr>
              <w:t>篇，合计</w:t>
            </w:r>
            <w:r>
              <w:rPr>
                <w:sz w:val="21"/>
              </w:rPr>
              <w:t>≥</w:t>
            </w:r>
            <w:r>
              <w:rPr>
                <w:sz w:val="21"/>
              </w:rPr>
              <w:t>17</w:t>
            </w:r>
            <w:r>
              <w:rPr>
                <w:sz w:val="21"/>
              </w:rPr>
              <w:t>篇；深度专访</w:t>
            </w:r>
            <w:r>
              <w:rPr>
                <w:sz w:val="21"/>
              </w:rPr>
              <w:t>≥6</w:t>
            </w:r>
            <w:r>
              <w:rPr>
                <w:sz w:val="21"/>
              </w:rPr>
              <w:t>期；媒体专题专栏</w:t>
            </w:r>
            <w:r>
              <w:rPr>
                <w:sz w:val="21"/>
              </w:rPr>
              <w:t>≥3</w:t>
            </w:r>
            <w:r>
              <w:rPr>
                <w:sz w:val="21"/>
              </w:rPr>
              <w:t>个；</w:t>
            </w:r>
            <w:r>
              <w:rPr>
                <w:sz w:val="21"/>
              </w:rPr>
              <w:t>17</w:t>
            </w:r>
            <w:r>
              <w:rPr>
                <w:sz w:val="21"/>
              </w:rPr>
              <w:t>个项目各开展图文直播</w:t>
            </w:r>
            <w:r>
              <w:rPr>
                <w:sz w:val="21"/>
              </w:rPr>
              <w:t>≥1</w:t>
            </w:r>
            <w:r>
              <w:rPr>
                <w:sz w:val="21"/>
              </w:rPr>
              <w:t>场，合计</w:t>
            </w:r>
            <w:r>
              <w:rPr>
                <w:sz w:val="21"/>
              </w:rPr>
              <w:t>≥</w:t>
            </w:r>
            <w:r>
              <w:rPr>
                <w:sz w:val="21"/>
              </w:rPr>
              <w:t>17</w:t>
            </w:r>
            <w:r>
              <w:rPr>
                <w:sz w:val="21"/>
              </w:rPr>
              <w:t>场；</w:t>
            </w:r>
          </w:p>
          <w:p>
            <w:pPr>
              <w:pStyle w:val="null3"/>
              <w:ind w:firstLine="420"/>
              <w:jc w:val="both"/>
            </w:pPr>
            <w:r>
              <w:rPr>
                <w:sz w:val="21"/>
              </w:rPr>
              <w:t>（</w:t>
            </w:r>
            <w:r>
              <w:rPr>
                <w:sz w:val="21"/>
              </w:rPr>
              <w:t>5</w:t>
            </w:r>
            <w:r>
              <w:rPr>
                <w:sz w:val="21"/>
              </w:rPr>
              <w:t>）政务平台发布：对接市级政务新媒体平台</w:t>
            </w:r>
            <w:r>
              <w:rPr>
                <w:sz w:val="21"/>
              </w:rPr>
              <w:t>≥3</w:t>
            </w:r>
            <w:r>
              <w:rPr>
                <w:sz w:val="21"/>
              </w:rPr>
              <w:t>个，周期发布赛事公告、获奖名单等内容</w:t>
            </w:r>
            <w:r>
              <w:rPr>
                <w:sz w:val="21"/>
              </w:rPr>
              <w:t>≥15</w:t>
            </w:r>
            <w:r>
              <w:rPr>
                <w:sz w:val="21"/>
              </w:rPr>
              <w:t>条；所有政务平台刊发稿件须提前报送市民政局审核无误后方可发布。</w:t>
            </w:r>
          </w:p>
          <w:p>
            <w:pPr>
              <w:pStyle w:val="null3"/>
              <w:ind w:firstLine="420"/>
              <w:jc w:val="both"/>
            </w:pPr>
            <w:r>
              <w:rPr>
                <w:sz w:val="21"/>
              </w:rPr>
              <w:t>★</w:t>
            </w:r>
            <w:r>
              <w:rPr>
                <w:sz w:val="21"/>
              </w:rPr>
              <w:t>（</w:t>
            </w:r>
            <w:r>
              <w:rPr>
                <w:sz w:val="21"/>
              </w:rPr>
              <w:t>6</w:t>
            </w:r>
            <w:r>
              <w:rPr>
                <w:sz w:val="21"/>
              </w:rPr>
              <w:t>）</w:t>
            </w:r>
            <w:r>
              <w:rPr>
                <w:sz w:val="21"/>
              </w:rPr>
              <w:t>线上直播的网络平台须持有国家广播电视台总局颁发的《信息网络传播视听节目许可证》。投标人须提供许可证复印件及平台名称，并承诺直播流信号稳定，支持百万级观看。（须提供相关复印件及承诺书）。</w:t>
            </w:r>
          </w:p>
          <w:p>
            <w:pPr>
              <w:pStyle w:val="null3"/>
              <w:ind w:firstLine="420"/>
              <w:jc w:val="both"/>
            </w:pPr>
            <w:r>
              <w:rPr>
                <w:sz w:val="21"/>
              </w:rPr>
              <w:t>★</w:t>
            </w:r>
            <w:r>
              <w:rPr>
                <w:sz w:val="21"/>
              </w:rPr>
              <w:t>（</w:t>
            </w:r>
            <w:r>
              <w:rPr>
                <w:sz w:val="21"/>
              </w:rPr>
              <w:t>7</w:t>
            </w:r>
            <w:r>
              <w:rPr>
                <w:sz w:val="21"/>
              </w:rPr>
              <w:t>）直播结束后，投标人须将全程视频精剪为</w:t>
            </w:r>
            <w:r>
              <w:rPr>
                <w:sz w:val="21"/>
              </w:rPr>
              <w:t>3</w:t>
            </w:r>
            <w:r>
              <w:rPr>
                <w:sz w:val="21"/>
              </w:rPr>
              <w:t>分钟内精华版，并在市级（含）以上官方媒体平台（非商业平台）进行不少于</w:t>
            </w:r>
            <w:r>
              <w:rPr>
                <w:sz w:val="21"/>
              </w:rPr>
              <w:t>3</w:t>
            </w:r>
            <w:r>
              <w:rPr>
                <w:sz w:val="21"/>
              </w:rPr>
              <w:t>次重播或重点推送。（须提供重播时段及频次承诺书。）</w:t>
            </w:r>
          </w:p>
          <w:p>
            <w:pPr>
              <w:pStyle w:val="null3"/>
              <w:ind w:firstLine="420"/>
              <w:jc w:val="both"/>
            </w:pPr>
            <w:r>
              <w:rPr>
                <w:sz w:val="21"/>
              </w:rPr>
              <w:t>★</w:t>
            </w:r>
            <w:r>
              <w:rPr>
                <w:sz w:val="21"/>
              </w:rPr>
              <w:t>（</w:t>
            </w:r>
            <w:r>
              <w:rPr>
                <w:sz w:val="21"/>
              </w:rPr>
              <w:t>8</w:t>
            </w:r>
            <w:r>
              <w:rPr>
                <w:sz w:val="21"/>
              </w:rPr>
              <w:t>）中标人在中标后需在东莞市有常驻服务团队及自有媒体平台，确保应急响应及全方位宣传落地。（须提供单独承诺函）。</w:t>
            </w:r>
          </w:p>
          <w:p>
            <w:pPr>
              <w:pStyle w:val="null3"/>
              <w:ind w:firstLine="420"/>
              <w:jc w:val="both"/>
            </w:pPr>
            <w:r>
              <w:rPr>
                <w:sz w:val="21"/>
              </w:rPr>
              <w:t>3.</w:t>
            </w:r>
            <w:r>
              <w:rPr>
                <w:sz w:val="21"/>
              </w:rPr>
              <w:t>宣传资料归档</w:t>
            </w:r>
          </w:p>
          <w:p>
            <w:pPr>
              <w:pStyle w:val="null3"/>
              <w:ind w:firstLine="420"/>
              <w:jc w:val="both"/>
            </w:pPr>
            <w:r>
              <w:rPr>
                <w:sz w:val="21"/>
              </w:rPr>
              <w:t>分类汇编全部媒体报道成册；所有宣传图文、影像素材分项目归档，总归档宣传素材</w:t>
            </w:r>
            <w:r>
              <w:rPr>
                <w:sz w:val="21"/>
              </w:rPr>
              <w:t>容量</w:t>
            </w:r>
            <w:r>
              <w:rPr>
                <w:sz w:val="21"/>
              </w:rPr>
              <w:t>≥150G</w:t>
            </w:r>
            <w:r>
              <w:rPr>
                <w:sz w:val="21"/>
              </w:rPr>
              <w:t>（宣传片原始素材计入总量），分类清晰、便于检索，赛后移交采购方存档并出具归档清单。</w:t>
            </w:r>
          </w:p>
          <w:p>
            <w:pPr>
              <w:pStyle w:val="null3"/>
              <w:ind w:firstLine="422"/>
              <w:jc w:val="both"/>
            </w:pPr>
            <w:r>
              <w:rPr>
                <w:sz w:val="21"/>
                <w:b/>
              </w:rPr>
              <w:t>（</w:t>
            </w:r>
            <w:r>
              <w:rPr>
                <w:sz w:val="21"/>
                <w:b/>
              </w:rPr>
              <w:t>七</w:t>
            </w:r>
            <w:r>
              <w:rPr>
                <w:sz w:val="21"/>
                <w:b/>
              </w:rPr>
              <w:t>）物资制作、后勤保障</w:t>
            </w:r>
          </w:p>
          <w:p>
            <w:pPr>
              <w:pStyle w:val="null3"/>
              <w:ind w:firstLine="420"/>
              <w:jc w:val="both"/>
            </w:pPr>
            <w:r>
              <w:rPr>
                <w:sz w:val="21"/>
              </w:rPr>
              <w:t>1.</w:t>
            </w:r>
            <w:r>
              <w:rPr>
                <w:sz w:val="21"/>
              </w:rPr>
              <w:t>荣誉奖杯、奖牌、证件制作</w:t>
            </w:r>
          </w:p>
          <w:p>
            <w:pPr>
              <w:pStyle w:val="null3"/>
              <w:ind w:firstLine="420"/>
              <w:jc w:val="both"/>
            </w:pPr>
            <w:r>
              <w:rPr>
                <w:sz w:val="21"/>
              </w:rPr>
              <w:t>（</w:t>
            </w:r>
            <w:r>
              <w:rPr>
                <w:sz w:val="21"/>
              </w:rPr>
              <w:t>1</w:t>
            </w:r>
            <w:r>
              <w:rPr>
                <w:sz w:val="21"/>
              </w:rPr>
              <w:t>）奖杯奖牌：单项赛事前八名奖杯采用金属水晶复合材质，高度</w:t>
            </w:r>
            <w:r>
              <w:rPr>
                <w:sz w:val="21"/>
              </w:rPr>
              <w:t>≥35cm</w:t>
            </w:r>
            <w:r>
              <w:rPr>
                <w:sz w:val="21"/>
              </w:rPr>
              <w:t>，符合市级赛事工艺标准；制作赛事奖牌</w:t>
            </w:r>
            <w:r>
              <w:rPr>
                <w:sz w:val="21"/>
              </w:rPr>
              <w:t>500</w:t>
            </w:r>
            <w:r>
              <w:rPr>
                <w:sz w:val="21"/>
              </w:rPr>
              <w:t>块、金属纪念小圆牌</w:t>
            </w:r>
            <w:r>
              <w:rPr>
                <w:sz w:val="21"/>
              </w:rPr>
              <w:t>1898</w:t>
            </w:r>
            <w:r>
              <w:rPr>
                <w:sz w:val="21"/>
              </w:rPr>
              <w:t>个，样式统一；同步制作团体总分前八名奖牌、优秀赛区组织奖牌，配套完成全市表彰通报展示物料，配合市民政局落实表彰物资保障；</w:t>
            </w:r>
          </w:p>
          <w:p>
            <w:pPr>
              <w:pStyle w:val="null3"/>
              <w:ind w:firstLine="420"/>
              <w:jc w:val="both"/>
            </w:pPr>
            <w:r>
              <w:rPr>
                <w:sz w:val="21"/>
              </w:rPr>
              <w:t>（</w:t>
            </w:r>
            <w:r>
              <w:rPr>
                <w:sz w:val="21"/>
              </w:rPr>
              <w:t>2</w:t>
            </w:r>
            <w:r>
              <w:rPr>
                <w:sz w:val="21"/>
              </w:rPr>
              <w:t>）证件：参赛证</w:t>
            </w:r>
            <w:r>
              <w:rPr>
                <w:sz w:val="21"/>
              </w:rPr>
              <w:t>1200</w:t>
            </w:r>
            <w:r>
              <w:rPr>
                <w:sz w:val="21"/>
              </w:rPr>
              <w:t>张、工作人员证</w:t>
            </w:r>
            <w:r>
              <w:rPr>
                <w:sz w:val="21"/>
              </w:rPr>
              <w:t>300</w:t>
            </w:r>
            <w:r>
              <w:rPr>
                <w:sz w:val="21"/>
              </w:rPr>
              <w:t>张，配套卡套挂绳，设计样式经采购方确认后制作。</w:t>
            </w:r>
          </w:p>
          <w:p>
            <w:pPr>
              <w:pStyle w:val="null3"/>
              <w:ind w:firstLine="420"/>
              <w:jc w:val="both"/>
            </w:pPr>
            <w:r>
              <w:rPr>
                <w:sz w:val="21"/>
              </w:rPr>
              <w:t>2.</w:t>
            </w:r>
            <w:r>
              <w:rPr>
                <w:sz w:val="21"/>
              </w:rPr>
              <w:t>赛事印刷物料</w:t>
            </w:r>
          </w:p>
          <w:p>
            <w:pPr>
              <w:pStyle w:val="null3"/>
              <w:ind w:firstLine="420"/>
              <w:jc w:val="both"/>
            </w:pPr>
            <w:r>
              <w:rPr>
                <w:sz w:val="21"/>
              </w:rPr>
              <w:t>运动会总规程</w:t>
            </w:r>
            <w:r>
              <w:rPr>
                <w:sz w:val="21"/>
              </w:rPr>
              <w:t>1000</w:t>
            </w:r>
            <w:r>
              <w:rPr>
                <w:sz w:val="21"/>
              </w:rPr>
              <w:t>本、</w:t>
            </w:r>
            <w:r>
              <w:rPr>
                <w:sz w:val="21"/>
              </w:rPr>
              <w:t>17</w:t>
            </w:r>
            <w:r>
              <w:rPr>
                <w:sz w:val="21"/>
              </w:rPr>
              <w:t>个单项秩序册各</w:t>
            </w:r>
            <w:r>
              <w:rPr>
                <w:sz w:val="21"/>
              </w:rPr>
              <w:t>200</w:t>
            </w:r>
            <w:r>
              <w:rPr>
                <w:sz w:val="21"/>
              </w:rPr>
              <w:t>本、现场成绩公示</w:t>
            </w:r>
            <w:r>
              <w:rPr>
                <w:sz w:val="21"/>
              </w:rPr>
              <w:t>KT</w:t>
            </w:r>
            <w:r>
              <w:rPr>
                <w:sz w:val="21"/>
              </w:rPr>
              <w:t>板</w:t>
            </w:r>
            <w:r>
              <w:rPr>
                <w:sz w:val="21"/>
              </w:rPr>
              <w:t>17</w:t>
            </w:r>
            <w:r>
              <w:rPr>
                <w:sz w:val="21"/>
              </w:rPr>
              <w:t>块；统一规格、装帧标准，清晰耐用。</w:t>
            </w:r>
          </w:p>
          <w:p>
            <w:pPr>
              <w:pStyle w:val="null3"/>
              <w:ind w:firstLine="420"/>
              <w:jc w:val="both"/>
            </w:pPr>
            <w:r>
              <w:rPr>
                <w:sz w:val="21"/>
              </w:rPr>
              <w:t>3.</w:t>
            </w:r>
            <w:r>
              <w:rPr>
                <w:sz w:val="21"/>
              </w:rPr>
              <w:t>赛事画册与节目单</w:t>
            </w:r>
          </w:p>
          <w:p>
            <w:pPr>
              <w:pStyle w:val="null3"/>
              <w:ind w:firstLine="420"/>
              <w:jc w:val="both"/>
            </w:pPr>
            <w:r>
              <w:rPr>
                <w:sz w:val="21"/>
              </w:rPr>
              <w:t>赛事全彩画册</w:t>
            </w:r>
            <w:r>
              <w:rPr>
                <w:sz w:val="21"/>
              </w:rPr>
              <w:t>500</w:t>
            </w:r>
            <w:r>
              <w:rPr>
                <w:sz w:val="21"/>
              </w:rPr>
              <w:t>册；开闭幕式节目单各</w:t>
            </w:r>
            <w:r>
              <w:rPr>
                <w:sz w:val="21"/>
              </w:rPr>
              <w:t>400</w:t>
            </w:r>
            <w:r>
              <w:rPr>
                <w:sz w:val="21"/>
              </w:rPr>
              <w:t>份，载明活动流程、安全须知。</w:t>
            </w:r>
          </w:p>
          <w:p>
            <w:pPr>
              <w:pStyle w:val="null3"/>
              <w:ind w:firstLine="420"/>
              <w:jc w:val="both"/>
            </w:pPr>
            <w:r>
              <w:rPr>
                <w:sz w:val="21"/>
              </w:rPr>
              <w:t>4.</w:t>
            </w:r>
            <w:r>
              <w:rPr>
                <w:sz w:val="21"/>
              </w:rPr>
              <w:t>餐饮饮水保障</w:t>
            </w:r>
          </w:p>
          <w:p>
            <w:pPr>
              <w:pStyle w:val="null3"/>
              <w:ind w:firstLine="420"/>
              <w:jc w:val="both"/>
            </w:pPr>
            <w:r>
              <w:rPr>
                <w:sz w:val="21"/>
              </w:rPr>
              <w:t>为裁判、选手、工作人员、志愿者提供工作餐，餐标</w:t>
            </w:r>
            <w:r>
              <w:rPr>
                <w:sz w:val="21"/>
              </w:rPr>
              <w:t>≤40</w:t>
            </w:r>
            <w:r>
              <w:rPr>
                <w:sz w:val="21"/>
              </w:rPr>
              <w:t>元</w:t>
            </w:r>
            <w:r>
              <w:rPr>
                <w:sz w:val="21"/>
              </w:rPr>
              <w:t>/</w:t>
            </w:r>
            <w:r>
              <w:rPr>
                <w:sz w:val="21"/>
              </w:rPr>
              <w:t>人</w:t>
            </w:r>
            <w:r>
              <w:rPr>
                <w:sz w:val="21"/>
              </w:rPr>
              <w:t>/</w:t>
            </w:r>
            <w:r>
              <w:rPr>
                <w:sz w:val="21"/>
              </w:rPr>
              <w:t>餐，菜品适配老年低盐、软烂饮食需求，兼顾特殊饮食需求；各赛场全天候足量供应符合国</w:t>
            </w:r>
            <w:r>
              <w:rPr>
                <w:sz w:val="21"/>
              </w:rPr>
              <w:t>家</w:t>
            </w:r>
            <w:r>
              <w:rPr>
                <w:sz w:val="21"/>
              </w:rPr>
              <w:t>标</w:t>
            </w:r>
            <w:r>
              <w:rPr>
                <w:sz w:val="21"/>
              </w:rPr>
              <w:t>准的</w:t>
            </w:r>
            <w:r>
              <w:rPr>
                <w:sz w:val="21"/>
              </w:rPr>
              <w:t>饮用水。</w:t>
            </w:r>
          </w:p>
          <w:p>
            <w:pPr>
              <w:pStyle w:val="null3"/>
              <w:ind w:firstLine="422"/>
              <w:jc w:val="both"/>
            </w:pPr>
            <w:r>
              <w:rPr>
                <w:sz w:val="21"/>
                <w:b/>
              </w:rPr>
              <w:t>（</w:t>
            </w:r>
            <w:r>
              <w:rPr>
                <w:sz w:val="21"/>
                <w:b/>
              </w:rPr>
              <w:t>八</w:t>
            </w:r>
            <w:r>
              <w:rPr>
                <w:sz w:val="21"/>
                <w:b/>
              </w:rPr>
              <w:t>）赛后总结与全套资料归档</w:t>
            </w:r>
          </w:p>
          <w:p>
            <w:pPr>
              <w:pStyle w:val="null3"/>
            </w:pPr>
            <w:r>
              <w:rPr>
                <w:sz w:val="21"/>
              </w:rPr>
              <w:t>赛事全部结束后</w:t>
            </w:r>
            <w:r>
              <w:rPr>
                <w:sz w:val="21"/>
              </w:rPr>
              <w:t>15</w:t>
            </w:r>
            <w:r>
              <w:rPr>
                <w:sz w:val="21"/>
              </w:rPr>
              <w:t>个工作日内，完成全套资料归集整理，包含所有方案、审批文件、宣传素材、媒体汇编、赛事成绩、影像资料、安全台账、各类合同；撰写完整赛事总结报告，按采购方要求完成资料清点、移交、归档，出具归档验收清单。</w:t>
            </w:r>
          </w:p>
        </w:tc>
      </w:tr>
      <w:tr>
        <w:tc>
          <w:tcPr>
            <w:tcW w:type="dxa" w:w="2076"/>
          </w:tcPr>
          <w:p/>
        </w:tc>
        <w:tc>
          <w:tcPr>
            <w:tcW w:type="dxa" w:w="415"/>
          </w:tcPr>
          <w:p>
            <w:pPr>
              <w:pStyle w:val="null3"/>
            </w:pPr>
            <w:r>
              <w:rPr/>
              <w:t>6</w:t>
            </w:r>
          </w:p>
        </w:tc>
        <w:tc>
          <w:tcPr>
            <w:tcW w:type="dxa" w:w="5814"/>
          </w:tcPr>
          <w:p>
            <w:pPr>
              <w:pStyle w:val="null3"/>
              <w:jc w:val="both"/>
            </w:pPr>
            <w:r>
              <w:rPr>
                <w:sz w:val="22"/>
                <w:b/>
              </w:rPr>
              <w:t>六</w:t>
            </w:r>
            <w:r>
              <w:rPr>
                <w:sz w:val="22"/>
                <w:b/>
              </w:rPr>
              <w:t>、项目人员配置硬性标准</w:t>
            </w:r>
          </w:p>
          <w:p>
            <w:pPr>
              <w:pStyle w:val="null3"/>
              <w:ind w:firstLine="420"/>
              <w:jc w:val="both"/>
            </w:pPr>
            <w:r>
              <w:rPr>
                <w:sz w:val="21"/>
              </w:rPr>
              <w:t>★</w:t>
            </w:r>
            <w:r>
              <w:rPr>
                <w:sz w:val="21"/>
              </w:rPr>
              <w:t>（一）</w:t>
            </w:r>
            <w:r>
              <w:rPr>
                <w:sz w:val="21"/>
              </w:rPr>
              <w:t>总执行团队人员不少于</w:t>
            </w:r>
            <w:r>
              <w:rPr>
                <w:sz w:val="21"/>
              </w:rPr>
              <w:t>25</w:t>
            </w:r>
            <w:r>
              <w:rPr>
                <w:sz w:val="21"/>
              </w:rPr>
              <w:t>人，分设赛事统筹、场地执行、安全保障、宣传推广、物资后勤、颁奖服务专项小组；</w:t>
            </w:r>
          </w:p>
          <w:p>
            <w:pPr>
              <w:pStyle w:val="null3"/>
              <w:ind w:firstLine="420"/>
              <w:jc w:val="both"/>
            </w:pPr>
            <w:r>
              <w:rPr>
                <w:sz w:val="21"/>
              </w:rPr>
              <w:t>★</w:t>
            </w:r>
            <w:r>
              <w:rPr>
                <w:sz w:val="21"/>
              </w:rPr>
              <w:t>（二）</w:t>
            </w:r>
            <w:r>
              <w:rPr>
                <w:sz w:val="21"/>
              </w:rPr>
              <w:t>配置专职项目经理</w:t>
            </w:r>
            <w:r>
              <w:rPr>
                <w:sz w:val="21"/>
              </w:rPr>
              <w:t>1</w:t>
            </w:r>
            <w:r>
              <w:rPr>
                <w:sz w:val="21"/>
              </w:rPr>
              <w:t>名，具备</w:t>
            </w:r>
            <w:r>
              <w:rPr>
                <w:sz w:val="21"/>
              </w:rPr>
              <w:t>3</w:t>
            </w:r>
            <w:r>
              <w:rPr>
                <w:sz w:val="21"/>
              </w:rPr>
              <w:t>年以上综合性体育赛事统筹经验；</w:t>
            </w:r>
          </w:p>
          <w:p>
            <w:pPr>
              <w:pStyle w:val="null3"/>
              <w:ind w:firstLine="420"/>
              <w:jc w:val="both"/>
            </w:pPr>
            <w:r>
              <w:rPr>
                <w:sz w:val="21"/>
              </w:rPr>
              <w:t>（三）</w:t>
            </w:r>
            <w:r>
              <w:rPr>
                <w:sz w:val="21"/>
              </w:rPr>
              <w:t>各工作小组设组长</w:t>
            </w:r>
            <w:r>
              <w:rPr>
                <w:sz w:val="21"/>
              </w:rPr>
              <w:t>1</w:t>
            </w:r>
            <w:r>
              <w:rPr>
                <w:sz w:val="21"/>
              </w:rPr>
              <w:t>名，每组现场执行人员不少于</w:t>
            </w:r>
            <w:r>
              <w:rPr>
                <w:sz w:val="21"/>
              </w:rPr>
              <w:t>3</w:t>
            </w:r>
            <w:r>
              <w:rPr>
                <w:sz w:val="21"/>
              </w:rPr>
              <w:t>人，全员具备大型文体赛事服务经验；</w:t>
            </w:r>
          </w:p>
          <w:p>
            <w:pPr>
              <w:pStyle w:val="null3"/>
            </w:pPr>
            <w:r>
              <w:rPr>
                <w:sz w:val="21"/>
              </w:rPr>
              <w:t>（四）</w:t>
            </w:r>
            <w:r>
              <w:rPr>
                <w:sz w:val="21"/>
              </w:rPr>
              <w:t>项目经理、各组组长、宣传摄像、医疗负责人均认定为核心管理团队，赛事全程驻场；核心人员更换须提前</w:t>
            </w:r>
            <w:r>
              <w:rPr>
                <w:sz w:val="21"/>
              </w:rPr>
              <w:t>3</w:t>
            </w:r>
            <w:r>
              <w:rPr>
                <w:sz w:val="21"/>
              </w:rPr>
              <w:t>个工作日报采购方书面同意，未经许可不得擅自调换。</w:t>
            </w:r>
          </w:p>
        </w:tc>
      </w:tr>
      <w:tr>
        <w:tc>
          <w:tcPr>
            <w:tcW w:type="dxa" w:w="2076"/>
          </w:tcPr>
          <w:p/>
        </w:tc>
        <w:tc>
          <w:tcPr>
            <w:tcW w:type="dxa" w:w="415"/>
          </w:tcPr>
          <w:p>
            <w:pPr>
              <w:pStyle w:val="null3"/>
            </w:pPr>
            <w:r>
              <w:rPr/>
              <w:t>7</w:t>
            </w:r>
          </w:p>
        </w:tc>
        <w:tc>
          <w:tcPr>
            <w:tcW w:type="dxa" w:w="5814"/>
          </w:tcPr>
          <w:p>
            <w:pPr>
              <w:pStyle w:val="null3"/>
            </w:pPr>
            <w:r>
              <w:rPr>
                <w:sz w:val="21"/>
              </w:rPr>
              <w:t>东莞市第十六届</w:t>
            </w:r>
            <w:r>
              <w:rPr>
                <w:sz w:val="21"/>
              </w:rPr>
              <w:t>“福彩杯”老年人运动会项目服务采购需求量化指标表详见招标公告附件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东莞市福利彩票发行中心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徐小姐</w:t>
      </w:r>
    </w:p>
    <w:p>
      <w:pPr>
        <w:pStyle w:val="null3"/>
        <w:ind w:firstLine="480"/>
      </w:pPr>
      <w:r>
        <w:rPr/>
        <w:t>电话：</w:t>
      </w:r>
      <w:r>
        <w:rPr/>
        <w:t>0769-22881803</w:t>
      </w:r>
    </w:p>
    <w:p>
      <w:pPr>
        <w:pStyle w:val="null3"/>
        <w:ind w:firstLine="480"/>
      </w:pPr>
      <w:r>
        <w:rPr/>
        <w:t>传真：</w:t>
      </w:r>
      <w:r>
        <w:rPr/>
        <w:t>/</w:t>
      </w:r>
    </w:p>
    <w:p>
      <w:pPr>
        <w:pStyle w:val="null3"/>
        <w:ind w:firstLine="480"/>
      </w:pPr>
      <w:r>
        <w:rPr/>
        <w:t>邮箱：</w:t>
      </w:r>
      <w:r>
        <w:rPr/>
        <w:t>lzc704846447@163.com</w:t>
      </w:r>
    </w:p>
    <w:p>
      <w:pPr>
        <w:pStyle w:val="null3"/>
        <w:ind w:firstLine="480"/>
      </w:pPr>
      <w:r>
        <w:rPr/>
        <w:t>地址：</w:t>
      </w:r>
      <w:r>
        <w:rPr/>
        <w:t>东莞市南城街道鸿福西路81号国际商会大厦13A层01室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第十六届“福彩杯”老年人运动会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采购包1（东莞市第十六届“福彩杯”老年人运动会服务）：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采购包1（东莞市第十六届“福彩杯”老年人运动会服务）：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本项目整体专门面向中小企业采购。供应商须符合本项目采购标的对应行业（本项目行业为：其他未列明行业）的政策划分标准。监狱企业、残疾人福利单位视同小型、微型企业。（注：中小企业以供应商填写的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采购包1（东莞市第十六届“福彩杯”老年人运动会服务）：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投标函和投标文件内容、签署、盖章</w:t>
            </w:r>
          </w:p>
        </w:tc>
        <w:tc>
          <w:tcPr>
            <w:tcW w:type="dxa" w:w="4238"/>
          </w:tcPr>
          <w:p>
            <w:pPr>
              <w:pStyle w:val="null3"/>
            </w:pPr>
            <w:r>
              <w:rPr/>
              <w:t>投标函和投标文件内容完整，已按规定格式编制，无重大错漏，并已按招标文件要求盖章、签署，投标有效期满足招标文件要求。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已盖章、签署，授权有效期符合招标文件要求。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投标报价未超过招标文件中规定的预算金额（或最高限价）且按照招标文件要求进行报价。</w:t>
            </w:r>
          </w:p>
        </w:tc>
      </w:tr>
      <w:tr>
        <w:tc>
          <w:tcPr>
            <w:tcW w:type="dxa" w:w="890"/>
          </w:tcPr>
          <w:p>
            <w:pPr>
              <w:pStyle w:val="null3"/>
            </w:pPr>
            <w:r>
              <w:rPr/>
              <w:t>4</w:t>
            </w:r>
          </w:p>
        </w:tc>
        <w:tc>
          <w:tcPr>
            <w:tcW w:type="dxa" w:w="3178"/>
          </w:tcPr>
          <w:p>
            <w:pPr>
              <w:pStyle w:val="null3"/>
            </w:pPr>
            <w:r>
              <w:rPr/>
              <w:t>商务审查、技术审查</w:t>
            </w:r>
          </w:p>
        </w:tc>
        <w:tc>
          <w:tcPr>
            <w:tcW w:type="dxa" w:w="4238"/>
          </w:tcPr>
          <w:p>
            <w:pPr>
              <w:pStyle w:val="null3"/>
            </w:pPr>
            <w:r>
              <w:rPr/>
              <w:t>《商务条件响应表》和《技术和服务要求响应表》满足招标文件实质性要求，“★”条款满足招标文件要求。</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采购包1(东莞市第十六届“福彩杯”老年人运动会服务):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(10.0分)</w:t>
            </w:r>
          </w:p>
        </w:tc>
        <w:tc>
          <w:tcPr>
            <w:tcW w:type="dxa" w:w="5076"/>
          </w:tcPr>
          <w:p>
            <w:pPr>
              <w:pStyle w:val="null3"/>
              <w:jc w:val="left"/>
            </w:pPr>
            <w:r>
              <w:rPr/>
              <w:t>根据投标人针对本项目提供的赛事组织、实施方案（包括但不限于安保报批、场地布置、宣传福彩推广、物料配置等内容、活动方案结合东莞本土老年人体育发展历史与文化特色）进行综合评审： 1、赛事组织、实施方案整体详细、全面且可行性强，赛事活动安保报批工作经验丰富，场地布置及物料配置能突出采购需求相关文件精神，宣传福彩推广方案细致实在（有具体的宣传办法和配套的媒体资源安排，能结合福彩公益特点来策划推广），活动方案能充分结合东莞本土老年人体育发展历史与文化特色，体现地域文化内涵，能完全满足且优于采购需求要求的，得10分； 2、赛事组织、实施方案整体全面且可行性较强，熟悉赛事活动安保报批工作，场地布置及物料配置符合采购需求相关文件精神，宣传福彩推广有明确的宣传思路和植入安排，活动方案能体现东莞本土老年人体育发展历史与文化特色，能满足采购需求要求的，得6分； 3、赛事组织、实施方案整体全面且具有一定可行性，赛事活动安保报批工作经验不足，场地布置及物料配置基本符合采购需求相关文件精神，宣传福彩推广有基本框架但内容比较简单，活动方案对东莞本土老年人体育发展历史与文化特色结合不够深入，基本能满足采购需求要求的，得3分； 4、赛事组织、实施方案整体基本完善，无赛事活动安保报批工作经验，场地布置及物料配置未结合采购需求相关文件精神，宣传福彩推广内容缺失或只有标题没有实际内容，活动方案未结合东莞本土老年人体育发展历史与文化特色，难以满足采购需求要求的，得1分； 5、未提供相关方案，得0分。</w:t>
            </w:r>
          </w:p>
        </w:tc>
      </w:tr>
      <w:tr>
        <w:tc>
          <w:tcPr>
            <w:tcW w:type="dxa" w:w="922"/>
            <w:gridSpan w:val="2"/>
            <w:vMerge/>
          </w:tcPr>
          <w:p/>
        </w:tc>
        <w:tc>
          <w:tcPr>
            <w:tcW w:type="dxa" w:w="2307"/>
          </w:tcPr>
          <w:p>
            <w:pPr>
              <w:pStyle w:val="null3"/>
              <w:jc w:val="left"/>
            </w:pPr>
            <w:r>
              <w:rPr/>
              <w:t>比赛项目执行规程方案 (5.0分)</w:t>
            </w:r>
          </w:p>
        </w:tc>
        <w:tc>
          <w:tcPr>
            <w:tcW w:type="dxa" w:w="5076"/>
          </w:tcPr>
          <w:p>
            <w:pPr>
              <w:pStyle w:val="null3"/>
              <w:jc w:val="left"/>
            </w:pPr>
            <w:r>
              <w:rPr/>
              <w:t>根据投标人针对采购需求提供的组织执行规程方案、赛事日程细化落实推广、管控流程等进行综合评审： （1）组织执行规程方案制定详细、操作性强，赛事日程细化落实到位，管控流程清晰明确，各项内容均具备且衔接紧密，方案亮点突出、针对性强，具有很强可行性和保障性的，得5分； （2）组织执行规程方案较完整，赛事日程有明确的时间安排和责任分工，管控流程有框架且职责基本清晰，各项内容无明显缺漏、具有可行性的，得3分； （3）比赛项目规程粗放，缺乏针对不同项目的差异化设计，管控流程模糊、责任不清，无针对性的，得1分。 （5）不提供不得分。</w:t>
            </w:r>
          </w:p>
        </w:tc>
      </w:tr>
      <w:tr>
        <w:tc>
          <w:tcPr>
            <w:tcW w:type="dxa" w:w="922"/>
            <w:gridSpan w:val="2"/>
            <w:vMerge/>
          </w:tcPr>
          <w:p/>
        </w:tc>
        <w:tc>
          <w:tcPr>
            <w:tcW w:type="dxa" w:w="2307"/>
          </w:tcPr>
          <w:p>
            <w:pPr>
              <w:pStyle w:val="null3"/>
              <w:jc w:val="left"/>
            </w:pPr>
            <w:r>
              <w:rPr/>
              <w:t>全域宣传及福彩公益传播方案 (5.0分)</w:t>
            </w:r>
          </w:p>
        </w:tc>
        <w:tc>
          <w:tcPr>
            <w:tcW w:type="dxa" w:w="5076"/>
          </w:tcPr>
          <w:p>
            <w:pPr>
              <w:pStyle w:val="null3"/>
              <w:jc w:val="left"/>
            </w:pPr>
            <w:r>
              <w:rPr/>
              <w:t>根据投标人针对采购需求提供的全域宣传及福彩公益传播方案（含包括但不限于：线下宣传方案，如海报、标语、宣传片等，线上宣传方案，如公众号、自媒体等、深化“市级统筹+镇街特色”办赛机制，落实体育赛事“进商圈、进景区、进街区”要求、）进行综合评审： （1）与省、市媒体及自媒体合作，对赛事进行全方位宣传报道，做好媒体服务工作，线上线下宣传手段丰富具体，能够有效深化“市级统筹+镇街特色”办赛机制，充分落实体育赛事“进商圈、进景区、进街区”要求，福彩公益传播有机融入各项宣传，方案亮点突出、针对性强，具有很强可行性和保障性的，得5分； （2）与省、市媒体及自媒体有合作安排，对赛事宣传报道有较完整的计划，线上线下宣传均有明确载体和基本规划，有“市级统筹+镇街特色”办赛机制的初步思路，体育赛事“进商圈、进景区、进街区”有明确安排，福彩公益传播有植入，各项内容无明显缺漏、具有可行性的，得3分； （3）媒体合作及宣传报道方案粗泛，线上线下宣传手段单一或无具体计划，未体现“市级统筹+镇街特色”办赛机制，体育赛事“进商圈、进景区、进街区”安排缺失或仅有概念性表述，福彩公益传播内容缺失或只有标题无实际内容，方案无针对性、不具备可行性保障的，得1分； （5）不提供方案的不得分。</w:t>
            </w:r>
          </w:p>
        </w:tc>
      </w:tr>
      <w:tr>
        <w:tc>
          <w:tcPr>
            <w:tcW w:type="dxa" w:w="922"/>
            <w:gridSpan w:val="2"/>
            <w:vMerge/>
          </w:tcPr>
          <w:p/>
        </w:tc>
        <w:tc>
          <w:tcPr>
            <w:tcW w:type="dxa" w:w="2307"/>
          </w:tcPr>
          <w:p>
            <w:pPr>
              <w:pStyle w:val="null3"/>
              <w:jc w:val="left"/>
            </w:pPr>
            <w:r>
              <w:rPr/>
              <w:t>场地、银龄集市及后勤保障方案 (5.0分)</w:t>
            </w:r>
          </w:p>
        </w:tc>
        <w:tc>
          <w:tcPr>
            <w:tcW w:type="dxa" w:w="5076"/>
          </w:tcPr>
          <w:p>
            <w:pPr>
              <w:pStyle w:val="null3"/>
              <w:jc w:val="left"/>
            </w:pPr>
            <w:r>
              <w:rPr/>
              <w:t>根据投标人针对采购需求提供的场地布置方案、银龄集市组织方案及后勤保障方案（含老年人专属服务配置、人员配备标准、车辆服务保障、后勤管理流程等内容）进行综合评审： （1）场地布置方案科学合理、功能分区清晰明了、充分契合老年群体需求，银龄集市组织方案完善可行，后勤保障方案全面到位，人员配备标准高于采购需求，老年人专属服务配置齐全，车辆服务保障安排妥当，后勤管理形成完整闭环流程，各项工作均具有很强可行性和保障性的，得5分； （2）场地布置方案基本合理，有一定适老化基础考虑，银龄集市组织方案基本完整可行，后勤保障方案内容较齐全，人员配备达到采购要求的基本标准，老年人专属服务有明确配置安排，车辆服务保障有基本安排，后勤管理有完整流程，各项内容无明显缺漏、具有可行性的，得3分； （3）场地布置方案粗泛、缺乏适老化设施规划，银龄集市组织方案严重缺失，后勤保障方案敷衍，人员配备低于采购文件明确的硬性最低要求，老年人专属服务缺失，车辆服务保障缺乏具体安排，后勤管理流程混乱或存在重大缺漏、无实质性内容、不具备可行性保障的，得1分； （4）不提供不得分。</w:t>
            </w:r>
          </w:p>
        </w:tc>
      </w:tr>
      <w:tr>
        <w:tc>
          <w:tcPr>
            <w:tcW w:type="dxa" w:w="922"/>
            <w:gridSpan w:val="2"/>
            <w:vMerge/>
          </w:tcPr>
          <w:p/>
        </w:tc>
        <w:tc>
          <w:tcPr>
            <w:tcW w:type="dxa" w:w="2307"/>
          </w:tcPr>
          <w:p>
            <w:pPr>
              <w:pStyle w:val="null3"/>
              <w:jc w:val="left"/>
            </w:pPr>
            <w:r>
              <w:rPr/>
              <w:t>应急处理方案 (5.0分)</w:t>
            </w:r>
          </w:p>
        </w:tc>
        <w:tc>
          <w:tcPr>
            <w:tcW w:type="dxa" w:w="5076"/>
          </w:tcPr>
          <w:p>
            <w:pPr>
              <w:pStyle w:val="null3"/>
              <w:jc w:val="left"/>
            </w:pPr>
            <w:r>
              <w:rPr/>
              <w:t>根据投标人针对采购需求所提供的应急处理方案（包括但不限于安全事故、突发事件、恶劣天气、赛事秩序维护、老年群体专项保障，医疗急救响应、人员疏散等）进行综合评审： （1）应急方案全面详实，各类突发事件应对措施具体可行，老年群体专项保障（含老年人突发疾病、意外摔倒、中暑、走失等常见急症的应急救护流程等）扎实到位，医疗急救响应迅速、绿色通道畅通，人员疏散路线清晰、指引明确，各项内容均涵盖且衔接紧密，方案亮点突出、针对性强，具有很强可行性和保障性的，得5分； （2）应急方案内容较完整，安全事故、突发事件、恶劣天气、赛事秩序维护等各类应急措施均有覆盖且较具体，老年群体专项保障有明确安排，医疗急救和人员疏散有基本安排，各项内容无明显缺漏、具有可行性的，得3分； （3）应急方案粗泛笼统，安全事故、突发事件、恶劣天气、赛事秩序维护等核心环节存在重大缺漏，老年群体专项保障以及医疗急救和人员疏散缺失或仅有标题无实质内容，不具备可行性保障的，得1分。 （4）不提供不得分。</w:t>
            </w:r>
          </w:p>
        </w:tc>
      </w:tr>
      <w:tr>
        <w:tc>
          <w:tcPr>
            <w:tcW w:type="dxa" w:w="922"/>
            <w:gridSpan w:val="2"/>
            <w:vMerge/>
          </w:tcPr>
          <w:p/>
        </w:tc>
        <w:tc>
          <w:tcPr>
            <w:tcW w:type="dxa" w:w="2307"/>
          </w:tcPr>
          <w:p>
            <w:pPr>
              <w:pStyle w:val="null3"/>
              <w:jc w:val="left"/>
            </w:pPr>
            <w:r>
              <w:rPr/>
              <w:t>现场布置方案 (5.0分)</w:t>
            </w:r>
          </w:p>
        </w:tc>
        <w:tc>
          <w:tcPr>
            <w:tcW w:type="dxa" w:w="5076"/>
          </w:tcPr>
          <w:p>
            <w:pPr>
              <w:pStyle w:val="null3"/>
              <w:jc w:val="left"/>
            </w:pPr>
            <w:r>
              <w:rPr/>
              <w:t>根据投标人针对采购需求所提供的现场布置、仪式、场地布置等进行评审： （1）现场布置和宣传氛围营造、印刷品等按照相关规定的要求进行实施，启动仪式、颁奖仪式顺利、精彩，能够按照赛事规程要求，提供足够的比赛器材、做好布置，赛后及时做好场地恢复。得5分； （2）现场布置、宣传氛围营造、印刷品制作等基本按照相关规定实施，启动仪式、颁奖仪式组织规范有序，比赛器材配备能满足赛事基本需求，场地布置合理，赛后场地恢复有明确安排，各项内容无明显缺漏、具有可行性的。得3分； （3）现场布置和宣传氛围营造方案粗泛、印刷品制作未明确相关标准，启动仪式、颁奖仪式流程安排简单笼统，比赛器材配备仅达到最低标准或品类不齐全，场地恢复仅有基本表述无具体安排，部分内容有缺漏、针对性不强的，得1分。 （4）不提供不得分。</w:t>
            </w:r>
          </w:p>
        </w:tc>
      </w:tr>
      <w:tr>
        <w:tc>
          <w:tcPr>
            <w:tcW w:type="dxa" w:w="922"/>
            <w:gridSpan w:val="2"/>
            <w:vMerge/>
          </w:tcPr>
          <w:p/>
        </w:tc>
        <w:tc>
          <w:tcPr>
            <w:tcW w:type="dxa" w:w="2307"/>
          </w:tcPr>
          <w:p>
            <w:pPr>
              <w:pStyle w:val="null3"/>
              <w:jc w:val="left"/>
            </w:pPr>
            <w:r>
              <w:rPr/>
              <w:t>赛事服务方案 (5.0分)</w:t>
            </w:r>
          </w:p>
        </w:tc>
        <w:tc>
          <w:tcPr>
            <w:tcW w:type="dxa" w:w="5076"/>
          </w:tcPr>
          <w:p>
            <w:pPr>
              <w:pStyle w:val="null3"/>
              <w:jc w:val="left"/>
            </w:pPr>
            <w:r>
              <w:rPr/>
              <w:t>根据投标人针对采购需求所提供的医疗救护、安全保卫、志愿者服务及赛事服务等进行评审： （1）医疗救护方案完善，能有效预防因防控措施不到位而导致的感染传播、食物中毒等事件，对因赛事原因导致的伤害能第一时间响应并及时救护；能主动到场地方公安部门办理安全许可报批，安保方案详实可行并具体落实，有效预防安全事件发生；能招募足够数量的志愿者团队，进行系统化培训，为赛事各环节提供全面志愿服务；能妥善安排好裁判员、教练员的食宿、交通、保险等服务，各项服务保障细致到位，方案亮点突出、针对性强，具有很强可行性和保障性的，得5分； （2）医疗救护、安全保卫、志愿者服务及赛事服务各项内容均有覆盖，医疗救护有基本保障，安保报批及方案较完整，志愿者招募数量和培训能满足赛事基本需求，裁判员、教练员食宿交通保险等有明确安排，各项内容无明显缺漏、具有可行性的，得3分； （3）医疗救护、安全保卫、志愿者服务及赛事服务有基本框架，但医疗救护方案笼统，未明确安保报批及部署方案粗泛，志愿者服务仅有招募计划无系统培训安排，裁判员、教练员食宿交通保险等服务有提及但安排不够具体，部分内容有缺漏、针对性不强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(18.0分)</w:t>
            </w:r>
          </w:p>
        </w:tc>
        <w:tc>
          <w:tcPr>
            <w:tcW w:type="dxa" w:w="5076"/>
          </w:tcPr>
          <w:p>
            <w:pPr>
              <w:pStyle w:val="null3"/>
              <w:jc w:val="left"/>
            </w:pPr>
            <w:r>
              <w:rPr/>
              <w:t>投标人运营或者承办过一百人或以上的体育比赛（体育活动）类项目业绩进行评审，每提供一个业绩得2分，满分18分。注：须提供合同复印件及验收报告并加盖投标人公章，否则不得分。</w:t>
            </w:r>
          </w:p>
        </w:tc>
      </w:tr>
      <w:tr>
        <w:tc>
          <w:tcPr>
            <w:tcW w:type="dxa" w:w="922"/>
            <w:gridSpan w:val="2"/>
            <w:vMerge/>
          </w:tcPr>
          <w:p/>
        </w:tc>
        <w:tc>
          <w:tcPr>
            <w:tcW w:type="dxa" w:w="2307"/>
          </w:tcPr>
          <w:p>
            <w:pPr>
              <w:pStyle w:val="null3"/>
              <w:jc w:val="left"/>
            </w:pPr>
            <w:r>
              <w:rPr/>
              <w:t>投入的团队 (8.0分)</w:t>
            </w:r>
          </w:p>
        </w:tc>
        <w:tc>
          <w:tcPr>
            <w:tcW w:type="dxa" w:w="5076"/>
          </w:tcPr>
          <w:p>
            <w:pPr>
              <w:pStyle w:val="null3"/>
              <w:jc w:val="left"/>
            </w:pPr>
            <w:r>
              <w:rPr/>
              <w:t>根据投标人投入的人员团队进行评审：拟投入的裁判负责人须持裁判员等级证书得2分，医疗负责人须具有副主任职称（或以上级别）的得4分，宣传负责人须持新闻出版专业职称或相关职称得2分，本项最高得8分。注：同一人员不得兼任多个岗位重复计分；上述所有证明材料须提供证书复印件及身份证复印件并加盖投标人公章；</w:t>
            </w:r>
          </w:p>
        </w:tc>
      </w:tr>
      <w:tr>
        <w:tc>
          <w:tcPr>
            <w:tcW w:type="dxa" w:w="922"/>
            <w:gridSpan w:val="2"/>
            <w:vMerge/>
          </w:tcPr>
          <w:p/>
        </w:tc>
        <w:tc>
          <w:tcPr>
            <w:tcW w:type="dxa" w:w="2307"/>
          </w:tcPr>
          <w:p>
            <w:pPr>
              <w:pStyle w:val="null3"/>
              <w:jc w:val="left"/>
            </w:pPr>
            <w:r>
              <w:rPr/>
              <w:t>投入的设备 (7.0分)</w:t>
            </w:r>
          </w:p>
        </w:tc>
        <w:tc>
          <w:tcPr>
            <w:tcW w:type="dxa" w:w="5076"/>
          </w:tcPr>
          <w:p>
            <w:pPr>
              <w:pStyle w:val="null3"/>
              <w:jc w:val="left"/>
            </w:pPr>
            <w:r>
              <w:rPr/>
              <w:t>根据投标人投入的设备进行综合评审： 每投入一台4K摄像设备得0.5分，满分2分。 每投入一台无人机航拍设备得1分，满分2分。 每投入一台AED自动体外除颤器得0.5分，满分1分。 每投入一台摇臂摄像设备得1分，满分2分 注：自有设备须提供购置发票，租赁设备须提供租赁合同，相关证明材料须提供扫描件或复印件并加盖投标人公章。</w:t>
            </w:r>
          </w:p>
        </w:tc>
      </w:tr>
      <w:tr>
        <w:tc>
          <w:tcPr>
            <w:tcW w:type="dxa" w:w="922"/>
            <w:gridSpan w:val="2"/>
            <w:vMerge/>
          </w:tcPr>
          <w:p/>
        </w:tc>
        <w:tc>
          <w:tcPr>
            <w:tcW w:type="dxa" w:w="2307"/>
          </w:tcPr>
          <w:p>
            <w:pPr>
              <w:pStyle w:val="null3"/>
              <w:jc w:val="left"/>
            </w:pPr>
            <w:r>
              <w:rPr/>
              <w:t>服务响应时间承诺 (5.0分)</w:t>
            </w:r>
          </w:p>
        </w:tc>
        <w:tc>
          <w:tcPr>
            <w:tcW w:type="dxa" w:w="5076"/>
          </w:tcPr>
          <w:p>
            <w:pPr>
              <w:pStyle w:val="null3"/>
              <w:jc w:val="left"/>
            </w:pPr>
            <w:r>
              <w:rPr/>
              <w:t>根据投标人提供的服务响应时间承诺进行评审： （1）投标人承诺在接到采购人通知后0.5小时内派管理、医护、安保人员到达现场，得5分； （2）投标人承诺在接到采购人通知后1小时内派管理、医护、安保人员到达现场，得4分； （3）投标人承诺在接到采购人通知后1.5小时及以上派管理、医护、安保人员到达现场，得1分； （4）其他不得分。注：须提供服务承诺书以及备用排班表并加盖投标人公章，否则不得分。</w:t>
            </w:r>
          </w:p>
        </w:tc>
      </w:tr>
      <w:tr>
        <w:tc>
          <w:tcPr>
            <w:tcW w:type="dxa" w:w="922"/>
            <w:gridSpan w:val="2"/>
            <w:vMerge/>
          </w:tcPr>
          <w:p/>
        </w:tc>
        <w:tc>
          <w:tcPr>
            <w:tcW w:type="dxa" w:w="2307"/>
          </w:tcPr>
          <w:p>
            <w:pPr>
              <w:pStyle w:val="null3"/>
              <w:jc w:val="left"/>
            </w:pPr>
            <w:r>
              <w:rPr/>
              <w:t>项目团队稳定性承诺书 (3.0分)</w:t>
            </w:r>
          </w:p>
        </w:tc>
        <w:tc>
          <w:tcPr>
            <w:tcW w:type="dxa" w:w="5076"/>
          </w:tcPr>
          <w:p>
            <w:pPr>
              <w:pStyle w:val="null3"/>
              <w:jc w:val="left"/>
            </w:pPr>
            <w:r>
              <w:rPr/>
              <w:t>根据投标人提供的项目团队稳定性承诺书进行评审： （1）投标人承诺中标后投入本项目的核心团队成员在项目实施期间保持稳定，不随意更换，且承诺内容全面详细、有具体保障措施（如人员退出补充机制、交接过渡安排等）得3分； （2）投标人仅提供格式化的稳定性承诺函，无具体保障措施的，得1分； （3）其他不得分。注：须提供项目团队稳定性承诺书以及承诺方案并加盖投标人公章，否则不得分。</w:t>
            </w:r>
          </w:p>
        </w:tc>
      </w:tr>
      <w:tr>
        <w:tc>
          <w:tcPr>
            <w:tcW w:type="dxa" w:w="922"/>
            <w:gridSpan w:val="2"/>
            <w:vMerge/>
          </w:tcPr>
          <w:p/>
        </w:tc>
        <w:tc>
          <w:tcPr>
            <w:tcW w:type="dxa" w:w="2307"/>
          </w:tcPr>
          <w:p>
            <w:pPr>
              <w:pStyle w:val="null3"/>
              <w:jc w:val="left"/>
            </w:pPr>
            <w:r>
              <w:rPr/>
              <w:t>数据安全保障承诺书 (4.0分)</w:t>
            </w:r>
          </w:p>
        </w:tc>
        <w:tc>
          <w:tcPr>
            <w:tcW w:type="dxa" w:w="5076"/>
          </w:tcPr>
          <w:p>
            <w:pPr>
              <w:pStyle w:val="null3"/>
              <w:jc w:val="left"/>
            </w:pPr>
            <w:r>
              <w:rPr/>
              <w:t>根据投标人提供的数据安全保障承诺书内容情况进行综合评审： （1）投标人提供数据安全保障承诺书，承诺内容全面详细，包含但不限于数据采集安全、存储安全、传输安全、使用权限管理、保密义务、数据销毁机制等具体保障措施，责任主体明确、具有可操作性，得4分； （2）投标人提供数据安全保障承诺书，但承诺内容笼统（仅有原则性表述，无具体措施和操作细则），得2分； （3）其他不得分。注：须提供项目团队稳定性承诺书以及承诺方案并加盖投标人公章，否则不得分。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shd w:fill="FFFFFF" w:val="clear"/>
        </w:rPr>
        <w:t xml:space="preserve"> </w:t>
      </w:r>
    </w:p>
    <w:p>
      <w:pPr>
        <w:pStyle w:val="null3"/>
        <w:jc w:val="center"/>
      </w:pPr>
      <w:r>
        <w:rPr>
          <w:b/>
          <w:shd w:fill="FFFFFF" w:val="clear"/>
        </w:rPr>
        <w:t xml:space="preserve"> </w:t>
      </w:r>
    </w:p>
    <w:p>
      <w:pPr>
        <w:pStyle w:val="null3"/>
        <w:jc w:val="center"/>
      </w:pPr>
      <w:r>
        <w:rPr>
          <w:b/>
          <w:shd w:fill="FFFFFF" w:val="clear"/>
        </w:rPr>
        <w:t xml:space="preserve"> </w:t>
      </w:r>
    </w:p>
    <w:p>
      <w:pPr>
        <w:pStyle w:val="null3"/>
        <w:jc w:val="center"/>
      </w:pPr>
      <w:r>
        <w:rPr>
          <w:sz w:val="44"/>
          <w:b/>
          <w:shd w:fill="FFFFFF" w:val="clear"/>
        </w:rPr>
        <w:t>广东省政府采购</w:t>
      </w:r>
    </w:p>
    <w:p>
      <w:pPr>
        <w:pStyle w:val="null3"/>
        <w:spacing w:before="150" w:after="150"/>
        <w:jc w:val="both"/>
      </w:pPr>
      <w:r>
        <w:rPr>
          <w:shd w:fill="FFFFFF" w:val="clear"/>
        </w:rPr>
        <w:t xml:space="preserve"> </w:t>
      </w:r>
    </w:p>
    <w:p>
      <w:pPr>
        <w:pStyle w:val="null3"/>
        <w:jc w:val="center"/>
      </w:pPr>
      <w:r>
        <w:rPr>
          <w:sz w:val="44"/>
          <w:b/>
          <w:shd w:fill="FFFFFF" w:val="clear"/>
        </w:rPr>
        <w:t>合　同　书</w:t>
      </w:r>
    </w:p>
    <w:p>
      <w:pPr>
        <w:pStyle w:val="null3"/>
        <w:jc w:val="center"/>
      </w:pPr>
      <w:r>
        <w:br/>
      </w:r>
      <w:r>
        <w:br/>
      </w:r>
      <w:r>
        <w:br/>
      </w:r>
      <w:r>
        <w:br/>
      </w:r>
      <w:r>
        <w:br/>
      </w:r>
      <w:r>
        <w:br/>
      </w:r>
      <w:r>
        <w:br/>
      </w:r>
      <w:r>
        <w:br/>
      </w:r>
      <w:r>
        <w:rPr>
          <w:shd w:fill="FFFFFF" w:val="clear"/>
        </w:rPr>
        <w:t xml:space="preserve">  </w:t>
      </w:r>
    </w:p>
    <w:p>
      <w:pPr>
        <w:pStyle w:val="null3"/>
        <w:jc w:val="center"/>
      </w:pPr>
      <w:r>
        <w:rPr>
          <w:sz w:val="28"/>
          <w:shd w:fill="FFFFFF" w:val="clear"/>
        </w:rPr>
        <w:t>采购计划编号：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8"/>
          <w:shd w:fill="FFFFFF" w:val="clear"/>
        </w:rPr>
        <w:t>项目编号：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8"/>
          <w:shd w:fill="FFFFFF" w:val="clear"/>
        </w:rPr>
        <w:t>项目名称：</w:t>
      </w:r>
      <w:r>
        <w:rPr>
          <w:u w:val="single"/>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jc w:val="both"/>
      </w:pPr>
      <w:r>
        <w:rPr>
          <w:shd w:fill="FFFFFF" w:val="clear"/>
        </w:rPr>
        <w:t xml:space="preserve">  </w:t>
      </w:r>
    </w:p>
    <w:p>
      <w:pPr>
        <w:pStyle w:val="null3"/>
        <w:jc w:val="both"/>
      </w:pPr>
      <w:r>
        <w:rPr>
          <w:sz w:val="24"/>
          <w:b/>
          <w:shd w:fill="FFFFFF" w:val="clear"/>
        </w:rPr>
        <w:t>甲方：</w:t>
      </w:r>
      <w:r>
        <w:rPr>
          <w:b/>
          <w:u w:val="single"/>
          <w:shd w:fill="FFFFFF" w:val="clear"/>
        </w:rPr>
        <w:t xml:space="preserve">  </w:t>
      </w:r>
    </w:p>
    <w:p>
      <w:pPr>
        <w:pStyle w:val="null3"/>
        <w:jc w:val="both"/>
      </w:pPr>
      <w:r>
        <w:rPr>
          <w:sz w:val="24"/>
          <w:shd w:fill="FFFFFF" w:val="clear"/>
        </w:rPr>
        <w:t>电话：</w:t>
      </w:r>
      <w:r>
        <w:rPr>
          <w:b/>
          <w:u w:val="single"/>
          <w:shd w:fill="FFFFFF" w:val="clear"/>
        </w:rPr>
        <w:t xml:space="preserve">  </w:t>
      </w:r>
      <w:r>
        <w:rPr>
          <w:sz w:val="24"/>
          <w:shd w:fill="FFFFFF" w:val="clear"/>
        </w:rPr>
        <w:t>传真</w:t>
      </w:r>
      <w:r>
        <w:rPr>
          <w:sz w:val="24"/>
          <w:shd w:fill="FFFFFF" w:val="clear"/>
        </w:rPr>
        <w:t>：</w:t>
      </w:r>
      <w:r>
        <w:rPr>
          <w:b/>
          <w:u w:val="single"/>
          <w:shd w:fill="FFFFFF" w:val="clear"/>
        </w:rPr>
        <w:t xml:space="preserve">  </w:t>
      </w:r>
      <w:r>
        <w:rPr>
          <w:sz w:val="24"/>
          <w:shd w:fill="FFFFFF" w:val="clear"/>
        </w:rPr>
        <w:t>地址：</w:t>
      </w:r>
      <w:r>
        <w:rPr>
          <w:b/>
          <w:u w:val="single"/>
          <w:shd w:fill="FFFFFF" w:val="clear"/>
        </w:rPr>
        <w:t xml:space="preserve">   </w:t>
      </w:r>
    </w:p>
    <w:p>
      <w:pPr>
        <w:pStyle w:val="null3"/>
        <w:jc w:val="both"/>
      </w:pPr>
      <w:r>
        <w:rPr>
          <w:sz w:val="24"/>
          <w:b/>
          <w:shd w:fill="FFFFFF" w:val="clear"/>
        </w:rPr>
        <w:t>乙方：</w:t>
      </w:r>
      <w:r>
        <w:rPr>
          <w:b/>
          <w:u w:val="single"/>
          <w:shd w:fill="FFFFFF" w:val="clear"/>
        </w:rPr>
        <w:t xml:space="preserve">  </w:t>
      </w:r>
    </w:p>
    <w:p>
      <w:pPr>
        <w:pStyle w:val="null3"/>
        <w:jc w:val="both"/>
      </w:pPr>
      <w:r>
        <w:rPr>
          <w:sz w:val="24"/>
          <w:shd w:fill="FFFFFF" w:val="clear"/>
        </w:rPr>
        <w:t>电话：</w:t>
      </w:r>
      <w:r>
        <w:rPr>
          <w:b/>
          <w:u w:val="single"/>
          <w:shd w:fill="FFFFFF" w:val="clear"/>
        </w:rPr>
        <w:t xml:space="preserve">   </w:t>
      </w:r>
      <w:r>
        <w:rPr>
          <w:sz w:val="24"/>
          <w:shd w:fill="FFFFFF" w:val="clear"/>
        </w:rPr>
        <w:t>传真：</w:t>
      </w:r>
      <w:r>
        <w:rPr>
          <w:b/>
          <w:u w:val="single"/>
          <w:shd w:fill="FFFFFF" w:val="clear"/>
        </w:rPr>
        <w:t xml:space="preserve">   </w:t>
      </w:r>
      <w:r>
        <w:rPr>
          <w:sz w:val="24"/>
          <w:shd w:fill="FFFFFF" w:val="clear"/>
        </w:rPr>
        <w:t>地址：</w:t>
      </w:r>
      <w:r>
        <w:rPr>
          <w:b/>
          <w:u w:val="single"/>
          <w:shd w:fill="FFFFFF" w:val="clear"/>
        </w:rPr>
        <w:t xml:space="preserve">   </w:t>
      </w:r>
    </w:p>
    <w:p>
      <w:pPr>
        <w:pStyle w:val="null3"/>
        <w:spacing w:before="150" w:after="150"/>
        <w:jc w:val="both"/>
      </w:pPr>
      <w:r>
        <w:rPr>
          <w:shd w:fill="FFFFFF" w:val="clear"/>
        </w:rPr>
        <w:t xml:space="preserve"> </w:t>
      </w:r>
    </w:p>
    <w:p>
      <w:pPr>
        <w:pStyle w:val="null3"/>
        <w:jc w:val="both"/>
      </w:pPr>
      <w:r>
        <w:rPr>
          <w:sz w:val="21"/>
          <w:shd w:fill="FFFFFF" w:val="clear"/>
        </w:rPr>
        <w:t xml:space="preserve">  </w:t>
      </w:r>
      <w:r>
        <w:rPr>
          <w:sz w:val="21"/>
          <w:shd w:fill="FFFFFF" w:val="clear"/>
        </w:rPr>
        <w:t>根据</w:t>
      </w:r>
      <w:r>
        <w:rPr>
          <w:u w:val="single"/>
          <w:shd w:fill="FFFFFF" w:val="clear"/>
        </w:rPr>
        <w:t xml:space="preserve"> </w:t>
      </w:r>
      <w:r>
        <w:rPr>
          <w:sz w:val="21"/>
          <w:u w:val="single"/>
          <w:shd w:fill="FFFFFF" w:val="clear"/>
        </w:rPr>
        <w:t>东莞市第十六届</w:t>
      </w:r>
      <w:r>
        <w:rPr>
          <w:sz w:val="21"/>
          <w:u w:val="single"/>
          <w:shd w:fill="FFFFFF" w:val="clear"/>
        </w:rPr>
        <w:t>“福彩杯”老年人运动会服务</w:t>
      </w:r>
      <w:r>
        <w:rPr>
          <w:sz w:val="21"/>
          <w:u w:val="single"/>
          <w:shd w:fill="FFFFFF" w:val="clear"/>
        </w:rPr>
        <w:t>项目</w:t>
      </w:r>
      <w:r>
        <w:rPr>
          <w:sz w:val="21"/>
          <w:shd w:fill="FFFFFF" w:val="clear"/>
        </w:rPr>
        <w:t>的采购结果，按照《中华人民共和国政府采购法》，《中华人民共和国民法典</w:t>
      </w:r>
      <w:r>
        <w:rPr>
          <w:sz w:val="21"/>
          <w:shd w:fill="FFFFFF" w:val="clear"/>
        </w:rPr>
        <w:t>(合同编)》的规定，经双方协商，本着平等互利和诚实信用的原则，一致同意遵守本合同如下。</w:t>
      </w:r>
    </w:p>
    <w:p>
      <w:pPr>
        <w:pStyle w:val="null3"/>
        <w:jc w:val="both"/>
      </w:pPr>
      <w:r>
        <w:rPr>
          <w:sz w:val="21"/>
          <w:b/>
          <w:shd w:fill="FFFFFF" w:val="clear"/>
        </w:rPr>
        <w:t>一、合同金额</w:t>
      </w:r>
    </w:p>
    <w:p>
      <w:pPr>
        <w:pStyle w:val="null3"/>
        <w:jc w:val="both"/>
      </w:pPr>
      <w:r>
        <w:rPr>
          <w:sz w:val="21"/>
          <w:shd w:fill="FFFFFF" w:val="clear"/>
        </w:rPr>
        <w:t>　　合同金额为（大写）：</w:t>
      </w:r>
      <w:r>
        <w:rPr>
          <w:sz w:val="21"/>
          <w:shd w:fill="FFFFFF" w:val="clear"/>
        </w:rPr>
        <w:t>_____________元（￥_________元）人民币。</w:t>
      </w:r>
    </w:p>
    <w:p>
      <w:pPr>
        <w:pStyle w:val="null3"/>
        <w:jc w:val="both"/>
      </w:pPr>
      <w:r>
        <w:rPr>
          <w:sz w:val="21"/>
          <w:b/>
          <w:shd w:fill="FFFFFF" w:val="clear"/>
        </w:rPr>
        <w:t>二、服务范围</w:t>
      </w:r>
    </w:p>
    <w:p>
      <w:pPr>
        <w:pStyle w:val="null3"/>
        <w:jc w:val="both"/>
      </w:pPr>
      <w:r>
        <w:rPr>
          <w:sz w:val="21"/>
          <w:shd w:fill="FFFFFF" w:val="clear"/>
        </w:rPr>
        <w:t>　　甲方聘请乙方提供以下服务：</w:t>
      </w:r>
    </w:p>
    <w:p>
      <w:pPr>
        <w:pStyle w:val="null3"/>
        <w:jc w:val="both"/>
      </w:pPr>
      <w:r>
        <w:rPr>
          <w:shd w:fill="FFFFFF" w:val="clear"/>
        </w:rPr>
        <w:t xml:space="preserve">  </w:t>
      </w:r>
      <w:r>
        <w:rPr>
          <w:sz w:val="21"/>
          <w:shd w:fill="FFFFFF" w:val="clear"/>
        </w:rPr>
        <w:t>1．</w:t>
      </w:r>
      <w:r>
        <w:rPr>
          <w:sz w:val="21"/>
          <w:shd w:fill="FFFFFF" w:val="clear"/>
        </w:rPr>
        <w:t>举</w:t>
      </w:r>
      <w:r>
        <w:rPr>
          <w:sz w:val="21"/>
          <w:shd w:fill="FFFFFF" w:val="clear"/>
        </w:rPr>
        <w:t>办东莞市第十六届</w:t>
      </w:r>
      <w:r>
        <w:rPr>
          <w:sz w:val="21"/>
          <w:shd w:fill="FFFFFF" w:val="clear"/>
        </w:rPr>
        <w:t>“福彩杯”老年人运动会，搭建服务全市老年体育爱好者的赛事平台</w:t>
      </w:r>
      <w:r>
        <w:rPr>
          <w:sz w:val="21"/>
          <w:shd w:fill="FFFFFF" w:val="clear"/>
        </w:rPr>
        <w:t>。</w:t>
      </w:r>
    </w:p>
    <w:p>
      <w:pPr>
        <w:pStyle w:val="null3"/>
        <w:ind w:firstLine="545"/>
        <w:jc w:val="both"/>
      </w:pPr>
      <w:r>
        <w:rPr>
          <w:sz w:val="21"/>
          <w:shd w:fill="FFFFFF" w:val="clear"/>
        </w:rPr>
        <w:t>2．</w:t>
      </w:r>
      <w:r>
        <w:rPr>
          <w:sz w:val="21"/>
          <w:shd w:fill="FFFFFF" w:val="clear"/>
        </w:rPr>
        <w:t>比赛时间拟定于</w:t>
      </w:r>
      <w:r>
        <w:rPr>
          <w:sz w:val="21"/>
          <w:shd w:fill="FFFFFF" w:val="clear"/>
        </w:rPr>
        <w:t>2026年9月至11月举办。（比赛时间待定，以</w:t>
      </w:r>
      <w:r>
        <w:rPr>
          <w:sz w:val="21"/>
          <w:shd w:fill="FFFFFF" w:val="clear"/>
        </w:rPr>
        <w:t>甲方</w:t>
      </w:r>
      <w:r>
        <w:rPr>
          <w:sz w:val="21"/>
          <w:shd w:fill="FFFFFF" w:val="clear"/>
        </w:rPr>
        <w:t>通知为准）</w:t>
      </w:r>
    </w:p>
    <w:p>
      <w:pPr>
        <w:pStyle w:val="null3"/>
        <w:ind w:firstLine="545"/>
        <w:jc w:val="both"/>
      </w:pPr>
      <w:r>
        <w:rPr>
          <w:sz w:val="21"/>
          <w:shd w:fill="FFFFFF" w:val="clear"/>
        </w:rPr>
        <w:t>3.</w:t>
      </w:r>
      <w:r>
        <w:rPr>
          <w:sz w:val="21"/>
          <w:b/>
          <w:shd w:fill="FFFFFF" w:val="clear"/>
        </w:rPr>
        <w:t>比赛项目</w:t>
      </w:r>
    </w:p>
    <w:p>
      <w:pPr>
        <w:pStyle w:val="null3"/>
        <w:ind w:firstLine="545"/>
        <w:jc w:val="both"/>
      </w:pPr>
      <w:r>
        <w:rPr>
          <w:sz w:val="21"/>
          <w:shd w:fill="FFFFFF" w:val="clear"/>
        </w:rPr>
        <w:t>赛事设置：共设</w:t>
      </w:r>
      <w:r>
        <w:rPr>
          <w:sz w:val="21"/>
          <w:shd w:fill="FFFFFF" w:val="clear"/>
        </w:rPr>
        <w:t>17个竞赛项目，分别为围棋、象棋、八段锦、门球、乒乓球、游泳、飞镖、钓鱼、篮球定点投准、太极拳、太极剑、太极扇、太极柔力球、健身操、健身球操、健身秧歌操、健身广场舞。细化赛事赛程安排。待赛事招标工作完成后，参照“粤超”“粤BA”“镇BA”办赛模式，由中标单位细化确定各竟赛项目具体举办时间与地点。</w:t>
      </w:r>
    </w:p>
    <w:p>
      <w:pPr>
        <w:pStyle w:val="null3"/>
        <w:ind w:firstLine="545"/>
        <w:jc w:val="both"/>
      </w:pPr>
      <w:r>
        <w:rPr>
          <w:sz w:val="21"/>
          <w:shd w:fill="FFFFFF" w:val="clear"/>
        </w:rPr>
        <w:t>4.</w:t>
      </w:r>
      <w:r>
        <w:rPr>
          <w:sz w:val="21"/>
          <w:b/>
          <w:shd w:fill="FFFFFF" w:val="clear"/>
        </w:rPr>
        <w:t>奖项设置</w:t>
      </w:r>
    </w:p>
    <w:p>
      <w:pPr>
        <w:pStyle w:val="null3"/>
        <w:ind w:firstLine="545"/>
        <w:jc w:val="both"/>
      </w:pPr>
      <w:r>
        <w:rPr>
          <w:sz w:val="21"/>
          <w:shd w:fill="FFFFFF" w:val="clear"/>
        </w:rPr>
        <w:t>各赛项奖励前</w:t>
      </w:r>
      <w:r>
        <w:rPr>
          <w:sz w:val="21"/>
          <w:shd w:fill="FFFFFF" w:val="clear"/>
        </w:rPr>
        <w:t>8名（团队、个人，其中前8名颁发奖金），代表团团体总分奖励前8名。</w:t>
      </w:r>
    </w:p>
    <w:p>
      <w:pPr>
        <w:pStyle w:val="null3"/>
        <w:ind w:firstLine="545"/>
        <w:jc w:val="both"/>
      </w:pPr>
      <w:r>
        <w:rPr>
          <w:sz w:val="21"/>
          <w:b/>
          <w:shd w:fill="FFFFFF" w:val="clear"/>
        </w:rPr>
        <w:t>5.参赛人员</w:t>
      </w:r>
    </w:p>
    <w:p>
      <w:pPr>
        <w:pStyle w:val="null3"/>
        <w:ind w:firstLine="545"/>
        <w:jc w:val="both"/>
      </w:pPr>
      <w:r>
        <w:rPr>
          <w:sz w:val="21"/>
          <w:shd w:fill="FFFFFF" w:val="clear"/>
        </w:rPr>
        <w:t>预计参赛总人数约</w:t>
      </w:r>
      <w:r>
        <w:rPr>
          <w:sz w:val="21"/>
          <w:shd w:fill="FFFFFF" w:val="clear"/>
        </w:rPr>
        <w:t>1200人，由园区、镇(街道)，市直属各单位，中央和省驻莞单位组团参赛。</w:t>
      </w:r>
    </w:p>
    <w:p>
      <w:pPr>
        <w:pStyle w:val="null3"/>
        <w:ind w:firstLine="545"/>
        <w:jc w:val="both"/>
      </w:pPr>
      <w:r>
        <w:rPr>
          <w:sz w:val="21"/>
          <w:b/>
          <w:shd w:fill="FFFFFF" w:val="clear"/>
        </w:rPr>
        <w:t>6.服务内容及要求</w:t>
      </w:r>
    </w:p>
    <w:p>
      <w:pPr>
        <w:pStyle w:val="null3"/>
        <w:ind w:firstLine="422"/>
        <w:jc w:val="both"/>
      </w:pPr>
      <w:r>
        <w:rPr>
          <w:sz w:val="21"/>
          <w:b/>
        </w:rPr>
        <w:t>（一）活动赛事报备</w:t>
      </w:r>
    </w:p>
    <w:p>
      <w:pPr>
        <w:pStyle w:val="null3"/>
        <w:ind w:firstLine="420"/>
        <w:jc w:val="both"/>
      </w:pPr>
      <w:r>
        <w:rPr>
          <w:sz w:val="21"/>
        </w:rPr>
        <w:t>乙方牵头协同采购单位完成大型群众性活动全部法定审批手续，统筹公安备案、安全风险评估、卫健防疫备案全流程，负责申报材料编制、部门对接、隐患整改闭环，保障活动依法合规举办。</w:t>
      </w:r>
    </w:p>
    <w:p>
      <w:pPr>
        <w:pStyle w:val="null3"/>
        <w:ind w:firstLine="420"/>
        <w:jc w:val="both"/>
      </w:pPr>
      <w:r>
        <w:rPr>
          <w:sz w:val="21"/>
        </w:rPr>
        <w:t>1.千人以上活动专项报备：开闭幕式、银龄集市预估参与人数超1000人的，须配合市民政局，于活动举办前20个工作日完成大型群众性活动安全许可所需全套材料的编制，并报送至市公安局；</w:t>
      </w:r>
    </w:p>
    <w:p>
      <w:pPr>
        <w:pStyle w:val="null3"/>
        <w:ind w:firstLine="420"/>
        <w:jc w:val="both"/>
      </w:pPr>
      <w:r>
        <w:rPr>
          <w:sz w:val="21"/>
        </w:rPr>
        <w:t>2.常规赛事分级报备：单项赛事预估参与人数500人及以上的，参照上述流程完成公安简易备案；500人以下按属地要求登记；</w:t>
      </w:r>
    </w:p>
    <w:p>
      <w:pPr>
        <w:pStyle w:val="null3"/>
        <w:ind w:firstLine="420"/>
        <w:jc w:val="both"/>
      </w:pPr>
      <w:r>
        <w:rPr>
          <w:sz w:val="21"/>
        </w:rPr>
        <w:t>3.临时搭建物报备：开闭幕式舞台、集市展位、赛场临时构筑物，须由具备资质单位设计施工，全套资质文件报送市民政局、公安部门备案。</w:t>
      </w:r>
    </w:p>
    <w:p>
      <w:pPr>
        <w:pStyle w:val="null3"/>
        <w:ind w:firstLine="422"/>
        <w:jc w:val="both"/>
      </w:pPr>
      <w:r>
        <w:rPr>
          <w:sz w:val="21"/>
          <w:b/>
        </w:rPr>
        <w:t>（二）赛事策划与统筹管理</w:t>
      </w:r>
    </w:p>
    <w:p>
      <w:pPr>
        <w:pStyle w:val="null3"/>
        <w:ind w:firstLine="420"/>
        <w:jc w:val="both"/>
      </w:pPr>
      <w:r>
        <w:rPr>
          <w:sz w:val="21"/>
        </w:rPr>
        <w:t>1.</w:t>
      </w:r>
      <w:r>
        <w:rPr>
          <w:sz w:val="21"/>
        </w:rPr>
        <w:t>方案编制报审</w:t>
      </w:r>
      <w:r>
        <w:rPr>
          <w:sz w:val="21"/>
        </w:rPr>
        <w:t>。</w:t>
      </w:r>
      <w:r>
        <w:rPr>
          <w:sz w:val="21"/>
        </w:rPr>
        <w:t>编制总体实施方案、赛程细则、安全应急预案</w:t>
      </w:r>
      <w:r>
        <w:rPr>
          <w:sz w:val="21"/>
        </w:rPr>
        <w:t>，以及</w:t>
      </w:r>
      <w:r>
        <w:rPr>
          <w:sz w:val="21"/>
        </w:rPr>
        <w:t>医疗救护、消防安全、宣传推广、志愿服务、人流疏</w:t>
      </w:r>
      <w:r>
        <w:rPr>
          <w:sz w:val="21"/>
        </w:rPr>
        <w:t>导等</w:t>
      </w:r>
      <w:r>
        <w:rPr>
          <w:sz w:val="21"/>
        </w:rPr>
        <w:t>专项方案，充分适配老年群体身体特征，明确极端天气、群体性疾病、重大安全隐患等场景</w:t>
      </w:r>
      <w:r>
        <w:rPr>
          <w:sz w:val="21"/>
        </w:rPr>
        <w:t>的</w:t>
      </w:r>
      <w:r>
        <w:rPr>
          <w:sz w:val="21"/>
        </w:rPr>
        <w:t>赛事熔断机制及分级处置流程。所有方案须报送市老龄办审核通过，抄送市福彩中心备案后方可实施。</w:t>
      </w:r>
    </w:p>
    <w:p>
      <w:pPr>
        <w:pStyle w:val="null3"/>
        <w:ind w:firstLine="420"/>
        <w:jc w:val="both"/>
      </w:pPr>
      <w:r>
        <w:rPr>
          <w:sz w:val="21"/>
        </w:rPr>
        <w:t>2.</w:t>
      </w:r>
      <w:r>
        <w:rPr>
          <w:sz w:val="21"/>
        </w:rPr>
        <w:t>全链条统筹协调</w:t>
      </w:r>
      <w:r>
        <w:rPr>
          <w:sz w:val="21"/>
        </w:rPr>
        <w:t>。</w:t>
      </w:r>
      <w:r>
        <w:rPr>
          <w:sz w:val="21"/>
        </w:rPr>
        <w:t>统筹赛事前期筹备、现场执行、赛后总结全流程；对接各镇街参赛代表团，统一调度场地、人员、物资、设备等资源，保障各环节高效衔接。</w:t>
      </w:r>
    </w:p>
    <w:p>
      <w:pPr>
        <w:pStyle w:val="null3"/>
        <w:ind w:firstLine="420"/>
        <w:jc w:val="both"/>
      </w:pPr>
      <w:r>
        <w:rPr>
          <w:sz w:val="21"/>
        </w:rPr>
        <w:t>3.</w:t>
      </w:r>
      <w:r>
        <w:rPr>
          <w:sz w:val="21"/>
        </w:rPr>
        <w:t>赛事视觉体系设计</w:t>
      </w:r>
      <w:r>
        <w:rPr>
          <w:sz w:val="21"/>
        </w:rPr>
        <w:t>。</w:t>
      </w:r>
      <w:r>
        <w:rPr>
          <w:sz w:val="21"/>
        </w:rPr>
        <w:t>统一设计赛事全套视觉形象，含赛事</w:t>
      </w:r>
      <w:r>
        <w:rPr>
          <w:sz w:val="21"/>
        </w:rPr>
        <w:t>LOGO、主视觉、物料规范体系，风格庄重明快、适配老年群体审美，全系列物料统一视觉调性。</w:t>
      </w:r>
    </w:p>
    <w:p>
      <w:pPr>
        <w:pStyle w:val="null3"/>
        <w:ind w:firstLine="420"/>
        <w:jc w:val="both"/>
      </w:pPr>
      <w:r>
        <w:rPr>
          <w:sz w:val="21"/>
        </w:rPr>
        <w:t>4.</w:t>
      </w:r>
      <w:r>
        <w:rPr>
          <w:sz w:val="21"/>
        </w:rPr>
        <w:t>重大活动统筹保障</w:t>
      </w:r>
      <w:r>
        <w:rPr>
          <w:sz w:val="21"/>
        </w:rPr>
        <w:t>。</w:t>
      </w:r>
      <w:r>
        <w:rPr>
          <w:sz w:val="21"/>
        </w:rPr>
        <w:t>配合组委会完成跨部门协调、开闭幕式筹备、赛程动态调整、领导接待、全域应急统筹等工作。</w:t>
      </w:r>
    </w:p>
    <w:p>
      <w:pPr>
        <w:pStyle w:val="null3"/>
        <w:ind w:firstLine="422"/>
        <w:jc w:val="both"/>
      </w:pPr>
      <w:r>
        <w:rPr>
          <w:sz w:val="21"/>
          <w:b/>
        </w:rPr>
        <w:t>（三）全域安全保障体系</w:t>
      </w:r>
    </w:p>
    <w:p>
      <w:pPr>
        <w:pStyle w:val="null3"/>
        <w:ind w:firstLine="420"/>
        <w:jc w:val="both"/>
      </w:pPr>
      <w:r>
        <w:rPr>
          <w:sz w:val="21"/>
        </w:rPr>
        <w:t>1.消防安全保障。赛前对所有场馆、临时搭建物开展全覆盖消防排查，配齐消防值守人员与灭火器材；编制灭火疏散预案，赛前组织不少于1次全员疏散演练；赛事期间常态化防火巡查，保障疏散通道、安全出口全程畅通。</w:t>
      </w:r>
    </w:p>
    <w:p>
      <w:pPr>
        <w:pStyle w:val="null3"/>
        <w:ind w:firstLine="420"/>
        <w:jc w:val="both"/>
      </w:pPr>
      <w:r>
        <w:rPr>
          <w:sz w:val="21"/>
        </w:rPr>
        <w:t>2.现场安保与人流管控。一是全域分区管控：所有活动场地统一设置高度≥2米硬质围挡、隔离铁马，实施分区闭环管控，划分选手区、观众区、工作区；主会场布设X光安检设备，严格落实人员核验；二是监控值守：场地布设全覆盖视频监控系统，安排专人24小时在岗值守；三是安保人员梯度配置：单场参与人数500人及以上配置专职安保≥8名；开闭幕式、银龄集市等重点场次安保≥15名；500人以下场次配备专职安保不少于4名；多项目同场同步开赛、集市叠加赛事时，按人流峰值同步增配安保力量；四是联动公安制定人流疏导、防踩踏专项方案，科学划分功能动线，严防拥挤、踩踏等安全事故。</w:t>
      </w:r>
    </w:p>
    <w:p>
      <w:pPr>
        <w:pStyle w:val="null3"/>
        <w:ind w:firstLine="420"/>
        <w:jc w:val="both"/>
      </w:pPr>
      <w:r>
        <w:rPr>
          <w:sz w:val="21"/>
        </w:rPr>
        <w:t>3.医疗救护保障。各独立赛场设置固定临时医疗点，配齐急救器械、老年常用药品、转运物资；单场配置中级职称医师1名、护士2名，同场地多项目同步开赛按点位叠加配置医护人员；联动属地医疗机构建立急救绿色通道；针对老年常见病、突发晕厥制定专项医疗应急预案；赛前统一开展参赛人员健康提示、健康证明核验工作。</w:t>
      </w:r>
    </w:p>
    <w:p>
      <w:pPr>
        <w:pStyle w:val="null3"/>
        <w:ind w:firstLine="420"/>
        <w:jc w:val="both"/>
      </w:pPr>
      <w:r>
        <w:rPr>
          <w:sz w:val="21"/>
        </w:rPr>
        <w:t>4.全员人身风险保障。为全体参赛选手、领队、教练、工作人员、志愿者统一投保人身意外伤害保险，单人保费不低于10元，保险周期完整覆盖筹备、赛事、返程全时段；同步为集市参展商户、现场观赛群众配套公众责任险。组织全部参赛人员签订《自愿参赛责任书》，落实赛前安全告知。</w:t>
      </w:r>
    </w:p>
    <w:p>
      <w:pPr>
        <w:pStyle w:val="null3"/>
        <w:ind w:firstLine="422"/>
        <w:jc w:val="both"/>
      </w:pPr>
      <w:r>
        <w:rPr>
          <w:sz w:val="21"/>
          <w:b/>
        </w:rPr>
        <w:t>（四）活动场地布置</w:t>
      </w:r>
    </w:p>
    <w:p>
      <w:pPr>
        <w:pStyle w:val="null3"/>
        <w:ind w:firstLine="420"/>
        <w:jc w:val="both"/>
      </w:pPr>
      <w:r>
        <w:rPr>
          <w:sz w:val="21"/>
        </w:rPr>
        <w:t>1.开闭幕式场地统筹</w:t>
      </w:r>
      <w:r>
        <w:rPr>
          <w:sz w:val="21"/>
        </w:rPr>
        <w:t>。</w:t>
      </w:r>
      <w:r>
        <w:rPr>
          <w:sz w:val="21"/>
        </w:rPr>
        <w:t>开幕式主场地：东莞市体育馆，备</w:t>
      </w:r>
      <w:r>
        <w:rPr>
          <w:sz w:val="21"/>
        </w:rPr>
        <w:t>.选东莞银行篮球中心；闭幕式主场地：东城文化中心，备.选东莞市民艺术中心；负责场地租赁、整体氛围搭建、赛后复原交接。</w:t>
      </w:r>
    </w:p>
    <w:p>
      <w:pPr>
        <w:pStyle w:val="null3"/>
        <w:ind w:firstLine="420"/>
        <w:jc w:val="both"/>
      </w:pPr>
      <w:r>
        <w:rPr>
          <w:sz w:val="21"/>
        </w:rPr>
        <w:t>2.银龄集市一体化运营</w:t>
      </w:r>
      <w:r>
        <w:rPr>
          <w:sz w:val="21"/>
        </w:rPr>
        <w:t>。</w:t>
      </w:r>
      <w:r>
        <w:rPr>
          <w:sz w:val="21"/>
        </w:rPr>
        <w:t>统筹开、闭幕式配套银龄集市场地规划、展位搭建、全周期现场管理，标准化设置不少于</w:t>
      </w:r>
      <w:r>
        <w:rPr>
          <w:sz w:val="21"/>
        </w:rPr>
        <w:t>30个3m×3m标准展位，配套桌椅、供电基础设施，并为展位提供餐饮（餐标≤40元/人/餐）；分设养老服务、健康义诊、适老产品、文化教育、反诈宣传五大功能专区；配套设置八段锦、太极养生免费体验区，安排专业教练定时教学；统一归集所有参展机构资质报送市民政局审核备案，组织全部参展主体签订安全责任书压实安全责任。各单项赛场同步设置小型银龄便民服务专区，常态化开展健康咨询、反诈科普服务。</w:t>
      </w:r>
    </w:p>
    <w:p>
      <w:pPr>
        <w:pStyle w:val="null3"/>
        <w:ind w:firstLine="420"/>
        <w:jc w:val="both"/>
      </w:pPr>
      <w:r>
        <w:rPr>
          <w:sz w:val="21"/>
        </w:rPr>
        <w:t>3.竞赛场地保障</w:t>
      </w:r>
      <w:r>
        <w:rPr>
          <w:sz w:val="21"/>
        </w:rPr>
        <w:t>。</w:t>
      </w:r>
      <w:r>
        <w:rPr>
          <w:sz w:val="21"/>
        </w:rPr>
        <w:t>完成</w:t>
      </w:r>
      <w:r>
        <w:rPr>
          <w:sz w:val="21"/>
        </w:rPr>
        <w:t>17个竞赛项目预赛、决赛场地遴选、租赁、布置、赛后清理；所选场地需满足各项目国家竞赛规则与安全标准，需同时满足体育部门的规范要求和群众观赛的便利需求，配套设置休息区、医疗点、工作区等功能区域；乒乓球、围棋、象棋分片区举办预赛，优胜选手晋级市级总决赛，晋级规则写入竞赛规程。按需租赁对讲机、打印设备、办公耗材等后勤物资。</w:t>
      </w:r>
    </w:p>
    <w:p>
      <w:pPr>
        <w:pStyle w:val="null3"/>
        <w:ind w:firstLine="420"/>
        <w:jc w:val="both"/>
      </w:pPr>
      <w:r>
        <w:rPr>
          <w:sz w:val="21"/>
        </w:rPr>
        <w:t>4.竞赛器材与舞台设备运维</w:t>
      </w:r>
      <w:r>
        <w:rPr>
          <w:sz w:val="21"/>
        </w:rPr>
        <w:t>。</w:t>
      </w:r>
      <w:r>
        <w:rPr>
          <w:sz w:val="21"/>
        </w:rPr>
        <w:t>按市级赛事标准配齐各项目专业竞赛器材、计时计分设备，负责赛前调试、赛中运维、赛后回收；规范完成舞台、背景板搭建，统筹灯光、音响、</w:t>
      </w:r>
      <w:r>
        <w:rPr>
          <w:sz w:val="21"/>
        </w:rPr>
        <w:t>LED大屏等设备租赁、安装、全程维护，规范线路铺设，常态化排查用电安全隐患。</w:t>
      </w:r>
    </w:p>
    <w:p>
      <w:pPr>
        <w:pStyle w:val="null3"/>
        <w:ind w:firstLine="420"/>
        <w:jc w:val="both"/>
      </w:pPr>
      <w:r>
        <w:rPr>
          <w:sz w:val="21"/>
        </w:rPr>
        <w:t>5.场地收尾交接</w:t>
      </w:r>
      <w:r>
        <w:rPr>
          <w:sz w:val="21"/>
        </w:rPr>
        <w:t>。</w:t>
      </w:r>
      <w:r>
        <w:rPr>
          <w:sz w:val="21"/>
        </w:rPr>
        <w:t>每场赛事结束后及时拆除设施、清理场地、恢复原貌，核查场地损耗并按合同承担修复赔偿，完成与场馆管理方正式交接。</w:t>
      </w:r>
    </w:p>
    <w:p>
      <w:pPr>
        <w:pStyle w:val="null3"/>
        <w:ind w:firstLine="422"/>
        <w:jc w:val="both"/>
      </w:pPr>
      <w:r>
        <w:rPr>
          <w:sz w:val="21"/>
          <w:b/>
        </w:rPr>
        <w:t>（五）赛事组织现场执行</w:t>
      </w:r>
    </w:p>
    <w:p>
      <w:pPr>
        <w:pStyle w:val="null3"/>
        <w:ind w:firstLine="420"/>
        <w:jc w:val="both"/>
      </w:pPr>
      <w:r>
        <w:rPr>
          <w:sz w:val="21"/>
        </w:rPr>
        <w:t>1.报名与抽签管理。配合甲方依托线上报名平台完成参赛信息汇总、资格初审；组织线下抽签会议确定出场顺序，公示全部抽签结果。</w:t>
      </w:r>
    </w:p>
    <w:p>
      <w:pPr>
        <w:pStyle w:val="null3"/>
        <w:ind w:firstLine="420"/>
        <w:jc w:val="both"/>
      </w:pPr>
      <w:r>
        <w:rPr>
          <w:sz w:val="21"/>
        </w:rPr>
        <w:t>2.裁判与仲裁队伍配置。各项目主裁判须具备国家一级及以上裁判资质，规范执裁保障赛事公平；设立赛事仲裁组，成员不少于3人，具备体育仲裁或法律专业资质，全程受理赛事申诉、处置竞赛争议。</w:t>
      </w:r>
    </w:p>
    <w:p>
      <w:pPr>
        <w:pStyle w:val="null3"/>
        <w:ind w:firstLine="420"/>
        <w:jc w:val="both"/>
      </w:pPr>
      <w:r>
        <w:rPr>
          <w:sz w:val="21"/>
        </w:rPr>
        <w:t>3.开闭幕式专项执行。聘请专业导演团队完成流程策划、节目编排、彩排调度；选聘具备大型政务活动主持经验的主持人；配备不少于4辆大巴统筹参演、参赛人员交通接送；规范组织闭幕式集体合影，严格按照政务活动标准制定站位方案，赛后交付高清成片并在官方平台刊发留存。</w:t>
      </w:r>
    </w:p>
    <w:p>
      <w:pPr>
        <w:pStyle w:val="null3"/>
        <w:ind w:firstLine="420"/>
        <w:jc w:val="both"/>
      </w:pPr>
      <w:r>
        <w:rPr>
          <w:sz w:val="21"/>
        </w:rPr>
        <w:t>4.颁奖流程配套。负责闭幕式颁奖全流程组织，精准核对奖项、获奖人员及荣誉物资；编制奖金发放名册，配合甲方落实财政资金发放手续。</w:t>
      </w:r>
    </w:p>
    <w:p>
      <w:pPr>
        <w:pStyle w:val="null3"/>
        <w:ind w:firstLine="420"/>
        <w:jc w:val="both"/>
      </w:pPr>
      <w:r>
        <w:rPr>
          <w:sz w:val="21"/>
        </w:rPr>
        <w:t>5.志愿者统筹管理。配合甲方开展志愿者岗前培训、排班调度、现场后勤保障，统筹引导、物资分发、现场服务等工作。</w:t>
      </w:r>
    </w:p>
    <w:p>
      <w:pPr>
        <w:pStyle w:val="null3"/>
        <w:ind w:firstLine="422"/>
        <w:jc w:val="both"/>
      </w:pPr>
      <w:r>
        <w:rPr>
          <w:sz w:val="21"/>
          <w:b/>
        </w:rPr>
        <w:t>（六）宣传推广与福彩公益传播</w:t>
      </w:r>
    </w:p>
    <w:p>
      <w:pPr>
        <w:pStyle w:val="null3"/>
        <w:ind w:firstLine="420"/>
        <w:jc w:val="both"/>
      </w:pPr>
      <w:r>
        <w:rPr>
          <w:sz w:val="21"/>
        </w:rPr>
        <w:t>1.硬性宣传物料制作</w:t>
      </w:r>
    </w:p>
    <w:p>
      <w:pPr>
        <w:pStyle w:val="null3"/>
        <w:ind w:firstLine="420"/>
        <w:jc w:val="both"/>
      </w:pPr>
      <w:r>
        <w:rPr>
          <w:sz w:val="21"/>
        </w:rPr>
        <w:t>（</w:t>
      </w:r>
      <w:r>
        <w:rPr>
          <w:sz w:val="21"/>
        </w:rPr>
        <w:t>1）宣传片：赛事主题片、开闭幕式总结片各1部，共3部。单条时长分别≥3分钟，分辨率1080P以上，脚本不少于2版；多机位全覆盖拍摄17个项目，原始素材容量≥80G；输出完整版、精简版、竖屏传播版不少于3个版本；</w:t>
      </w:r>
    </w:p>
    <w:p>
      <w:pPr>
        <w:pStyle w:val="null3"/>
        <w:ind w:firstLine="420"/>
        <w:jc w:val="both"/>
      </w:pPr>
      <w:r>
        <w:rPr>
          <w:sz w:val="21"/>
        </w:rPr>
        <w:t>（</w:t>
      </w:r>
      <w:r>
        <w:rPr>
          <w:sz w:val="21"/>
        </w:rPr>
        <w:t>2）海报体系：主视觉海报≥3款、分项赛事海报34款（每项目2款），A0竖版，300dpi CMYK印刷，同步提供多尺寸适配版本与源文件；</w:t>
      </w:r>
    </w:p>
    <w:p>
      <w:pPr>
        <w:pStyle w:val="null3"/>
        <w:ind w:firstLine="420"/>
        <w:jc w:val="both"/>
      </w:pPr>
      <w:r>
        <w:rPr>
          <w:sz w:val="21"/>
        </w:rPr>
        <w:t>（</w:t>
      </w:r>
      <w:r>
        <w:rPr>
          <w:sz w:val="21"/>
        </w:rPr>
        <w:t>3）宣传系列物料：一是设计宣传效果图。报名一图读懂1套、赛事长图≥20期、项目专题长图17期、7天倒计时海报7张、项目高清图集17组、互动H5页面≥1个；二是印制宣传实物物料。规范赛事视觉形象，制作主题布袋、宣传折扇、记事本、盒装纸巾、书签、纪念徽章、宣传手册、参赛服装等物资，品类不限，具体以对接确认为准，印制总量不少于2600份，用于开、闭幕式及赛事氛围营造、现场宣传发放及纪念留存，夯实赛事宣传成效。</w:t>
      </w:r>
    </w:p>
    <w:p>
      <w:pPr>
        <w:pStyle w:val="null3"/>
        <w:ind w:firstLine="420"/>
        <w:jc w:val="both"/>
      </w:pPr>
      <w:r>
        <w:rPr>
          <w:sz w:val="21"/>
        </w:rPr>
        <w:t>（</w:t>
      </w:r>
      <w:r>
        <w:rPr>
          <w:sz w:val="21"/>
        </w:rPr>
        <w:t>4）公益标语：设计福彩专属宣传标语不少于5条，经甲方确认后使用；</w:t>
      </w:r>
    </w:p>
    <w:p>
      <w:pPr>
        <w:pStyle w:val="null3"/>
        <w:ind w:firstLine="420"/>
        <w:jc w:val="both"/>
      </w:pPr>
      <w:r>
        <w:rPr>
          <w:sz w:val="21"/>
        </w:rPr>
        <w:t>（</w:t>
      </w:r>
      <w:r>
        <w:rPr>
          <w:sz w:val="21"/>
        </w:rPr>
        <w:t>5）全域福彩覆盖：全部线下物料、线上文稿、新闻报道统一植入福彩LOGO与公益宣传内容，实现图文、视频、线下展陈全覆盖。</w:t>
      </w:r>
    </w:p>
    <w:p>
      <w:pPr>
        <w:pStyle w:val="null3"/>
        <w:ind w:firstLine="420"/>
        <w:jc w:val="both"/>
      </w:pPr>
      <w:r>
        <w:rPr>
          <w:sz w:val="21"/>
        </w:rPr>
        <w:t>2.全媒体宣传运营</w:t>
      </w:r>
    </w:p>
    <w:p>
      <w:pPr>
        <w:pStyle w:val="null3"/>
        <w:ind w:firstLine="420"/>
        <w:jc w:val="both"/>
      </w:pPr>
      <w:r>
        <w:rPr>
          <w:sz w:val="21"/>
        </w:rPr>
        <w:t>（</w:t>
      </w:r>
      <w:r>
        <w:rPr>
          <w:sz w:val="21"/>
        </w:rPr>
        <w:t>1）赛事专属线上宣传页面：搭建一体化展示平台，覆盖赛事介绍、赛程、成绩查询、精彩影像；赛事期间更新内容≥80条，各项目赛后3小时内更新获奖名单；</w:t>
      </w:r>
    </w:p>
    <w:p>
      <w:pPr>
        <w:pStyle w:val="null3"/>
        <w:ind w:firstLine="420"/>
        <w:jc w:val="both"/>
      </w:pPr>
      <w:r>
        <w:rPr>
          <w:sz w:val="21"/>
        </w:rPr>
        <w:t>（</w:t>
      </w:r>
      <w:r>
        <w:rPr>
          <w:sz w:val="21"/>
        </w:rPr>
        <w:t>2）新媒体矩阵运营：微信、抖音、视频号开设专属话题≥3个，周期发布图文、短视频、直播内容≥150条；项目短视频≥51条（每项目≥3条）；宣传优秀选手≥36名；开展乒乓球、围棋、象棋决赛视频直播≥3场；线上互动回复率≥90%；</w:t>
      </w:r>
    </w:p>
    <w:p>
      <w:pPr>
        <w:pStyle w:val="null3"/>
        <w:ind w:firstLine="420"/>
        <w:jc w:val="both"/>
      </w:pPr>
      <w:r>
        <w:rPr>
          <w:sz w:val="21"/>
        </w:rPr>
        <w:t>（</w:t>
      </w:r>
      <w:r>
        <w:rPr>
          <w:sz w:val="21"/>
        </w:rPr>
        <w:t>3）专业宣传团队：配置不少于4名专职宣传人员，持有相关资质、3年以上大型文体赛事宣传经验，全程驻场；配备2台以上4K摄像设备、专业后期工作站，存储容量≥2TB；建成赛事素材库容量≥100G，参评宣传类奖项须提前取得甲方书面许可；</w:t>
      </w:r>
    </w:p>
    <w:p>
      <w:pPr>
        <w:pStyle w:val="null3"/>
        <w:ind w:firstLine="420"/>
        <w:jc w:val="both"/>
      </w:pPr>
      <w:r>
        <w:rPr>
          <w:sz w:val="21"/>
        </w:rPr>
        <w:t>（</w:t>
      </w:r>
      <w:r>
        <w:rPr>
          <w:sz w:val="21"/>
        </w:rPr>
        <w:t>4）主流媒体对接：对接省级媒体≥3家、市级媒体≥3家；赛事周期发稿≥25篇（省级≥8篇、市级≥17篇）；每项目专题报道≥1篇，合计≥17篇；深度专访≥6期；媒体专题专栏≥3个；17个项目各开展图文直播≥1场，合计≥17场；</w:t>
      </w:r>
    </w:p>
    <w:p>
      <w:pPr>
        <w:pStyle w:val="null3"/>
        <w:ind w:firstLine="420"/>
        <w:jc w:val="both"/>
      </w:pPr>
      <w:r>
        <w:rPr>
          <w:sz w:val="21"/>
        </w:rPr>
        <w:t>（</w:t>
      </w:r>
      <w:r>
        <w:rPr>
          <w:sz w:val="21"/>
        </w:rPr>
        <w:t>5）政务平台发布：对接市级政务新媒体平台≥3个，周期发布赛事公告、获奖名单等内容≥15条；所有政务平台刊发稿件须提前报送市民政局审核无误后方可发布。</w:t>
      </w:r>
    </w:p>
    <w:p>
      <w:pPr>
        <w:pStyle w:val="null3"/>
        <w:ind w:firstLine="420"/>
        <w:jc w:val="both"/>
      </w:pPr>
      <w:r>
        <w:rPr>
          <w:sz w:val="21"/>
        </w:rPr>
        <w:t>（</w:t>
      </w:r>
      <w:r>
        <w:rPr>
          <w:sz w:val="21"/>
        </w:rPr>
        <w:t>6）</w:t>
      </w:r>
      <w:r>
        <w:rPr>
          <w:sz w:val="21"/>
        </w:rPr>
        <w:t>线上直播的网络平台须持有国家广播电视台总局颁发的《信息网络传播视听节目许可证》。乙方须提供许可证复印件及平台名称，并承诺直播流信号稳定，支持百万级观看。（须提供相关复印件及承诺书）。</w:t>
      </w:r>
    </w:p>
    <w:p>
      <w:pPr>
        <w:pStyle w:val="null3"/>
        <w:ind w:firstLine="420"/>
        <w:jc w:val="both"/>
      </w:pPr>
      <w:r>
        <w:rPr>
          <w:sz w:val="21"/>
        </w:rPr>
        <w:t>（</w:t>
      </w:r>
      <w:r>
        <w:rPr>
          <w:sz w:val="21"/>
        </w:rPr>
        <w:t>7）直播结束后，乙方须将全程视频精剪为3分钟内精华版，并在市级（含）以上官方媒体平台（非商业平台）进行不少于3次重播或重点推送。（须提供重播时段及频次承诺书。）</w:t>
      </w:r>
    </w:p>
    <w:p>
      <w:pPr>
        <w:pStyle w:val="null3"/>
        <w:ind w:firstLine="420"/>
        <w:jc w:val="both"/>
      </w:pPr>
      <w:r>
        <w:rPr>
          <w:sz w:val="21"/>
        </w:rPr>
        <w:t>（</w:t>
      </w:r>
      <w:r>
        <w:rPr>
          <w:sz w:val="21"/>
        </w:rPr>
        <w:t>8）</w:t>
      </w:r>
      <w:r>
        <w:rPr>
          <w:sz w:val="21"/>
        </w:rPr>
        <w:t>乙方在中标后需在东莞市有常驻服务团队及自有媒体平台，确保应急响应及全方位宣传落地。（须提供单独承诺函）。</w:t>
      </w:r>
    </w:p>
    <w:p>
      <w:pPr>
        <w:pStyle w:val="null3"/>
        <w:ind w:firstLine="420"/>
        <w:jc w:val="both"/>
      </w:pPr>
      <w:r>
        <w:rPr>
          <w:sz w:val="21"/>
        </w:rPr>
        <w:t>3.宣传资料归档</w:t>
      </w:r>
    </w:p>
    <w:p>
      <w:pPr>
        <w:pStyle w:val="null3"/>
        <w:ind w:firstLine="420"/>
        <w:jc w:val="both"/>
      </w:pPr>
      <w:r>
        <w:rPr>
          <w:sz w:val="21"/>
        </w:rPr>
        <w:t>分类汇编全部媒体报道成册；所有宣传图文、影像素材分项目归档，总归档宣传素材容量</w:t>
      </w:r>
      <w:r>
        <w:rPr>
          <w:sz w:val="21"/>
        </w:rPr>
        <w:t>≥150G（宣传片原始素材计入总量），分类清晰、便于检索，赛后移交甲方存档并出具归档清单。</w:t>
      </w:r>
    </w:p>
    <w:p>
      <w:pPr>
        <w:pStyle w:val="null3"/>
        <w:ind w:firstLine="422"/>
        <w:jc w:val="both"/>
      </w:pPr>
      <w:r>
        <w:rPr>
          <w:sz w:val="21"/>
          <w:b/>
        </w:rPr>
        <w:t>（七）物资制作、后勤保障</w:t>
      </w:r>
    </w:p>
    <w:p>
      <w:pPr>
        <w:pStyle w:val="null3"/>
        <w:ind w:firstLine="420"/>
        <w:jc w:val="both"/>
      </w:pPr>
      <w:r>
        <w:rPr>
          <w:sz w:val="21"/>
        </w:rPr>
        <w:t>1.荣誉奖杯、奖牌、证件制作</w:t>
      </w:r>
    </w:p>
    <w:p>
      <w:pPr>
        <w:pStyle w:val="null3"/>
        <w:ind w:firstLine="420"/>
        <w:jc w:val="both"/>
      </w:pPr>
      <w:r>
        <w:rPr>
          <w:sz w:val="21"/>
        </w:rPr>
        <w:t>（</w:t>
      </w:r>
      <w:r>
        <w:rPr>
          <w:sz w:val="21"/>
        </w:rPr>
        <w:t>1）奖杯奖牌：单项赛事前八名奖杯采用金属水晶复合材质，高度≥35cm，符合市级赛事工艺标准；制作赛事奖牌500块、金属纪念小圆牌1898个，样式统一；同步制作团体总分前八名奖牌、优秀赛区组织奖牌，配套完成全市表彰通报展示物料，配合市民政局落实表彰物资保障；</w:t>
      </w:r>
    </w:p>
    <w:p>
      <w:pPr>
        <w:pStyle w:val="null3"/>
        <w:ind w:firstLine="420"/>
        <w:jc w:val="both"/>
      </w:pPr>
      <w:r>
        <w:rPr>
          <w:sz w:val="21"/>
        </w:rPr>
        <w:t>（</w:t>
      </w:r>
      <w:r>
        <w:rPr>
          <w:sz w:val="21"/>
        </w:rPr>
        <w:t>2）证件：参赛证1200张、工作人员证300张，配套卡套挂绳，设计样式经甲方确认后制作。</w:t>
      </w:r>
    </w:p>
    <w:p>
      <w:pPr>
        <w:pStyle w:val="null3"/>
        <w:ind w:firstLine="420"/>
        <w:jc w:val="both"/>
      </w:pPr>
      <w:r>
        <w:rPr>
          <w:sz w:val="21"/>
        </w:rPr>
        <w:t>2.赛事印刷物料</w:t>
      </w:r>
    </w:p>
    <w:p>
      <w:pPr>
        <w:pStyle w:val="null3"/>
        <w:ind w:firstLine="420"/>
        <w:jc w:val="both"/>
      </w:pPr>
      <w:r>
        <w:rPr>
          <w:sz w:val="21"/>
        </w:rPr>
        <w:t>运动会总规程</w:t>
      </w:r>
      <w:r>
        <w:rPr>
          <w:sz w:val="21"/>
        </w:rPr>
        <w:t>1000本、17个单项秩序册各200本、现场成绩公示KT板17块；统一规格、装帧标准，清晰耐用。</w:t>
      </w:r>
    </w:p>
    <w:p>
      <w:pPr>
        <w:pStyle w:val="null3"/>
        <w:ind w:firstLine="420"/>
        <w:jc w:val="both"/>
      </w:pPr>
      <w:r>
        <w:rPr>
          <w:sz w:val="21"/>
        </w:rPr>
        <w:t>3.赛事画册与节目单</w:t>
      </w:r>
    </w:p>
    <w:p>
      <w:pPr>
        <w:pStyle w:val="null3"/>
        <w:ind w:firstLine="420"/>
        <w:jc w:val="both"/>
      </w:pPr>
      <w:r>
        <w:rPr>
          <w:sz w:val="21"/>
        </w:rPr>
        <w:t>赛事全彩画册</w:t>
      </w:r>
      <w:r>
        <w:rPr>
          <w:sz w:val="21"/>
        </w:rPr>
        <w:t>500册；开闭幕式节目单各400份，载明活动流程、安全须知。</w:t>
      </w:r>
    </w:p>
    <w:p>
      <w:pPr>
        <w:pStyle w:val="null3"/>
        <w:ind w:firstLine="420"/>
        <w:jc w:val="both"/>
      </w:pPr>
      <w:r>
        <w:rPr>
          <w:sz w:val="21"/>
        </w:rPr>
        <w:t>4.餐饮饮水保障</w:t>
      </w:r>
    </w:p>
    <w:p>
      <w:pPr>
        <w:pStyle w:val="null3"/>
        <w:ind w:firstLine="420"/>
        <w:jc w:val="both"/>
      </w:pPr>
      <w:r>
        <w:rPr>
          <w:sz w:val="21"/>
        </w:rPr>
        <w:t>为裁判、选手、工作人员、志愿者提供工作餐，餐标</w:t>
      </w:r>
      <w:r>
        <w:rPr>
          <w:sz w:val="21"/>
        </w:rPr>
        <w:t>≤40元/人/餐，菜品适配老年低盐、软烂饮食需求，兼顾特殊饮食需求；各赛场全天候足量供应符合国家标准的饮用水。</w:t>
      </w:r>
    </w:p>
    <w:p>
      <w:pPr>
        <w:pStyle w:val="null3"/>
        <w:ind w:firstLine="422"/>
        <w:jc w:val="both"/>
      </w:pPr>
      <w:r>
        <w:rPr>
          <w:sz w:val="21"/>
          <w:b/>
        </w:rPr>
        <w:t>（八）赛后总结与全套资料归档</w:t>
      </w:r>
    </w:p>
    <w:p>
      <w:pPr>
        <w:pStyle w:val="null3"/>
        <w:ind w:firstLine="545"/>
        <w:jc w:val="both"/>
      </w:pPr>
      <w:r>
        <w:rPr>
          <w:sz w:val="21"/>
          <w:shd w:fill="FFFFFF" w:val="clear"/>
        </w:rPr>
        <w:t>赛事全部结束后</w:t>
      </w:r>
      <w:r>
        <w:rPr>
          <w:sz w:val="21"/>
          <w:shd w:fill="FFFFFF" w:val="clear"/>
        </w:rPr>
        <w:t>15个工作日内，完成全套资料归集整理，包含所有方案、审批文件、宣传素材、媒体汇编、赛事成绩、影像资料、安全台账、各类合同；撰写完整赛事总结报告，按甲方要求完成资料清点、移交、归档，出具归档验收清单。</w:t>
      </w:r>
    </w:p>
    <w:p>
      <w:pPr>
        <w:pStyle w:val="null3"/>
        <w:ind w:firstLine="545"/>
        <w:jc w:val="both"/>
      </w:pPr>
      <w:r>
        <w:rPr>
          <w:sz w:val="21"/>
          <w:b/>
          <w:shd w:fill="FFFFFF" w:val="clear"/>
        </w:rPr>
        <w:t>7.项目人员配置硬性标准</w:t>
      </w:r>
    </w:p>
    <w:p>
      <w:pPr>
        <w:pStyle w:val="null3"/>
        <w:ind w:firstLine="545"/>
        <w:jc w:val="both"/>
      </w:pPr>
      <w:r>
        <w:rPr>
          <w:sz w:val="21"/>
          <w:shd w:fill="FFFFFF" w:val="clear"/>
        </w:rPr>
        <w:t>（一）总执行团队人员不少于</w:t>
      </w:r>
      <w:r>
        <w:rPr>
          <w:sz w:val="21"/>
          <w:shd w:fill="FFFFFF" w:val="clear"/>
        </w:rPr>
        <w:t>25人，分设赛事统筹、场地执行、安全保障、宣传推广、物资后勤、颁奖服务专项小组；</w:t>
      </w:r>
    </w:p>
    <w:p>
      <w:pPr>
        <w:pStyle w:val="null3"/>
        <w:ind w:firstLine="545"/>
        <w:jc w:val="both"/>
      </w:pPr>
      <w:r>
        <w:rPr>
          <w:sz w:val="21"/>
          <w:shd w:fill="FFFFFF" w:val="clear"/>
        </w:rPr>
        <w:t>（二）配置专职项目经理</w:t>
      </w:r>
      <w:r>
        <w:rPr>
          <w:sz w:val="21"/>
          <w:shd w:fill="FFFFFF" w:val="clear"/>
        </w:rPr>
        <w:t>1名，具备3年以上综合性体育赛事统筹经验，近3年内担任千人级综合老年运动会项目负责人；</w:t>
      </w:r>
    </w:p>
    <w:p>
      <w:pPr>
        <w:pStyle w:val="null3"/>
        <w:ind w:firstLine="545"/>
        <w:jc w:val="both"/>
      </w:pPr>
      <w:r>
        <w:rPr>
          <w:sz w:val="21"/>
          <w:shd w:fill="FFFFFF" w:val="clear"/>
        </w:rPr>
        <w:t>（三）各工作小组设组长</w:t>
      </w:r>
      <w:r>
        <w:rPr>
          <w:sz w:val="21"/>
          <w:shd w:fill="FFFFFF" w:val="clear"/>
        </w:rPr>
        <w:t>1名，每组现场执行人员不少于3人，全员具备大型文体赛事服务经验；</w:t>
      </w:r>
    </w:p>
    <w:p>
      <w:pPr>
        <w:pStyle w:val="null3"/>
        <w:ind w:firstLine="545"/>
        <w:jc w:val="both"/>
      </w:pPr>
      <w:r>
        <w:rPr>
          <w:sz w:val="21"/>
          <w:shd w:fill="FFFFFF" w:val="clear"/>
        </w:rPr>
        <w:t>（四）项目经理、各组组长、宣传摄像、医疗负责人均认定为核心管理团队，赛事全程驻场；核心人员更换须提前</w:t>
      </w:r>
      <w:r>
        <w:rPr>
          <w:sz w:val="21"/>
          <w:shd w:fill="FFFFFF" w:val="clear"/>
        </w:rPr>
        <w:t>3个工作日报甲方书面同意，未经许可不得擅自调换。</w:t>
      </w:r>
      <w:r>
        <w:rPr>
          <w:sz w:val="21"/>
          <w:shd w:fill="FFFFFF" w:val="clear"/>
        </w:rPr>
        <w:t>乙方核心人员提交的资质证明文件须真实有效，甲方有权在履约过程中随时核验，发现资质造假的，甲方有权要求乙方立即更换同等及以上资质人员，并按</w:t>
      </w:r>
      <w:r>
        <w:rPr>
          <w:sz w:val="21"/>
          <w:shd w:fill="FFFFFF" w:val="clear"/>
        </w:rPr>
        <w:t>5000元/人次收取违约金，情节严重的有权解除合同。</w:t>
      </w:r>
    </w:p>
    <w:p>
      <w:pPr>
        <w:pStyle w:val="null3"/>
        <w:ind w:firstLine="545"/>
        <w:jc w:val="both"/>
      </w:pPr>
      <w:r>
        <w:rPr>
          <w:sz w:val="21"/>
          <w:b/>
          <w:shd w:fill="FFFFFF" w:val="clear"/>
        </w:rPr>
        <w:t>三、</w:t>
      </w:r>
      <w:r>
        <w:rPr>
          <w:sz w:val="21"/>
          <w:b/>
          <w:shd w:fill="FFFFFF" w:val="clear"/>
        </w:rPr>
        <w:t>验收要求</w:t>
      </w:r>
    </w:p>
    <w:p>
      <w:pPr>
        <w:pStyle w:val="null3"/>
        <w:jc w:val="both"/>
      </w:pPr>
      <w:r>
        <w:rPr>
          <w:sz w:val="21"/>
          <w:shd w:fill="FFFFFF" w:val="clear"/>
        </w:rPr>
        <w:t>（一）验收依据</w:t>
      </w:r>
    </w:p>
    <w:p>
      <w:pPr>
        <w:pStyle w:val="null3"/>
        <w:jc w:val="both"/>
      </w:pPr>
      <w:r>
        <w:rPr>
          <w:sz w:val="21"/>
          <w:shd w:fill="FFFFFF" w:val="clear"/>
        </w:rPr>
        <w:t>采购文件、经</w:t>
      </w:r>
      <w:r>
        <w:rPr>
          <w:sz w:val="21"/>
          <w:shd w:fill="FFFFFF" w:val="clear"/>
        </w:rPr>
        <w:t>甲方</w:t>
      </w:r>
      <w:r>
        <w:rPr>
          <w:sz w:val="21"/>
          <w:shd w:fill="FFFFFF" w:val="clear"/>
        </w:rPr>
        <w:t>审定的全套实施方案、国家体育赛事行业规范、安全生产及大型活动管理相关法律法规。</w:t>
      </w:r>
    </w:p>
    <w:p>
      <w:pPr>
        <w:pStyle w:val="null3"/>
        <w:ind w:firstLine="420"/>
        <w:jc w:val="both"/>
      </w:pPr>
      <w:r>
        <w:rPr>
          <w:sz w:val="21"/>
          <w:shd w:fill="FFFFFF" w:val="clear"/>
        </w:rPr>
        <w:t>（二）三级验收机制</w:t>
      </w:r>
    </w:p>
    <w:p>
      <w:pPr>
        <w:pStyle w:val="null3"/>
        <w:ind w:firstLine="420"/>
        <w:jc w:val="both"/>
      </w:pPr>
      <w:r>
        <w:rPr>
          <w:sz w:val="21"/>
          <w:shd w:fill="FFFFFF" w:val="clear"/>
        </w:rPr>
        <w:t>1.节点阶段性验收：方案报审、物料交付、场地布置、开闭幕式完成、半数赛事落地等关键节点，</w:t>
      </w:r>
      <w:r>
        <w:rPr>
          <w:sz w:val="21"/>
          <w:shd w:fill="FFFFFF" w:val="clear"/>
        </w:rPr>
        <w:t>甲方</w:t>
      </w:r>
      <w:r>
        <w:rPr>
          <w:sz w:val="21"/>
          <w:shd w:fill="FFFFFF" w:val="clear"/>
        </w:rPr>
        <w:t>开展阶段性核验</w:t>
      </w:r>
      <w:r>
        <w:rPr>
          <w:sz w:val="21"/>
          <w:shd w:fill="FFFFFF" w:val="clear"/>
        </w:rPr>
        <w:t>，</w:t>
      </w:r>
      <w:r>
        <w:rPr>
          <w:sz w:val="21"/>
          <w:shd w:fill="FFFFFF" w:val="clear"/>
        </w:rPr>
        <w:t>乙方提交验收申请及全套佐证材料后，甲方应于【</w:t>
      </w:r>
      <w:r>
        <w:rPr>
          <w:sz w:val="21"/>
          <w:shd w:fill="FFFFFF" w:val="clear"/>
        </w:rPr>
        <w:t>7</w:t>
      </w:r>
      <w:r>
        <w:rPr>
          <w:sz w:val="21"/>
          <w:shd w:fill="FFFFFF" w:val="clear"/>
        </w:rPr>
        <w:t>】个工作日内完成核验</w:t>
      </w:r>
      <w:r>
        <w:rPr>
          <w:sz w:val="21"/>
          <w:shd w:fill="FFFFFF" w:val="clear"/>
        </w:rPr>
        <w:t>；</w:t>
      </w:r>
      <w:r>
        <w:rPr>
          <w:sz w:val="21"/>
          <w:shd w:fill="FFFFFF" w:val="clear"/>
        </w:rPr>
        <w:t>甲方逾期未提出书面异议的，视为该阶段验收合格。</w:t>
      </w:r>
      <w:r>
        <w:rPr>
          <w:sz w:val="21"/>
          <w:shd w:fill="FFFFFF" w:val="clear"/>
        </w:rPr>
        <w:t>；不合格项</w:t>
      </w:r>
      <w:r>
        <w:rPr>
          <w:sz w:val="21"/>
          <w:shd w:fill="FFFFFF" w:val="clear"/>
        </w:rPr>
        <w:t>由乙方</w:t>
      </w:r>
      <w:r>
        <w:rPr>
          <w:sz w:val="21"/>
          <w:shd w:fill="FFFFFF" w:val="clear"/>
        </w:rPr>
        <w:t>限期整改，整改后二次核验仍不达标启动质量扣罚</w:t>
      </w:r>
      <w:r>
        <w:rPr>
          <w:sz w:val="21"/>
          <w:shd w:fill="FFFFFF" w:val="clear"/>
        </w:rPr>
        <w:t>，</w:t>
      </w:r>
      <w:r>
        <w:rPr>
          <w:sz w:val="21"/>
          <w:shd w:fill="FFFFFF" w:val="clear"/>
        </w:rPr>
        <w:t>具体扣罚金额以不合格事项的数量、严重程度及对项目进度和质量的影响为依据确定；</w:t>
      </w:r>
    </w:p>
    <w:p>
      <w:pPr>
        <w:pStyle w:val="null3"/>
        <w:ind w:firstLine="420"/>
        <w:jc w:val="both"/>
      </w:pPr>
      <w:r>
        <w:rPr>
          <w:sz w:val="21"/>
          <w:shd w:fill="FFFFFF" w:val="clear"/>
        </w:rPr>
        <w:t>2.现场即时核验：各单项赛事、开闭幕式结束后，</w:t>
      </w:r>
      <w:r>
        <w:rPr>
          <w:sz w:val="21"/>
          <w:shd w:fill="FFFFFF" w:val="clear"/>
        </w:rPr>
        <w:t>甲方</w:t>
      </w:r>
      <w:r>
        <w:rPr>
          <w:sz w:val="21"/>
          <w:shd w:fill="FFFFFF" w:val="clear"/>
        </w:rPr>
        <w:t>对现场组织、安全落实、服务质量开展现场核验；</w:t>
      </w:r>
    </w:p>
    <w:p>
      <w:pPr>
        <w:pStyle w:val="null3"/>
        <w:ind w:firstLine="420"/>
        <w:jc w:val="both"/>
      </w:pPr>
      <w:r>
        <w:rPr>
          <w:sz w:val="21"/>
          <w:shd w:fill="FFFFFF" w:val="clear"/>
        </w:rPr>
        <w:t>3.最终综合验收：全部赛事结束、全套资料归档移交完成后，组织综合验收，验收合格方可支付尾款。</w:t>
      </w:r>
      <w:r>
        <w:rPr>
          <w:sz w:val="21"/>
          <w:shd w:fill="FFFFFF" w:val="clear"/>
        </w:rPr>
        <w:t>甲方收到乙方验收申请后</w:t>
      </w:r>
      <w:r>
        <w:rPr>
          <w:sz w:val="21"/>
          <w:shd w:fill="FFFFFF" w:val="clear"/>
        </w:rPr>
        <w:t>10个工作日内完成验收，逾期未提异议视为合格。</w:t>
      </w:r>
    </w:p>
    <w:p>
      <w:pPr>
        <w:pStyle w:val="null3"/>
        <w:ind w:firstLine="420"/>
        <w:jc w:val="both"/>
      </w:pPr>
      <w:r>
        <w:rPr>
          <w:sz w:val="21"/>
          <w:shd w:fill="FFFFFF" w:val="clear"/>
        </w:rPr>
        <w:t>（三）一票否决情形</w:t>
      </w:r>
    </w:p>
    <w:p>
      <w:pPr>
        <w:pStyle w:val="null3"/>
        <w:ind w:firstLine="420"/>
        <w:jc w:val="both"/>
      </w:pPr>
      <w:r>
        <w:rPr>
          <w:sz w:val="21"/>
          <w:shd w:fill="FFFFFF" w:val="clear"/>
        </w:rPr>
        <w:t>1.安保、人流管控措施落实不到位，引发人群聚集、踩踏等重大安全风险；</w:t>
      </w:r>
    </w:p>
    <w:p>
      <w:pPr>
        <w:pStyle w:val="null3"/>
        <w:ind w:firstLine="420"/>
        <w:jc w:val="both"/>
      </w:pPr>
      <w:r>
        <w:rPr>
          <w:sz w:val="21"/>
          <w:shd w:fill="FFFFFF" w:val="clear"/>
        </w:rPr>
        <w:t>2.擅自将项目整体或核心服务转包、违法分包；</w:t>
      </w:r>
    </w:p>
    <w:p>
      <w:pPr>
        <w:pStyle w:val="null3"/>
        <w:ind w:firstLine="420"/>
        <w:jc w:val="both"/>
      </w:pPr>
      <w:r>
        <w:rPr>
          <w:sz w:val="21"/>
          <w:shd w:fill="FFFFFF" w:val="clear"/>
        </w:rPr>
        <w:t>3.全流程未按要求规范融入福彩公益宣传元素，造成重大舆.情或公益宣传缺失。</w:t>
      </w:r>
    </w:p>
    <w:p>
      <w:pPr>
        <w:pStyle w:val="null3"/>
        <w:ind w:firstLine="420"/>
        <w:jc w:val="both"/>
      </w:pPr>
      <w:r>
        <w:rPr>
          <w:sz w:val="21"/>
          <w:shd w:fill="FFFFFF" w:val="clear"/>
        </w:rPr>
        <w:t>（四）核心验收合格要点</w:t>
      </w:r>
    </w:p>
    <w:p>
      <w:pPr>
        <w:pStyle w:val="null3"/>
        <w:ind w:firstLine="420"/>
        <w:jc w:val="both"/>
      </w:pPr>
      <w:r>
        <w:rPr>
          <w:sz w:val="21"/>
          <w:shd w:fill="FFFFFF" w:val="clear"/>
        </w:rPr>
        <w:t>1.赛事组织流程规范，赛程设置科学，竞赛公平公正，无重大赛事申诉争议；</w:t>
      </w:r>
    </w:p>
    <w:p>
      <w:pPr>
        <w:pStyle w:val="null3"/>
        <w:ind w:firstLine="420"/>
        <w:jc w:val="both"/>
      </w:pPr>
      <w:r>
        <w:rPr>
          <w:sz w:val="21"/>
          <w:shd w:fill="FFFFFF" w:val="clear"/>
        </w:rPr>
        <w:t>2.安全、消防、医疗、人员保险保障体系完整落地，全程无安全、医疗责任事故；</w:t>
      </w:r>
    </w:p>
    <w:p>
      <w:pPr>
        <w:pStyle w:val="null3"/>
        <w:ind w:firstLine="420"/>
        <w:jc w:val="both"/>
      </w:pPr>
      <w:r>
        <w:rPr>
          <w:sz w:val="21"/>
          <w:shd w:fill="FFFFFF" w:val="clear"/>
        </w:rPr>
        <w:t>3.物资规格、数量、工艺符合约定标准，无重大质量瑕疵；</w:t>
      </w:r>
    </w:p>
    <w:p>
      <w:pPr>
        <w:pStyle w:val="null3"/>
        <w:ind w:firstLine="420"/>
        <w:jc w:val="both"/>
      </w:pPr>
      <w:r>
        <w:rPr>
          <w:sz w:val="21"/>
          <w:shd w:fill="FFFFFF" w:val="clear"/>
        </w:rPr>
        <w:t>4.宣传量化指标全部达标，福彩公益宣传全域覆盖；</w:t>
      </w:r>
    </w:p>
    <w:p>
      <w:pPr>
        <w:pStyle w:val="null3"/>
        <w:ind w:firstLine="420"/>
        <w:jc w:val="both"/>
      </w:pPr>
      <w:r>
        <w:rPr>
          <w:sz w:val="21"/>
          <w:shd w:fill="FFFFFF" w:val="clear"/>
        </w:rPr>
        <w:t>5.归档资料完整分类、台账清晰，总结报告详实规范；</w:t>
      </w:r>
    </w:p>
    <w:p>
      <w:pPr>
        <w:pStyle w:val="null3"/>
        <w:ind w:firstLine="420"/>
        <w:jc w:val="both"/>
      </w:pPr>
      <w:r>
        <w:rPr>
          <w:sz w:val="21"/>
          <w:shd w:fill="FFFFFF" w:val="clear"/>
        </w:rPr>
        <w:t>6.</w:t>
      </w:r>
      <w:r>
        <w:rPr>
          <w:sz w:val="21"/>
          <w:shd w:fill="FFFFFF" w:val="clear"/>
        </w:rPr>
        <w:t>乙方</w:t>
      </w:r>
      <w:r>
        <w:rPr>
          <w:sz w:val="21"/>
          <w:shd w:fill="FFFFFF" w:val="clear"/>
        </w:rPr>
        <w:t>全面履行合同全部服务条款，无逾期、重大质量问题。</w:t>
      </w:r>
    </w:p>
    <w:p>
      <w:pPr>
        <w:pStyle w:val="null3"/>
        <w:jc w:val="both"/>
      </w:pPr>
      <w:r>
        <w:rPr>
          <w:sz w:val="21"/>
          <w:b/>
          <w:shd w:fill="FFFFFF" w:val="clear"/>
        </w:rPr>
        <w:t>四、服务期间（项目完成期限）</w:t>
      </w:r>
    </w:p>
    <w:p>
      <w:pPr>
        <w:pStyle w:val="null3"/>
        <w:ind w:firstLine="420"/>
        <w:jc w:val="both"/>
      </w:pPr>
      <w:r>
        <w:rPr>
          <w:sz w:val="21"/>
          <w:shd w:fill="FFFFFF" w:val="clear"/>
        </w:rPr>
        <w:t>1.委托服务期间自</w:t>
      </w:r>
      <w:r>
        <w:rPr>
          <w:sz w:val="21"/>
          <w:shd w:fill="FFFFFF" w:val="clear"/>
        </w:rPr>
        <w:t>合同签订之日起，</w:t>
      </w:r>
      <w:r>
        <w:rPr>
          <w:sz w:val="21"/>
          <w:shd w:fill="FFFFFF" w:val="clear"/>
        </w:rPr>
        <w:t>至</w:t>
      </w:r>
      <w:r>
        <w:rPr>
          <w:sz w:val="21"/>
          <w:shd w:fill="FFFFFF" w:val="clear"/>
        </w:rPr>
        <w:t>赛事筹备、开闭幕式、全部赛事收尾、资料归档并通过采购方最终验收之日</w:t>
      </w:r>
      <w:r>
        <w:rPr>
          <w:sz w:val="21"/>
          <w:shd w:fill="FFFFFF" w:val="clear"/>
        </w:rPr>
        <w:t>止。</w:t>
      </w:r>
    </w:p>
    <w:p>
      <w:pPr>
        <w:pStyle w:val="null3"/>
        <w:jc w:val="both"/>
      </w:pPr>
      <w:r>
        <w:rPr>
          <w:sz w:val="21"/>
          <w:b/>
          <w:shd w:fill="FFFFFF" w:val="clear"/>
        </w:rPr>
        <w:t>五、付款方式</w:t>
      </w:r>
    </w:p>
    <w:p>
      <w:pPr>
        <w:pStyle w:val="null3"/>
        <w:jc w:val="both"/>
      </w:pPr>
      <w:r>
        <w:rPr>
          <w:sz w:val="21"/>
          <w:shd w:fill="FFFFFF" w:val="clear"/>
        </w:rPr>
        <w:t>　　由甲方按下列程序在</w:t>
      </w:r>
      <w:r>
        <w:rPr>
          <w:u w:val="single"/>
          <w:shd w:fill="FFFFFF" w:val="clear"/>
        </w:rPr>
        <w:t xml:space="preserve">       </w:t>
      </w:r>
      <w:r>
        <w:rPr>
          <w:sz w:val="21"/>
          <w:shd w:fill="FFFFFF" w:val="clear"/>
        </w:rPr>
        <w:t xml:space="preserve"> </w:t>
      </w:r>
      <w:r>
        <w:rPr>
          <w:sz w:val="21"/>
          <w:shd w:fill="FFFFFF" w:val="clear"/>
        </w:rPr>
        <w:t>内付款：</w:t>
      </w:r>
    </w:p>
    <w:p>
      <w:pPr>
        <w:pStyle w:val="null3"/>
        <w:jc w:val="both"/>
      </w:pPr>
      <w:r>
        <w:rPr>
          <w:sz w:val="21"/>
          <w:shd w:fill="FFFFFF" w:val="clear"/>
        </w:rPr>
        <w:t>1.合同签订、</w:t>
      </w:r>
      <w:r>
        <w:rPr>
          <w:sz w:val="21"/>
          <w:shd w:fill="FFFFFF" w:val="clear"/>
        </w:rPr>
        <w:t>乙方</w:t>
      </w:r>
      <w:r>
        <w:rPr>
          <w:sz w:val="21"/>
          <w:shd w:fill="FFFFFF" w:val="clear"/>
        </w:rPr>
        <w:t>进场筹备，节点验收合格后支付合同总额</w:t>
      </w:r>
      <w:r>
        <w:rPr>
          <w:sz w:val="21"/>
          <w:shd w:fill="FFFFFF" w:val="clear"/>
        </w:rPr>
        <w:t>30%预付款；</w:t>
      </w:r>
    </w:p>
    <w:p>
      <w:pPr>
        <w:pStyle w:val="null3"/>
        <w:ind w:firstLine="420"/>
        <w:jc w:val="both"/>
      </w:pPr>
      <w:r>
        <w:rPr>
          <w:sz w:val="21"/>
          <w:shd w:fill="FFFFFF" w:val="clear"/>
        </w:rPr>
        <w:t>2.开闭幕式落地、半数以上单项赛事完成，阶段性验收合格后支付40%进度款；</w:t>
      </w:r>
    </w:p>
    <w:p>
      <w:pPr>
        <w:pStyle w:val="null3"/>
        <w:ind w:firstLine="420"/>
        <w:jc w:val="both"/>
      </w:pPr>
      <w:r>
        <w:rPr>
          <w:sz w:val="21"/>
          <w:shd w:fill="FFFFFF" w:val="clear"/>
        </w:rPr>
        <w:t>3.全部赛事结束、资料完整归档、最终综合验收合格后，支付剩余30%尾款；各阶段付款前</w:t>
      </w:r>
      <w:r>
        <w:rPr>
          <w:sz w:val="21"/>
          <w:shd w:fill="FFFFFF" w:val="clear"/>
        </w:rPr>
        <w:t>乙方</w:t>
      </w:r>
      <w:r>
        <w:rPr>
          <w:sz w:val="21"/>
          <w:shd w:fill="FFFFFF" w:val="clear"/>
        </w:rPr>
        <w:t>须提交验收申请、全套佐证材料，经</w:t>
      </w:r>
      <w:r>
        <w:rPr>
          <w:sz w:val="21"/>
          <w:shd w:fill="FFFFFF" w:val="clear"/>
        </w:rPr>
        <w:t>甲方</w:t>
      </w:r>
      <w:r>
        <w:rPr>
          <w:sz w:val="21"/>
          <w:shd w:fill="FFFFFF" w:val="clear"/>
        </w:rPr>
        <w:t>核验通过后方可办理支付。</w:t>
      </w:r>
    </w:p>
    <w:p>
      <w:pPr>
        <w:pStyle w:val="null3"/>
        <w:jc w:val="both"/>
      </w:pPr>
      <w:r>
        <w:rPr>
          <w:shd w:fill="FFFFFF" w:val="clear"/>
        </w:rPr>
        <w:t xml:space="preserve">   </w:t>
      </w:r>
      <w:r>
        <w:rPr>
          <w:sz w:val="21"/>
          <w:shd w:fill="FFFFFF" w:val="clear"/>
        </w:rPr>
        <w:t>注</w:t>
      </w:r>
      <w:r>
        <w:rPr>
          <w:sz w:val="21"/>
          <w:shd w:fill="FFFFFF" w:val="clear"/>
        </w:rPr>
        <w:t>:本项目由政府财政拨款，</w:t>
      </w:r>
      <w:r>
        <w:rPr>
          <w:sz w:val="21"/>
          <w:shd w:fill="FFFFFF" w:val="clear"/>
        </w:rPr>
        <w:t>乙方</w:t>
      </w:r>
      <w:r>
        <w:rPr>
          <w:sz w:val="21"/>
          <w:shd w:fill="FFFFFF" w:val="clear"/>
        </w:rPr>
        <w:t>向</w:t>
      </w:r>
      <w:r>
        <w:rPr>
          <w:sz w:val="21"/>
          <w:shd w:fill="FFFFFF" w:val="clear"/>
        </w:rPr>
        <w:t>甲方</w:t>
      </w:r>
      <w:r>
        <w:rPr>
          <w:sz w:val="21"/>
          <w:shd w:fill="FFFFFF" w:val="clear"/>
        </w:rPr>
        <w:t>提交请款报告，经由财政部门按财政支付流程核准后</w:t>
      </w:r>
      <w:r>
        <w:rPr>
          <w:sz w:val="21"/>
          <w:shd w:fill="FFFFFF" w:val="clear"/>
        </w:rPr>
        <w:t>30天内进行支付，如因政策的影响，拨款未能及时到位，</w:t>
      </w:r>
      <w:r>
        <w:rPr>
          <w:sz w:val="21"/>
          <w:shd w:fill="FFFFFF" w:val="clear"/>
        </w:rPr>
        <w:t>乙方</w:t>
      </w:r>
      <w:r>
        <w:rPr>
          <w:sz w:val="21"/>
          <w:shd w:fill="FFFFFF" w:val="clear"/>
        </w:rPr>
        <w:t>不得以此为由不履行本合同规定的义务或者追究</w:t>
      </w:r>
      <w:r>
        <w:rPr>
          <w:sz w:val="21"/>
          <w:shd w:fill="FFFFFF" w:val="clear"/>
        </w:rPr>
        <w:t>甲方</w:t>
      </w:r>
      <w:r>
        <w:rPr>
          <w:sz w:val="21"/>
          <w:shd w:fill="FFFFFF" w:val="clear"/>
        </w:rPr>
        <w:t>的违约责任。</w:t>
      </w:r>
      <w:r>
        <w:rPr>
          <w:sz w:val="21"/>
          <w:shd w:fill="FFFFFF" w:val="clear"/>
        </w:rPr>
        <w:t>如项目发生合同融资，</w:t>
      </w:r>
      <w:r>
        <w:rPr>
          <w:sz w:val="21"/>
          <w:shd w:fill="FFFFFF" w:val="clear"/>
        </w:rPr>
        <w:t>甲方</w:t>
      </w:r>
      <w:r>
        <w:rPr>
          <w:sz w:val="21"/>
          <w:shd w:fill="FFFFFF" w:val="clear"/>
        </w:rPr>
        <w:t>应当将合同款项支付到合同约定收款账户。</w:t>
      </w:r>
    </w:p>
    <w:p>
      <w:pPr>
        <w:pStyle w:val="null3"/>
        <w:ind w:firstLine="420"/>
        <w:jc w:val="both"/>
      </w:pPr>
      <w:r>
        <w:rPr>
          <w:sz w:val="21"/>
          <w:shd w:fill="FFFFFF" w:val="clear"/>
        </w:rPr>
        <w:t>如项目发生合同融资，</w:t>
      </w:r>
      <w:r>
        <w:rPr>
          <w:sz w:val="21"/>
          <w:shd w:fill="FFFFFF" w:val="clear"/>
        </w:rPr>
        <w:t>甲方</w:t>
      </w:r>
      <w:r>
        <w:rPr>
          <w:sz w:val="21"/>
          <w:shd w:fill="FFFFFF" w:val="clear"/>
        </w:rPr>
        <w:t>需将合同款项支付到合同约定收款账户</w:t>
      </w:r>
    </w:p>
    <w:p>
      <w:pPr>
        <w:pStyle w:val="null3"/>
        <w:jc w:val="both"/>
      </w:pPr>
      <w:r>
        <w:rPr>
          <w:sz w:val="21"/>
          <w:b/>
          <w:shd w:fill="FFFFFF" w:val="clear"/>
        </w:rPr>
        <w:t>六、</w:t>
      </w:r>
      <w:r>
        <w:rPr>
          <w:sz w:val="21"/>
          <w:b/>
          <w:shd w:fill="FFFFFF" w:val="clear"/>
        </w:rPr>
        <w:t>知识产权归属</w:t>
      </w:r>
    </w:p>
    <w:p>
      <w:pPr>
        <w:pStyle w:val="null3"/>
        <w:ind w:firstLine="420"/>
        <w:jc w:val="both"/>
      </w:pPr>
      <w:r>
        <w:rPr>
          <w:sz w:val="21"/>
          <w:shd w:fill="FFFFFF" w:val="clear"/>
        </w:rPr>
        <w:t>本项目全部产出成果（方案、宣传片、设计物料、影像素材、赛事文档等）知识产权全部归</w:t>
      </w:r>
      <w:r>
        <w:rPr>
          <w:sz w:val="21"/>
          <w:shd w:fill="FFFFFF" w:val="clear"/>
        </w:rPr>
        <w:t>甲方</w:t>
      </w:r>
      <w:r>
        <w:rPr>
          <w:sz w:val="21"/>
          <w:shd w:fill="FFFFFF" w:val="clear"/>
        </w:rPr>
        <w:t>所有；</w:t>
      </w:r>
      <w:r>
        <w:rPr>
          <w:sz w:val="21"/>
          <w:shd w:fill="FFFFFF" w:val="clear"/>
        </w:rPr>
        <w:t>乙方</w:t>
      </w:r>
      <w:r>
        <w:rPr>
          <w:sz w:val="21"/>
          <w:shd w:fill="FFFFFF" w:val="clear"/>
        </w:rPr>
        <w:t>未经</w:t>
      </w:r>
      <w:r>
        <w:rPr>
          <w:sz w:val="21"/>
          <w:shd w:fill="FFFFFF" w:val="clear"/>
        </w:rPr>
        <w:t>甲方</w:t>
      </w:r>
      <w:r>
        <w:rPr>
          <w:sz w:val="21"/>
          <w:shd w:fill="FFFFFF" w:val="clear"/>
        </w:rPr>
        <w:t>书面许可，不得擅自使用、复制、对外传播、参评各类奖项。</w:t>
      </w:r>
    </w:p>
    <w:p>
      <w:pPr>
        <w:pStyle w:val="null3"/>
        <w:numPr>
          <w:ilvl w:val="0"/>
          <w:numId w:val="1"/>
        </w:numPr>
        <w:jc w:val="both"/>
      </w:pPr>
      <w:r>
        <w:rPr>
          <w:sz w:val="21"/>
          <w:b/>
          <w:shd w:fill="FFFFFF" w:val="clear"/>
        </w:rPr>
        <w:t>保密</w:t>
      </w:r>
    </w:p>
    <w:p>
      <w:pPr>
        <w:pStyle w:val="null3"/>
        <w:ind w:firstLine="420"/>
        <w:jc w:val="both"/>
      </w:pPr>
      <w:r>
        <w:rPr>
          <w:sz w:val="21"/>
          <w:shd w:fill="FFFFFF" w:val="clear"/>
        </w:rPr>
        <w:t>乙方</w:t>
      </w:r>
      <w:r>
        <w:rPr>
          <w:sz w:val="21"/>
          <w:shd w:fill="FFFFFF" w:val="clear"/>
        </w:rPr>
        <w:t>对赛事数据、参赛人员个人信息、</w:t>
      </w:r>
      <w:r>
        <w:rPr>
          <w:sz w:val="21"/>
          <w:shd w:fill="FFFFFF" w:val="clear"/>
        </w:rPr>
        <w:t>甲方</w:t>
      </w:r>
      <w:r>
        <w:rPr>
          <w:sz w:val="21"/>
          <w:shd w:fill="FFFFFF" w:val="clear"/>
        </w:rPr>
        <w:t>内部工作资料严格保密，服务期满后永久承担保密责任，不得向第三方泄露。</w:t>
      </w:r>
    </w:p>
    <w:p>
      <w:pPr>
        <w:pStyle w:val="null3"/>
        <w:jc w:val="both"/>
      </w:pPr>
      <w:r>
        <w:rPr>
          <w:sz w:val="21"/>
          <w:b/>
          <w:shd w:fill="FFFFFF" w:val="clear"/>
        </w:rPr>
        <w:t>八、违约责任与赔偿损失</w:t>
      </w:r>
    </w:p>
    <w:p>
      <w:pPr>
        <w:pStyle w:val="null3"/>
        <w:ind w:firstLine="420"/>
        <w:jc w:val="both"/>
      </w:pPr>
      <w:r>
        <w:rPr>
          <w:sz w:val="21"/>
          <w:shd w:fill="FFFFFF" w:val="clear"/>
        </w:rPr>
        <w:t>1.乙方提供的服务不符合本合同规定的，甲方有权拒收，并且乙方须向甲方方支付本合同总价5%的违约金，</w:t>
      </w:r>
      <w:r>
        <w:rPr>
          <w:sz w:val="21"/>
          <w:shd w:fill="FFFFFF" w:val="clear"/>
        </w:rPr>
        <w:t>甲方有权从尚未支付的任意合同款项中直接扣除该违约金；不足部分，甲方有权向乙方追偿。</w:t>
      </w:r>
    </w:p>
    <w:p>
      <w:pPr>
        <w:pStyle w:val="null3"/>
        <w:ind w:firstLine="420"/>
        <w:jc w:val="both"/>
      </w:pPr>
      <w:r>
        <w:rPr>
          <w:sz w:val="21"/>
          <w:shd w:fill="FFFFFF" w:val="clear"/>
        </w:rPr>
        <w:t>2</w:t>
      </w:r>
      <w:r>
        <w:rPr>
          <w:sz w:val="21"/>
          <w:shd w:fill="FFFFFF" w:val="clear"/>
        </w:rPr>
        <w:t>.</w:t>
      </w:r>
      <w:r>
        <w:rPr>
          <w:sz w:val="21"/>
          <w:shd w:fill="FFFFFF" w:val="clear"/>
        </w:rPr>
        <w:t>进度延误：关键节点逾期交付，每日按合同总金额</w:t>
      </w:r>
      <w:r>
        <w:rPr>
          <w:sz w:val="21"/>
          <w:shd w:fill="FFFFFF" w:val="clear"/>
        </w:rPr>
        <w:t>0.5%支付违约金；逾期超7天且无正当理由，</w:t>
      </w:r>
      <w:r>
        <w:rPr>
          <w:sz w:val="21"/>
          <w:shd w:fill="FFFFFF" w:val="clear"/>
        </w:rPr>
        <w:t>甲方</w:t>
      </w:r>
      <w:r>
        <w:rPr>
          <w:sz w:val="21"/>
          <w:shd w:fill="FFFFFF" w:val="clear"/>
        </w:rPr>
        <w:t>有权单方解约，</w:t>
      </w:r>
      <w:r>
        <w:rPr>
          <w:sz w:val="21"/>
          <w:shd w:fill="FFFFFF" w:val="clear"/>
        </w:rPr>
        <w:t>乙方应在收到甲方书面解约通知后</w:t>
      </w:r>
      <w:r>
        <w:rPr>
          <w:sz w:val="21"/>
          <w:shd w:fill="FFFFFF" w:val="clear"/>
        </w:rPr>
        <w:t>10个工作日内</w:t>
      </w:r>
      <w:r>
        <w:rPr>
          <w:sz w:val="21"/>
          <w:shd w:fill="FFFFFF" w:val="clear"/>
        </w:rPr>
        <w:t>全额退还已收款项，并支付合同总额</w:t>
      </w:r>
      <w:r>
        <w:rPr>
          <w:sz w:val="21"/>
          <w:shd w:fill="FFFFFF" w:val="clear"/>
        </w:rPr>
        <w:t>5%违约金</w:t>
      </w:r>
      <w:r>
        <w:rPr>
          <w:sz w:val="21"/>
          <w:shd w:fill="FFFFFF" w:val="clear"/>
        </w:rPr>
        <w:t>；解约后，乙方应在解约生效之日起</w:t>
      </w:r>
      <w:r>
        <w:rPr>
          <w:sz w:val="21"/>
          <w:shd w:fill="FFFFFF" w:val="clear"/>
        </w:rPr>
        <w:t>3日内配合甲方完成现场交接、全部</w:t>
      </w:r>
      <w:r>
        <w:rPr>
          <w:sz w:val="21"/>
          <w:shd w:fill="FFFFFF" w:val="clear"/>
        </w:rPr>
        <w:t>资料</w:t>
      </w:r>
      <w:r>
        <w:rPr>
          <w:sz w:val="21"/>
          <w:shd w:fill="FFFFFF" w:val="clear"/>
        </w:rPr>
        <w:t>移交等退场工作，逾期配合的，每日按合同总金额</w:t>
      </w:r>
      <w:r>
        <w:rPr>
          <w:sz w:val="21"/>
          <w:shd w:fill="FFFFFF" w:val="clear"/>
        </w:rPr>
        <w:t>0.3%支付违约金</w:t>
      </w:r>
      <w:r>
        <w:rPr>
          <w:sz w:val="21"/>
          <w:shd w:fill="FFFFFF" w:val="clear"/>
        </w:rPr>
        <w:t>；</w:t>
      </w:r>
      <w:r>
        <w:rPr>
          <w:sz w:val="21"/>
          <w:shd w:fill="FFFFFF" w:val="clear"/>
        </w:rPr>
        <w:t>资料归档逾期每日按</w:t>
      </w:r>
      <w:r>
        <w:rPr>
          <w:sz w:val="21"/>
          <w:shd w:fill="FFFFFF" w:val="clear"/>
        </w:rPr>
        <w:t>0.3%计收违约金，超15天</w:t>
      </w:r>
      <w:r>
        <w:rPr>
          <w:sz w:val="21"/>
          <w:shd w:fill="FFFFFF" w:val="clear"/>
        </w:rPr>
        <w:t>甲方</w:t>
      </w:r>
      <w:r>
        <w:rPr>
          <w:sz w:val="21"/>
          <w:shd w:fill="FFFFFF" w:val="clear"/>
        </w:rPr>
        <w:t>可暂缓支付尾款；</w:t>
      </w:r>
    </w:p>
    <w:p>
      <w:pPr>
        <w:pStyle w:val="null3"/>
        <w:ind w:firstLine="420"/>
        <w:jc w:val="both"/>
      </w:pPr>
      <w:r>
        <w:rPr>
          <w:sz w:val="21"/>
          <w:shd w:fill="FFFFFF" w:val="clear"/>
        </w:rPr>
        <w:t>3</w:t>
      </w:r>
      <w:r>
        <w:rPr>
          <w:sz w:val="21"/>
          <w:shd w:fill="FFFFFF" w:val="clear"/>
        </w:rPr>
        <w:t>.人员违规：核心人员资质不达标、未经许可擅自更换，3个工作日内整改并按5000元/人次支付违约金；逾期未整改造成赛事延误，</w:t>
      </w:r>
      <w:r>
        <w:rPr>
          <w:sz w:val="21"/>
          <w:shd w:fill="FFFFFF" w:val="clear"/>
        </w:rPr>
        <w:t>甲方</w:t>
      </w:r>
      <w:r>
        <w:rPr>
          <w:sz w:val="21"/>
          <w:shd w:fill="FFFFFF" w:val="clear"/>
        </w:rPr>
        <w:t>可解除合同并追偿全部损失</w:t>
      </w:r>
      <w:r>
        <w:rPr>
          <w:sz w:val="21"/>
          <w:shd w:fill="FFFFFF" w:val="clear"/>
        </w:rPr>
        <w:t>（包括但不限于另行委托第三方完成的费用、向第三方支付的赔偿金等）</w:t>
      </w:r>
      <w:r>
        <w:rPr>
          <w:sz w:val="21"/>
          <w:shd w:fill="FFFFFF" w:val="clear"/>
        </w:rPr>
        <w:t>；</w:t>
      </w:r>
    </w:p>
    <w:p>
      <w:pPr>
        <w:pStyle w:val="null3"/>
        <w:ind w:firstLine="420"/>
        <w:jc w:val="both"/>
      </w:pPr>
      <w:r>
        <w:rPr>
          <w:sz w:val="21"/>
          <w:shd w:fill="FFFFFF" w:val="clear"/>
        </w:rPr>
        <w:t>4</w:t>
      </w:r>
      <w:r>
        <w:rPr>
          <w:sz w:val="21"/>
          <w:shd w:fill="FFFFFF" w:val="clear"/>
        </w:rPr>
        <w:t>.服务质量不达标：物资、服务未达标准限期整改，整改不合格按验收评分扣减合同价款；造成负面舆.情、经济损失由</w:t>
      </w:r>
      <w:r>
        <w:rPr>
          <w:sz w:val="21"/>
          <w:shd w:fill="FFFFFF" w:val="clear"/>
        </w:rPr>
        <w:t>乙方</w:t>
      </w:r>
      <w:r>
        <w:rPr>
          <w:sz w:val="21"/>
          <w:shd w:fill="FFFFFF" w:val="clear"/>
        </w:rPr>
        <w:t>全额赔偿；</w:t>
      </w:r>
      <w:r>
        <w:rPr>
          <w:sz w:val="21"/>
          <w:shd w:fill="FFFFFF" w:val="clear"/>
        </w:rPr>
        <w:t>如乙方整改后仍不符合验收要求，甲方有权委托第三方完成整改工作，产生的全部费用由乙方承担，甲方可直接从尚未支付的合同款或履约保证金中抵扣，不足部分有权向乙方追偿。</w:t>
      </w:r>
    </w:p>
    <w:p>
      <w:pPr>
        <w:pStyle w:val="null3"/>
        <w:ind w:firstLine="420"/>
        <w:jc w:val="both"/>
      </w:pPr>
      <w:r>
        <w:rPr>
          <w:sz w:val="21"/>
          <w:shd w:fill="FFFFFF" w:val="clear"/>
        </w:rPr>
        <w:t>5</w:t>
      </w:r>
      <w:r>
        <w:rPr>
          <w:sz w:val="21"/>
          <w:shd w:fill="FFFFFF" w:val="clear"/>
        </w:rPr>
        <w:t>.安全事故责任：因</w:t>
      </w:r>
      <w:r>
        <w:rPr>
          <w:sz w:val="21"/>
          <w:shd w:fill="FFFFFF" w:val="clear"/>
        </w:rPr>
        <w:t>乙方</w:t>
      </w:r>
      <w:r>
        <w:rPr>
          <w:sz w:val="21"/>
          <w:shd w:fill="FFFFFF" w:val="clear"/>
        </w:rPr>
        <w:t>安全管理疏漏引发安全责任事故，全部救治、善后、财产损失由</w:t>
      </w:r>
      <w:r>
        <w:rPr>
          <w:sz w:val="21"/>
          <w:shd w:fill="FFFFFF" w:val="clear"/>
        </w:rPr>
        <w:t>乙方</w:t>
      </w:r>
      <w:r>
        <w:rPr>
          <w:sz w:val="21"/>
          <w:shd w:fill="FFFFFF" w:val="clear"/>
        </w:rPr>
        <w:t>承担</w:t>
      </w:r>
      <w:r>
        <w:rPr>
          <w:sz w:val="21"/>
          <w:shd w:fill="FFFFFF" w:val="clear"/>
        </w:rPr>
        <w:t>（包括但不限于诉讼费、律师费、鉴定费、公证费等）</w:t>
      </w:r>
      <w:r>
        <w:rPr>
          <w:sz w:val="21"/>
          <w:shd w:fill="FFFFFF" w:val="clear"/>
        </w:rPr>
        <w:t>，</w:t>
      </w:r>
      <w:r>
        <w:rPr>
          <w:sz w:val="21"/>
          <w:shd w:fill="FFFFFF" w:val="clear"/>
        </w:rPr>
        <w:t>甲方</w:t>
      </w:r>
      <w:r>
        <w:rPr>
          <w:sz w:val="21"/>
          <w:shd w:fill="FFFFFF" w:val="clear"/>
        </w:rPr>
        <w:t>全额扣除履约保证金；情节严重、造成重大负面影响</w:t>
      </w:r>
      <w:r>
        <w:rPr>
          <w:sz w:val="21"/>
          <w:shd w:fill="FFFFFF" w:val="clear"/>
        </w:rPr>
        <w:t>的，</w:t>
      </w:r>
      <w:r>
        <w:rPr>
          <w:sz w:val="21"/>
          <w:shd w:fill="FFFFFF" w:val="clear"/>
        </w:rPr>
        <w:t>甲方有权</w:t>
      </w:r>
      <w:r>
        <w:rPr>
          <w:sz w:val="21"/>
          <w:shd w:fill="FFFFFF" w:val="clear"/>
        </w:rPr>
        <w:t>立即解除合同，依法追责；</w:t>
      </w:r>
    </w:p>
    <w:p>
      <w:pPr>
        <w:pStyle w:val="null3"/>
        <w:ind w:firstLine="420"/>
        <w:jc w:val="both"/>
      </w:pPr>
      <w:r>
        <w:rPr>
          <w:sz w:val="21"/>
          <w:shd w:fill="FFFFFF" w:val="clear"/>
        </w:rPr>
        <w:t>6</w:t>
      </w:r>
      <w:r>
        <w:rPr>
          <w:sz w:val="21"/>
          <w:shd w:fill="FFFFFF" w:val="clear"/>
        </w:rPr>
        <w:t>.转包分包：擅自转包、分包核心服务，</w:t>
      </w:r>
      <w:r>
        <w:rPr>
          <w:sz w:val="21"/>
          <w:shd w:fill="FFFFFF" w:val="clear"/>
        </w:rPr>
        <w:t>甲方</w:t>
      </w:r>
      <w:r>
        <w:rPr>
          <w:sz w:val="21"/>
          <w:shd w:fill="FFFFFF" w:val="clear"/>
        </w:rPr>
        <w:t>立即解除合同、没收全部履约保证金，</w:t>
      </w:r>
      <w:r>
        <w:rPr>
          <w:sz w:val="21"/>
          <w:shd w:fill="FFFFFF" w:val="clear"/>
        </w:rPr>
        <w:t>乙方</w:t>
      </w:r>
      <w:r>
        <w:rPr>
          <w:sz w:val="21"/>
          <w:shd w:fill="FFFFFF" w:val="clear"/>
        </w:rPr>
        <w:t>支付合同总额</w:t>
      </w:r>
      <w:r>
        <w:rPr>
          <w:sz w:val="21"/>
          <w:shd w:fill="FFFFFF" w:val="clear"/>
        </w:rPr>
        <w:t>10%违约金，并承担全部损失；</w:t>
      </w:r>
    </w:p>
    <w:p>
      <w:pPr>
        <w:pStyle w:val="null3"/>
        <w:ind w:firstLine="420"/>
        <w:jc w:val="both"/>
      </w:pPr>
      <w:r>
        <w:rPr>
          <w:sz w:val="21"/>
          <w:shd w:fill="FFFFFF" w:val="clear"/>
        </w:rPr>
        <w:t>7</w:t>
      </w:r>
      <w:r>
        <w:rPr>
          <w:sz w:val="21"/>
          <w:shd w:fill="FFFFFF" w:val="clear"/>
        </w:rPr>
        <w:t>.知识产权与保密违约：擅自使用项目成果、泄露涉密信息，按合同总额5%支付违约金，造成损失另行赔偿，涉嫌违法移交司法机关。</w:t>
      </w:r>
    </w:p>
    <w:p>
      <w:pPr>
        <w:pStyle w:val="null3"/>
        <w:ind w:firstLine="420"/>
        <w:jc w:val="both"/>
      </w:pPr>
      <w:r>
        <w:rPr>
          <w:sz w:val="21"/>
          <w:shd w:fill="FFFFFF" w:val="clear"/>
        </w:rPr>
        <w:t>8</w:t>
      </w:r>
      <w:r>
        <w:rPr>
          <w:sz w:val="21"/>
          <w:shd w:fill="FFFFFF" w:val="clear"/>
        </w:rPr>
        <w:t>.其它违约责任按《中华人民共和国民法典(合同编)》处理。</w:t>
      </w:r>
    </w:p>
    <w:p>
      <w:pPr>
        <w:pStyle w:val="null3"/>
        <w:jc w:val="both"/>
      </w:pPr>
      <w:r>
        <w:rPr>
          <w:sz w:val="21"/>
          <w:b/>
          <w:shd w:fill="FFFFFF" w:val="clear"/>
        </w:rPr>
        <w:t>九、争议的解决</w:t>
      </w:r>
    </w:p>
    <w:p>
      <w:pPr>
        <w:pStyle w:val="null3"/>
        <w:ind w:firstLine="420"/>
        <w:jc w:val="both"/>
      </w:pPr>
      <w:r>
        <w:rPr>
          <w:sz w:val="21"/>
          <w:shd w:fill="FFFFFF" w:val="clear"/>
        </w:rPr>
        <w:t>合同执行过程中发生的任何争议，如双方不能通过友好协商解决，</w:t>
      </w:r>
      <w:r>
        <w:rPr>
          <w:sz w:val="21"/>
          <w:shd w:fill="FFFFFF" w:val="clear"/>
        </w:rPr>
        <w:t>向甲方（东莞市福利彩票发行中心）所在地有管辖权的人民</w:t>
      </w:r>
      <w:r>
        <w:rPr>
          <w:sz w:val="21"/>
          <w:shd w:fill="FFFFFF" w:val="clear"/>
        </w:rPr>
        <w:t>法</w:t>
      </w:r>
      <w:r>
        <w:rPr>
          <w:sz w:val="21"/>
          <w:shd w:fill="FFFFFF" w:val="clear"/>
        </w:rPr>
        <w:t>院提起诉讼</w:t>
      </w:r>
      <w:r>
        <w:rPr>
          <w:sz w:val="21"/>
          <w:shd w:fill="FFFFFF" w:val="clear"/>
        </w:rPr>
        <w:t>。</w:t>
      </w:r>
    </w:p>
    <w:p>
      <w:pPr>
        <w:pStyle w:val="null3"/>
        <w:ind w:firstLine="420"/>
        <w:jc w:val="both"/>
      </w:pPr>
      <w:r>
        <w:rPr>
          <w:shd w:fill="FFFFFF" w:val="clear"/>
        </w:rPr>
        <w:t xml:space="preserve">     </w:t>
      </w:r>
    </w:p>
    <w:p>
      <w:pPr>
        <w:pStyle w:val="null3"/>
        <w:jc w:val="both"/>
      </w:pPr>
      <w:r>
        <w:rPr>
          <w:sz w:val="21"/>
          <w:b/>
          <w:shd w:fill="FFFFFF" w:val="clear"/>
        </w:rPr>
        <w:t>十、不可抗力</w:t>
      </w:r>
    </w:p>
    <w:p>
      <w:pPr>
        <w:pStyle w:val="null3"/>
        <w:jc w:val="both"/>
      </w:pPr>
      <w:r>
        <w:rPr>
          <w:sz w:val="21"/>
          <w:shd w:fill="FFFFFF" w:val="clear"/>
        </w:rPr>
        <w:t>任何一方由于不可抗力原因不能履行合同时，应在不可抗力事件结束后</w:t>
      </w:r>
      <w:r>
        <w:rPr>
          <w:sz w:val="21"/>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shd w:fill="FFFFFF" w:val="clear"/>
        </w:rPr>
        <w:t>十一、税费</w:t>
      </w:r>
    </w:p>
    <w:p>
      <w:pPr>
        <w:pStyle w:val="null3"/>
        <w:jc w:val="both"/>
      </w:pPr>
      <w:r>
        <w:rPr>
          <w:sz w:val="21"/>
          <w:shd w:fill="FFFFFF" w:val="clear"/>
        </w:rPr>
        <w:t>在中国境内、外发生的与本合同执行有关的一切税费均由乙方负担。</w:t>
      </w:r>
    </w:p>
    <w:p>
      <w:pPr>
        <w:pStyle w:val="null3"/>
        <w:jc w:val="both"/>
      </w:pPr>
      <w:r>
        <w:rPr>
          <w:sz w:val="21"/>
          <w:b/>
          <w:shd w:fill="FFFFFF" w:val="clear"/>
        </w:rPr>
        <w:t>十二、其它</w:t>
      </w:r>
    </w:p>
    <w:p>
      <w:pPr>
        <w:pStyle w:val="null3"/>
        <w:ind w:firstLine="420"/>
        <w:jc w:val="both"/>
      </w:pPr>
      <w:r>
        <w:rPr>
          <w:sz w:val="21"/>
          <w:shd w:fill="FFFFFF" w:val="clear"/>
        </w:rPr>
        <w:t>1.本合同所有附件、招标文件、投标文件、中标通知书均为合同的有效组成部分，与本合同具有同等法律效力。</w:t>
      </w:r>
    </w:p>
    <w:p>
      <w:pPr>
        <w:pStyle w:val="null3"/>
        <w:ind w:firstLine="420"/>
        <w:jc w:val="both"/>
      </w:pPr>
      <w:r>
        <w:rPr>
          <w:sz w:val="21"/>
          <w:shd w:fill="FFFFFF" w:val="clear"/>
        </w:rPr>
        <w:t>2.在执行本合同的过程中，所有经双方签署确认的文件（包括会议纪要、补充协议、往来信函）即成为本合同的有效组成部分。</w:t>
      </w:r>
      <w:r>
        <w:rPr>
          <w:sz w:val="21"/>
          <w:shd w:fill="FFFFFF" w:val="clear"/>
        </w:rPr>
        <w:t>本合同的变更、补充须经双方协商一致并签署书面文件，口头变更无效。</w:t>
      </w:r>
    </w:p>
    <w:p>
      <w:pPr>
        <w:pStyle w:val="null3"/>
        <w:ind w:firstLine="420"/>
        <w:jc w:val="both"/>
      </w:pPr>
      <w:r>
        <w:rPr>
          <w:sz w:val="21"/>
          <w:shd w:fill="FFFFFF" w:val="clear"/>
        </w:rPr>
        <w:t>3.如一方地址、电话、传真号码有变更，应在变更当日内书面通知对方，否则，应承担相应责任。</w:t>
      </w:r>
    </w:p>
    <w:p>
      <w:pPr>
        <w:pStyle w:val="null3"/>
        <w:ind w:firstLine="420"/>
        <w:jc w:val="both"/>
      </w:pPr>
      <w:r>
        <w:rPr>
          <w:sz w:val="21"/>
          <w:shd w:fill="FFFFFF" w:val="clear"/>
        </w:rPr>
        <w:t>4.除甲方事先书面同意外，乙方不得部分或全部转让其应履行的合同项下的义务。</w:t>
      </w:r>
    </w:p>
    <w:p>
      <w:pPr>
        <w:pStyle w:val="null3"/>
        <w:jc w:val="both"/>
      </w:pPr>
      <w:r>
        <w:rPr>
          <w:sz w:val="21"/>
          <w:b/>
          <w:shd w:fill="FFFFFF" w:val="clear"/>
        </w:rPr>
        <w:t>十三、合同生效</w:t>
      </w:r>
    </w:p>
    <w:p>
      <w:pPr>
        <w:pStyle w:val="null3"/>
        <w:ind w:firstLine="420"/>
        <w:jc w:val="both"/>
      </w:pPr>
      <w:r>
        <w:rPr>
          <w:sz w:val="21"/>
          <w:shd w:fill="FFFFFF" w:val="clear"/>
        </w:rPr>
        <w:t>1.本合同在甲乙双方法人代表或其授权代表签字盖章后生效。</w:t>
      </w:r>
    </w:p>
    <w:p>
      <w:pPr>
        <w:pStyle w:val="null3"/>
        <w:ind w:firstLine="420"/>
        <w:jc w:val="both"/>
      </w:pPr>
      <w:r>
        <w:rPr>
          <w:sz w:val="21"/>
          <w:shd w:fill="FFFFFF" w:val="clear"/>
        </w:rPr>
        <w:t>2.合同一式    份。</w:t>
      </w:r>
    </w:p>
    <w:p>
      <w:pPr>
        <w:pStyle w:val="null3"/>
        <w:spacing w:before="150" w:after="150"/>
        <w:jc w:val="both"/>
      </w:pPr>
      <w:r>
        <w:rPr>
          <w:shd w:fill="FFFFFF" w:val="clear"/>
        </w:rPr>
        <w:t xml:space="preserve"> </w:t>
      </w:r>
    </w:p>
    <w:p>
      <w:pPr>
        <w:pStyle w:val="null3"/>
        <w:jc w:val="both"/>
      </w:pPr>
      <w:r>
        <w:rPr>
          <w:sz w:val="21"/>
          <w:b/>
          <w:shd w:fill="FFFFFF" w:val="clear"/>
        </w:rPr>
        <w:t>甲方（盖章）：</w:t>
      </w:r>
      <w:r>
        <w:rPr>
          <w:sz w:val="21"/>
          <w:b/>
          <w:shd w:fill="FFFFFF" w:val="clear"/>
        </w:rPr>
        <w:t xml:space="preserve">                </w:t>
      </w:r>
      <w:r>
        <w:rPr>
          <w:sz w:val="21"/>
          <w:b/>
          <w:shd w:fill="FFFFFF" w:val="clear"/>
        </w:rPr>
        <w:t>乙方（盖章）：</w:t>
      </w:r>
    </w:p>
    <w:p>
      <w:pPr>
        <w:pStyle w:val="null3"/>
        <w:jc w:val="both"/>
      </w:pPr>
      <w:r>
        <w:rPr>
          <w:sz w:val="21"/>
          <w:b/>
          <w:shd w:fill="FFFFFF" w:val="clear"/>
        </w:rPr>
        <w:t>代表：</w:t>
      </w:r>
      <w:r>
        <w:rPr>
          <w:sz w:val="21"/>
          <w:b/>
          <w:shd w:fill="FFFFFF" w:val="clear"/>
        </w:rPr>
        <w:t xml:space="preserve">                       </w:t>
      </w:r>
      <w:r>
        <w:rPr>
          <w:sz w:val="21"/>
          <w:b/>
          <w:shd w:fill="FFFFFF" w:val="clear"/>
        </w:rPr>
        <w:t>代表：</w:t>
      </w:r>
    </w:p>
    <w:p>
      <w:pPr>
        <w:pStyle w:val="null3"/>
        <w:jc w:val="left"/>
      </w:pPr>
      <w:r>
        <w:rPr>
          <w:sz w:val="21"/>
          <w:shd w:fill="FFFFFF" w:val="clear"/>
        </w:rPr>
        <w:t>签订地点：</w:t>
      </w:r>
    </w:p>
    <w:p>
      <w:pPr>
        <w:pStyle w:val="null3"/>
        <w:jc w:val="both"/>
      </w:pPr>
      <w:r>
        <w:rPr>
          <w:sz w:val="21"/>
          <w:shd w:fill="FFFFFF" w:val="clear"/>
        </w:rPr>
        <w:t>签订日期：　　　年　　月　　日</w:t>
      </w:r>
      <w:r>
        <w:rPr>
          <w:sz w:val="21"/>
          <w:shd w:fill="FFFFFF" w:val="clear"/>
        </w:rPr>
        <w:t xml:space="preserve">  </w:t>
      </w:r>
      <w:r>
        <w:rPr>
          <w:sz w:val="21"/>
          <w:shd w:fill="FFFFFF" w:val="clear"/>
        </w:rPr>
        <w:t>签订日期：　　　年　　月　　日</w:t>
      </w:r>
    </w:p>
    <w:p>
      <w:pPr>
        <w:pStyle w:val="null3"/>
        <w:jc w:val="both"/>
      </w:pPr>
      <w:r>
        <w:rPr>
          <w:sz w:val="21"/>
          <w:shd w:fill="FFFFFF" w:val="clear"/>
        </w:rPr>
        <w:t>开名称：</w:t>
      </w:r>
    </w:p>
    <w:p>
      <w:pPr>
        <w:pStyle w:val="null3"/>
        <w:jc w:val="both"/>
      </w:pPr>
      <w:r>
        <w:rPr>
          <w:sz w:val="21"/>
          <w:shd w:fill="FFFFFF" w:val="clear"/>
        </w:rPr>
        <w:t>银行帐号：</w:t>
      </w:r>
    </w:p>
    <w:p>
      <w:pPr>
        <w:pStyle w:val="null3"/>
        <w:jc w:val="both"/>
      </w:pPr>
      <w:r>
        <w:rPr>
          <w:sz w:val="21"/>
          <w:shd w:fill="FFFFFF" w:val="clear"/>
        </w:rPr>
        <w:t>开</w:t>
      </w:r>
      <w:r>
        <w:rPr>
          <w:sz w:val="21"/>
          <w:shd w:fill="FFFFFF" w:val="clear"/>
        </w:rPr>
        <w:t>户</w:t>
      </w:r>
      <w:r>
        <w:rPr>
          <w:sz w:val="21"/>
          <w:shd w:fill="FFFFFF" w:val="clear"/>
        </w:rPr>
        <w:t>行：</w:t>
      </w:r>
    </w:p>
    <w:p>
      <w:pPr>
        <w:pStyle w:val="null3"/>
      </w:pPr>
      <w:r>
        <w:rPr>
          <w:sz w:val="21"/>
          <w:b/>
        </w:rPr>
        <w:t>此仅为合同书样本，中标人需根据实际情况和甲方签订相应的合同！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441901-2026-06286</w:t>
      </w:r>
    </w:p>
    <w:p>
      <w:pPr>
        <w:pStyle w:val="null3"/>
        <w:jc w:val="center"/>
        <w:outlineLvl w:val="3"/>
      </w:pPr>
      <w:r>
        <w:rPr>
          <w:sz w:val="24"/>
          <w:b/>
        </w:rPr>
        <w:t>采购项目编号：</w:t>
      </w:r>
      <w:r>
        <w:rPr>
          <w:sz w:val="24"/>
          <w:b/>
        </w:rPr>
        <w:t>441901-2026-06286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东莞市第十六届“福彩杯”老年人运动会服务</w:t>
      </w:r>
      <w:r>
        <w:rPr>
          <w:u w:val="single"/>
        </w:rPr>
        <w:t>”</w:t>
      </w:r>
      <w:r>
        <w:rPr/>
        <w:t>项目的招标[采购项目编号为：</w:t>
      </w:r>
      <w:r>
        <w:rPr>
          <w:u w:val="single"/>
        </w:rPr>
        <w:t>441901-2026-06286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东莞市第十六届“福彩杯”老年人运动会服务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东莞市第十六届“福彩杯”老年人运动会服务</w:t>
      </w:r>
      <w:r>
        <w:rPr/>
        <w:t>”项目采购[采购项目编号为</w:t>
      </w:r>
      <w:r>
        <w:rPr/>
        <w:t>441901-2026-06286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东莞市福利彩票发行中心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东莞市第十六届“福彩杯”老年人运动会服务</w:t>
      </w:r>
      <w:r>
        <w:rPr/>
        <w:t>招标中获中标（采购项目编号：</w:t>
      </w:r>
      <w:r>
        <w:rPr/>
        <w:t>441901-2026-06286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东莞市第十六届“福彩杯”老年人运动会服务</w:t>
      </w:r>
      <w:r>
        <w:rPr/>
        <w:t>”项目（采购项目编号：</w:t>
      </w:r>
      <w:r>
        <w:rPr/>
        <w:t>441901-2026-06286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