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A261D">
      <w:pPr>
        <w:jc w:val="center"/>
        <w:rPr>
          <w:rFonts w:ascii="黑体" w:eastAsia="黑体"/>
          <w:b/>
          <w:color w:val="auto"/>
          <w:sz w:val="32"/>
          <w:szCs w:val="32"/>
          <w:highlight w:val="none"/>
        </w:rPr>
      </w:pPr>
    </w:p>
    <w:p w14:paraId="5E2C125C">
      <w:pPr>
        <w:jc w:val="center"/>
        <w:rPr>
          <w:rFonts w:ascii="黑体" w:hAnsi="黑体" w:eastAsia="黑体" w:cs="黑体"/>
          <w:bCs/>
          <w:color w:val="auto"/>
          <w:spacing w:val="57"/>
          <w:sz w:val="72"/>
          <w:szCs w:val="72"/>
          <w:highlight w:val="none"/>
        </w:rPr>
      </w:pPr>
      <w:r>
        <w:rPr>
          <w:rFonts w:hint="eastAsia" w:ascii="黑体" w:hAnsi="黑体" w:eastAsia="黑体" w:cs="黑体"/>
          <w:bCs/>
          <w:color w:val="auto"/>
          <w:spacing w:val="57"/>
          <w:sz w:val="72"/>
          <w:szCs w:val="72"/>
          <w:highlight w:val="none"/>
        </w:rPr>
        <w:t>竞争性磋商文件</w:t>
      </w:r>
    </w:p>
    <w:p w14:paraId="5B26E0CA">
      <w:pPr>
        <w:jc w:val="center"/>
        <w:rPr>
          <w:color w:val="auto"/>
          <w:highlight w:val="none"/>
        </w:rPr>
      </w:pPr>
      <w:r>
        <w:rPr>
          <w:rFonts w:hint="eastAsia" w:ascii="黑体" w:hAnsi="黑体" w:eastAsia="黑体" w:cs="黑体"/>
          <w:bCs/>
          <w:color w:val="auto"/>
          <w:spacing w:val="57"/>
          <w:sz w:val="72"/>
          <w:szCs w:val="72"/>
          <w:highlight w:val="none"/>
        </w:rPr>
        <w:t>国内采购</w:t>
      </w:r>
    </w:p>
    <w:p w14:paraId="273F6CAA">
      <w:pPr>
        <w:pStyle w:val="7"/>
        <w:jc w:val="center"/>
        <w:rPr>
          <w:rFonts w:ascii="黑体" w:eastAsia="黑体"/>
          <w:color w:val="auto"/>
          <w:szCs w:val="21"/>
          <w:highlight w:val="none"/>
        </w:rPr>
      </w:pPr>
      <w:r>
        <w:rPr>
          <w:rFonts w:hint="eastAsia" w:ascii="黑体" w:eastAsia="黑体"/>
          <w:color w:val="auto"/>
          <w:szCs w:val="21"/>
          <w:highlight w:val="none"/>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4"/>
                    <a:srcRect l="6233" t="18358" r="67326" b="19339"/>
                    <a:stretch>
                      <a:fillRect/>
                    </a:stretch>
                  </pic:blipFill>
                  <pic:spPr>
                    <a:xfrm>
                      <a:off x="0" y="0"/>
                      <a:ext cx="2129790" cy="2035175"/>
                    </a:xfrm>
                    <a:prstGeom prst="rect">
                      <a:avLst/>
                    </a:prstGeom>
                  </pic:spPr>
                </pic:pic>
              </a:graphicData>
            </a:graphic>
          </wp:inline>
        </w:drawing>
      </w:r>
    </w:p>
    <w:p w14:paraId="776FA968">
      <w:pPr>
        <w:pStyle w:val="8"/>
        <w:ind w:firstLine="240"/>
        <w:rPr>
          <w:rFonts w:ascii="黑体" w:eastAsia="黑体"/>
          <w:color w:val="auto"/>
          <w:szCs w:val="21"/>
          <w:highlight w:val="none"/>
        </w:rPr>
      </w:pPr>
    </w:p>
    <w:p w14:paraId="62A9DB50">
      <w:pPr>
        <w:pStyle w:val="8"/>
        <w:ind w:left="0" w:firstLine="0" w:firstLineChars="0"/>
        <w:rPr>
          <w:rFonts w:ascii="黑体" w:eastAsia="黑体"/>
          <w:color w:val="auto"/>
          <w:szCs w:val="21"/>
          <w:highlight w:val="none"/>
        </w:rPr>
      </w:pPr>
    </w:p>
    <w:tbl>
      <w:tblPr>
        <w:tblStyle w:val="24"/>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7F030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5539395">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7998418D">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GDZT2026140C</w:t>
            </w:r>
          </w:p>
        </w:tc>
      </w:tr>
      <w:tr w14:paraId="5480B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B64BD5F">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06F32B8D">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东莞市大朗镇象山片区05-05地块控制性详细规划调整</w:t>
            </w:r>
          </w:p>
        </w:tc>
      </w:tr>
      <w:tr w14:paraId="2AC7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1D9E61C0">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075196A7">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中咨海外咨询有限公司</w:t>
            </w:r>
          </w:p>
        </w:tc>
      </w:tr>
      <w:tr w14:paraId="027D6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F1C2AB7">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1CEB8574">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21D18AED">
      <w:pPr>
        <w:jc w:val="both"/>
        <w:rPr>
          <w:rFonts w:ascii="黑体" w:eastAsia="黑体"/>
          <w:color w:val="auto"/>
          <w:szCs w:val="21"/>
          <w:highlight w:val="none"/>
        </w:rPr>
      </w:pPr>
    </w:p>
    <w:p w14:paraId="4D42A0B8">
      <w:pPr>
        <w:pStyle w:val="21"/>
        <w:ind w:left="420"/>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NumType w:start="1"/>
          <w:cols w:space="708" w:num="1"/>
          <w:titlePg/>
          <w:docGrid w:type="lines" w:linePitch="360" w:charSpace="0"/>
        </w:sectPr>
      </w:pPr>
    </w:p>
    <w:p w14:paraId="395F4E3C">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温馨提示</w:t>
      </w:r>
    </w:p>
    <w:p w14:paraId="603D6F15">
      <w:pPr>
        <w:spacing w:line="480" w:lineRule="auto"/>
        <w:rPr>
          <w:rFonts w:ascii="宋体" w:hAnsi="宋体" w:cs="宋体"/>
          <w:b/>
          <w:color w:val="auto"/>
          <w:szCs w:val="21"/>
          <w:highlight w:val="none"/>
        </w:rPr>
      </w:pPr>
      <w:r>
        <w:rPr>
          <w:rFonts w:hint="eastAsia" w:ascii="宋体" w:hAnsi="宋体" w:cs="宋体"/>
          <w:b/>
          <w:color w:val="auto"/>
          <w:szCs w:val="21"/>
          <w:highlight w:val="none"/>
        </w:rPr>
        <w:t>（本提示内容非磋商文件的组成部分，仅起提醒作用；如有不一致，以磋商文件为准）</w:t>
      </w:r>
    </w:p>
    <w:p w14:paraId="0783BD12">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1、请各供应商在制作响应文件时认真阅读本磋商文件的内容。</w:t>
      </w:r>
    </w:p>
    <w:p w14:paraId="0060947C">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2、建议供应商将响应文件正本、副本、报价信封分别密封包装，并按照磋商文件“第四部分 供应商须知 第四章响应文件的递交”中相关要求进行提交，避免因密封包装不符合要求而导致响应文件被退回。</w:t>
      </w:r>
    </w:p>
    <w:p w14:paraId="13D987B0">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3、请正确填写《报价一览表》。多包项目请仔细检查包组号，包组号跟包组名称必须一致。</w:t>
      </w:r>
    </w:p>
    <w:p w14:paraId="75FE3A16">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4、响应文件应编制目录及按顺序编制页码。</w:t>
      </w:r>
    </w:p>
    <w:p w14:paraId="0ABE01C5">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5、请仔细检查响应文件是否已按磋商文件盖章、签名(或盖私章)、签署日期。</w:t>
      </w:r>
    </w:p>
    <w:p w14:paraId="78221C4F">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6、加★号条款必须完全响应，不响应或负偏离将导致响应文件无效。</w:t>
      </w:r>
    </w:p>
    <w:p w14:paraId="22F83D07">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7、为避免因迟到而无法按时递交响应文件，供应商应自行计算路途可能出现塞车的时间，建议在响应文件递交截止时间之前30分钟内到达开标地点，响应截止时间一到，本公司不接收任何响应文件。</w:t>
      </w:r>
    </w:p>
    <w:p w14:paraId="366CDBC1">
      <w:pPr>
        <w:pStyle w:val="35"/>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8、为了提高政府采购效率，节约社会交易成本与时间，希望领购了磋商文件而决定不参加本项目的供应商，在响应文件递交截止时间的2日前，按《磋商邀请函》中的联系方式，以书面形式告知采购代理机构。对您的支持与配合，谨此致谢。</w:t>
      </w:r>
    </w:p>
    <w:p w14:paraId="48EB3912">
      <w:pPr>
        <w:pStyle w:val="21"/>
        <w:ind w:left="0" w:leftChars="0"/>
        <w:rPr>
          <w:color w:val="auto"/>
          <w:sz w:val="40"/>
          <w:szCs w:val="40"/>
          <w:highlight w:val="none"/>
        </w:rPr>
      </w:pPr>
    </w:p>
    <w:p w14:paraId="4225B3E7">
      <w:pPr>
        <w:rPr>
          <w:color w:val="auto"/>
          <w:highlight w:val="none"/>
        </w:rPr>
        <w:sectPr>
          <w:footerReference r:id="rId10" w:type="first"/>
          <w:footerReference r:id="rId9" w:type="default"/>
          <w:pgSz w:w="11906" w:h="16838"/>
          <w:pgMar w:top="1440" w:right="1800" w:bottom="1440" w:left="1800" w:header="708" w:footer="708" w:gutter="0"/>
          <w:cols w:space="708" w:num="1"/>
          <w:titlePg/>
          <w:docGrid w:type="lines" w:linePitch="360" w:charSpace="0"/>
        </w:sectPr>
      </w:pPr>
    </w:p>
    <w:p w14:paraId="1315E49B">
      <w:pPr>
        <w:pStyle w:val="21"/>
        <w:ind w:left="0" w:leftChars="0"/>
        <w:rPr>
          <w:color w:val="auto"/>
          <w:sz w:val="40"/>
          <w:szCs w:val="40"/>
          <w:highlight w:val="none"/>
        </w:rPr>
      </w:pPr>
      <w:r>
        <w:rPr>
          <w:rFonts w:hint="eastAsia"/>
          <w:color w:val="auto"/>
          <w:sz w:val="40"/>
          <w:szCs w:val="40"/>
          <w:highlight w:val="none"/>
        </w:rPr>
        <w:t>目录</w:t>
      </w:r>
    </w:p>
    <w:p w14:paraId="0A9D569F">
      <w:pPr>
        <w:pStyle w:val="21"/>
        <w:tabs>
          <w:tab w:val="right" w:leader="dot" w:pos="8306"/>
          <w:tab w:val="clear" w:pos="8296"/>
        </w:tabs>
        <w:ind w:left="0" w:leftChars="0"/>
        <w:rPr>
          <w:rFonts w:cs="宋体"/>
          <w:color w:val="auto"/>
          <w:sz w:val="21"/>
          <w:szCs w:val="21"/>
          <w:highlight w:val="none"/>
        </w:rPr>
      </w:pPr>
      <w:r>
        <w:rPr>
          <w:rFonts w:cs="宋体"/>
          <w:color w:val="auto"/>
          <w:szCs w:val="21"/>
          <w:highlight w:val="none"/>
        </w:rPr>
        <w:fldChar w:fldCharType="begin"/>
      </w:r>
      <w:r>
        <w:rPr>
          <w:rFonts w:cs="宋体"/>
          <w:color w:val="auto"/>
          <w:szCs w:val="21"/>
          <w:highlight w:val="none"/>
        </w:rPr>
        <w:instrText xml:space="preserve">TOC \o "1-4" \h \u </w:instrText>
      </w:r>
      <w:r>
        <w:rPr>
          <w:rFonts w:cs="宋体"/>
          <w:color w:val="auto"/>
          <w:szCs w:val="21"/>
          <w:highlight w:val="none"/>
        </w:rPr>
        <w:fldChar w:fldCharType="separate"/>
      </w:r>
      <w:r>
        <w:rPr>
          <w:color w:val="auto"/>
          <w:highlight w:val="none"/>
        </w:rPr>
        <w:fldChar w:fldCharType="begin"/>
      </w:r>
      <w:r>
        <w:rPr>
          <w:color w:val="auto"/>
          <w:highlight w:val="none"/>
        </w:rPr>
        <w:instrText xml:space="preserve"> HYPERLINK \l "_Toc14033" </w:instrText>
      </w:r>
      <w:r>
        <w:rPr>
          <w:color w:val="auto"/>
          <w:highlight w:val="none"/>
        </w:rPr>
        <w:fldChar w:fldCharType="separate"/>
      </w:r>
      <w:r>
        <w:rPr>
          <w:rFonts w:hint="eastAsia" w:cs="宋体"/>
          <w:color w:val="auto"/>
          <w:sz w:val="21"/>
          <w:szCs w:val="21"/>
          <w:highlight w:val="none"/>
        </w:rPr>
        <w:t>第一部分 磋商邀请</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_Toc14033 \h </w:instrText>
      </w:r>
      <w:r>
        <w:rPr>
          <w:rFonts w:hint="eastAsia" w:cs="宋体"/>
          <w:color w:val="auto"/>
          <w:sz w:val="21"/>
          <w:szCs w:val="21"/>
          <w:highlight w:val="none"/>
        </w:rPr>
        <w:fldChar w:fldCharType="separate"/>
      </w:r>
      <w:r>
        <w:rPr>
          <w:rFonts w:hint="eastAsia" w:cs="宋体"/>
          <w:color w:val="auto"/>
          <w:sz w:val="21"/>
          <w:szCs w:val="21"/>
          <w:highlight w:val="none"/>
        </w:rPr>
        <w:t>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7969209">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"_Toc7988" </w:instrText>
      </w:r>
      <w:r>
        <w:rPr>
          <w:color w:val="auto"/>
          <w:highlight w:val="none"/>
        </w:rPr>
        <w:fldChar w:fldCharType="separate"/>
      </w:r>
      <w:r>
        <w:rPr>
          <w:rFonts w:hint="eastAsia" w:ascii="宋体" w:hAnsi="宋体" w:cs="宋体"/>
          <w:color w:val="auto"/>
          <w:highlight w:val="none"/>
        </w:rPr>
        <w:t>磋商邀请书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_Toc7988 \h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3D5CA1A">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"_Toc31060" </w:instrText>
      </w:r>
      <w:r>
        <w:rPr>
          <w:color w:val="auto"/>
          <w:highlight w:val="none"/>
        </w:rPr>
        <w:fldChar w:fldCharType="separate"/>
      </w:r>
      <w:r>
        <w:rPr>
          <w:rFonts w:hint="eastAsia" w:cs="宋体"/>
          <w:color w:val="auto"/>
          <w:sz w:val="21"/>
          <w:szCs w:val="21"/>
          <w:highlight w:val="none"/>
        </w:rPr>
        <w:t>第二部分 磋商资料表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_Toc31060 \h </w:instrText>
      </w:r>
      <w:r>
        <w:rPr>
          <w:rFonts w:hint="eastAsia" w:cs="宋体"/>
          <w:color w:val="auto"/>
          <w:sz w:val="21"/>
          <w:szCs w:val="21"/>
          <w:highlight w:val="none"/>
        </w:rPr>
        <w:fldChar w:fldCharType="separate"/>
      </w:r>
      <w:r>
        <w:rPr>
          <w:rFonts w:hint="eastAsia" w:cs="宋体"/>
          <w:color w:val="auto"/>
          <w:sz w:val="21"/>
          <w:szCs w:val="21"/>
          <w:highlight w:val="none"/>
        </w:rPr>
        <w:t>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98C0C3F">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"_Toc4043" </w:instrText>
      </w:r>
      <w:r>
        <w:rPr>
          <w:color w:val="auto"/>
          <w:highlight w:val="none"/>
        </w:rPr>
        <w:fldChar w:fldCharType="separate"/>
      </w:r>
      <w:r>
        <w:rPr>
          <w:rFonts w:hint="eastAsia" w:cs="宋体"/>
          <w:color w:val="auto"/>
          <w:sz w:val="21"/>
          <w:szCs w:val="21"/>
          <w:highlight w:val="none"/>
        </w:rPr>
        <w:t>第三部分 评分权重分配表</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_Toc4043 \h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28391A0">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"_Toc462" </w:instrText>
      </w:r>
      <w:r>
        <w:rPr>
          <w:color w:val="auto"/>
          <w:highlight w:val="none"/>
        </w:rPr>
        <w:fldChar w:fldCharType="separate"/>
      </w:r>
      <w:r>
        <w:rPr>
          <w:rFonts w:hint="eastAsia" w:ascii="宋体" w:hAnsi="宋体" w:cs="宋体"/>
          <w:color w:val="auto"/>
          <w:highlight w:val="none"/>
        </w:rPr>
        <w:t>商务技术评分及价格权重细则表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_Toc462 \h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0E3C5F3">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"_Toc24511" </w:instrText>
      </w:r>
      <w:r>
        <w:rPr>
          <w:color w:val="auto"/>
          <w:highlight w:val="none"/>
        </w:rPr>
        <w:fldChar w:fldCharType="separate"/>
      </w:r>
      <w:r>
        <w:rPr>
          <w:rFonts w:hint="eastAsia" w:cs="宋体"/>
          <w:color w:val="auto"/>
          <w:sz w:val="21"/>
          <w:szCs w:val="21"/>
          <w:highlight w:val="none"/>
        </w:rPr>
        <w:t>第四部分 供应商须知</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_Toc24511 \h </w:instrText>
      </w:r>
      <w:r>
        <w:rPr>
          <w:rFonts w:hint="eastAsia" w:cs="宋体"/>
          <w:color w:val="auto"/>
          <w:sz w:val="21"/>
          <w:szCs w:val="21"/>
          <w:highlight w:val="none"/>
        </w:rPr>
        <w:fldChar w:fldCharType="separate"/>
      </w:r>
      <w:r>
        <w:rPr>
          <w:rFonts w:hint="eastAsia" w:cs="宋体"/>
          <w:color w:val="auto"/>
          <w:sz w:val="21"/>
          <w:szCs w:val="21"/>
          <w:highlight w:val="none"/>
        </w:rPr>
        <w:t>14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1B4D364">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"_Toc28014" </w:instrText>
      </w:r>
      <w:r>
        <w:rPr>
          <w:color w:val="auto"/>
          <w:highlight w:val="none"/>
        </w:rPr>
        <w:fldChar w:fldCharType="separate"/>
      </w:r>
      <w:r>
        <w:rPr>
          <w:rFonts w:hint="eastAsia" w:cs="宋体"/>
          <w:color w:val="auto"/>
          <w:sz w:val="21"/>
          <w:szCs w:val="21"/>
          <w:highlight w:val="none"/>
        </w:rPr>
        <w:t>第一章说  明</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_Toc28014 \h </w:instrText>
      </w:r>
      <w:r>
        <w:rPr>
          <w:rFonts w:hint="eastAsia" w:cs="宋体"/>
          <w:color w:val="auto"/>
          <w:sz w:val="21"/>
          <w:szCs w:val="21"/>
          <w:highlight w:val="none"/>
        </w:rPr>
        <w:fldChar w:fldCharType="separate"/>
      </w:r>
      <w:r>
        <w:rPr>
          <w:rFonts w:hint="eastAsia" w:cs="宋体"/>
          <w:color w:val="auto"/>
          <w:sz w:val="21"/>
          <w:szCs w:val="21"/>
          <w:highlight w:val="none"/>
        </w:rPr>
        <w:t>14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0262730">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"_Toc17291" </w:instrText>
      </w:r>
      <w:r>
        <w:rPr>
          <w:color w:val="auto"/>
          <w:highlight w:val="none"/>
        </w:rPr>
        <w:fldChar w:fldCharType="separate"/>
      </w:r>
      <w:r>
        <w:rPr>
          <w:rFonts w:hint="eastAsia" w:ascii="宋体" w:hAnsi="宋体" w:cs="宋体"/>
          <w:color w:val="auto"/>
          <w:highlight w:val="none"/>
        </w:rPr>
        <w:t>1. 适用范围</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_Toc17291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CD18907">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"_Toc8868" </w:instrText>
      </w:r>
      <w:r>
        <w:rPr>
          <w:color w:val="auto"/>
          <w:highlight w:val="none"/>
        </w:rPr>
        <w:fldChar w:fldCharType="separate"/>
      </w:r>
      <w:r>
        <w:rPr>
          <w:rFonts w:hint="eastAsia" w:ascii="宋体" w:hAnsi="宋体" w:cs="宋体"/>
          <w:color w:val="auto"/>
          <w:highlight w:val="none"/>
        </w:rPr>
        <w:t>2. 定义</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_Toc8868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794D77E">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"_Toc1083" </w:instrText>
      </w:r>
      <w:r>
        <w:rPr>
          <w:color w:val="auto"/>
          <w:highlight w:val="none"/>
        </w:rPr>
        <w:fldChar w:fldCharType="separate"/>
      </w:r>
      <w:r>
        <w:rPr>
          <w:rFonts w:hint="eastAsia" w:ascii="宋体" w:hAnsi="宋体" w:cs="宋体"/>
          <w:color w:val="auto"/>
          <w:highlight w:val="none"/>
        </w:rPr>
        <w:t>3. 适用法律</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_Toc1083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5BD376F">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"_Toc18833" </w:instrText>
      </w:r>
      <w:r>
        <w:rPr>
          <w:color w:val="auto"/>
          <w:highlight w:val="none"/>
        </w:rPr>
        <w:fldChar w:fldCharType="separate"/>
      </w:r>
      <w:r>
        <w:rPr>
          <w:rFonts w:hint="eastAsia" w:ascii="宋体" w:hAnsi="宋体" w:cs="宋体"/>
          <w:color w:val="auto"/>
          <w:highlight w:val="none"/>
        </w:rPr>
        <w:t>4. 知识产权</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_Toc18833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5ADDA73">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"_Toc5242" </w:instrText>
      </w:r>
      <w:r>
        <w:rPr>
          <w:color w:val="auto"/>
          <w:highlight w:val="none"/>
        </w:rPr>
        <w:fldChar w:fldCharType="separate"/>
      </w:r>
      <w:r>
        <w:rPr>
          <w:rFonts w:hint="eastAsia" w:ascii="宋体" w:hAnsi="宋体" w:cs="宋体"/>
          <w:color w:val="auto"/>
          <w:highlight w:val="none"/>
        </w:rPr>
        <w:t>5. 关于联合体报价</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_Toc5242 \h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6BBD78D">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"_Toc25157" </w:instrText>
      </w:r>
      <w:r>
        <w:rPr>
          <w:color w:val="auto"/>
          <w:highlight w:val="none"/>
        </w:rPr>
        <w:fldChar w:fldCharType="separate"/>
      </w:r>
      <w:r>
        <w:rPr>
          <w:rFonts w:hint="eastAsia" w:ascii="宋体" w:hAnsi="宋体" w:cs="宋体"/>
          <w:color w:val="auto"/>
          <w:highlight w:val="none"/>
        </w:rPr>
        <w:t>6. 关于分支机构报价</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_Toc25157 \h </w:instrText>
      </w:r>
      <w:r>
        <w:rPr>
          <w:rFonts w:hint="eastAsia" w:ascii="宋体" w:hAnsi="宋体" w:cs="宋体"/>
          <w:color w:val="auto"/>
          <w:highlight w:val="none"/>
        </w:rPr>
        <w:fldChar w:fldCharType="separate"/>
      </w:r>
      <w:r>
        <w:rPr>
          <w:rFonts w:hint="eastAsia" w:ascii="宋体" w:hAnsi="宋体" w:cs="宋体"/>
          <w:color w:val="auto"/>
          <w:highlight w:val="none"/>
        </w:rPr>
        <w:t>15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B64EB57">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"_Toc18108" </w:instrText>
      </w:r>
      <w:r>
        <w:rPr>
          <w:color w:val="auto"/>
          <w:highlight w:val="none"/>
        </w:rPr>
        <w:fldChar w:fldCharType="separate"/>
      </w:r>
      <w:r>
        <w:rPr>
          <w:rFonts w:hint="eastAsia" w:ascii="宋体" w:hAnsi="宋体" w:cs="宋体"/>
          <w:color w:val="auto"/>
          <w:highlight w:val="none"/>
        </w:rPr>
        <w:t>7. 保密及其它注意事项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_Toc18108 \h </w:instrText>
      </w:r>
      <w:r>
        <w:rPr>
          <w:rFonts w:hint="eastAsia" w:ascii="宋体" w:hAnsi="宋体" w:cs="宋体"/>
          <w:color w:val="auto"/>
          <w:highlight w:val="none"/>
        </w:rPr>
        <w:fldChar w:fldCharType="separate"/>
      </w:r>
      <w:r>
        <w:rPr>
          <w:rFonts w:hint="eastAsia" w:ascii="宋体" w:hAnsi="宋体" w:cs="宋体"/>
          <w:color w:val="auto"/>
          <w:highlight w:val="none"/>
        </w:rPr>
        <w:t>16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BA839A">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"_Toc25468" </w:instrText>
      </w:r>
      <w:r>
        <w:rPr>
          <w:color w:val="auto"/>
          <w:highlight w:val="none"/>
        </w:rPr>
        <w:fldChar w:fldCharType="separate"/>
      </w:r>
      <w:r>
        <w:rPr>
          <w:rFonts w:hint="eastAsia" w:cs="宋体"/>
          <w:color w:val="auto"/>
          <w:sz w:val="21"/>
          <w:szCs w:val="21"/>
          <w:highlight w:val="none"/>
        </w:rPr>
        <w:t>第二章磋商文件说明</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_Toc25468 \h </w:instrText>
      </w:r>
      <w:r>
        <w:rPr>
          <w:rFonts w:hint="eastAsia" w:cs="宋体"/>
          <w:color w:val="auto"/>
          <w:sz w:val="21"/>
          <w:szCs w:val="21"/>
          <w:highlight w:val="none"/>
        </w:rPr>
        <w:fldChar w:fldCharType="separate"/>
      </w:r>
      <w:r>
        <w:rPr>
          <w:rFonts w:hint="eastAsia" w:cs="宋体"/>
          <w:color w:val="auto"/>
          <w:sz w:val="21"/>
          <w:szCs w:val="21"/>
          <w:highlight w:val="none"/>
        </w:rPr>
        <w:t>16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B6A7F9D">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"_Toc21439" </w:instrText>
      </w:r>
      <w:r>
        <w:rPr>
          <w:color w:val="auto"/>
          <w:highlight w:val="none"/>
        </w:rPr>
        <w:fldChar w:fldCharType="separate"/>
      </w:r>
      <w:r>
        <w:rPr>
          <w:rFonts w:hint="eastAsia" w:ascii="宋体" w:hAnsi="宋体" w:cs="宋体"/>
          <w:color w:val="auto"/>
          <w:highlight w:val="none"/>
        </w:rPr>
        <w:t>8. 采购文件构成</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_Toc21439 \h </w:instrText>
      </w:r>
      <w:r>
        <w:rPr>
          <w:rFonts w:hint="eastAsia" w:ascii="宋体" w:hAnsi="宋体" w:cs="宋体"/>
          <w:color w:val="auto"/>
          <w:highlight w:val="none"/>
        </w:rPr>
        <w:fldChar w:fldCharType="separate"/>
      </w:r>
      <w:r>
        <w:rPr>
          <w:rFonts w:hint="eastAsia" w:ascii="宋体" w:hAnsi="宋体" w:cs="宋体"/>
          <w:color w:val="auto"/>
          <w:highlight w:val="none"/>
        </w:rPr>
        <w:t>16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2043C9D">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"_Toc158" </w:instrText>
      </w:r>
      <w:r>
        <w:rPr>
          <w:color w:val="auto"/>
          <w:highlight w:val="none"/>
        </w:rPr>
        <w:fldChar w:fldCharType="separate"/>
      </w:r>
      <w:r>
        <w:rPr>
          <w:rFonts w:hint="eastAsia" w:cs="宋体"/>
          <w:color w:val="auto"/>
          <w:sz w:val="21"/>
          <w:szCs w:val="21"/>
          <w:highlight w:val="none"/>
        </w:rPr>
        <w:t>第三章响应文件的编制</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_Toc158 \h </w:instrText>
      </w:r>
      <w:r>
        <w:rPr>
          <w:rFonts w:hint="eastAsia" w:cs="宋体"/>
          <w:color w:val="auto"/>
          <w:sz w:val="21"/>
          <w:szCs w:val="21"/>
          <w:highlight w:val="none"/>
        </w:rPr>
        <w:fldChar w:fldCharType="separate"/>
      </w:r>
      <w:r>
        <w:rPr>
          <w:rFonts w:hint="eastAsia" w:cs="宋体"/>
          <w:color w:val="auto"/>
          <w:sz w:val="21"/>
          <w:szCs w:val="21"/>
          <w:highlight w:val="none"/>
        </w:rPr>
        <w:t>17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3F4C9AC">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"_Toc19833" </w:instrText>
      </w:r>
      <w:r>
        <w:rPr>
          <w:color w:val="auto"/>
          <w:highlight w:val="none"/>
        </w:rPr>
        <w:fldChar w:fldCharType="separate"/>
      </w:r>
      <w:r>
        <w:rPr>
          <w:rFonts w:hint="eastAsia" w:ascii="宋体" w:hAnsi="宋体" w:cs="宋体"/>
          <w:color w:val="auto"/>
          <w:highlight w:val="none"/>
        </w:rPr>
        <w:t>9. 响应文件的语言及度量衡单位</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_Toc19833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90F5CD2">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"_Toc18228" </w:instrText>
      </w:r>
      <w:r>
        <w:rPr>
          <w:color w:val="auto"/>
          <w:highlight w:val="none"/>
        </w:rPr>
        <w:fldChar w:fldCharType="separate"/>
      </w:r>
      <w:r>
        <w:rPr>
          <w:rFonts w:hint="eastAsia" w:ascii="宋体" w:hAnsi="宋体" w:cs="宋体"/>
          <w:color w:val="auto"/>
          <w:highlight w:val="none"/>
        </w:rPr>
        <w:t>10. 响应文件编制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_Toc18228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957310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"_Toc26897" </w:instrText>
      </w:r>
      <w:r>
        <w:rPr>
          <w:color w:val="auto"/>
          <w:highlight w:val="none"/>
        </w:rPr>
        <w:fldChar w:fldCharType="separate"/>
      </w:r>
      <w:r>
        <w:rPr>
          <w:rFonts w:hint="eastAsia" w:ascii="宋体" w:hAnsi="宋体" w:cs="宋体"/>
          <w:color w:val="auto"/>
          <w:highlight w:val="none"/>
        </w:rPr>
        <w:t>11. 响应文件的内容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_Toc26897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8AD19EC">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"_Toc1662" </w:instrText>
      </w:r>
      <w:r>
        <w:rPr>
          <w:color w:val="auto"/>
          <w:highlight w:val="none"/>
        </w:rPr>
        <w:fldChar w:fldCharType="separate"/>
      </w:r>
      <w:r>
        <w:rPr>
          <w:rFonts w:hint="eastAsia" w:ascii="宋体" w:hAnsi="宋体" w:cs="宋体"/>
          <w:color w:val="auto"/>
          <w:highlight w:val="none"/>
        </w:rPr>
        <w:t>12. 响应文件格式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_Toc1662 \h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810B3C3">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"_Toc21656" </w:instrText>
      </w:r>
      <w:r>
        <w:rPr>
          <w:color w:val="auto"/>
          <w:highlight w:val="none"/>
        </w:rPr>
        <w:fldChar w:fldCharType="separate"/>
      </w:r>
      <w:r>
        <w:rPr>
          <w:rFonts w:hint="eastAsia" w:ascii="宋体" w:hAnsi="宋体" w:cs="宋体"/>
          <w:color w:val="auto"/>
          <w:highlight w:val="none"/>
        </w:rPr>
        <w:t>13. 磋商保证金（本项目不需提供磋商保证金）</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_Toc21656 \h </w:instrText>
      </w:r>
      <w:r>
        <w:rPr>
          <w:rFonts w:hint="eastAsia" w:ascii="宋体" w:hAnsi="宋体" w:cs="宋体"/>
          <w:color w:val="auto"/>
          <w:highlight w:val="none"/>
        </w:rPr>
        <w:fldChar w:fldCharType="separate"/>
      </w:r>
      <w:r>
        <w:rPr>
          <w:rFonts w:hint="eastAsia" w:ascii="宋体" w:hAnsi="宋体" w:cs="宋体"/>
          <w:color w:val="auto"/>
          <w:highlight w:val="none"/>
        </w:rPr>
        <w:t>18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F872B8C">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"_Toc10456" </w:instrText>
      </w:r>
      <w:r>
        <w:rPr>
          <w:color w:val="auto"/>
          <w:highlight w:val="none"/>
        </w:rPr>
        <w:fldChar w:fldCharType="separate"/>
      </w:r>
      <w:r>
        <w:rPr>
          <w:rFonts w:hint="eastAsia" w:ascii="宋体" w:hAnsi="宋体" w:cs="宋体"/>
          <w:color w:val="auto"/>
          <w:highlight w:val="none"/>
        </w:rPr>
        <w:t>14. ★报价（响应文件）有效期</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_Toc10456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229C862">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"_Toc7006" </w:instrText>
      </w:r>
      <w:r>
        <w:rPr>
          <w:color w:val="auto"/>
          <w:highlight w:val="none"/>
        </w:rPr>
        <w:fldChar w:fldCharType="separate"/>
      </w:r>
      <w:r>
        <w:rPr>
          <w:rFonts w:hint="eastAsia" w:cs="宋体"/>
          <w:color w:val="auto"/>
          <w:sz w:val="21"/>
          <w:szCs w:val="21"/>
          <w:highlight w:val="none"/>
        </w:rPr>
        <w:t>第四章响应文件的递交</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_Toc7006 \h </w:instrText>
      </w:r>
      <w:r>
        <w:rPr>
          <w:rFonts w:hint="eastAsia" w:cs="宋体"/>
          <w:color w:val="auto"/>
          <w:sz w:val="21"/>
          <w:szCs w:val="21"/>
          <w:highlight w:val="none"/>
        </w:rPr>
        <w:fldChar w:fldCharType="separate"/>
      </w:r>
      <w:r>
        <w:rPr>
          <w:rFonts w:hint="eastAsia" w:cs="宋体"/>
          <w:color w:val="auto"/>
          <w:sz w:val="21"/>
          <w:szCs w:val="21"/>
          <w:highlight w:val="none"/>
        </w:rPr>
        <w:t>19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2141B69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"_Toc13611" </w:instrText>
      </w:r>
      <w:r>
        <w:rPr>
          <w:color w:val="auto"/>
          <w:highlight w:val="none"/>
        </w:rPr>
        <w:fldChar w:fldCharType="separate"/>
      </w:r>
      <w:r>
        <w:rPr>
          <w:rFonts w:hint="eastAsia" w:ascii="宋体" w:hAnsi="宋体" w:cs="宋体"/>
          <w:color w:val="auto"/>
          <w:highlight w:val="none"/>
        </w:rPr>
        <w:t>15. 响应文件的密封和标记</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_Toc13611 \h </w:instrText>
      </w:r>
      <w:r>
        <w:rPr>
          <w:rFonts w:hint="eastAsia" w:ascii="宋体" w:hAnsi="宋体" w:cs="宋体"/>
          <w:color w:val="auto"/>
          <w:highlight w:val="none"/>
        </w:rPr>
        <w:fldChar w:fldCharType="separate"/>
      </w:r>
      <w:r>
        <w:rPr>
          <w:rFonts w:hint="eastAsia" w:ascii="宋体" w:hAnsi="宋体" w:cs="宋体"/>
          <w:color w:val="auto"/>
          <w:highlight w:val="none"/>
        </w:rPr>
        <w:t>19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7C533B2">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"_Toc5658" </w:instrText>
      </w:r>
      <w:r>
        <w:rPr>
          <w:color w:val="auto"/>
          <w:highlight w:val="none"/>
        </w:rPr>
        <w:fldChar w:fldCharType="separate"/>
      </w:r>
      <w:r>
        <w:rPr>
          <w:rFonts w:hint="eastAsia" w:ascii="宋体" w:hAnsi="宋体" w:cs="宋体"/>
          <w:color w:val="auto"/>
          <w:highlight w:val="none"/>
        </w:rPr>
        <w:t>16. 响应文件的递交</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_Toc5658 \h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BAE8F4D">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"_Toc8440" </w:instrText>
      </w:r>
      <w:r>
        <w:rPr>
          <w:color w:val="auto"/>
          <w:highlight w:val="none"/>
        </w:rPr>
        <w:fldChar w:fldCharType="separate"/>
      </w:r>
      <w:r>
        <w:rPr>
          <w:rFonts w:hint="eastAsia" w:ascii="宋体" w:hAnsi="宋体" w:cs="宋体"/>
          <w:color w:val="auto"/>
          <w:highlight w:val="none"/>
        </w:rPr>
        <w:t>17. 样品（如需提交）</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_Toc8440 \h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6E77E9E">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"_Toc3401" </w:instrText>
      </w:r>
      <w:r>
        <w:rPr>
          <w:color w:val="auto"/>
          <w:highlight w:val="none"/>
        </w:rPr>
        <w:fldChar w:fldCharType="separate"/>
      </w:r>
      <w:r>
        <w:rPr>
          <w:rFonts w:hint="eastAsia" w:cs="宋体"/>
          <w:color w:val="auto"/>
          <w:sz w:val="21"/>
          <w:szCs w:val="21"/>
          <w:highlight w:val="none"/>
        </w:rPr>
        <w:t>第五章磋商、评审</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_Toc3401 \h </w:instrText>
      </w:r>
      <w:r>
        <w:rPr>
          <w:rFonts w:hint="eastAsia" w:cs="宋体"/>
          <w:color w:val="auto"/>
          <w:sz w:val="21"/>
          <w:szCs w:val="21"/>
          <w:highlight w:val="none"/>
        </w:rPr>
        <w:fldChar w:fldCharType="separate"/>
      </w:r>
      <w:r>
        <w:rPr>
          <w:rFonts w:hint="eastAsia" w:cs="宋体"/>
          <w:color w:val="auto"/>
          <w:sz w:val="21"/>
          <w:szCs w:val="21"/>
          <w:highlight w:val="none"/>
        </w:rPr>
        <w:t>21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0579C99">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"_Toc8137" </w:instrText>
      </w:r>
      <w:r>
        <w:rPr>
          <w:color w:val="auto"/>
          <w:highlight w:val="none"/>
        </w:rPr>
        <w:fldChar w:fldCharType="separate"/>
      </w:r>
      <w:r>
        <w:rPr>
          <w:rFonts w:hint="eastAsia" w:ascii="宋体" w:hAnsi="宋体" w:cs="宋体"/>
          <w:color w:val="auto"/>
          <w:highlight w:val="none"/>
        </w:rPr>
        <w:t>18. 签到及评审方法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_Toc8137 \h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816C35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"_Toc10080" </w:instrText>
      </w:r>
      <w:r>
        <w:rPr>
          <w:color w:val="auto"/>
          <w:highlight w:val="none"/>
        </w:rPr>
        <w:fldChar w:fldCharType="separate"/>
      </w:r>
      <w:r>
        <w:rPr>
          <w:rFonts w:hint="eastAsia" w:ascii="宋体" w:hAnsi="宋体" w:cs="宋体"/>
          <w:color w:val="auto"/>
          <w:highlight w:val="none"/>
        </w:rPr>
        <w:t>19. 磋商小组</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_Toc10080 \h </w:instrText>
      </w:r>
      <w:r>
        <w:rPr>
          <w:rFonts w:hint="eastAsia" w:ascii="宋体" w:hAnsi="宋体" w:cs="宋体"/>
          <w:color w:val="auto"/>
          <w:highlight w:val="none"/>
        </w:rPr>
        <w:fldChar w:fldCharType="separate"/>
      </w:r>
      <w:r>
        <w:rPr>
          <w:rFonts w:hint="eastAsia" w:ascii="宋体" w:hAnsi="宋体" w:cs="宋体"/>
          <w:color w:val="auto"/>
          <w:highlight w:val="none"/>
        </w:rPr>
        <w:t>21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964CAC6">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"_Toc17157" </w:instrText>
      </w:r>
      <w:r>
        <w:rPr>
          <w:color w:val="auto"/>
          <w:highlight w:val="none"/>
        </w:rPr>
        <w:fldChar w:fldCharType="separate"/>
      </w:r>
      <w:r>
        <w:rPr>
          <w:rFonts w:hint="eastAsia" w:ascii="宋体" w:hAnsi="宋体" w:cs="宋体"/>
          <w:color w:val="auto"/>
          <w:highlight w:val="none"/>
        </w:rPr>
        <w:t>20. 对响应文件的初审</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_Toc17157 \h </w:instrText>
      </w:r>
      <w:r>
        <w:rPr>
          <w:rFonts w:hint="eastAsia" w:ascii="宋体" w:hAnsi="宋体" w:cs="宋体"/>
          <w:color w:val="auto"/>
          <w:highlight w:val="none"/>
        </w:rPr>
        <w:fldChar w:fldCharType="separate"/>
      </w:r>
      <w:r>
        <w:rPr>
          <w:rFonts w:hint="eastAsia" w:ascii="宋体" w:hAnsi="宋体" w:cs="宋体"/>
          <w:color w:val="auto"/>
          <w:highlight w:val="none"/>
        </w:rPr>
        <w:t>22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9AFDFD">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"_Toc18895" </w:instrText>
      </w:r>
      <w:r>
        <w:rPr>
          <w:color w:val="auto"/>
          <w:highlight w:val="none"/>
        </w:rPr>
        <w:fldChar w:fldCharType="separate"/>
      </w:r>
      <w:r>
        <w:rPr>
          <w:rFonts w:hint="eastAsia" w:ascii="宋体" w:hAnsi="宋体" w:cs="宋体"/>
          <w:color w:val="auto"/>
          <w:highlight w:val="none"/>
        </w:rPr>
        <w:t>21. 技术商务磋商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_Toc18895 \h </w:instrText>
      </w:r>
      <w:r>
        <w:rPr>
          <w:rFonts w:hint="eastAsia" w:ascii="宋体" w:hAnsi="宋体" w:cs="宋体"/>
          <w:color w:val="auto"/>
          <w:highlight w:val="none"/>
        </w:rPr>
        <w:fldChar w:fldCharType="separate"/>
      </w:r>
      <w:r>
        <w:rPr>
          <w:rFonts w:hint="eastAsia" w:ascii="宋体" w:hAnsi="宋体" w:cs="宋体"/>
          <w:color w:val="auto"/>
          <w:highlight w:val="none"/>
        </w:rPr>
        <w:t>23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3E93DFF">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"_Toc5492" </w:instrText>
      </w:r>
      <w:r>
        <w:rPr>
          <w:color w:val="auto"/>
          <w:highlight w:val="none"/>
        </w:rPr>
        <w:fldChar w:fldCharType="separate"/>
      </w:r>
      <w:r>
        <w:rPr>
          <w:rFonts w:hint="eastAsia" w:ascii="宋体" w:hAnsi="宋体" w:cs="宋体"/>
          <w:color w:val="auto"/>
          <w:highlight w:val="none"/>
        </w:rPr>
        <w:t>22. 最终报价</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_Toc5492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2F35CA1">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"_Toc2794" </w:instrText>
      </w:r>
      <w:r>
        <w:rPr>
          <w:color w:val="auto"/>
          <w:highlight w:val="none"/>
        </w:rPr>
        <w:fldChar w:fldCharType="separate"/>
      </w:r>
      <w:r>
        <w:rPr>
          <w:rFonts w:hint="eastAsia" w:ascii="宋体" w:hAnsi="宋体" w:cs="宋体"/>
          <w:color w:val="auto"/>
          <w:highlight w:val="none"/>
        </w:rPr>
        <w:t>23. 综合评分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_Toc2794 \h </w:instrText>
      </w:r>
      <w:r>
        <w:rPr>
          <w:rFonts w:hint="eastAsia" w:ascii="宋体" w:hAnsi="宋体" w:cs="宋体"/>
          <w:color w:val="auto"/>
          <w:highlight w:val="none"/>
        </w:rPr>
        <w:fldChar w:fldCharType="separate"/>
      </w:r>
      <w:r>
        <w:rPr>
          <w:rFonts w:hint="eastAsia" w:ascii="宋体" w:hAnsi="宋体" w:cs="宋体"/>
          <w:color w:val="auto"/>
          <w:highlight w:val="none"/>
        </w:rPr>
        <w:t>24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546981E">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"_Toc30725" </w:instrText>
      </w:r>
      <w:r>
        <w:rPr>
          <w:color w:val="auto"/>
          <w:highlight w:val="none"/>
        </w:rPr>
        <w:fldChar w:fldCharType="separate"/>
      </w:r>
      <w:r>
        <w:rPr>
          <w:rFonts w:hint="eastAsia" w:ascii="宋体" w:hAnsi="宋体" w:cs="宋体"/>
          <w:color w:val="auto"/>
          <w:highlight w:val="none"/>
        </w:rPr>
        <w:t>24. 优惠政策</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_Toc30725 \h </w:instrText>
      </w:r>
      <w:r>
        <w:rPr>
          <w:rFonts w:hint="eastAsia" w:ascii="宋体" w:hAnsi="宋体" w:cs="宋体"/>
          <w:color w:val="auto"/>
          <w:highlight w:val="none"/>
        </w:rPr>
        <w:fldChar w:fldCharType="separate"/>
      </w:r>
      <w:r>
        <w:rPr>
          <w:rFonts w:hint="eastAsia" w:ascii="宋体" w:hAnsi="宋体" w:cs="宋体"/>
          <w:color w:val="auto"/>
          <w:highlight w:val="none"/>
        </w:rPr>
        <w:t>25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08F67BD">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"_Toc1066" </w:instrText>
      </w:r>
      <w:r>
        <w:rPr>
          <w:color w:val="auto"/>
          <w:highlight w:val="none"/>
        </w:rPr>
        <w:fldChar w:fldCharType="separate"/>
      </w:r>
      <w:r>
        <w:rPr>
          <w:rFonts w:hint="eastAsia" w:cs="宋体"/>
          <w:color w:val="auto"/>
          <w:sz w:val="21"/>
          <w:szCs w:val="21"/>
          <w:highlight w:val="none"/>
        </w:rPr>
        <w:t>第六章确定成交供应商</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_Toc1066 \h </w:instrText>
      </w:r>
      <w:r>
        <w:rPr>
          <w:rFonts w:hint="eastAsia" w:cs="宋体"/>
          <w:color w:val="auto"/>
          <w:sz w:val="21"/>
          <w:szCs w:val="21"/>
          <w:highlight w:val="none"/>
        </w:rPr>
        <w:fldChar w:fldCharType="separate"/>
      </w:r>
      <w:r>
        <w:rPr>
          <w:rFonts w:hint="eastAsia" w:cs="宋体"/>
          <w:color w:val="auto"/>
          <w:sz w:val="21"/>
          <w:szCs w:val="21"/>
          <w:highlight w:val="none"/>
        </w:rPr>
        <w:t>27</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2B25670">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"_Toc29068" </w:instrText>
      </w:r>
      <w:r>
        <w:rPr>
          <w:color w:val="auto"/>
          <w:highlight w:val="none"/>
        </w:rPr>
        <w:fldChar w:fldCharType="separate"/>
      </w:r>
      <w:r>
        <w:rPr>
          <w:rFonts w:hint="eastAsia" w:ascii="宋体" w:hAnsi="宋体" w:cs="宋体"/>
          <w:color w:val="auto"/>
          <w:highlight w:val="none"/>
        </w:rPr>
        <w:t>25. 确定成交</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_Toc29068 \h </w:instrText>
      </w:r>
      <w:r>
        <w:rPr>
          <w:rFonts w:hint="eastAsia" w:ascii="宋体" w:hAnsi="宋体" w:cs="宋体"/>
          <w:color w:val="auto"/>
          <w:highlight w:val="none"/>
        </w:rPr>
        <w:fldChar w:fldCharType="separate"/>
      </w:r>
      <w:r>
        <w:rPr>
          <w:rFonts w:hint="eastAsia" w:ascii="宋体" w:hAnsi="宋体" w:cs="宋体"/>
          <w:color w:val="auto"/>
          <w:highlight w:val="none"/>
        </w:rPr>
        <w:t>27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47A844E">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"_Toc3941" </w:instrText>
      </w:r>
      <w:r>
        <w:rPr>
          <w:color w:val="auto"/>
          <w:highlight w:val="none"/>
        </w:rPr>
        <w:fldChar w:fldCharType="separate"/>
      </w:r>
      <w:r>
        <w:rPr>
          <w:rFonts w:hint="eastAsia" w:ascii="宋体" w:hAnsi="宋体" w:cs="宋体"/>
          <w:color w:val="auto"/>
          <w:highlight w:val="none"/>
        </w:rPr>
        <w:t>26. 发布采购结果</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_Toc3941 \h </w:instrText>
      </w:r>
      <w:r>
        <w:rPr>
          <w:rFonts w:hint="eastAsia" w:ascii="宋体" w:hAnsi="宋体" w:cs="宋体"/>
          <w:color w:val="auto"/>
          <w:highlight w:val="none"/>
        </w:rPr>
        <w:fldChar w:fldCharType="separate"/>
      </w:r>
      <w:r>
        <w:rPr>
          <w:rFonts w:hint="eastAsia" w:ascii="宋体" w:hAnsi="宋体" w:cs="宋体"/>
          <w:color w:val="auto"/>
          <w:highlight w:val="none"/>
        </w:rPr>
        <w:t>27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9C93C67">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"_Toc29067" </w:instrText>
      </w:r>
      <w:r>
        <w:rPr>
          <w:color w:val="auto"/>
          <w:highlight w:val="none"/>
        </w:rPr>
        <w:fldChar w:fldCharType="separate"/>
      </w:r>
      <w:r>
        <w:rPr>
          <w:rFonts w:hint="eastAsia" w:ascii="宋体" w:hAnsi="宋体" w:cs="宋体"/>
          <w:color w:val="auto"/>
          <w:highlight w:val="none"/>
        </w:rPr>
        <w:t>27. 原件核查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_Toc29067 \h </w:instrText>
      </w:r>
      <w:r>
        <w:rPr>
          <w:rFonts w:hint="eastAsia" w:ascii="宋体" w:hAnsi="宋体" w:cs="宋体"/>
          <w:color w:val="auto"/>
          <w:highlight w:val="none"/>
        </w:rPr>
        <w:fldChar w:fldCharType="separate"/>
      </w:r>
      <w:r>
        <w:rPr>
          <w:rFonts w:hint="eastAsia" w:ascii="宋体" w:hAnsi="宋体" w:cs="宋体"/>
          <w:color w:val="auto"/>
          <w:highlight w:val="none"/>
        </w:rPr>
        <w:t>27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711B25D">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"_Toc3829" </w:instrText>
      </w:r>
      <w:r>
        <w:rPr>
          <w:color w:val="auto"/>
          <w:highlight w:val="none"/>
        </w:rPr>
        <w:fldChar w:fldCharType="separate"/>
      </w:r>
      <w:r>
        <w:rPr>
          <w:rFonts w:hint="eastAsia" w:cs="宋体"/>
          <w:color w:val="auto"/>
          <w:sz w:val="21"/>
          <w:szCs w:val="21"/>
          <w:highlight w:val="none"/>
        </w:rPr>
        <w:t>第七章签订合同</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_Toc3829 \h </w:instrText>
      </w:r>
      <w:r>
        <w:rPr>
          <w:rFonts w:hint="eastAsia" w:cs="宋体"/>
          <w:color w:val="auto"/>
          <w:sz w:val="21"/>
          <w:szCs w:val="21"/>
          <w:highlight w:val="none"/>
        </w:rPr>
        <w:fldChar w:fldCharType="separate"/>
      </w:r>
      <w:r>
        <w:rPr>
          <w:rFonts w:hint="eastAsia" w:cs="宋体"/>
          <w:color w:val="auto"/>
          <w:sz w:val="21"/>
          <w:szCs w:val="21"/>
          <w:highlight w:val="none"/>
        </w:rPr>
        <w:t>28</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2BB789A">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"_Toc18000" </w:instrText>
      </w:r>
      <w:r>
        <w:rPr>
          <w:color w:val="auto"/>
          <w:highlight w:val="none"/>
        </w:rPr>
        <w:fldChar w:fldCharType="separate"/>
      </w:r>
      <w:r>
        <w:rPr>
          <w:rFonts w:hint="eastAsia" w:ascii="宋体" w:hAnsi="宋体" w:cs="宋体"/>
          <w:color w:val="auto"/>
          <w:highlight w:val="none"/>
        </w:rPr>
        <w:t>28. 签订合同</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_Toc18000 \h </w:instrText>
      </w:r>
      <w:r>
        <w:rPr>
          <w:rFonts w:hint="eastAsia" w:ascii="宋体" w:hAnsi="宋体" w:cs="宋体"/>
          <w:color w:val="auto"/>
          <w:highlight w:val="none"/>
        </w:rPr>
        <w:fldChar w:fldCharType="separate"/>
      </w:r>
      <w:r>
        <w:rPr>
          <w:rFonts w:hint="eastAsia" w:ascii="宋体" w:hAnsi="宋体" w:cs="宋体"/>
          <w:color w:val="auto"/>
          <w:highlight w:val="none"/>
        </w:rPr>
        <w:t>28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114DE33">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"_Toc8165" </w:instrText>
      </w:r>
      <w:r>
        <w:rPr>
          <w:color w:val="auto"/>
          <w:highlight w:val="none"/>
        </w:rPr>
        <w:fldChar w:fldCharType="separate"/>
      </w:r>
      <w:r>
        <w:rPr>
          <w:rFonts w:hint="eastAsia" w:cs="宋体"/>
          <w:color w:val="auto"/>
          <w:sz w:val="21"/>
          <w:szCs w:val="21"/>
          <w:highlight w:val="none"/>
        </w:rPr>
        <w:t>第八章询问或质疑</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_Toc8165 \h </w:instrText>
      </w:r>
      <w:r>
        <w:rPr>
          <w:rFonts w:hint="eastAsia" w:cs="宋体"/>
          <w:color w:val="auto"/>
          <w:sz w:val="21"/>
          <w:szCs w:val="21"/>
          <w:highlight w:val="none"/>
        </w:rPr>
        <w:fldChar w:fldCharType="separate"/>
      </w:r>
      <w:r>
        <w:rPr>
          <w:rFonts w:hint="eastAsia" w:cs="宋体"/>
          <w:color w:val="auto"/>
          <w:sz w:val="21"/>
          <w:szCs w:val="21"/>
          <w:highlight w:val="none"/>
        </w:rPr>
        <w:t>29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A7436F1">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"_Toc18663" </w:instrText>
      </w:r>
      <w:r>
        <w:rPr>
          <w:color w:val="auto"/>
          <w:highlight w:val="none"/>
        </w:rPr>
        <w:fldChar w:fldCharType="separate"/>
      </w:r>
      <w:r>
        <w:rPr>
          <w:rFonts w:hint="eastAsia" w:ascii="宋体" w:hAnsi="宋体" w:cs="宋体"/>
          <w:color w:val="auto"/>
          <w:highlight w:val="none"/>
        </w:rPr>
        <w:t>29. 询问</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_Toc18663 \h </w:instrText>
      </w:r>
      <w:r>
        <w:rPr>
          <w:rFonts w:hint="eastAsia" w:ascii="宋体" w:hAnsi="宋体" w:cs="宋体"/>
          <w:color w:val="auto"/>
          <w:highlight w:val="none"/>
        </w:rPr>
        <w:fldChar w:fldCharType="separate"/>
      </w:r>
      <w:r>
        <w:rPr>
          <w:rFonts w:hint="eastAsia" w:ascii="宋体" w:hAnsi="宋体" w:cs="宋体"/>
          <w:color w:val="auto"/>
          <w:highlight w:val="none"/>
        </w:rPr>
        <w:t>29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772E7D4">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"_Toc20114" </w:instrText>
      </w:r>
      <w:r>
        <w:rPr>
          <w:color w:val="auto"/>
          <w:highlight w:val="none"/>
        </w:rPr>
        <w:fldChar w:fldCharType="separate"/>
      </w:r>
      <w:r>
        <w:rPr>
          <w:rFonts w:hint="eastAsia" w:ascii="宋体" w:hAnsi="宋体" w:cs="宋体"/>
          <w:color w:val="auto"/>
          <w:highlight w:val="none"/>
        </w:rPr>
        <w:t>30. 质疑</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_Toc20114 \h </w:instrText>
      </w:r>
      <w:r>
        <w:rPr>
          <w:rFonts w:hint="eastAsia" w:ascii="宋体" w:hAnsi="宋体" w:cs="宋体"/>
          <w:color w:val="auto"/>
          <w:highlight w:val="none"/>
        </w:rPr>
        <w:fldChar w:fldCharType="separate"/>
      </w:r>
      <w:r>
        <w:rPr>
          <w:rFonts w:hint="eastAsia" w:ascii="宋体" w:hAnsi="宋体" w:cs="宋体"/>
          <w:color w:val="auto"/>
          <w:highlight w:val="none"/>
        </w:rPr>
        <w:t>29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ECEDE3F">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"_Toc5551" </w:instrText>
      </w:r>
      <w:r>
        <w:rPr>
          <w:color w:val="auto"/>
          <w:highlight w:val="none"/>
        </w:rPr>
        <w:fldChar w:fldCharType="separate"/>
      </w:r>
      <w:r>
        <w:rPr>
          <w:rFonts w:hint="eastAsia" w:cs="宋体"/>
          <w:color w:val="auto"/>
          <w:sz w:val="21"/>
          <w:szCs w:val="21"/>
          <w:highlight w:val="none"/>
        </w:rPr>
        <w:t>第九章成交服务费</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_Toc5551 \h </w:instrText>
      </w:r>
      <w:r>
        <w:rPr>
          <w:rFonts w:hint="eastAsia" w:cs="宋体"/>
          <w:color w:val="auto"/>
          <w:sz w:val="21"/>
          <w:szCs w:val="21"/>
          <w:highlight w:val="none"/>
        </w:rPr>
        <w:fldChar w:fldCharType="separate"/>
      </w:r>
      <w:r>
        <w:rPr>
          <w:rFonts w:hint="eastAsia" w:cs="宋体"/>
          <w:color w:val="auto"/>
          <w:sz w:val="21"/>
          <w:szCs w:val="21"/>
          <w:highlight w:val="none"/>
        </w:rPr>
        <w:t>30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6FF19814">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"_Toc26991" </w:instrText>
      </w:r>
      <w:r>
        <w:rPr>
          <w:color w:val="auto"/>
          <w:highlight w:val="none"/>
        </w:rPr>
        <w:fldChar w:fldCharType="separate"/>
      </w:r>
      <w:r>
        <w:rPr>
          <w:rFonts w:hint="eastAsia" w:ascii="宋体" w:hAnsi="宋体" w:cs="宋体"/>
          <w:color w:val="auto"/>
          <w:highlight w:val="none"/>
        </w:rPr>
        <w:t>31. 成交服务费</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_Toc26991 \h </w:instrText>
      </w:r>
      <w:r>
        <w:rPr>
          <w:rFonts w:hint="eastAsia" w:ascii="宋体" w:hAnsi="宋体" w:cs="宋体"/>
          <w:color w:val="auto"/>
          <w:highlight w:val="none"/>
        </w:rPr>
        <w:fldChar w:fldCharType="separate"/>
      </w:r>
      <w:r>
        <w:rPr>
          <w:rFonts w:hint="eastAsia" w:ascii="宋体" w:hAnsi="宋体" w:cs="宋体"/>
          <w:color w:val="auto"/>
          <w:highlight w:val="none"/>
        </w:rPr>
        <w:t>30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248E16A">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"_Toc7834" </w:instrText>
      </w:r>
      <w:r>
        <w:rPr>
          <w:color w:val="auto"/>
          <w:highlight w:val="none"/>
        </w:rPr>
        <w:fldChar w:fldCharType="separate"/>
      </w:r>
      <w:r>
        <w:rPr>
          <w:rFonts w:hint="eastAsia" w:cs="宋体"/>
          <w:color w:val="auto"/>
          <w:sz w:val="21"/>
          <w:szCs w:val="21"/>
          <w:highlight w:val="none"/>
        </w:rPr>
        <w:t>第十章其他</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_Toc7834 \h </w:instrText>
      </w:r>
      <w:r>
        <w:rPr>
          <w:rFonts w:hint="eastAsia" w:cs="宋体"/>
          <w:color w:val="auto"/>
          <w:sz w:val="21"/>
          <w:szCs w:val="21"/>
          <w:highlight w:val="none"/>
        </w:rPr>
        <w:fldChar w:fldCharType="separate"/>
      </w:r>
      <w:r>
        <w:rPr>
          <w:rFonts w:hint="eastAsia" w:cs="宋体"/>
          <w:color w:val="auto"/>
          <w:sz w:val="21"/>
          <w:szCs w:val="21"/>
          <w:highlight w:val="none"/>
        </w:rPr>
        <w:t>30</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C01FD0">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"_Toc10953" </w:instrText>
      </w:r>
      <w:r>
        <w:rPr>
          <w:color w:val="auto"/>
          <w:highlight w:val="none"/>
        </w:rPr>
        <w:fldChar w:fldCharType="separate"/>
      </w:r>
      <w:r>
        <w:rPr>
          <w:rFonts w:hint="eastAsia" w:ascii="宋体" w:hAnsi="宋体" w:cs="宋体"/>
          <w:color w:val="auto"/>
          <w:highlight w:val="none"/>
        </w:rPr>
        <w:t>32. 磋商文件的解释权</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_Toc10953 \h </w:instrText>
      </w:r>
      <w:r>
        <w:rPr>
          <w:rFonts w:hint="eastAsia" w:ascii="宋体" w:hAnsi="宋体" w:cs="宋体"/>
          <w:color w:val="auto"/>
          <w:highlight w:val="none"/>
        </w:rPr>
        <w:fldChar w:fldCharType="separate"/>
      </w:r>
      <w:r>
        <w:rPr>
          <w:rFonts w:hint="eastAsia" w:ascii="宋体" w:hAnsi="宋体" w:cs="宋体"/>
          <w:color w:val="auto"/>
          <w:highlight w:val="none"/>
        </w:rPr>
        <w:t>30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40FA54C">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"_Toc3162" </w:instrText>
      </w:r>
      <w:r>
        <w:rPr>
          <w:color w:val="auto"/>
          <w:highlight w:val="none"/>
        </w:rPr>
        <w:fldChar w:fldCharType="separate"/>
      </w:r>
      <w:r>
        <w:rPr>
          <w:rFonts w:hint="eastAsia" w:cs="宋体"/>
          <w:color w:val="auto"/>
          <w:sz w:val="21"/>
          <w:szCs w:val="21"/>
          <w:highlight w:val="none"/>
        </w:rPr>
        <w:t>第五部分 用户需求书</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_Toc3162 \h </w:instrText>
      </w:r>
      <w:r>
        <w:rPr>
          <w:rFonts w:hint="eastAsia" w:cs="宋体"/>
          <w:color w:val="auto"/>
          <w:sz w:val="21"/>
          <w:szCs w:val="21"/>
          <w:highlight w:val="none"/>
        </w:rPr>
        <w:fldChar w:fldCharType="separate"/>
      </w:r>
      <w:r>
        <w:rPr>
          <w:rFonts w:hint="eastAsia" w:cs="宋体"/>
          <w:color w:val="auto"/>
          <w:sz w:val="21"/>
          <w:szCs w:val="21"/>
          <w:highlight w:val="none"/>
        </w:rPr>
        <w:t>31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5EBCB55">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"_Toc31162" </w:instrText>
      </w:r>
      <w:r>
        <w:rPr>
          <w:color w:val="auto"/>
          <w:highlight w:val="none"/>
        </w:rPr>
        <w:fldChar w:fldCharType="separate"/>
      </w:r>
      <w:r>
        <w:rPr>
          <w:rFonts w:hint="eastAsia" w:ascii="宋体" w:hAnsi="宋体" w:cs="宋体"/>
          <w:color w:val="auto"/>
          <w:highlight w:val="none"/>
        </w:rPr>
        <w:t>第一章 商务需求书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_Toc31162 \h </w:instrText>
      </w:r>
      <w:r>
        <w:rPr>
          <w:rFonts w:hint="eastAsia" w:ascii="宋体" w:hAnsi="宋体" w:cs="宋体"/>
          <w:color w:val="auto"/>
          <w:highlight w:val="none"/>
        </w:rPr>
        <w:fldChar w:fldCharType="separate"/>
      </w:r>
      <w:r>
        <w:rPr>
          <w:rFonts w:hint="eastAsia" w:ascii="宋体" w:hAnsi="宋体" w:cs="宋体"/>
          <w:color w:val="auto"/>
          <w:highlight w:val="none"/>
        </w:rPr>
        <w:t>31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515B0D4">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"_Toc19981" </w:instrText>
      </w:r>
      <w:r>
        <w:rPr>
          <w:color w:val="auto"/>
          <w:highlight w:val="none"/>
        </w:rPr>
        <w:fldChar w:fldCharType="separate"/>
      </w:r>
      <w:r>
        <w:rPr>
          <w:rFonts w:hint="eastAsia" w:ascii="宋体" w:hAnsi="宋体" w:cs="宋体"/>
          <w:color w:val="auto"/>
          <w:highlight w:val="none"/>
        </w:rPr>
        <w:t>第二章 技术需求书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_Toc19981 \h </w:instrText>
      </w:r>
      <w:r>
        <w:rPr>
          <w:rFonts w:hint="eastAsia" w:ascii="宋体" w:hAnsi="宋体" w:cs="宋体"/>
          <w:color w:val="auto"/>
          <w:highlight w:val="none"/>
        </w:rPr>
        <w:fldChar w:fldCharType="separate"/>
      </w:r>
      <w:r>
        <w:rPr>
          <w:rFonts w:hint="eastAsia" w:ascii="宋体" w:hAnsi="宋体" w:cs="宋体"/>
          <w:color w:val="auto"/>
          <w:highlight w:val="none"/>
        </w:rPr>
        <w:t>32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A42506E">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"_Toc17329" </w:instrText>
      </w:r>
      <w:r>
        <w:rPr>
          <w:color w:val="auto"/>
          <w:highlight w:val="none"/>
        </w:rPr>
        <w:fldChar w:fldCharType="separate"/>
      </w:r>
      <w:r>
        <w:rPr>
          <w:rFonts w:hint="eastAsia" w:cs="宋体"/>
          <w:color w:val="auto"/>
          <w:sz w:val="21"/>
          <w:szCs w:val="21"/>
          <w:highlight w:val="none"/>
        </w:rPr>
        <w:t>第六部分 合同格式（仅供参考）</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_Toc17329 \h </w:instrText>
      </w:r>
      <w:r>
        <w:rPr>
          <w:rFonts w:hint="eastAsia" w:cs="宋体"/>
          <w:color w:val="auto"/>
          <w:sz w:val="21"/>
          <w:szCs w:val="21"/>
          <w:highlight w:val="none"/>
        </w:rPr>
        <w:fldChar w:fldCharType="separate"/>
      </w:r>
      <w:r>
        <w:rPr>
          <w:rFonts w:hint="eastAsia" w:cs="宋体"/>
          <w:color w:val="auto"/>
          <w:sz w:val="21"/>
          <w:szCs w:val="21"/>
          <w:highlight w:val="none"/>
        </w:rPr>
        <w:t>33</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A769FD3">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"_Toc29470" </w:instrText>
      </w:r>
      <w:r>
        <w:rPr>
          <w:color w:val="auto"/>
          <w:highlight w:val="none"/>
        </w:rPr>
        <w:fldChar w:fldCharType="separate"/>
      </w:r>
      <w:r>
        <w:rPr>
          <w:rFonts w:hint="eastAsia" w:ascii="宋体" w:hAnsi="宋体" w:cs="宋体"/>
          <w:color w:val="auto"/>
          <w:highlight w:val="none"/>
        </w:rPr>
        <w:t>合同格式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_Toc29470 \h </w:instrText>
      </w:r>
      <w:r>
        <w:rPr>
          <w:rFonts w:hint="eastAsia" w:ascii="宋体" w:hAnsi="宋体" w:cs="宋体"/>
          <w:color w:val="auto"/>
          <w:highlight w:val="none"/>
        </w:rPr>
        <w:fldChar w:fldCharType="separate"/>
      </w:r>
      <w:r>
        <w:rPr>
          <w:rFonts w:hint="eastAsia" w:ascii="宋体" w:hAnsi="宋体" w:cs="宋体"/>
          <w:color w:val="auto"/>
          <w:highlight w:val="none"/>
        </w:rPr>
        <w:t>33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8E07DC9">
      <w:pPr>
        <w:pStyle w:val="21"/>
        <w:tabs>
          <w:tab w:val="right" w:leader="dot" w:pos="8306"/>
          <w:tab w:val="clear" w:pos="8296"/>
        </w:tabs>
        <w:ind w:left="0" w:leftChars="0"/>
        <w:rPr>
          <w:rFonts w:cs="宋体"/>
          <w:color w:val="auto"/>
          <w:sz w:val="21"/>
          <w:szCs w:val="21"/>
          <w:highlight w:val="none"/>
        </w:rPr>
      </w:pPr>
      <w:r>
        <w:rPr>
          <w:color w:val="auto"/>
          <w:highlight w:val="none"/>
        </w:rPr>
        <w:fldChar w:fldCharType="begin"/>
      </w:r>
      <w:r>
        <w:rPr>
          <w:color w:val="auto"/>
          <w:highlight w:val="none"/>
        </w:rPr>
        <w:instrText xml:space="preserve"> HYPERLINK \l "_Toc15158" </w:instrText>
      </w:r>
      <w:r>
        <w:rPr>
          <w:color w:val="auto"/>
          <w:highlight w:val="none"/>
        </w:rPr>
        <w:fldChar w:fldCharType="separate"/>
      </w:r>
      <w:r>
        <w:rPr>
          <w:rFonts w:hint="eastAsia" w:cs="宋体"/>
          <w:color w:val="auto"/>
          <w:sz w:val="21"/>
          <w:szCs w:val="21"/>
          <w:highlight w:val="none"/>
        </w:rPr>
        <w:t>第七部分  响应文件格式</w:t>
      </w:r>
      <w:r>
        <w:rPr>
          <w:rFonts w:hint="eastAsia" w:cs="宋体"/>
          <w:color w:val="auto"/>
          <w:sz w:val="21"/>
          <w:szCs w:val="21"/>
          <w:highlight w:val="none"/>
        </w:rPr>
        <w:tab/>
      </w:r>
      <w:r>
        <w:rPr>
          <w:rFonts w:hint="eastAsia" w:cs="宋体"/>
          <w:color w:val="auto"/>
          <w:sz w:val="21"/>
          <w:szCs w:val="21"/>
          <w:highlight w:val="none"/>
        </w:rPr>
        <w:fldChar w:fldCharType="begin"/>
      </w:r>
      <w:r>
        <w:rPr>
          <w:rFonts w:hint="eastAsia" w:cs="宋体"/>
          <w:color w:val="auto"/>
          <w:sz w:val="21"/>
          <w:szCs w:val="21"/>
          <w:highlight w:val="none"/>
        </w:rPr>
        <w:instrText xml:space="preserve"> PAGEREF _Toc15158 \h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08C7B302">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"_Toc2434" </w:instrText>
      </w:r>
      <w:r>
        <w:rPr>
          <w:color w:val="auto"/>
          <w:highlight w:val="none"/>
        </w:rPr>
        <w:fldChar w:fldCharType="separate"/>
      </w:r>
      <w:r>
        <w:rPr>
          <w:rFonts w:hint="eastAsia" w:ascii="宋体" w:hAnsi="宋体" w:cs="宋体"/>
          <w:color w:val="auto"/>
          <w:highlight w:val="none"/>
        </w:rPr>
        <w:t>响应文件目录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_Toc2434 \h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5989A65">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"_Toc28116" </w:instrText>
      </w:r>
      <w:r>
        <w:rPr>
          <w:color w:val="auto"/>
          <w:highlight w:val="none"/>
        </w:rPr>
        <w:fldChar w:fldCharType="separate"/>
      </w:r>
      <w:r>
        <w:rPr>
          <w:rFonts w:hint="eastAsia" w:ascii="宋体" w:hAnsi="宋体" w:cs="宋体"/>
          <w:color w:val="auto"/>
          <w:highlight w:val="none"/>
        </w:rPr>
        <w:t>评分标准索引表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_Toc28116 \h </w:instrText>
      </w:r>
      <w:r>
        <w:rPr>
          <w:rFonts w:hint="eastAsia" w:ascii="宋体" w:hAnsi="宋体" w:cs="宋体"/>
          <w:color w:val="auto"/>
          <w:highlight w:val="none"/>
        </w:rPr>
        <w:fldChar w:fldCharType="separate"/>
      </w:r>
      <w:r>
        <w:rPr>
          <w:rFonts w:hint="eastAsia" w:ascii="宋体" w:hAnsi="宋体" w:cs="宋体"/>
          <w:color w:val="auto"/>
          <w:highlight w:val="none"/>
        </w:rPr>
        <w:t>37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BBF432A">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"_Toc19057" </w:instrText>
      </w:r>
      <w:r>
        <w:rPr>
          <w:color w:val="auto"/>
          <w:highlight w:val="none"/>
        </w:rPr>
        <w:fldChar w:fldCharType="separate"/>
      </w:r>
      <w:r>
        <w:rPr>
          <w:rFonts w:hint="eastAsia" w:ascii="宋体" w:hAnsi="宋体" w:cs="宋体"/>
          <w:color w:val="auto"/>
          <w:highlight w:val="none"/>
        </w:rPr>
        <w:t>第一章价格文件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_Toc19057 \h </w:instrText>
      </w:r>
      <w:r>
        <w:rPr>
          <w:rFonts w:hint="eastAsia" w:ascii="宋体" w:hAnsi="宋体" w:cs="宋体"/>
          <w:color w:val="auto"/>
          <w:highlight w:val="none"/>
        </w:rPr>
        <w:fldChar w:fldCharType="separate"/>
      </w:r>
      <w:r>
        <w:rPr>
          <w:rFonts w:hint="eastAsia" w:ascii="宋体" w:hAnsi="宋体" w:cs="宋体"/>
          <w:color w:val="auto"/>
          <w:highlight w:val="none"/>
        </w:rPr>
        <w:t>38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469201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"_Toc29262" </w:instrText>
      </w:r>
      <w:r>
        <w:rPr>
          <w:color w:val="auto"/>
          <w:highlight w:val="none"/>
        </w:rPr>
        <w:fldChar w:fldCharType="separate"/>
      </w:r>
      <w:r>
        <w:rPr>
          <w:rFonts w:hint="eastAsia" w:ascii="宋体" w:hAnsi="宋体" w:cs="宋体"/>
          <w:color w:val="auto"/>
          <w:highlight w:val="none"/>
        </w:rPr>
        <w:t>一、报价一览表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_Toc29262 \h </w:instrText>
      </w:r>
      <w:r>
        <w:rPr>
          <w:rFonts w:hint="eastAsia" w:ascii="宋体" w:hAnsi="宋体" w:cs="宋体"/>
          <w:color w:val="auto"/>
          <w:highlight w:val="none"/>
        </w:rPr>
        <w:fldChar w:fldCharType="separate"/>
      </w:r>
      <w:r>
        <w:rPr>
          <w:rFonts w:hint="eastAsia" w:ascii="宋体" w:hAnsi="宋体" w:cs="宋体"/>
          <w:color w:val="auto"/>
          <w:highlight w:val="none"/>
        </w:rPr>
        <w:t>38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30FAA44">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"_Toc29258" </w:instrText>
      </w:r>
      <w:r>
        <w:rPr>
          <w:color w:val="auto"/>
          <w:highlight w:val="none"/>
        </w:rPr>
        <w:fldChar w:fldCharType="separate"/>
      </w:r>
      <w:r>
        <w:rPr>
          <w:rFonts w:hint="eastAsia" w:ascii="宋体" w:hAnsi="宋体" w:cs="宋体"/>
          <w:color w:val="auto"/>
          <w:highlight w:val="none"/>
        </w:rPr>
        <w:t>二、报价明细表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_Toc29258 \h </w:instrText>
      </w:r>
      <w:r>
        <w:rPr>
          <w:rFonts w:hint="eastAsia" w:ascii="宋体" w:hAnsi="宋体" w:cs="宋体"/>
          <w:color w:val="auto"/>
          <w:highlight w:val="none"/>
        </w:rPr>
        <w:fldChar w:fldCharType="separate"/>
      </w:r>
      <w:r>
        <w:rPr>
          <w:rFonts w:hint="eastAsia" w:ascii="宋体" w:hAnsi="宋体" w:cs="宋体"/>
          <w:color w:val="auto"/>
          <w:highlight w:val="none"/>
        </w:rPr>
        <w:t>39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C7BB79C">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"_Toc14734" </w:instrText>
      </w:r>
      <w:r>
        <w:rPr>
          <w:color w:val="auto"/>
          <w:highlight w:val="none"/>
        </w:rPr>
        <w:fldChar w:fldCharType="separate"/>
      </w:r>
      <w:r>
        <w:rPr>
          <w:rFonts w:hint="eastAsia" w:ascii="宋体" w:hAnsi="宋体" w:cs="宋体"/>
          <w:color w:val="auto"/>
          <w:highlight w:val="none"/>
        </w:rPr>
        <w:t>三、小型或微型企业（货物/服务/承担的工程）明细表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_Toc14734 \h </w:instrText>
      </w:r>
      <w:r>
        <w:rPr>
          <w:rFonts w:hint="eastAsia" w:ascii="宋体" w:hAnsi="宋体" w:cs="宋体"/>
          <w:color w:val="auto"/>
          <w:highlight w:val="none"/>
        </w:rPr>
        <w:fldChar w:fldCharType="separate"/>
      </w:r>
      <w:r>
        <w:rPr>
          <w:rFonts w:hint="eastAsia" w:ascii="宋体" w:hAnsi="宋体" w:cs="宋体"/>
          <w:color w:val="auto"/>
          <w:highlight w:val="none"/>
        </w:rPr>
        <w:t>40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FE2BC9C">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"_Toc17483" </w:instrText>
      </w:r>
      <w:r>
        <w:rPr>
          <w:color w:val="auto"/>
          <w:highlight w:val="none"/>
        </w:rPr>
        <w:fldChar w:fldCharType="separate"/>
      </w:r>
      <w:r>
        <w:rPr>
          <w:rFonts w:hint="eastAsia" w:ascii="宋体" w:hAnsi="宋体" w:cs="宋体"/>
          <w:color w:val="auto"/>
          <w:highlight w:val="none"/>
        </w:rPr>
        <w:t>四、节能产品或环境标志产品明细表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_Toc17483 \h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EFD7830">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"_Toc8170" </w:instrText>
      </w:r>
      <w:r>
        <w:rPr>
          <w:color w:val="auto"/>
          <w:highlight w:val="none"/>
        </w:rPr>
        <w:fldChar w:fldCharType="separate"/>
      </w:r>
      <w:r>
        <w:rPr>
          <w:rFonts w:hint="eastAsia" w:ascii="宋体" w:hAnsi="宋体" w:cs="宋体"/>
          <w:color w:val="auto"/>
          <w:highlight w:val="none"/>
        </w:rPr>
        <w:t>五、中小企业声明函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_Toc8170 \h </w:instrText>
      </w:r>
      <w:r>
        <w:rPr>
          <w:rFonts w:hint="eastAsia" w:ascii="宋体" w:hAnsi="宋体" w:cs="宋体"/>
          <w:color w:val="auto"/>
          <w:highlight w:val="none"/>
        </w:rPr>
        <w:fldChar w:fldCharType="separate"/>
      </w:r>
      <w:r>
        <w:rPr>
          <w:rFonts w:hint="eastAsia" w:ascii="宋体" w:hAnsi="宋体" w:cs="宋体"/>
          <w:color w:val="auto"/>
          <w:highlight w:val="none"/>
        </w:rPr>
        <w:t>42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8037015">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"_Toc312" </w:instrText>
      </w:r>
      <w:r>
        <w:rPr>
          <w:color w:val="auto"/>
          <w:highlight w:val="none"/>
        </w:rPr>
        <w:fldChar w:fldCharType="separate"/>
      </w:r>
      <w:r>
        <w:rPr>
          <w:rFonts w:hint="eastAsia" w:ascii="宋体" w:hAnsi="宋体" w:cs="宋体"/>
          <w:color w:val="auto"/>
          <w:highlight w:val="none"/>
        </w:rPr>
        <w:t>六、残疾人福利性单位声明函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_Toc312 \h </w:instrText>
      </w:r>
      <w:r>
        <w:rPr>
          <w:rFonts w:hint="eastAsia" w:ascii="宋体" w:hAnsi="宋体" w:cs="宋体"/>
          <w:color w:val="auto"/>
          <w:highlight w:val="none"/>
        </w:rPr>
        <w:fldChar w:fldCharType="separate"/>
      </w:r>
      <w:r>
        <w:rPr>
          <w:rFonts w:hint="eastAsia" w:ascii="宋体" w:hAnsi="宋体" w:cs="宋体"/>
          <w:color w:val="auto"/>
          <w:highlight w:val="none"/>
        </w:rPr>
        <w:t>45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2ED6F32">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"_Toc2486" </w:instrText>
      </w:r>
      <w:r>
        <w:rPr>
          <w:color w:val="auto"/>
          <w:highlight w:val="none"/>
        </w:rPr>
        <w:fldChar w:fldCharType="separate"/>
      </w:r>
      <w:r>
        <w:rPr>
          <w:rFonts w:hint="eastAsia" w:ascii="宋体" w:hAnsi="宋体" w:cs="宋体"/>
          <w:color w:val="auto"/>
          <w:highlight w:val="none"/>
        </w:rPr>
        <w:t>第二章商务文件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_Toc2486 \h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D731095">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"_Toc4151" </w:instrText>
      </w:r>
      <w:r>
        <w:rPr>
          <w:color w:val="auto"/>
          <w:highlight w:val="none"/>
        </w:rPr>
        <w:fldChar w:fldCharType="separate"/>
      </w:r>
      <w:r>
        <w:rPr>
          <w:rFonts w:hint="eastAsia" w:ascii="宋体" w:hAnsi="宋体" w:cs="宋体"/>
          <w:color w:val="auto"/>
          <w:highlight w:val="none"/>
        </w:rPr>
        <w:t>一、响应函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_Toc4151 \h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E6367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"_Toc27961" </w:instrText>
      </w:r>
      <w:r>
        <w:rPr>
          <w:color w:val="auto"/>
          <w:highlight w:val="none"/>
        </w:rPr>
        <w:fldChar w:fldCharType="separate"/>
      </w:r>
      <w:r>
        <w:rPr>
          <w:rFonts w:hint="eastAsia" w:ascii="宋体" w:hAnsi="宋体" w:cs="宋体"/>
          <w:color w:val="auto"/>
          <w:highlight w:val="none"/>
        </w:rPr>
        <w:t>二、资格申明函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_Toc27961 \h </w:instrText>
      </w:r>
      <w:r>
        <w:rPr>
          <w:rFonts w:hint="eastAsia" w:ascii="宋体" w:hAnsi="宋体" w:cs="宋体"/>
          <w:color w:val="auto"/>
          <w:highlight w:val="none"/>
        </w:rPr>
        <w:fldChar w:fldCharType="separate"/>
      </w:r>
      <w:r>
        <w:rPr>
          <w:rFonts w:hint="eastAsia" w:ascii="宋体" w:hAnsi="宋体" w:cs="宋体"/>
          <w:color w:val="auto"/>
          <w:highlight w:val="none"/>
        </w:rPr>
        <w:t>47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592E37B">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"_Toc21335" </w:instrText>
      </w:r>
      <w:r>
        <w:rPr>
          <w:color w:val="auto"/>
          <w:highlight w:val="none"/>
        </w:rPr>
        <w:fldChar w:fldCharType="separate"/>
      </w:r>
      <w:r>
        <w:rPr>
          <w:rFonts w:hint="eastAsia" w:ascii="宋体" w:hAnsi="宋体" w:cs="宋体"/>
          <w:color w:val="auto"/>
          <w:highlight w:val="none"/>
        </w:rPr>
        <w:t>三、在参与政府采购活动前三年未有重大违法记录、没有不良信用记录的声明函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_Toc21335 \h </w:instrText>
      </w:r>
      <w:r>
        <w:rPr>
          <w:rFonts w:hint="eastAsia" w:ascii="宋体" w:hAnsi="宋体" w:cs="宋体"/>
          <w:color w:val="auto"/>
          <w:highlight w:val="none"/>
        </w:rPr>
        <w:fldChar w:fldCharType="separate"/>
      </w:r>
      <w:r>
        <w:rPr>
          <w:rFonts w:hint="eastAsia" w:ascii="宋体" w:hAnsi="宋体" w:cs="宋体"/>
          <w:color w:val="auto"/>
          <w:highlight w:val="none"/>
        </w:rPr>
        <w:t>48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113CBBE">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"_Toc32128" </w:instrText>
      </w:r>
      <w:r>
        <w:rPr>
          <w:color w:val="auto"/>
          <w:highlight w:val="none"/>
        </w:rPr>
        <w:fldChar w:fldCharType="separate"/>
      </w:r>
      <w:r>
        <w:rPr>
          <w:rFonts w:hint="eastAsia" w:ascii="宋体" w:hAnsi="宋体" w:cs="宋体"/>
          <w:color w:val="auto"/>
          <w:highlight w:val="none"/>
        </w:rPr>
        <w:t>四、法定代表人证明书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_Toc32128 \h </w:instrText>
      </w:r>
      <w:r>
        <w:rPr>
          <w:rFonts w:hint="eastAsia" w:ascii="宋体" w:hAnsi="宋体" w:cs="宋体"/>
          <w:color w:val="auto"/>
          <w:highlight w:val="none"/>
        </w:rPr>
        <w:fldChar w:fldCharType="separate"/>
      </w:r>
      <w:r>
        <w:rPr>
          <w:rFonts w:hint="eastAsia" w:ascii="宋体" w:hAnsi="宋体" w:cs="宋体"/>
          <w:color w:val="auto"/>
          <w:highlight w:val="none"/>
        </w:rPr>
        <w:t>49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7BA6386">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"_Toc11689" </w:instrText>
      </w:r>
      <w:r>
        <w:rPr>
          <w:color w:val="auto"/>
          <w:highlight w:val="none"/>
        </w:rPr>
        <w:fldChar w:fldCharType="separate"/>
      </w:r>
      <w:r>
        <w:rPr>
          <w:rFonts w:hint="eastAsia" w:ascii="宋体" w:hAnsi="宋体" w:cs="宋体"/>
          <w:color w:val="auto"/>
          <w:highlight w:val="none"/>
        </w:rPr>
        <w:t>五、法定代表人授权书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_Toc11689 \h </w:instrText>
      </w:r>
      <w:r>
        <w:rPr>
          <w:rFonts w:hint="eastAsia" w:ascii="宋体" w:hAnsi="宋体" w:cs="宋体"/>
          <w:color w:val="auto"/>
          <w:highlight w:val="none"/>
        </w:rPr>
        <w:fldChar w:fldCharType="separate"/>
      </w:r>
      <w:r>
        <w:rPr>
          <w:rFonts w:hint="eastAsia" w:ascii="宋体" w:hAnsi="宋体" w:cs="宋体"/>
          <w:color w:val="auto"/>
          <w:highlight w:val="none"/>
        </w:rPr>
        <w:t>50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0A554D6">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"_Toc1197" </w:instrText>
      </w:r>
      <w:r>
        <w:rPr>
          <w:color w:val="auto"/>
          <w:highlight w:val="none"/>
        </w:rPr>
        <w:fldChar w:fldCharType="separate"/>
      </w:r>
      <w:r>
        <w:rPr>
          <w:rFonts w:hint="eastAsia" w:ascii="宋体" w:hAnsi="宋体" w:cs="宋体"/>
          <w:color w:val="auto"/>
          <w:highlight w:val="none"/>
        </w:rPr>
        <w:t>六、供应商基本情况说明</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_Toc1197 \h </w:instrText>
      </w:r>
      <w:r>
        <w:rPr>
          <w:rFonts w:hint="eastAsia" w:ascii="宋体" w:hAnsi="宋体" w:cs="宋体"/>
          <w:color w:val="auto"/>
          <w:highlight w:val="none"/>
        </w:rPr>
        <w:fldChar w:fldCharType="separate"/>
      </w:r>
      <w:r>
        <w:rPr>
          <w:rFonts w:hint="eastAsia" w:ascii="宋体" w:hAnsi="宋体" w:cs="宋体"/>
          <w:color w:val="auto"/>
          <w:highlight w:val="none"/>
        </w:rPr>
        <w:t>51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85F9DC2">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"_Toc11992" </w:instrText>
      </w:r>
      <w:r>
        <w:rPr>
          <w:color w:val="auto"/>
          <w:highlight w:val="none"/>
        </w:rPr>
        <w:fldChar w:fldCharType="separate"/>
      </w:r>
      <w:r>
        <w:rPr>
          <w:rFonts w:hint="eastAsia" w:ascii="宋体" w:hAnsi="宋体" w:cs="宋体"/>
          <w:color w:val="auto"/>
          <w:highlight w:val="none"/>
        </w:rPr>
        <w:t>七、营业执照</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_Toc11992 \h </w:instrText>
      </w:r>
      <w:r>
        <w:rPr>
          <w:rFonts w:hint="eastAsia" w:ascii="宋体" w:hAnsi="宋体" w:cs="宋体"/>
          <w:color w:val="auto"/>
          <w:highlight w:val="none"/>
        </w:rPr>
        <w:fldChar w:fldCharType="separate"/>
      </w:r>
      <w:r>
        <w:rPr>
          <w:rFonts w:hint="eastAsia" w:ascii="宋体" w:hAnsi="宋体" w:cs="宋体"/>
          <w:color w:val="auto"/>
          <w:highlight w:val="none"/>
        </w:rPr>
        <w:t>52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51EB1A3">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"_Toc12706" </w:instrText>
      </w:r>
      <w:r>
        <w:rPr>
          <w:color w:val="auto"/>
          <w:highlight w:val="none"/>
        </w:rPr>
        <w:fldChar w:fldCharType="separate"/>
      </w:r>
      <w:r>
        <w:rPr>
          <w:rFonts w:hint="eastAsia" w:ascii="宋体" w:hAnsi="宋体" w:cs="宋体"/>
          <w:color w:val="auto"/>
          <w:highlight w:val="none"/>
        </w:rPr>
        <w:t>八、特殊资格要求证明文件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_Toc12706 \h </w:instrText>
      </w:r>
      <w:r>
        <w:rPr>
          <w:rFonts w:hint="eastAsia" w:ascii="宋体" w:hAnsi="宋体" w:cs="宋体"/>
          <w:color w:val="auto"/>
          <w:highlight w:val="none"/>
        </w:rPr>
        <w:fldChar w:fldCharType="separate"/>
      </w:r>
      <w:r>
        <w:rPr>
          <w:rFonts w:hint="eastAsia" w:ascii="宋体" w:hAnsi="宋体" w:cs="宋体"/>
          <w:color w:val="auto"/>
          <w:highlight w:val="none"/>
        </w:rPr>
        <w:t>53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F9C7B2B">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"_Toc14482" </w:instrText>
      </w:r>
      <w:r>
        <w:rPr>
          <w:color w:val="auto"/>
          <w:highlight w:val="none"/>
        </w:rPr>
        <w:fldChar w:fldCharType="separate"/>
      </w:r>
      <w:r>
        <w:rPr>
          <w:rFonts w:hint="eastAsia" w:ascii="宋体" w:hAnsi="宋体" w:cs="宋体"/>
          <w:color w:val="auto"/>
          <w:highlight w:val="none"/>
        </w:rPr>
        <w:t>九、承诺书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_Toc14482 \h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9F017F1">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"_Toc31815" </w:instrText>
      </w:r>
      <w:r>
        <w:rPr>
          <w:color w:val="auto"/>
          <w:highlight w:val="none"/>
        </w:rPr>
        <w:fldChar w:fldCharType="separate"/>
      </w:r>
      <w:r>
        <w:rPr>
          <w:rFonts w:hint="eastAsia" w:ascii="宋体" w:hAnsi="宋体" w:cs="宋体"/>
          <w:color w:val="auto"/>
          <w:highlight w:val="none"/>
        </w:rPr>
        <w:t>十、招标代理服务费承诺书</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_Toc31815 \h </w:instrText>
      </w:r>
      <w:r>
        <w:rPr>
          <w:rFonts w:hint="eastAsia" w:ascii="宋体" w:hAnsi="宋体" w:cs="宋体"/>
          <w:color w:val="auto"/>
          <w:highlight w:val="none"/>
        </w:rPr>
        <w:fldChar w:fldCharType="separate"/>
      </w:r>
      <w:r>
        <w:rPr>
          <w:rFonts w:hint="eastAsia" w:ascii="宋体" w:hAnsi="宋体" w:cs="宋体"/>
          <w:color w:val="auto"/>
          <w:highlight w:val="none"/>
        </w:rPr>
        <w:t>55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5176FC5">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"_Toc21582" </w:instrText>
      </w:r>
      <w:r>
        <w:rPr>
          <w:color w:val="auto"/>
          <w:highlight w:val="none"/>
        </w:rPr>
        <w:fldChar w:fldCharType="separate"/>
      </w:r>
      <w:r>
        <w:rPr>
          <w:rFonts w:hint="eastAsia" w:ascii="宋体" w:hAnsi="宋体" w:cs="宋体"/>
          <w:color w:val="auto"/>
          <w:highlight w:val="none"/>
        </w:rPr>
        <w:t>十一、商务条款偏离表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_Toc21582 \h </w:instrText>
      </w:r>
      <w:r>
        <w:rPr>
          <w:rFonts w:hint="eastAsia" w:ascii="宋体" w:hAnsi="宋体" w:cs="宋体"/>
          <w:color w:val="auto"/>
          <w:highlight w:val="none"/>
        </w:rPr>
        <w:fldChar w:fldCharType="separate"/>
      </w:r>
      <w:r>
        <w:rPr>
          <w:rFonts w:hint="eastAsia" w:ascii="宋体" w:hAnsi="宋体" w:cs="宋体"/>
          <w:color w:val="auto"/>
          <w:highlight w:val="none"/>
        </w:rPr>
        <w:t>56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FC823CB">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"_Toc7350" </w:instrText>
      </w:r>
      <w:r>
        <w:rPr>
          <w:color w:val="auto"/>
          <w:highlight w:val="none"/>
        </w:rPr>
        <w:fldChar w:fldCharType="separate"/>
      </w:r>
      <w:r>
        <w:rPr>
          <w:rFonts w:hint="eastAsia" w:ascii="宋体" w:hAnsi="宋体" w:cs="宋体"/>
          <w:color w:val="auto"/>
          <w:highlight w:val="none"/>
        </w:rPr>
        <w:t>十二、业绩表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_Toc7350 \h </w:instrText>
      </w:r>
      <w:r>
        <w:rPr>
          <w:rFonts w:hint="eastAsia" w:ascii="宋体" w:hAnsi="宋体" w:cs="宋体"/>
          <w:color w:val="auto"/>
          <w:highlight w:val="none"/>
        </w:rPr>
        <w:fldChar w:fldCharType="separate"/>
      </w:r>
      <w:r>
        <w:rPr>
          <w:rFonts w:hint="eastAsia" w:ascii="宋体" w:hAnsi="宋体" w:cs="宋体"/>
          <w:color w:val="auto"/>
          <w:highlight w:val="none"/>
        </w:rPr>
        <w:t>57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6AD4770">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"_Toc25650" </w:instrText>
      </w:r>
      <w:r>
        <w:rPr>
          <w:color w:val="auto"/>
          <w:highlight w:val="none"/>
        </w:rPr>
        <w:fldChar w:fldCharType="separate"/>
      </w:r>
      <w:r>
        <w:rPr>
          <w:rFonts w:hint="eastAsia" w:ascii="宋体" w:hAnsi="宋体" w:cs="宋体"/>
          <w:color w:val="auto"/>
          <w:highlight w:val="none"/>
        </w:rPr>
        <w:t>第三章技术文件</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_Toc25650 \h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F87DD4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"_Toc13588" </w:instrText>
      </w:r>
      <w:r>
        <w:rPr>
          <w:color w:val="auto"/>
          <w:highlight w:val="none"/>
        </w:rPr>
        <w:fldChar w:fldCharType="separate"/>
      </w:r>
      <w:r>
        <w:rPr>
          <w:rFonts w:hint="eastAsia" w:ascii="宋体" w:hAnsi="宋体" w:cs="宋体"/>
          <w:color w:val="auto"/>
          <w:highlight w:val="none"/>
        </w:rPr>
        <w:t>一、技术规格偏离表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_Toc13588 \h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81FA54D">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"_Toc28702" </w:instrText>
      </w:r>
      <w:r>
        <w:rPr>
          <w:color w:val="auto"/>
          <w:highlight w:val="none"/>
        </w:rPr>
        <w:fldChar w:fldCharType="separate"/>
      </w:r>
      <w:r>
        <w:rPr>
          <w:rFonts w:hint="eastAsia" w:ascii="宋体" w:hAnsi="宋体" w:cs="宋体"/>
          <w:color w:val="auto"/>
          <w:highlight w:val="none"/>
        </w:rPr>
        <w:t>二、重要技术参数（▲）响应表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_Toc28702 \h </w:instrText>
      </w:r>
      <w:r>
        <w:rPr>
          <w:rFonts w:hint="eastAsia" w:ascii="宋体" w:hAnsi="宋体" w:cs="宋体"/>
          <w:color w:val="auto"/>
          <w:highlight w:val="none"/>
        </w:rPr>
        <w:fldChar w:fldCharType="separate"/>
      </w:r>
      <w:r>
        <w:rPr>
          <w:rFonts w:hint="eastAsia" w:ascii="宋体" w:hAnsi="宋体" w:cs="宋体"/>
          <w:color w:val="auto"/>
          <w:highlight w:val="none"/>
        </w:rPr>
        <w:t>59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2276446">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"_Toc25570" </w:instrText>
      </w:r>
      <w:r>
        <w:rPr>
          <w:color w:val="auto"/>
          <w:highlight w:val="none"/>
        </w:rPr>
        <w:fldChar w:fldCharType="separate"/>
      </w:r>
      <w:r>
        <w:rPr>
          <w:rFonts w:hint="eastAsia" w:ascii="宋体" w:hAnsi="宋体" w:cs="宋体"/>
          <w:color w:val="auto"/>
          <w:highlight w:val="none"/>
        </w:rPr>
        <w:t>三、实质性条款（标记★）响应表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_Toc25570 \h </w:instrText>
      </w:r>
      <w:r>
        <w:rPr>
          <w:rFonts w:hint="eastAsia" w:ascii="宋体" w:hAnsi="宋体" w:cs="宋体"/>
          <w:color w:val="auto"/>
          <w:highlight w:val="none"/>
        </w:rPr>
        <w:fldChar w:fldCharType="separate"/>
      </w:r>
      <w:r>
        <w:rPr>
          <w:rFonts w:hint="eastAsia" w:ascii="宋体" w:hAnsi="宋体" w:cs="宋体"/>
          <w:color w:val="auto"/>
          <w:highlight w:val="none"/>
        </w:rPr>
        <w:t>60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84A7463">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"_Toc14250" </w:instrText>
      </w:r>
      <w:r>
        <w:rPr>
          <w:color w:val="auto"/>
          <w:highlight w:val="none"/>
        </w:rPr>
        <w:fldChar w:fldCharType="separate"/>
      </w:r>
      <w:r>
        <w:rPr>
          <w:rFonts w:hint="eastAsia" w:ascii="宋体" w:hAnsi="宋体" w:cs="宋体"/>
          <w:color w:val="auto"/>
          <w:highlight w:val="none"/>
        </w:rPr>
        <w:t>四、项目技术方案</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_Toc14250 \h </w:instrText>
      </w:r>
      <w:r>
        <w:rPr>
          <w:rFonts w:hint="eastAsia" w:ascii="宋体" w:hAnsi="宋体" w:cs="宋体"/>
          <w:color w:val="auto"/>
          <w:highlight w:val="none"/>
        </w:rPr>
        <w:fldChar w:fldCharType="separate"/>
      </w:r>
      <w:r>
        <w:rPr>
          <w:rFonts w:hint="eastAsia" w:ascii="宋体" w:hAnsi="宋体" w:cs="宋体"/>
          <w:color w:val="auto"/>
          <w:highlight w:val="none"/>
        </w:rPr>
        <w:t>61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CAC6708">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"_Toc16875" </w:instrText>
      </w:r>
      <w:r>
        <w:rPr>
          <w:color w:val="auto"/>
          <w:highlight w:val="none"/>
        </w:rPr>
        <w:fldChar w:fldCharType="separate"/>
      </w:r>
      <w:r>
        <w:rPr>
          <w:rFonts w:hint="eastAsia" w:ascii="宋体" w:hAnsi="宋体" w:cs="宋体"/>
          <w:color w:val="auto"/>
          <w:highlight w:val="none"/>
        </w:rPr>
        <w:t>五、项目负责人及团队成员资料表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_Toc16875 \h </w:instrText>
      </w:r>
      <w:r>
        <w:rPr>
          <w:rFonts w:hint="eastAsia" w:ascii="宋体" w:hAnsi="宋体" w:cs="宋体"/>
          <w:color w:val="auto"/>
          <w:highlight w:val="none"/>
        </w:rPr>
        <w:fldChar w:fldCharType="separate"/>
      </w:r>
      <w:r>
        <w:rPr>
          <w:rFonts w:hint="eastAsia" w:ascii="宋体" w:hAnsi="宋体" w:cs="宋体"/>
          <w:color w:val="auto"/>
          <w:highlight w:val="none"/>
        </w:rPr>
        <w:t>62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A2E62CF">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"_Toc27978" </w:instrText>
      </w:r>
      <w:r>
        <w:rPr>
          <w:color w:val="auto"/>
          <w:highlight w:val="none"/>
        </w:rPr>
        <w:fldChar w:fldCharType="separate"/>
      </w:r>
      <w:r>
        <w:rPr>
          <w:rFonts w:hint="eastAsia" w:ascii="宋体" w:hAnsi="宋体" w:cs="宋体"/>
          <w:color w:val="auto"/>
          <w:highlight w:val="none"/>
        </w:rPr>
        <w:t>六、响应货物明细一览表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_Toc27978 \h </w:instrText>
      </w:r>
      <w:r>
        <w:rPr>
          <w:rFonts w:hint="eastAsia" w:ascii="宋体" w:hAnsi="宋体" w:cs="宋体"/>
          <w:color w:val="auto"/>
          <w:highlight w:val="none"/>
        </w:rPr>
        <w:fldChar w:fldCharType="separate"/>
      </w:r>
      <w:r>
        <w:rPr>
          <w:rFonts w:hint="eastAsia" w:ascii="宋体" w:hAnsi="宋体" w:cs="宋体"/>
          <w:color w:val="auto"/>
          <w:highlight w:val="none"/>
        </w:rPr>
        <w:t>63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B66AF1B">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"_Toc31841" </w:instrText>
      </w:r>
      <w:r>
        <w:rPr>
          <w:color w:val="auto"/>
          <w:highlight w:val="none"/>
        </w:rPr>
        <w:fldChar w:fldCharType="separate"/>
      </w:r>
      <w:r>
        <w:rPr>
          <w:rFonts w:hint="eastAsia" w:ascii="宋体" w:hAnsi="宋体" w:cs="宋体"/>
          <w:color w:val="auto"/>
          <w:highlight w:val="none"/>
        </w:rPr>
        <w:t>七、政府采购履约担保函</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_Toc31841 \h </w:instrText>
      </w:r>
      <w:r>
        <w:rPr>
          <w:rFonts w:hint="eastAsia" w:ascii="宋体" w:hAnsi="宋体" w:cs="宋体"/>
          <w:color w:val="auto"/>
          <w:highlight w:val="none"/>
        </w:rPr>
        <w:fldChar w:fldCharType="separate"/>
      </w:r>
      <w:r>
        <w:rPr>
          <w:rFonts w:hint="eastAsia" w:ascii="宋体" w:hAnsi="宋体" w:cs="宋体"/>
          <w:color w:val="auto"/>
          <w:highlight w:val="none"/>
        </w:rPr>
        <w:t>64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76A6CE">
      <w:pPr>
        <w:pStyle w:val="9"/>
        <w:tabs>
          <w:tab w:val="right" w:leader="dot" w:pos="8306"/>
          <w:tab w:val="clear" w:pos="8296"/>
        </w:tabs>
        <w:ind w:left="0" w:leftChars="0"/>
        <w:rPr>
          <w:rFonts w:ascii="宋体" w:hAnsi="宋体" w:cs="宋体"/>
          <w:color w:val="auto"/>
          <w:highlight w:val="none"/>
        </w:rPr>
      </w:pPr>
      <w:r>
        <w:rPr>
          <w:color w:val="auto"/>
          <w:highlight w:val="none"/>
        </w:rPr>
        <w:fldChar w:fldCharType="begin"/>
      </w:r>
      <w:r>
        <w:rPr>
          <w:color w:val="auto"/>
          <w:highlight w:val="none"/>
        </w:rPr>
        <w:instrText xml:space="preserve"> HYPERLINK \l "_Toc17348" </w:instrText>
      </w:r>
      <w:r>
        <w:rPr>
          <w:color w:val="auto"/>
          <w:highlight w:val="none"/>
        </w:rPr>
        <w:fldChar w:fldCharType="separate"/>
      </w:r>
      <w:r>
        <w:rPr>
          <w:rFonts w:hint="eastAsia" w:ascii="宋体" w:hAnsi="宋体" w:cs="宋体"/>
          <w:color w:val="auto"/>
          <w:highlight w:val="none"/>
        </w:rPr>
        <w:t>第四章报价信封（单独封装）</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_Toc17348 \h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09FF8E">
      <w:pPr>
        <w:pStyle w:val="9"/>
        <w:tabs>
          <w:tab w:val="right" w:leader="dot" w:pos="8306"/>
          <w:tab w:val="clear" w:pos="8296"/>
        </w:tabs>
        <w:ind w:left="0" w:leftChars="0"/>
        <w:rPr>
          <w:color w:val="auto"/>
          <w:highlight w:val="none"/>
        </w:rPr>
      </w:pPr>
      <w:r>
        <w:rPr>
          <w:color w:val="auto"/>
          <w:highlight w:val="none"/>
        </w:rPr>
        <w:fldChar w:fldCharType="begin"/>
      </w:r>
      <w:r>
        <w:rPr>
          <w:color w:val="auto"/>
          <w:highlight w:val="none"/>
        </w:rPr>
        <w:instrText xml:space="preserve"> HYPERLINK \l "_Toc13881" </w:instrText>
      </w:r>
      <w:r>
        <w:rPr>
          <w:color w:val="auto"/>
          <w:highlight w:val="none"/>
        </w:rPr>
        <w:fldChar w:fldCharType="separate"/>
      </w:r>
      <w:r>
        <w:rPr>
          <w:rFonts w:hint="eastAsia" w:ascii="宋体" w:hAnsi="宋体" w:cs="宋体"/>
          <w:color w:val="auto"/>
          <w:highlight w:val="none"/>
        </w:rPr>
        <w:t>第五章联合体共同报价协议书（如有需要）</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_Toc13881 \h </w:instrText>
      </w:r>
      <w:r>
        <w:rPr>
          <w:rFonts w:hint="eastAsia" w:ascii="宋体" w:hAnsi="宋体" w:cs="宋体"/>
          <w:color w:val="auto"/>
          <w:highlight w:val="none"/>
        </w:rPr>
        <w:fldChar w:fldCharType="separate"/>
      </w:r>
      <w:r>
        <w:rPr>
          <w:rFonts w:hint="eastAsia" w:ascii="宋体" w:hAnsi="宋体" w:cs="宋体"/>
          <w:color w:val="auto"/>
          <w:highlight w:val="none"/>
        </w:rPr>
        <w:t>67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D9209D">
      <w:pPr>
        <w:pStyle w:val="16"/>
        <w:tabs>
          <w:tab w:val="right" w:leader="dot" w:pos="8306"/>
          <w:tab w:val="clear" w:pos="8296"/>
        </w:tabs>
        <w:spacing w:after="0"/>
        <w:ind w:left="0" w:leftChars="0"/>
        <w:jc w:val="both"/>
        <w:rPr>
          <w:rFonts w:cs="宋体"/>
          <w:color w:val="auto"/>
          <w:szCs w:val="21"/>
          <w:highlight w:val="none"/>
        </w:rPr>
      </w:pPr>
      <w:r>
        <w:rPr>
          <w:rFonts w:cs="宋体"/>
          <w:color w:val="auto"/>
          <w:szCs w:val="21"/>
          <w:highlight w:val="none"/>
        </w:rPr>
        <w:fldChar w:fldCharType="end"/>
      </w:r>
    </w:p>
    <w:p w14:paraId="79D941C7">
      <w:pPr>
        <w:rPr>
          <w:rFonts w:ascii="宋体" w:hAnsi="宋体" w:cs="宋体"/>
          <w:color w:val="auto"/>
          <w:szCs w:val="21"/>
          <w:highlight w:val="none"/>
        </w:rPr>
      </w:pPr>
      <w:r>
        <w:rPr>
          <w:rFonts w:hint="eastAsia" w:ascii="宋体" w:hAnsi="宋体" w:cs="宋体"/>
          <w:color w:val="auto"/>
          <w:szCs w:val="21"/>
          <w:highlight w:val="none"/>
        </w:rPr>
        <w:br w:type="page"/>
      </w:r>
    </w:p>
    <w:p w14:paraId="6B8FA38E">
      <w:pPr>
        <w:pStyle w:val="3"/>
        <w:spacing w:before="0" w:after="0" w:line="240" w:lineRule="auto"/>
        <w:rPr>
          <w:color w:val="auto"/>
          <w:sz w:val="28"/>
          <w:szCs w:val="28"/>
          <w:highlight w:val="none"/>
        </w:rPr>
      </w:pPr>
      <w:bookmarkStart w:id="0" w:name="_Toc17306"/>
      <w:bookmarkStart w:id="1" w:name="_Toc14033"/>
      <w:r>
        <w:rPr>
          <w:rFonts w:hint="eastAsia"/>
          <w:color w:val="auto"/>
          <w:sz w:val="28"/>
          <w:szCs w:val="28"/>
          <w:highlight w:val="none"/>
        </w:rPr>
        <w:t>第一部分 磋商邀请</w:t>
      </w:r>
      <w:bookmarkEnd w:id="0"/>
      <w:bookmarkEnd w:id="1"/>
    </w:p>
    <w:p w14:paraId="14496E7F">
      <w:pPr>
        <w:pStyle w:val="4"/>
        <w:jc w:val="center"/>
        <w:rPr>
          <w:rFonts w:ascii="宋体" w:hAnsi="宋体" w:cs="宋体"/>
          <w:color w:val="auto"/>
          <w:highlight w:val="none"/>
        </w:rPr>
      </w:pPr>
      <w:bookmarkStart w:id="2" w:name="_Toc1420"/>
      <w:bookmarkStart w:id="3" w:name="_Toc7988"/>
      <w:bookmarkStart w:id="4" w:name="_Toc8850"/>
      <w:r>
        <w:rPr>
          <w:rFonts w:hint="eastAsia" w:ascii="宋体" w:hAnsi="宋体" w:cs="宋体"/>
          <w:color w:val="auto"/>
          <w:highlight w:val="none"/>
        </w:rPr>
        <w:t>磋商邀请书</w:t>
      </w:r>
      <w:bookmarkEnd w:id="2"/>
      <w:bookmarkEnd w:id="3"/>
      <w:bookmarkEnd w:id="4"/>
    </w:p>
    <w:p w14:paraId="3369FE6C">
      <w:pPr>
        <w:ind w:firstLine="420" w:firstLineChars="200"/>
        <w:rPr>
          <w:rFonts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color w:val="auto"/>
          <w:szCs w:val="21"/>
          <w:highlight w:val="none"/>
          <w:u w:val="single"/>
        </w:rPr>
        <w:t>中咨海外咨询有限公司</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color w:val="auto"/>
          <w:szCs w:val="21"/>
          <w:highlight w:val="none"/>
          <w:u w:val="single"/>
        </w:rPr>
        <w:t xml:space="preserve"> 东莞市大朗镇象山片区05-05地块控制性详细规划调整</w:t>
      </w:r>
      <w:r>
        <w:rPr>
          <w:rFonts w:hint="eastAsia" w:ascii="宋体" w:hAnsi="宋体" w:cs="Times New Roman"/>
          <w:color w:val="auto"/>
          <w:szCs w:val="21"/>
          <w:highlight w:val="none"/>
        </w:rPr>
        <w:t>进行国内竞争性磋商采购</w:t>
      </w:r>
      <w:r>
        <w:rPr>
          <w:rFonts w:hint="eastAsia" w:ascii="宋体" w:hAnsi="宋体"/>
          <w:color w:val="auto"/>
          <w:szCs w:val="21"/>
          <w:highlight w:val="none"/>
        </w:rPr>
        <w:t>，欢迎符合磋商文件要求的国内供应商参加</w:t>
      </w:r>
      <w:r>
        <w:rPr>
          <w:rFonts w:hint="eastAsia" w:hAnsi="宋体"/>
          <w:color w:val="auto"/>
          <w:szCs w:val="21"/>
          <w:highlight w:val="none"/>
        </w:rPr>
        <w:t>参与本次政府采购活动</w:t>
      </w:r>
      <w:r>
        <w:rPr>
          <w:rFonts w:ascii="宋体" w:hAnsi="宋体"/>
          <w:color w:val="auto"/>
          <w:szCs w:val="21"/>
          <w:highlight w:val="none"/>
        </w:rPr>
        <w:t>。</w:t>
      </w:r>
    </w:p>
    <w:p w14:paraId="2A01E6D8">
      <w:pPr>
        <w:ind w:firstLine="422" w:firstLineChars="200"/>
        <w:rPr>
          <w:rFonts w:ascii="宋体" w:hAnsi="宋体"/>
          <w:b/>
          <w:color w:val="auto"/>
          <w:szCs w:val="21"/>
          <w:highlight w:val="none"/>
        </w:rPr>
      </w:pPr>
    </w:p>
    <w:p w14:paraId="09ED25AA">
      <w:pPr>
        <w:numPr>
          <w:ilvl w:val="0"/>
          <w:numId w:val="1"/>
        </w:numPr>
        <w:ind w:firstLine="413" w:firstLineChars="196"/>
        <w:rPr>
          <w:rFonts w:ascii="宋体" w:hAnsi="宋体"/>
          <w:b/>
          <w:color w:val="auto"/>
          <w:szCs w:val="21"/>
          <w:highlight w:val="none"/>
        </w:rPr>
      </w:pPr>
      <w:r>
        <w:rPr>
          <w:rFonts w:hint="eastAsia" w:ascii="宋体" w:hAnsi="宋体"/>
          <w:b/>
          <w:color w:val="auto"/>
          <w:szCs w:val="21"/>
          <w:highlight w:val="none"/>
        </w:rPr>
        <w:t>招标项目信息</w:t>
      </w:r>
    </w:p>
    <w:p w14:paraId="0DE70FE7">
      <w:pPr>
        <w:numPr>
          <w:ilvl w:val="0"/>
          <w:numId w:val="2"/>
        </w:numPr>
        <w:ind w:firstLine="420" w:firstLineChars="200"/>
        <w:rPr>
          <w:rFonts w:ascii="宋体" w:hAnsi="宋体"/>
          <w:color w:val="auto"/>
          <w:szCs w:val="21"/>
          <w:highlight w:val="none"/>
        </w:rPr>
      </w:pPr>
      <w:r>
        <w:rPr>
          <w:rFonts w:hint="eastAsia" w:ascii="宋体" w:hAnsi="宋体"/>
          <w:color w:val="auto"/>
          <w:szCs w:val="21"/>
          <w:highlight w:val="none"/>
        </w:rPr>
        <w:t>项目编号：GDZT2026140C；</w:t>
      </w:r>
    </w:p>
    <w:p w14:paraId="7D0DF87E">
      <w:pPr>
        <w:numPr>
          <w:ilvl w:val="0"/>
          <w:numId w:val="2"/>
        </w:numPr>
        <w:ind w:firstLine="420" w:firstLineChars="200"/>
        <w:rPr>
          <w:rFonts w:ascii="宋体" w:hAnsi="宋体"/>
          <w:color w:val="auto"/>
          <w:szCs w:val="21"/>
          <w:highlight w:val="none"/>
        </w:rPr>
      </w:pPr>
      <w:r>
        <w:rPr>
          <w:rFonts w:hint="eastAsia" w:ascii="宋体" w:hAnsi="宋体"/>
          <w:color w:val="auto"/>
          <w:szCs w:val="21"/>
          <w:highlight w:val="none"/>
        </w:rPr>
        <w:t>项目名称： 东莞市大朗镇象山片区05-05地块控制性详细规划调整；</w:t>
      </w:r>
    </w:p>
    <w:p w14:paraId="67C6CFB2">
      <w:pPr>
        <w:ind w:firstLine="420" w:firstLineChars="200"/>
        <w:rPr>
          <w:rFonts w:ascii="宋体" w:hAnsi="宋体"/>
          <w:color w:val="auto"/>
          <w:szCs w:val="21"/>
          <w:highlight w:val="none"/>
        </w:rPr>
      </w:pPr>
      <w:r>
        <w:rPr>
          <w:rFonts w:hint="eastAsia" w:ascii="宋体" w:hAnsi="宋体"/>
          <w:color w:val="auto"/>
          <w:szCs w:val="21"/>
          <w:highlight w:val="none"/>
        </w:rPr>
        <w:t>3、项目内容：</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50"/>
        <w:gridCol w:w="5197"/>
        <w:gridCol w:w="450"/>
        <w:gridCol w:w="2237"/>
      </w:tblGrid>
      <w:tr w14:paraId="65B7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268" w:type="pct"/>
            <w:noWrap/>
            <w:tcMar>
              <w:top w:w="15" w:type="dxa"/>
              <w:left w:w="15" w:type="dxa"/>
              <w:right w:w="15" w:type="dxa"/>
            </w:tcMar>
            <w:vAlign w:val="center"/>
          </w:tcPr>
          <w:p w14:paraId="06328041">
            <w:pPr>
              <w:spacing w:line="240" w:lineRule="auto"/>
              <w:jc w:val="center"/>
              <w:rPr>
                <w:rFonts w:ascii="宋体" w:hAnsi="宋体"/>
                <w:color w:val="auto"/>
                <w:szCs w:val="21"/>
                <w:highlight w:val="none"/>
              </w:rPr>
            </w:pPr>
            <w:r>
              <w:rPr>
                <w:rFonts w:hint="eastAsia" w:ascii="宋体" w:hAnsi="宋体"/>
                <w:color w:val="auto"/>
                <w:szCs w:val="21"/>
                <w:highlight w:val="none"/>
              </w:rPr>
              <w:t>序号</w:t>
            </w:r>
          </w:p>
        </w:tc>
        <w:tc>
          <w:tcPr>
            <w:tcW w:w="1859" w:type="pct"/>
            <w:noWrap/>
            <w:tcMar>
              <w:top w:w="15" w:type="dxa"/>
              <w:left w:w="15" w:type="dxa"/>
              <w:right w:w="15" w:type="dxa"/>
            </w:tcMar>
            <w:vAlign w:val="center"/>
          </w:tcPr>
          <w:p w14:paraId="56CC7B4C">
            <w:pPr>
              <w:spacing w:line="240" w:lineRule="auto"/>
              <w:jc w:val="center"/>
              <w:rPr>
                <w:rFonts w:ascii="宋体" w:hAnsi="宋体"/>
                <w:color w:val="auto"/>
                <w:szCs w:val="21"/>
                <w:highlight w:val="none"/>
              </w:rPr>
            </w:pPr>
            <w:r>
              <w:rPr>
                <w:rFonts w:hint="eastAsia" w:ascii="宋体" w:hAnsi="宋体"/>
                <w:color w:val="auto"/>
                <w:szCs w:val="21"/>
                <w:highlight w:val="none"/>
              </w:rPr>
              <w:t>包组内容</w:t>
            </w:r>
          </w:p>
        </w:tc>
        <w:tc>
          <w:tcPr>
            <w:tcW w:w="715" w:type="pct"/>
            <w:noWrap/>
            <w:tcMar>
              <w:top w:w="15" w:type="dxa"/>
              <w:left w:w="15" w:type="dxa"/>
              <w:right w:w="15" w:type="dxa"/>
            </w:tcMar>
            <w:vAlign w:val="center"/>
          </w:tcPr>
          <w:p w14:paraId="144D1565">
            <w:pPr>
              <w:spacing w:line="240" w:lineRule="auto"/>
              <w:jc w:val="center"/>
              <w:rPr>
                <w:rFonts w:ascii="宋体" w:hAnsi="宋体"/>
                <w:color w:val="auto"/>
                <w:szCs w:val="21"/>
                <w:highlight w:val="none"/>
              </w:rPr>
            </w:pPr>
            <w:r>
              <w:rPr>
                <w:rFonts w:hint="eastAsia" w:ascii="宋体" w:hAnsi="宋体"/>
                <w:color w:val="auto"/>
                <w:szCs w:val="21"/>
                <w:highlight w:val="none"/>
              </w:rPr>
              <w:t>数量</w:t>
            </w:r>
          </w:p>
        </w:tc>
        <w:tc>
          <w:tcPr>
            <w:tcW w:w="2156" w:type="pct"/>
            <w:noWrap/>
            <w:tcMar>
              <w:top w:w="15" w:type="dxa"/>
              <w:left w:w="15" w:type="dxa"/>
              <w:right w:w="15" w:type="dxa"/>
            </w:tcMar>
            <w:vAlign w:val="center"/>
          </w:tcPr>
          <w:p w14:paraId="2B58B0F1">
            <w:pPr>
              <w:spacing w:line="240" w:lineRule="auto"/>
              <w:jc w:val="center"/>
              <w:rPr>
                <w:rFonts w:ascii="宋体" w:hAnsi="宋体"/>
                <w:color w:val="auto"/>
                <w:szCs w:val="21"/>
                <w:highlight w:val="none"/>
              </w:rPr>
            </w:pPr>
            <w:r>
              <w:rPr>
                <w:rFonts w:hint="eastAsia" w:ascii="宋体" w:hAnsi="宋体"/>
                <w:color w:val="auto"/>
                <w:szCs w:val="21"/>
                <w:highlight w:val="none"/>
              </w:rPr>
              <w:t>预算（元）</w:t>
            </w:r>
          </w:p>
        </w:tc>
      </w:tr>
      <w:tr w14:paraId="6922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7" w:hRule="atLeast"/>
          <w:jc w:val="center"/>
        </w:trPr>
        <w:tc>
          <w:tcPr>
            <w:tcW w:w="268" w:type="pct"/>
            <w:noWrap/>
            <w:tcMar>
              <w:top w:w="15" w:type="dxa"/>
              <w:left w:w="15" w:type="dxa"/>
              <w:right w:w="15" w:type="dxa"/>
            </w:tcMar>
            <w:vAlign w:val="center"/>
          </w:tcPr>
          <w:p w14:paraId="59574421">
            <w:pPr>
              <w:spacing w:line="240" w:lineRule="auto"/>
              <w:jc w:val="center"/>
              <w:textAlignment w:val="center"/>
              <w:rPr>
                <w:rFonts w:ascii="宋体" w:hAnsi="宋体" w:cs="宋体"/>
                <w:color w:val="auto"/>
                <w:sz w:val="22"/>
                <w:highlight w:val="none"/>
              </w:rPr>
            </w:pPr>
            <w:r>
              <w:rPr>
                <w:rFonts w:hint="eastAsia" w:ascii="宋体" w:hAnsi="宋体" w:cs="宋体"/>
                <w:color w:val="auto"/>
                <w:sz w:val="22"/>
                <w:highlight w:val="none"/>
              </w:rPr>
              <w:t>1</w:t>
            </w:r>
          </w:p>
        </w:tc>
        <w:tc>
          <w:tcPr>
            <w:tcW w:w="1859" w:type="pct"/>
            <w:noWrap/>
            <w:tcMar>
              <w:top w:w="15" w:type="dxa"/>
              <w:left w:w="15" w:type="dxa"/>
              <w:right w:w="15" w:type="dxa"/>
            </w:tcMar>
            <w:vAlign w:val="center"/>
          </w:tcPr>
          <w:p w14:paraId="3E5C9BF9">
            <w:pPr>
              <w:spacing w:line="240" w:lineRule="auto"/>
              <w:jc w:val="center"/>
              <w:textAlignment w:val="center"/>
              <w:rPr>
                <w:rFonts w:ascii="宋体" w:hAnsi="宋体" w:cs="宋体"/>
                <w:color w:val="auto"/>
                <w:sz w:val="22"/>
                <w:highlight w:val="none"/>
              </w:rPr>
            </w:pPr>
            <w:r>
              <w:rPr>
                <w:rFonts w:hint="eastAsia" w:ascii="宋体" w:hAnsi="宋体"/>
                <w:b/>
                <w:color w:val="auto"/>
                <w:szCs w:val="21"/>
                <w:highlight w:val="none"/>
                <w:u w:val="single"/>
              </w:rPr>
              <w:t xml:space="preserve"> 东莞市大朗镇象山片区05-05地块控制性详细规划调整</w:t>
            </w:r>
          </w:p>
        </w:tc>
        <w:tc>
          <w:tcPr>
            <w:tcW w:w="715" w:type="pct"/>
            <w:noWrap/>
            <w:tcMar>
              <w:top w:w="15" w:type="dxa"/>
              <w:left w:w="15" w:type="dxa"/>
              <w:right w:w="15" w:type="dxa"/>
            </w:tcMar>
            <w:vAlign w:val="center"/>
          </w:tcPr>
          <w:p w14:paraId="50B75D49">
            <w:pPr>
              <w:spacing w:line="240" w:lineRule="auto"/>
              <w:jc w:val="center"/>
              <w:textAlignment w:val="center"/>
              <w:rPr>
                <w:rFonts w:ascii="宋体" w:hAnsi="宋体" w:cs="宋体"/>
                <w:color w:val="auto"/>
                <w:sz w:val="22"/>
                <w:highlight w:val="none"/>
              </w:rPr>
            </w:pPr>
            <w:r>
              <w:rPr>
                <w:rFonts w:hint="eastAsia" w:ascii="宋体" w:hAnsi="宋体" w:cs="宋体"/>
                <w:color w:val="auto"/>
                <w:sz w:val="22"/>
                <w:highlight w:val="none"/>
              </w:rPr>
              <w:t>1项</w:t>
            </w:r>
          </w:p>
        </w:tc>
        <w:tc>
          <w:tcPr>
            <w:tcW w:w="2156" w:type="pct"/>
            <w:noWrap/>
            <w:tcMar>
              <w:top w:w="15" w:type="dxa"/>
              <w:left w:w="15" w:type="dxa"/>
              <w:right w:w="15" w:type="dxa"/>
            </w:tcMar>
            <w:vAlign w:val="center"/>
          </w:tcPr>
          <w:p w14:paraId="74B7C534">
            <w:pPr>
              <w:spacing w:line="240" w:lineRule="auto"/>
              <w:jc w:val="center"/>
              <w:textAlignment w:val="center"/>
              <w:rPr>
                <w:rFonts w:hint="default" w:ascii="宋体" w:hAnsi="宋体" w:eastAsia="宋体"/>
                <w:b/>
                <w:bCs/>
                <w:color w:val="auto"/>
                <w:szCs w:val="21"/>
                <w:highlight w:val="none"/>
                <w:u w:val="single"/>
                <w:lang w:val="en-US" w:eastAsia="zh-CN"/>
              </w:rPr>
            </w:pPr>
            <w:r>
              <w:rPr>
                <w:rFonts w:hint="eastAsia" w:ascii="宋体" w:hAnsi="宋体"/>
                <w:b/>
                <w:bCs/>
                <w:color w:val="auto"/>
                <w:szCs w:val="21"/>
                <w:highlight w:val="none"/>
                <w:u w:val="single"/>
                <w:lang w:val="en-US" w:eastAsia="zh-CN"/>
              </w:rPr>
              <w:t>650000</w:t>
            </w:r>
          </w:p>
        </w:tc>
      </w:tr>
    </w:tbl>
    <w:p w14:paraId="09F2DD19">
      <w:pPr>
        <w:pStyle w:val="7"/>
        <w:spacing w:before="0"/>
        <w:ind w:left="0"/>
        <w:rPr>
          <w:color w:val="auto"/>
          <w:sz w:val="21"/>
          <w:szCs w:val="21"/>
          <w:highlight w:val="none"/>
        </w:rPr>
      </w:pPr>
    </w:p>
    <w:p w14:paraId="51753EDD">
      <w:pPr>
        <w:ind w:firstLine="413" w:firstLineChars="196"/>
        <w:rPr>
          <w:rFonts w:ascii="宋体" w:hAnsi="宋体"/>
          <w:b/>
          <w:color w:val="auto"/>
          <w:szCs w:val="21"/>
          <w:highlight w:val="none"/>
        </w:rPr>
      </w:pPr>
      <w:r>
        <w:rPr>
          <w:rFonts w:hint="eastAsia" w:ascii="宋体" w:hAnsi="宋体"/>
          <w:b/>
          <w:color w:val="auto"/>
          <w:szCs w:val="21"/>
          <w:highlight w:val="none"/>
        </w:rPr>
        <w:t>二、供应商资格要求</w:t>
      </w:r>
    </w:p>
    <w:p w14:paraId="72DD0421">
      <w:pPr>
        <w:ind w:firstLine="411" w:firstLineChars="196"/>
        <w:rPr>
          <w:rFonts w:ascii="宋体" w:hAnsi="宋体"/>
          <w:color w:val="auto"/>
          <w:szCs w:val="21"/>
          <w:highlight w:val="none"/>
        </w:rPr>
      </w:pPr>
      <w:r>
        <w:rPr>
          <w:rFonts w:hint="eastAsia" w:ascii="宋体" w:hAnsi="宋体"/>
          <w:color w:val="auto"/>
          <w:szCs w:val="21"/>
          <w:highlight w:val="none"/>
        </w:rPr>
        <w:t>1、一般要求：</w:t>
      </w:r>
    </w:p>
    <w:p w14:paraId="6C5F104E">
      <w:pPr>
        <w:pStyle w:val="7"/>
        <w:spacing w:before="0"/>
        <w:ind w:left="0" w:firstLine="420" w:firstLineChars="200"/>
        <w:rPr>
          <w:color w:val="auto"/>
          <w:sz w:val="21"/>
          <w:szCs w:val="21"/>
          <w:highlight w:val="none"/>
        </w:rPr>
      </w:pPr>
      <w:r>
        <w:rPr>
          <w:rFonts w:hint="eastAsia"/>
          <w:color w:val="auto"/>
          <w:sz w:val="21"/>
          <w:szCs w:val="21"/>
          <w:highlight w:val="none"/>
        </w:rPr>
        <w:t>（1）供应商应具备以下资格的条件，提供下列材料：</w:t>
      </w:r>
    </w:p>
    <w:p w14:paraId="420EFA44">
      <w:pPr>
        <w:pStyle w:val="7"/>
        <w:spacing w:before="0"/>
        <w:ind w:left="0" w:firstLine="420" w:firstLineChars="200"/>
        <w:rPr>
          <w:color w:val="auto"/>
          <w:sz w:val="21"/>
          <w:szCs w:val="21"/>
          <w:highlight w:val="none"/>
        </w:rPr>
      </w:pPr>
      <w:r>
        <w:rPr>
          <w:rFonts w:hint="eastAsia"/>
          <w:color w:val="auto"/>
          <w:sz w:val="21"/>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24AA7F78">
      <w:pPr>
        <w:pStyle w:val="7"/>
        <w:spacing w:before="0"/>
        <w:ind w:left="0" w:firstLine="420" w:firstLineChars="200"/>
        <w:rPr>
          <w:color w:val="auto"/>
          <w:sz w:val="21"/>
          <w:szCs w:val="21"/>
          <w:highlight w:val="none"/>
        </w:rPr>
      </w:pPr>
      <w:r>
        <w:rPr>
          <w:rFonts w:hint="eastAsia"/>
          <w:color w:val="auto"/>
          <w:sz w:val="21"/>
          <w:szCs w:val="21"/>
          <w:highlight w:val="none"/>
        </w:rPr>
        <w:t>2）有依法缴纳税收和社会保障资金的良好记录：投标（响应）文件中提供《</w:t>
      </w:r>
      <w:r>
        <w:rPr>
          <w:rFonts w:hint="eastAsia"/>
          <w:color w:val="auto"/>
          <w:sz w:val="21"/>
          <w:szCs w:val="21"/>
          <w:highlight w:val="none"/>
          <w:lang w:val="en-US"/>
        </w:rPr>
        <w:t>资格声明函</w:t>
      </w:r>
      <w:r>
        <w:rPr>
          <w:rFonts w:hint="eastAsia"/>
          <w:color w:val="auto"/>
          <w:sz w:val="21"/>
          <w:szCs w:val="21"/>
          <w:highlight w:val="none"/>
        </w:rPr>
        <w:t>》。</w:t>
      </w:r>
    </w:p>
    <w:p w14:paraId="45EDFDDB">
      <w:pPr>
        <w:pStyle w:val="7"/>
        <w:spacing w:before="0"/>
        <w:ind w:left="0" w:firstLine="420" w:firstLineChars="200"/>
        <w:rPr>
          <w:color w:val="auto"/>
          <w:sz w:val="21"/>
          <w:szCs w:val="21"/>
          <w:highlight w:val="none"/>
        </w:rPr>
      </w:pPr>
      <w:r>
        <w:rPr>
          <w:rFonts w:hint="eastAsia"/>
          <w:color w:val="auto"/>
          <w:sz w:val="21"/>
          <w:szCs w:val="21"/>
          <w:highlight w:val="none"/>
        </w:rPr>
        <w:t>3）具有良好的商业信誉和健全的财务会计制度：投标（响应）文件中提供《</w:t>
      </w:r>
      <w:r>
        <w:rPr>
          <w:rFonts w:hint="eastAsia"/>
          <w:color w:val="auto"/>
          <w:sz w:val="21"/>
          <w:szCs w:val="21"/>
          <w:highlight w:val="none"/>
          <w:lang w:val="en-US"/>
        </w:rPr>
        <w:t>资格声明函</w:t>
      </w:r>
      <w:r>
        <w:rPr>
          <w:rFonts w:hint="eastAsia"/>
          <w:color w:val="auto"/>
          <w:sz w:val="21"/>
          <w:szCs w:val="21"/>
          <w:highlight w:val="none"/>
        </w:rPr>
        <w:t>》。</w:t>
      </w:r>
    </w:p>
    <w:p w14:paraId="26FBE327">
      <w:pPr>
        <w:pStyle w:val="7"/>
        <w:spacing w:before="0"/>
        <w:ind w:left="0" w:firstLine="420" w:firstLineChars="200"/>
        <w:rPr>
          <w:color w:val="auto"/>
          <w:sz w:val="21"/>
          <w:szCs w:val="21"/>
          <w:highlight w:val="none"/>
        </w:rPr>
      </w:pPr>
      <w:r>
        <w:rPr>
          <w:rFonts w:hint="eastAsia"/>
          <w:color w:val="auto"/>
          <w:sz w:val="21"/>
          <w:szCs w:val="21"/>
          <w:highlight w:val="none"/>
        </w:rPr>
        <w:t>4）履行合同所必需的设备和专业技术能力：投标（响应）文件中提供《</w:t>
      </w:r>
      <w:r>
        <w:rPr>
          <w:rFonts w:hint="eastAsia"/>
          <w:color w:val="auto"/>
          <w:sz w:val="21"/>
          <w:szCs w:val="21"/>
          <w:highlight w:val="none"/>
          <w:lang w:val="en-US"/>
        </w:rPr>
        <w:t>资格声明函</w:t>
      </w:r>
      <w:r>
        <w:rPr>
          <w:rFonts w:hint="eastAsia"/>
          <w:color w:val="auto"/>
          <w:sz w:val="21"/>
          <w:szCs w:val="21"/>
          <w:highlight w:val="none"/>
        </w:rPr>
        <w:t>》。</w:t>
      </w:r>
    </w:p>
    <w:p w14:paraId="3EF0D142">
      <w:pPr>
        <w:pStyle w:val="7"/>
        <w:spacing w:before="0"/>
        <w:ind w:left="0" w:firstLine="420" w:firstLineChars="200"/>
        <w:rPr>
          <w:color w:val="auto"/>
          <w:sz w:val="21"/>
          <w:szCs w:val="21"/>
          <w:highlight w:val="none"/>
        </w:rPr>
      </w:pPr>
      <w:r>
        <w:rPr>
          <w:rFonts w:hint="eastAsia"/>
          <w:color w:val="auto"/>
          <w:sz w:val="21"/>
          <w:szCs w:val="21"/>
          <w:highlight w:val="none"/>
          <w:lang w:val="en-US"/>
        </w:rPr>
        <w:t>5</w:t>
      </w:r>
      <w:r>
        <w:rPr>
          <w:rFonts w:hint="eastAsia"/>
          <w:color w:val="auto"/>
          <w:sz w:val="21"/>
          <w:szCs w:val="21"/>
          <w:highlight w:val="none"/>
        </w:rPr>
        <w:t>）参加采购活动前三年内，在经营活动中没有重大违法记录：投标（响应）文件中提供《</w:t>
      </w:r>
      <w:r>
        <w:rPr>
          <w:rFonts w:hint="eastAsia"/>
          <w:color w:val="auto"/>
          <w:sz w:val="21"/>
          <w:szCs w:val="21"/>
          <w:highlight w:val="none"/>
          <w:lang w:val="en-US"/>
        </w:rPr>
        <w:t>资格声明函</w:t>
      </w:r>
      <w:r>
        <w:rPr>
          <w:rFonts w:hint="eastAsia"/>
          <w:color w:val="auto"/>
          <w:sz w:val="21"/>
          <w:szCs w:val="21"/>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0ECCC18">
      <w:pPr>
        <w:pStyle w:val="7"/>
        <w:spacing w:before="0"/>
        <w:ind w:left="0"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rPr>
        <w:t>2</w:t>
      </w:r>
      <w:r>
        <w:rPr>
          <w:rFonts w:hint="eastAsia"/>
          <w:color w:val="auto"/>
          <w:sz w:val="21"/>
          <w:szCs w:val="21"/>
          <w:highlight w:val="none"/>
        </w:rPr>
        <w:t xml:space="preserve">）供应商的单位负责人为同一人或者存在直接控股、管理关系的不同供应商，不得参加同一合同项下的政府采购活动。为本项目提供整体设计、规范编制或者项目管理、监理、检测等服务的供应商，不得参加本采购项目的采购活动； </w:t>
      </w:r>
    </w:p>
    <w:p w14:paraId="249FB3A7">
      <w:pPr>
        <w:pStyle w:val="7"/>
        <w:spacing w:before="0"/>
        <w:ind w:left="0"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rPr>
        <w:t>3</w:t>
      </w:r>
      <w:r>
        <w:rPr>
          <w:rFonts w:hint="eastAsia"/>
          <w:color w:val="auto"/>
          <w:sz w:val="21"/>
          <w:szCs w:val="21"/>
          <w:highlight w:val="none"/>
        </w:rPr>
        <w:t>）未被列入“信用中国”网站(www.creditchina.gov.cn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供应商需提供相关证明资料。</w:t>
      </w:r>
    </w:p>
    <w:p w14:paraId="4DCAB059">
      <w:pPr>
        <w:pStyle w:val="7"/>
        <w:spacing w:before="0"/>
        <w:ind w:left="0"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rPr>
        <w:t>4</w:t>
      </w:r>
      <w:r>
        <w:rPr>
          <w:rFonts w:hint="eastAsia"/>
          <w:color w:val="auto"/>
          <w:sz w:val="21"/>
          <w:szCs w:val="21"/>
          <w:highlight w:val="none"/>
        </w:rPr>
        <w:t>）本项目（是/否）接受联合体投标：否</w:t>
      </w:r>
    </w:p>
    <w:p w14:paraId="62D6FAE3">
      <w:pPr>
        <w:ind w:firstLine="413" w:firstLineChars="196"/>
        <w:rPr>
          <w:rFonts w:ascii="宋体" w:hAnsi="宋体"/>
          <w:b/>
          <w:bCs/>
          <w:color w:val="auto"/>
          <w:szCs w:val="21"/>
          <w:highlight w:val="none"/>
        </w:rPr>
      </w:pPr>
      <w:r>
        <w:rPr>
          <w:rFonts w:hint="eastAsia" w:ascii="宋体" w:hAnsi="宋体"/>
          <w:b/>
          <w:bCs/>
          <w:color w:val="auto"/>
          <w:szCs w:val="21"/>
          <w:highlight w:val="none"/>
        </w:rPr>
        <w:t>2、特殊要求：</w:t>
      </w:r>
    </w:p>
    <w:p w14:paraId="456860CE">
      <w:pPr>
        <w:adjustRightInd/>
        <w:snapToGrid/>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供应商须具有乙级或以上城乡规划编制资质（需提供资质证书复印件）。</w:t>
      </w:r>
    </w:p>
    <w:p w14:paraId="76D2C4FC">
      <w:pPr>
        <w:ind w:firstLine="413" w:firstLineChars="196"/>
        <w:rPr>
          <w:rFonts w:ascii="宋体" w:hAnsi="宋体"/>
          <w:b/>
          <w:color w:val="auto"/>
          <w:szCs w:val="21"/>
          <w:highlight w:val="none"/>
        </w:rPr>
      </w:pPr>
    </w:p>
    <w:p w14:paraId="06D4CD36">
      <w:pPr>
        <w:ind w:firstLine="413" w:firstLineChars="196"/>
        <w:rPr>
          <w:rFonts w:ascii="宋体" w:hAnsi="宋体"/>
          <w:b/>
          <w:color w:val="auto"/>
          <w:szCs w:val="21"/>
          <w:highlight w:val="none"/>
        </w:rPr>
      </w:pPr>
      <w:r>
        <w:rPr>
          <w:rFonts w:hint="eastAsia" w:ascii="宋体" w:hAnsi="宋体"/>
          <w:b/>
          <w:color w:val="auto"/>
          <w:szCs w:val="21"/>
          <w:highlight w:val="none"/>
        </w:rPr>
        <w:t>三、项目公示时间、磋商文件领购时间、地点、方式</w:t>
      </w:r>
    </w:p>
    <w:p w14:paraId="2C52B854">
      <w:pPr>
        <w:ind w:firstLine="420" w:firstLineChars="200"/>
        <w:rPr>
          <w:rFonts w:ascii="宋体" w:hAnsi="宋体"/>
          <w:color w:val="auto"/>
          <w:szCs w:val="21"/>
          <w:highlight w:val="none"/>
        </w:rPr>
      </w:pPr>
      <w:r>
        <w:rPr>
          <w:rFonts w:hint="eastAsia" w:ascii="宋体" w:hAnsi="宋体"/>
          <w:color w:val="auto"/>
          <w:szCs w:val="21"/>
          <w:highlight w:val="none"/>
        </w:rPr>
        <w:t>1、项目公示时间：2026年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29</w:t>
      </w:r>
      <w:r>
        <w:rPr>
          <w:rFonts w:hint="eastAsia" w:ascii="宋体" w:hAnsi="宋体"/>
          <w:color w:val="auto"/>
          <w:szCs w:val="21"/>
          <w:highlight w:val="none"/>
        </w:rPr>
        <w:t>日起至2026年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w:t>
      </w:r>
    </w:p>
    <w:p w14:paraId="61413CA5">
      <w:pPr>
        <w:ind w:firstLine="420" w:firstLineChars="200"/>
        <w:rPr>
          <w:rFonts w:ascii="宋体" w:hAnsi="宋体"/>
          <w:color w:val="auto"/>
          <w:szCs w:val="21"/>
          <w:highlight w:val="none"/>
        </w:rPr>
      </w:pPr>
      <w:r>
        <w:rPr>
          <w:rFonts w:hint="eastAsia" w:ascii="宋体" w:hAnsi="宋体"/>
          <w:color w:val="auto"/>
          <w:szCs w:val="21"/>
          <w:highlight w:val="none"/>
        </w:rPr>
        <w:t>2、磋商文件领购</w:t>
      </w:r>
      <w:r>
        <w:rPr>
          <w:rFonts w:ascii="宋体" w:hAnsi="宋体"/>
          <w:color w:val="auto"/>
          <w:szCs w:val="21"/>
          <w:highlight w:val="none"/>
        </w:rPr>
        <w:t>时间：</w:t>
      </w:r>
      <w:r>
        <w:rPr>
          <w:rFonts w:hint="eastAsia" w:ascii="宋体" w:hAnsi="宋体"/>
          <w:color w:val="auto"/>
          <w:szCs w:val="21"/>
          <w:highlight w:val="none"/>
        </w:rPr>
        <w:t>2026年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29</w:t>
      </w:r>
      <w:r>
        <w:rPr>
          <w:rFonts w:hint="eastAsia" w:ascii="宋体" w:hAnsi="宋体"/>
          <w:color w:val="auto"/>
          <w:szCs w:val="21"/>
          <w:highlight w:val="none"/>
        </w:rPr>
        <w:t>日起至2026年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5</w:t>
      </w:r>
      <w:r>
        <w:rPr>
          <w:rFonts w:hint="eastAsia" w:ascii="宋体" w:hAnsi="宋体"/>
          <w:color w:val="auto"/>
          <w:szCs w:val="21"/>
          <w:highlight w:val="none"/>
        </w:rPr>
        <w:t xml:space="preserve">日（节假日除外），上午9：00～12：00，下午14：30～17：30（北京时间）。 </w:t>
      </w:r>
    </w:p>
    <w:p w14:paraId="27F35F00">
      <w:pPr>
        <w:ind w:firstLine="420" w:firstLineChars="200"/>
        <w:rPr>
          <w:rFonts w:ascii="宋体" w:hAnsi="宋体"/>
          <w:color w:val="auto"/>
          <w:szCs w:val="21"/>
          <w:highlight w:val="none"/>
        </w:rPr>
      </w:pPr>
      <w:r>
        <w:rPr>
          <w:rFonts w:hint="eastAsia" w:ascii="宋体" w:hAnsi="宋体"/>
          <w:color w:val="auto"/>
          <w:szCs w:val="21"/>
          <w:highlight w:val="none"/>
        </w:rPr>
        <w:t>注：（1）供应商可自行打印磋商文件最后1页中的“获取磋商文件登记表”进行填写并带到现场进行领购，并现场领取发票。（磋商文件领购价：人民币300元整）</w:t>
      </w:r>
    </w:p>
    <w:p w14:paraId="05EA1A73">
      <w:pPr>
        <w:ind w:firstLine="420" w:firstLineChars="200"/>
        <w:rPr>
          <w:rFonts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40CD7E3F">
      <w:pPr>
        <w:ind w:firstLine="420" w:firstLineChars="200"/>
        <w:rPr>
          <w:rFonts w:ascii="宋体" w:hAnsi="宋体"/>
          <w:color w:val="auto"/>
          <w:szCs w:val="21"/>
          <w:highlight w:val="none"/>
        </w:rPr>
      </w:pPr>
      <w:r>
        <w:rPr>
          <w:rFonts w:hint="eastAsia" w:ascii="宋体" w:hAnsi="宋体"/>
          <w:color w:val="auto"/>
          <w:szCs w:val="21"/>
          <w:highlight w:val="none"/>
        </w:rPr>
        <w:t>（3）磋商文件电子版可在政通招标网（http://www.zttendering.com/）相关采购信息公告下自行下载。</w:t>
      </w:r>
    </w:p>
    <w:p w14:paraId="156CBDA2">
      <w:pPr>
        <w:ind w:firstLine="420" w:firstLineChars="200"/>
        <w:rPr>
          <w:rFonts w:ascii="宋体" w:hAnsi="宋体"/>
          <w:color w:val="auto"/>
          <w:szCs w:val="21"/>
          <w:highlight w:val="none"/>
        </w:rPr>
      </w:pPr>
      <w:r>
        <w:rPr>
          <w:rFonts w:hint="eastAsia" w:ascii="宋体" w:hAnsi="宋体"/>
          <w:color w:val="auto"/>
          <w:szCs w:val="21"/>
          <w:highlight w:val="none"/>
        </w:rPr>
        <w:t>3、磋商文件领购地点：东莞市南城街道鸿福西路81号国际商会大厦13A01室。</w:t>
      </w:r>
    </w:p>
    <w:p w14:paraId="4A617C37">
      <w:pPr>
        <w:ind w:firstLine="420" w:firstLineChars="200"/>
        <w:rPr>
          <w:rFonts w:ascii="宋体" w:hAnsi="宋体"/>
          <w:color w:val="auto"/>
          <w:szCs w:val="21"/>
          <w:highlight w:val="none"/>
        </w:rPr>
      </w:pPr>
      <w:r>
        <w:rPr>
          <w:rFonts w:hint="eastAsia" w:ascii="宋体" w:hAnsi="宋体"/>
          <w:color w:val="auto"/>
          <w:szCs w:val="21"/>
          <w:highlight w:val="none"/>
        </w:rPr>
        <w:t>联系人：简小姐</w:t>
      </w:r>
    </w:p>
    <w:p w14:paraId="724072AE">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180BD0E5">
      <w:pPr>
        <w:ind w:firstLine="420" w:firstLineChars="200"/>
        <w:rPr>
          <w:rFonts w:ascii="宋体" w:hAnsi="宋体"/>
          <w:color w:val="auto"/>
          <w:szCs w:val="21"/>
          <w:highlight w:val="none"/>
        </w:rPr>
      </w:pPr>
      <w:r>
        <w:rPr>
          <w:rFonts w:hint="eastAsia" w:ascii="宋体" w:hAnsi="宋体"/>
          <w:color w:val="auto"/>
          <w:szCs w:val="21"/>
          <w:highlight w:val="none"/>
        </w:rPr>
        <w:t>4、磋商文件领购方式：现场领购。</w:t>
      </w:r>
    </w:p>
    <w:p w14:paraId="66EE0D20">
      <w:pPr>
        <w:ind w:firstLine="420" w:firstLineChars="200"/>
        <w:rPr>
          <w:rFonts w:ascii="宋体" w:hAnsi="宋体"/>
          <w:color w:val="auto"/>
          <w:szCs w:val="21"/>
          <w:highlight w:val="none"/>
        </w:rPr>
      </w:pPr>
      <w:r>
        <w:rPr>
          <w:rFonts w:hint="eastAsia" w:ascii="宋体" w:hAnsi="宋体"/>
          <w:color w:val="auto"/>
          <w:szCs w:val="21"/>
          <w:highlight w:val="none"/>
        </w:rPr>
        <w:t>供应商在领购磋商文件时须提供如下证明材料：《营业执照》复印件（加盖公章）或《事业单位法人证书》复印件（加盖公章）或其他主体证书复印件（加盖公章），自然人参加报价须提供自然人的身份证明材料。</w:t>
      </w:r>
    </w:p>
    <w:p w14:paraId="10352247">
      <w:pPr>
        <w:rPr>
          <w:color w:val="auto"/>
          <w:highlight w:val="none"/>
        </w:rPr>
      </w:pPr>
    </w:p>
    <w:p w14:paraId="5587416A">
      <w:pPr>
        <w:ind w:firstLine="413" w:firstLineChars="196"/>
        <w:rPr>
          <w:rFonts w:ascii="宋体" w:hAnsi="宋体"/>
          <w:b/>
          <w:color w:val="auto"/>
          <w:szCs w:val="21"/>
          <w:highlight w:val="none"/>
        </w:rPr>
      </w:pPr>
      <w:r>
        <w:rPr>
          <w:rFonts w:hint="eastAsia" w:ascii="宋体" w:hAnsi="宋体"/>
          <w:b/>
          <w:color w:val="auto"/>
          <w:szCs w:val="21"/>
          <w:highlight w:val="none"/>
        </w:rPr>
        <w:t>四、响应截止时间、开标时间及地点</w:t>
      </w:r>
    </w:p>
    <w:p w14:paraId="51FF077C">
      <w:pPr>
        <w:ind w:firstLine="420" w:firstLineChars="200"/>
        <w:rPr>
          <w:rFonts w:ascii="宋体" w:hAnsi="宋体"/>
          <w:bCs/>
          <w:color w:val="auto"/>
          <w:szCs w:val="21"/>
          <w:highlight w:val="none"/>
        </w:rPr>
      </w:pPr>
      <w:r>
        <w:rPr>
          <w:rFonts w:hint="eastAsia" w:ascii="宋体" w:hAnsi="宋体"/>
          <w:bCs/>
          <w:color w:val="auto"/>
          <w:szCs w:val="21"/>
          <w:highlight w:val="none"/>
        </w:rPr>
        <w:t>1、递交响应文件时间：</w:t>
      </w:r>
      <w:r>
        <w:rPr>
          <w:rFonts w:hint="eastAsia" w:ascii="宋体" w:hAnsi="宋体"/>
          <w:color w:val="auto"/>
          <w:szCs w:val="21"/>
          <w:highlight w:val="none"/>
        </w:rPr>
        <w:t>2026年</w:t>
      </w:r>
      <w:r>
        <w:rPr>
          <w:rFonts w:hint="eastAsia" w:ascii="宋体" w:hAnsi="宋体"/>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日下午14：00～14：30。</w:t>
      </w:r>
    </w:p>
    <w:p w14:paraId="2F2E4ADA">
      <w:pPr>
        <w:ind w:firstLine="420" w:firstLineChars="200"/>
        <w:rPr>
          <w:rFonts w:ascii="宋体" w:hAnsi="宋体"/>
          <w:bCs/>
          <w:color w:val="auto"/>
          <w:szCs w:val="21"/>
          <w:highlight w:val="none"/>
        </w:rPr>
      </w:pPr>
      <w:r>
        <w:rPr>
          <w:rFonts w:hint="eastAsia" w:ascii="宋体" w:hAnsi="宋体"/>
          <w:bCs/>
          <w:color w:val="auto"/>
          <w:szCs w:val="21"/>
          <w:highlight w:val="none"/>
        </w:rPr>
        <w:t>2、响应</w:t>
      </w:r>
      <w:r>
        <w:rPr>
          <w:rFonts w:ascii="宋体" w:hAnsi="宋体"/>
          <w:bCs/>
          <w:color w:val="auto"/>
          <w:szCs w:val="21"/>
          <w:highlight w:val="none"/>
        </w:rPr>
        <w:t>截止</w:t>
      </w:r>
      <w:r>
        <w:rPr>
          <w:rFonts w:hint="eastAsia" w:ascii="宋体" w:hAnsi="宋体"/>
          <w:bCs/>
          <w:color w:val="auto"/>
          <w:szCs w:val="21"/>
          <w:highlight w:val="none"/>
        </w:rPr>
        <w:t>及开标时间：</w:t>
      </w:r>
      <w:r>
        <w:rPr>
          <w:rFonts w:hint="eastAsia" w:ascii="宋体" w:hAnsi="宋体"/>
          <w:color w:val="auto"/>
          <w:szCs w:val="21"/>
          <w:highlight w:val="none"/>
        </w:rPr>
        <w:t>2026年</w:t>
      </w:r>
      <w:r>
        <w:rPr>
          <w:rFonts w:hint="eastAsia" w:ascii="宋体" w:hAnsi="宋体"/>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日下午14时30分。</w:t>
      </w:r>
    </w:p>
    <w:p w14:paraId="7270916D">
      <w:pPr>
        <w:ind w:firstLine="420" w:firstLineChars="200"/>
        <w:rPr>
          <w:rFonts w:ascii="宋体" w:hAnsi="宋体"/>
          <w:bCs/>
          <w:color w:val="auto"/>
          <w:szCs w:val="21"/>
          <w:highlight w:val="none"/>
        </w:rPr>
      </w:pPr>
      <w:r>
        <w:rPr>
          <w:rFonts w:hint="eastAsia" w:ascii="宋体" w:hAnsi="宋体"/>
          <w:bCs/>
          <w:color w:val="auto"/>
          <w:szCs w:val="21"/>
          <w:highlight w:val="none"/>
        </w:rPr>
        <w:t>3、</w:t>
      </w:r>
      <w:r>
        <w:rPr>
          <w:rFonts w:hint="eastAsia" w:ascii="宋体" w:hAnsi="宋体"/>
          <w:color w:val="auto"/>
          <w:szCs w:val="21"/>
          <w:highlight w:val="none"/>
        </w:rPr>
        <w:t>接收响应文件地点</w:t>
      </w:r>
      <w:r>
        <w:rPr>
          <w:rFonts w:ascii="宋体" w:hAnsi="宋体"/>
          <w:bCs/>
          <w:color w:val="auto"/>
          <w:szCs w:val="21"/>
          <w:highlight w:val="none"/>
        </w:rPr>
        <w:t>：</w:t>
      </w:r>
      <w:r>
        <w:rPr>
          <w:rFonts w:hint="eastAsia" w:ascii="宋体" w:hAnsi="宋体"/>
          <w:color w:val="auto"/>
          <w:szCs w:val="21"/>
          <w:highlight w:val="none"/>
        </w:rPr>
        <w:t>东莞市南城街道鸿福西路81号国际商会大厦13A01室</w:t>
      </w:r>
    </w:p>
    <w:p w14:paraId="29CB63E9">
      <w:pPr>
        <w:ind w:firstLine="411" w:firstLineChars="196"/>
        <w:rPr>
          <w:rFonts w:ascii="宋体" w:hAnsi="宋体"/>
          <w:bCs/>
          <w:color w:val="auto"/>
          <w:szCs w:val="21"/>
          <w:highlight w:val="none"/>
        </w:rPr>
      </w:pPr>
    </w:p>
    <w:p w14:paraId="0A662156">
      <w:pPr>
        <w:ind w:firstLine="413" w:firstLineChars="196"/>
        <w:rPr>
          <w:rFonts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10CF6D8F">
      <w:pPr>
        <w:ind w:firstLine="420" w:firstLineChars="200"/>
        <w:rPr>
          <w:rFonts w:ascii="宋体" w:hAnsi="宋体"/>
          <w:bCs/>
          <w:color w:val="auto"/>
          <w:szCs w:val="21"/>
          <w:highlight w:val="none"/>
        </w:rPr>
      </w:pPr>
      <w:r>
        <w:rPr>
          <w:rFonts w:hint="eastAsia" w:ascii="宋体" w:hAnsi="宋体"/>
          <w:bCs/>
          <w:color w:val="auto"/>
          <w:szCs w:val="21"/>
          <w:highlight w:val="none"/>
        </w:rPr>
        <w:t>采购人联系人：庚工</w:t>
      </w:r>
    </w:p>
    <w:p w14:paraId="74D13FA3">
      <w:pPr>
        <w:ind w:firstLine="420" w:firstLineChars="200"/>
        <w:rPr>
          <w:rFonts w:ascii="宋体" w:hAnsi="宋体"/>
          <w:bCs/>
          <w:color w:val="auto"/>
          <w:szCs w:val="21"/>
          <w:highlight w:val="none"/>
        </w:rPr>
      </w:pPr>
      <w:r>
        <w:rPr>
          <w:rFonts w:hint="eastAsia" w:ascii="宋体" w:hAnsi="宋体"/>
          <w:bCs/>
          <w:color w:val="auto"/>
          <w:szCs w:val="21"/>
          <w:highlight w:val="none"/>
        </w:rPr>
        <w:t>地址：北京市海淀区车公庄西路25号1幢4-5层</w:t>
      </w:r>
    </w:p>
    <w:p w14:paraId="587BAB20">
      <w:pPr>
        <w:ind w:firstLine="420" w:firstLineChars="200"/>
        <w:rPr>
          <w:rFonts w:ascii="宋体" w:hAnsi="宋体"/>
          <w:color w:val="auto"/>
          <w:szCs w:val="21"/>
          <w:highlight w:val="none"/>
        </w:rPr>
      </w:pPr>
    </w:p>
    <w:p w14:paraId="25D631D4">
      <w:pPr>
        <w:ind w:firstLine="420" w:firstLineChars="200"/>
        <w:rPr>
          <w:rFonts w:ascii="宋体" w:hAnsi="宋体"/>
          <w:color w:val="auto"/>
          <w:szCs w:val="21"/>
          <w:highlight w:val="none"/>
        </w:rPr>
      </w:pPr>
      <w:r>
        <w:rPr>
          <w:rFonts w:hint="eastAsia" w:ascii="宋体" w:hAnsi="宋体"/>
          <w:color w:val="auto"/>
          <w:szCs w:val="21"/>
          <w:highlight w:val="none"/>
        </w:rPr>
        <w:t>采购代理机构名称：广东政通招标有限公司</w:t>
      </w:r>
    </w:p>
    <w:p w14:paraId="3D76E418">
      <w:pPr>
        <w:ind w:firstLine="420" w:firstLineChars="200"/>
        <w:rPr>
          <w:rFonts w:ascii="宋体" w:hAnsi="宋体"/>
          <w:color w:val="auto"/>
          <w:szCs w:val="21"/>
          <w:highlight w:val="none"/>
        </w:rPr>
      </w:pPr>
      <w:r>
        <w:rPr>
          <w:rFonts w:hint="eastAsia" w:ascii="宋体" w:hAnsi="宋体"/>
          <w:color w:val="auto"/>
          <w:szCs w:val="21"/>
          <w:highlight w:val="none"/>
        </w:rPr>
        <w:t>地址：东莞市南城街道鸿福西路81号国际商会大厦13A01室。</w:t>
      </w:r>
    </w:p>
    <w:p w14:paraId="07491646">
      <w:pPr>
        <w:ind w:firstLine="420" w:firstLineChars="200"/>
        <w:rPr>
          <w:rFonts w:ascii="宋体" w:hAnsi="宋体"/>
          <w:color w:val="auto"/>
          <w:szCs w:val="21"/>
          <w:highlight w:val="none"/>
        </w:rPr>
      </w:pPr>
      <w:r>
        <w:rPr>
          <w:rFonts w:hint="eastAsia" w:ascii="宋体" w:hAnsi="宋体"/>
          <w:color w:val="auto"/>
          <w:szCs w:val="21"/>
          <w:highlight w:val="none"/>
        </w:rPr>
        <w:t>采购代理机构联系人：陈先生</w:t>
      </w:r>
    </w:p>
    <w:p w14:paraId="77DAA370">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3E7C555F">
      <w:pPr>
        <w:ind w:firstLine="420" w:firstLineChars="200"/>
        <w:rPr>
          <w:color w:val="auto"/>
          <w:highlight w:val="none"/>
        </w:rPr>
      </w:pPr>
      <w:r>
        <w:rPr>
          <w:rFonts w:hint="eastAsia" w:ascii="宋体" w:hAnsi="宋体"/>
          <w:color w:val="auto"/>
          <w:szCs w:val="21"/>
          <w:highlight w:val="none"/>
        </w:rPr>
        <w:t>E－ mail：1107730826@qq.com</w:t>
      </w:r>
    </w:p>
    <w:p w14:paraId="2A73AB1C">
      <w:pPr>
        <w:ind w:firstLine="420" w:firstLineChars="200"/>
        <w:rPr>
          <w:color w:val="auto"/>
          <w:highlight w:val="none"/>
        </w:rPr>
      </w:pPr>
    </w:p>
    <w:p w14:paraId="26C1D1C1">
      <w:pPr>
        <w:rPr>
          <w:color w:val="auto"/>
          <w:highlight w:val="none"/>
        </w:rPr>
      </w:pPr>
    </w:p>
    <w:p w14:paraId="16053472">
      <w:pPr>
        <w:ind w:right="752" w:rightChars="358"/>
        <w:jc w:val="both"/>
        <w:rPr>
          <w:color w:val="auto"/>
          <w:highlight w:val="none"/>
        </w:rPr>
      </w:pPr>
    </w:p>
    <w:p w14:paraId="2F0B6F89">
      <w:pPr>
        <w:jc w:val="right"/>
        <w:rPr>
          <w:rFonts w:ascii="宋体" w:hAnsi="宋体" w:cs="宋体"/>
          <w:color w:val="auto"/>
          <w:szCs w:val="21"/>
          <w:highlight w:val="none"/>
        </w:rPr>
      </w:pPr>
      <w:r>
        <w:rPr>
          <w:rFonts w:hint="eastAsia" w:ascii="宋体" w:hAnsi="宋体" w:cs="宋体"/>
          <w:color w:val="auto"/>
          <w:szCs w:val="21"/>
          <w:highlight w:val="none"/>
        </w:rPr>
        <w:t>广东政通招标有限公司</w:t>
      </w:r>
    </w:p>
    <w:p w14:paraId="68014229">
      <w:pPr>
        <w:ind w:left="420" w:hanging="420" w:hangingChars="200"/>
        <w:jc w:val="right"/>
        <w:rPr>
          <w:rFonts w:ascii="宋体" w:hAnsi="宋体" w:cs="宋体"/>
          <w:color w:val="auto"/>
          <w:szCs w:val="21"/>
          <w:highlight w:val="none"/>
        </w:rPr>
      </w:pPr>
      <w:r>
        <w:rPr>
          <w:rFonts w:hint="eastAsia" w:ascii="宋体" w:hAnsi="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p>
    <w:p w14:paraId="498BB91A">
      <w:pPr>
        <w:pStyle w:val="7"/>
        <w:rPr>
          <w:color w:val="auto"/>
          <w:sz w:val="21"/>
          <w:szCs w:val="21"/>
          <w:highlight w:val="none"/>
        </w:rPr>
      </w:pPr>
    </w:p>
    <w:p w14:paraId="2196E223">
      <w:pPr>
        <w:pStyle w:val="8"/>
        <w:ind w:firstLine="210"/>
        <w:rPr>
          <w:rFonts w:ascii="宋体" w:hAnsi="宋体" w:cs="宋体"/>
          <w:color w:val="auto"/>
          <w:sz w:val="21"/>
          <w:szCs w:val="21"/>
          <w:highlight w:val="none"/>
        </w:rPr>
      </w:pPr>
    </w:p>
    <w:p w14:paraId="09092894">
      <w:pPr>
        <w:pStyle w:val="8"/>
        <w:ind w:firstLine="210"/>
        <w:rPr>
          <w:rFonts w:ascii="宋体" w:hAnsi="宋体" w:cs="宋体"/>
          <w:color w:val="auto"/>
          <w:sz w:val="21"/>
          <w:szCs w:val="21"/>
          <w:highlight w:val="none"/>
        </w:rPr>
      </w:pPr>
    </w:p>
    <w:p w14:paraId="545342F5">
      <w:pPr>
        <w:rPr>
          <w:color w:val="auto"/>
          <w:sz w:val="28"/>
          <w:szCs w:val="28"/>
          <w:highlight w:val="none"/>
        </w:rPr>
      </w:pPr>
      <w:bookmarkStart w:id="5" w:name="_Toc31060"/>
      <w:bookmarkStart w:id="6" w:name="_Toc28550"/>
    </w:p>
    <w:p w14:paraId="5F7C9F9B">
      <w:pPr>
        <w:rPr>
          <w:color w:val="auto"/>
          <w:sz w:val="28"/>
          <w:szCs w:val="28"/>
          <w:highlight w:val="none"/>
        </w:rPr>
      </w:pPr>
      <w:r>
        <w:rPr>
          <w:rFonts w:hint="eastAsia"/>
          <w:color w:val="auto"/>
          <w:sz w:val="28"/>
          <w:szCs w:val="28"/>
          <w:highlight w:val="none"/>
        </w:rPr>
        <w:br w:type="page"/>
      </w:r>
    </w:p>
    <w:p w14:paraId="6CCF7C1F">
      <w:pPr>
        <w:pStyle w:val="3"/>
        <w:spacing w:before="0" w:after="0" w:line="240" w:lineRule="auto"/>
        <w:ind w:firstLine="281" w:firstLineChars="100"/>
        <w:rPr>
          <w:color w:val="auto"/>
          <w:sz w:val="28"/>
          <w:szCs w:val="28"/>
          <w:highlight w:val="none"/>
        </w:rPr>
      </w:pPr>
      <w:r>
        <w:rPr>
          <w:rFonts w:hint="eastAsia"/>
          <w:color w:val="auto"/>
          <w:sz w:val="28"/>
          <w:szCs w:val="28"/>
          <w:highlight w:val="none"/>
        </w:rPr>
        <w:t>第二部分</w:t>
      </w:r>
      <w:bookmarkStart w:id="7" w:name="_Toc20683"/>
      <w:r>
        <w:rPr>
          <w:rFonts w:hint="eastAsia"/>
          <w:color w:val="auto"/>
          <w:sz w:val="28"/>
          <w:szCs w:val="28"/>
          <w:highlight w:val="none"/>
        </w:rPr>
        <w:t xml:space="preserve"> 磋商资料表</w:t>
      </w:r>
      <w:bookmarkEnd w:id="5"/>
      <w:bookmarkEnd w:id="6"/>
      <w:bookmarkEnd w:id="7"/>
    </w:p>
    <w:tbl>
      <w:tblPr>
        <w:tblStyle w:val="23"/>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328675C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4FC2A76B">
            <w:pPr>
              <w:jc w:val="center"/>
              <w:rPr>
                <w:rFonts w:ascii="宋体" w:hAnsi="宋体"/>
                <w:color w:val="auto"/>
                <w:szCs w:val="21"/>
                <w:highlight w:val="none"/>
              </w:rPr>
            </w:pPr>
            <w:r>
              <w:rPr>
                <w:rFonts w:hint="eastAsia" w:ascii="宋体" w:hAnsi="宋体"/>
                <w:color w:val="auto"/>
                <w:szCs w:val="21"/>
                <w:highlight w:val="none"/>
              </w:rPr>
              <w:t>序号</w:t>
            </w:r>
          </w:p>
        </w:tc>
        <w:tc>
          <w:tcPr>
            <w:tcW w:w="7532" w:type="dxa"/>
            <w:gridSpan w:val="4"/>
            <w:vAlign w:val="center"/>
          </w:tcPr>
          <w:p w14:paraId="652676AA">
            <w:pPr>
              <w:jc w:val="center"/>
              <w:rPr>
                <w:rFonts w:ascii="宋体" w:hAnsi="宋体"/>
                <w:b/>
                <w:color w:val="auto"/>
                <w:szCs w:val="21"/>
                <w:highlight w:val="none"/>
              </w:rPr>
            </w:pPr>
            <w:r>
              <w:rPr>
                <w:rFonts w:hint="eastAsia" w:ascii="宋体" w:hAnsi="宋体"/>
                <w:b/>
                <w:color w:val="auto"/>
                <w:szCs w:val="21"/>
                <w:highlight w:val="none"/>
              </w:rPr>
              <w:t>内容</w:t>
            </w:r>
          </w:p>
        </w:tc>
      </w:tr>
      <w:tr w14:paraId="5081132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0A725946">
            <w:pPr>
              <w:jc w:val="center"/>
              <w:rPr>
                <w:rFonts w:ascii="宋体" w:hAnsi="宋体"/>
                <w:b/>
                <w:color w:val="auto"/>
                <w:szCs w:val="21"/>
                <w:highlight w:val="none"/>
              </w:rPr>
            </w:pPr>
            <w:r>
              <w:rPr>
                <w:rFonts w:hint="eastAsia" w:ascii="宋体" w:hAnsi="宋体"/>
                <w:b/>
                <w:color w:val="auto"/>
                <w:szCs w:val="21"/>
                <w:highlight w:val="none"/>
              </w:rPr>
              <w:t>一、说明</w:t>
            </w:r>
          </w:p>
        </w:tc>
      </w:tr>
      <w:tr w14:paraId="727AF1A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BDB794">
            <w:pPr>
              <w:jc w:val="center"/>
              <w:rPr>
                <w:rFonts w:ascii="宋体" w:hAnsi="宋体"/>
                <w:color w:val="auto"/>
                <w:szCs w:val="21"/>
                <w:highlight w:val="none"/>
              </w:rPr>
            </w:pPr>
            <w:r>
              <w:rPr>
                <w:rFonts w:hint="eastAsia" w:ascii="宋体" w:hAnsi="宋体"/>
                <w:color w:val="auto"/>
                <w:szCs w:val="21"/>
                <w:highlight w:val="none"/>
              </w:rPr>
              <w:t>1</w:t>
            </w:r>
          </w:p>
        </w:tc>
        <w:tc>
          <w:tcPr>
            <w:tcW w:w="7532" w:type="dxa"/>
            <w:gridSpan w:val="4"/>
            <w:vAlign w:val="center"/>
          </w:tcPr>
          <w:p w14:paraId="65904824">
            <w:pPr>
              <w:rPr>
                <w:rFonts w:ascii="宋体" w:hAnsi="宋体"/>
                <w:b/>
                <w:bCs/>
                <w:color w:val="auto"/>
                <w:szCs w:val="21"/>
                <w:highlight w:val="none"/>
              </w:rPr>
            </w:pPr>
            <w:r>
              <w:rPr>
                <w:rFonts w:hint="eastAsia" w:ascii="宋体" w:hAnsi="宋体"/>
                <w:b/>
                <w:bCs/>
                <w:color w:val="auto"/>
                <w:szCs w:val="21"/>
                <w:highlight w:val="none"/>
              </w:rPr>
              <w:t>项目类型</w:t>
            </w:r>
          </w:p>
        </w:tc>
      </w:tr>
      <w:tr w14:paraId="73E02AC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0C54D16">
            <w:pPr>
              <w:jc w:val="center"/>
              <w:rPr>
                <w:rFonts w:ascii="宋体" w:hAnsi="宋体"/>
                <w:color w:val="auto"/>
                <w:szCs w:val="21"/>
                <w:highlight w:val="none"/>
              </w:rPr>
            </w:pPr>
          </w:p>
        </w:tc>
        <w:tc>
          <w:tcPr>
            <w:tcW w:w="7532" w:type="dxa"/>
            <w:gridSpan w:val="4"/>
            <w:vAlign w:val="center"/>
          </w:tcPr>
          <w:p w14:paraId="3D2E5236">
            <w:pPr>
              <w:rPr>
                <w:rFonts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185B80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F68DBC5">
            <w:pPr>
              <w:jc w:val="center"/>
              <w:rPr>
                <w:rFonts w:ascii="宋体" w:hAnsi="宋体"/>
                <w:color w:val="auto"/>
                <w:szCs w:val="21"/>
                <w:highlight w:val="none"/>
              </w:rPr>
            </w:pPr>
          </w:p>
        </w:tc>
        <w:tc>
          <w:tcPr>
            <w:tcW w:w="7532" w:type="dxa"/>
            <w:gridSpan w:val="4"/>
            <w:vAlign w:val="center"/>
          </w:tcPr>
          <w:p w14:paraId="62BAAD72">
            <w:pPr>
              <w:rPr>
                <w:rFonts w:ascii="宋体" w:hAnsi="宋体"/>
                <w:bCs/>
                <w:color w:val="auto"/>
                <w:szCs w:val="21"/>
                <w:highlight w:val="none"/>
              </w:rPr>
            </w:pPr>
            <w:r>
              <w:rPr>
                <w:rFonts w:hint="eastAsia" w:ascii="宋体" w:hAnsi="宋体"/>
                <w:bCs/>
                <w:color w:val="auto"/>
                <w:szCs w:val="21"/>
                <w:highlight w:val="none"/>
              </w:rPr>
              <w:t>所属行业：其他未列明行业</w:t>
            </w:r>
          </w:p>
        </w:tc>
      </w:tr>
      <w:tr w14:paraId="582B798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882F5E1">
            <w:pPr>
              <w:jc w:val="center"/>
              <w:rPr>
                <w:rFonts w:ascii="宋体" w:hAnsi="宋体"/>
                <w:color w:val="auto"/>
                <w:szCs w:val="21"/>
                <w:highlight w:val="none"/>
              </w:rPr>
            </w:pPr>
            <w:r>
              <w:rPr>
                <w:rFonts w:hint="eastAsia" w:ascii="宋体" w:hAnsi="宋体"/>
                <w:color w:val="auto"/>
                <w:szCs w:val="21"/>
                <w:highlight w:val="none"/>
              </w:rPr>
              <w:t>2</w:t>
            </w:r>
          </w:p>
        </w:tc>
        <w:tc>
          <w:tcPr>
            <w:tcW w:w="7532" w:type="dxa"/>
            <w:gridSpan w:val="4"/>
            <w:vAlign w:val="center"/>
          </w:tcPr>
          <w:p w14:paraId="7620D613">
            <w:pPr>
              <w:rPr>
                <w:rFonts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33CFF49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00AE661">
            <w:pPr>
              <w:jc w:val="center"/>
              <w:rPr>
                <w:rFonts w:ascii="宋体" w:hAnsi="宋体"/>
                <w:color w:val="auto"/>
                <w:szCs w:val="21"/>
                <w:highlight w:val="none"/>
              </w:rPr>
            </w:pPr>
          </w:p>
        </w:tc>
        <w:tc>
          <w:tcPr>
            <w:tcW w:w="7532" w:type="dxa"/>
            <w:gridSpan w:val="4"/>
            <w:vAlign w:val="center"/>
          </w:tcPr>
          <w:p w14:paraId="38CC030F">
            <w:pPr>
              <w:rPr>
                <w:rFonts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02D5F30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D554BAC">
            <w:pPr>
              <w:jc w:val="center"/>
              <w:rPr>
                <w:rFonts w:ascii="宋体" w:hAnsi="宋体"/>
                <w:color w:val="auto"/>
                <w:szCs w:val="21"/>
                <w:highlight w:val="none"/>
              </w:rPr>
            </w:pPr>
            <w:r>
              <w:rPr>
                <w:rFonts w:hint="eastAsia" w:ascii="宋体" w:hAnsi="宋体"/>
                <w:color w:val="auto"/>
                <w:szCs w:val="21"/>
                <w:highlight w:val="none"/>
              </w:rPr>
              <w:t>3</w:t>
            </w:r>
          </w:p>
        </w:tc>
        <w:tc>
          <w:tcPr>
            <w:tcW w:w="7532" w:type="dxa"/>
            <w:gridSpan w:val="4"/>
            <w:vAlign w:val="center"/>
          </w:tcPr>
          <w:p w14:paraId="608F9014">
            <w:pPr>
              <w:rPr>
                <w:rFonts w:ascii="宋体" w:hAnsi="宋体"/>
                <w:b/>
                <w:color w:val="auto"/>
                <w:szCs w:val="21"/>
                <w:highlight w:val="none"/>
              </w:rPr>
            </w:pPr>
            <w:r>
              <w:rPr>
                <w:rFonts w:hint="eastAsia" w:ascii="宋体" w:hAnsi="宋体"/>
                <w:b/>
                <w:bCs/>
                <w:color w:val="auto"/>
                <w:szCs w:val="21"/>
                <w:highlight w:val="none"/>
              </w:rPr>
              <w:t>资金来源</w:t>
            </w:r>
          </w:p>
        </w:tc>
      </w:tr>
      <w:tr w14:paraId="198AC46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10342295">
            <w:pPr>
              <w:jc w:val="center"/>
              <w:rPr>
                <w:rFonts w:ascii="宋体" w:hAnsi="宋体"/>
                <w:color w:val="auto"/>
                <w:szCs w:val="21"/>
                <w:highlight w:val="none"/>
              </w:rPr>
            </w:pPr>
          </w:p>
        </w:tc>
        <w:tc>
          <w:tcPr>
            <w:tcW w:w="7532" w:type="dxa"/>
            <w:gridSpan w:val="4"/>
            <w:vAlign w:val="center"/>
          </w:tcPr>
          <w:p w14:paraId="3143B3E5">
            <w:pPr>
              <w:rPr>
                <w:rFonts w:ascii="宋体" w:hAnsi="宋体"/>
                <w:b/>
                <w:color w:val="auto"/>
                <w:szCs w:val="21"/>
                <w:highlight w:val="none"/>
              </w:rPr>
            </w:pPr>
            <w:r>
              <w:rPr>
                <w:rFonts w:hint="eastAsia" w:ascii="宋体" w:hAnsi="宋体"/>
                <w:color w:val="auto"/>
                <w:szCs w:val="21"/>
                <w:highlight w:val="none"/>
              </w:rPr>
              <w:t>企业自筹。</w:t>
            </w:r>
          </w:p>
        </w:tc>
      </w:tr>
      <w:tr w14:paraId="1730A2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AB8925D">
            <w:pPr>
              <w:jc w:val="center"/>
              <w:rPr>
                <w:rFonts w:ascii="宋体" w:hAnsi="宋体"/>
                <w:color w:val="auto"/>
                <w:szCs w:val="21"/>
                <w:highlight w:val="none"/>
              </w:rPr>
            </w:pPr>
            <w:r>
              <w:rPr>
                <w:rFonts w:hint="eastAsia" w:ascii="宋体" w:hAnsi="宋体"/>
                <w:color w:val="auto"/>
                <w:szCs w:val="21"/>
                <w:highlight w:val="none"/>
              </w:rPr>
              <w:t>4</w:t>
            </w:r>
          </w:p>
        </w:tc>
        <w:tc>
          <w:tcPr>
            <w:tcW w:w="7532" w:type="dxa"/>
            <w:gridSpan w:val="4"/>
            <w:vAlign w:val="center"/>
          </w:tcPr>
          <w:p w14:paraId="06621DD5">
            <w:pPr>
              <w:rPr>
                <w:rFonts w:ascii="宋体" w:hAnsi="宋体"/>
                <w:color w:val="auto"/>
                <w:szCs w:val="21"/>
                <w:highlight w:val="none"/>
              </w:rPr>
            </w:pPr>
            <w:r>
              <w:rPr>
                <w:rFonts w:hint="eastAsia" w:ascii="宋体" w:hAnsi="宋体"/>
                <w:b/>
                <w:bCs/>
                <w:color w:val="auto"/>
                <w:szCs w:val="21"/>
                <w:highlight w:val="none"/>
              </w:rPr>
              <w:t>项目最高限价（单位：元）</w:t>
            </w:r>
          </w:p>
        </w:tc>
      </w:tr>
      <w:tr w14:paraId="41CE424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73" w:hRule="atLeast"/>
        </w:trPr>
        <w:tc>
          <w:tcPr>
            <w:tcW w:w="878" w:type="dxa"/>
            <w:vMerge w:val="continue"/>
            <w:vAlign w:val="center"/>
          </w:tcPr>
          <w:p w14:paraId="74654B45">
            <w:pPr>
              <w:jc w:val="center"/>
              <w:rPr>
                <w:rFonts w:ascii="宋体" w:hAnsi="宋体"/>
                <w:color w:val="auto"/>
                <w:szCs w:val="21"/>
                <w:highlight w:val="none"/>
              </w:rPr>
            </w:pPr>
          </w:p>
        </w:tc>
        <w:tc>
          <w:tcPr>
            <w:tcW w:w="7532" w:type="dxa"/>
            <w:gridSpan w:val="4"/>
            <w:vAlign w:val="center"/>
          </w:tcPr>
          <w:p w14:paraId="26D13478">
            <w:pPr>
              <w:rPr>
                <w:rFonts w:ascii="宋体" w:hAnsi="宋体"/>
                <w:color w:val="auto"/>
                <w:szCs w:val="21"/>
                <w:highlight w:val="none"/>
              </w:rPr>
            </w:pPr>
            <w:r>
              <w:rPr>
                <w:rFonts w:hint="eastAsia" w:ascii="宋体" w:hAnsi="宋体"/>
                <w:bCs/>
                <w:color w:val="auto"/>
                <w:szCs w:val="21"/>
                <w:highlight w:val="none"/>
              </w:rPr>
              <w:t>与项目预算一致。</w:t>
            </w:r>
          </w:p>
        </w:tc>
      </w:tr>
      <w:tr w14:paraId="2C7A682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06F53D2B">
            <w:pPr>
              <w:jc w:val="center"/>
              <w:rPr>
                <w:rFonts w:ascii="宋体" w:hAnsi="宋体"/>
                <w:color w:val="auto"/>
                <w:szCs w:val="21"/>
                <w:highlight w:val="none"/>
              </w:rPr>
            </w:pPr>
            <w:r>
              <w:rPr>
                <w:rFonts w:hint="eastAsia" w:ascii="宋体" w:hAnsi="宋体"/>
                <w:color w:val="auto"/>
                <w:szCs w:val="21"/>
                <w:highlight w:val="none"/>
              </w:rPr>
              <w:t>5</w:t>
            </w:r>
          </w:p>
        </w:tc>
        <w:tc>
          <w:tcPr>
            <w:tcW w:w="7532" w:type="dxa"/>
            <w:gridSpan w:val="4"/>
            <w:vAlign w:val="center"/>
          </w:tcPr>
          <w:p w14:paraId="3F6285E8">
            <w:pPr>
              <w:rPr>
                <w:rFonts w:ascii="宋体" w:hAnsi="宋体"/>
                <w:b/>
                <w:color w:val="auto"/>
                <w:szCs w:val="21"/>
                <w:highlight w:val="none"/>
              </w:rPr>
            </w:pPr>
            <w:r>
              <w:rPr>
                <w:rFonts w:hint="eastAsia" w:ascii="宋体" w:hAnsi="宋体"/>
                <w:b/>
                <w:color w:val="auto"/>
                <w:szCs w:val="21"/>
                <w:highlight w:val="none"/>
              </w:rPr>
              <w:t>踏勘现场</w:t>
            </w:r>
          </w:p>
        </w:tc>
      </w:tr>
      <w:tr w14:paraId="3063B4C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FC910A0">
            <w:pPr>
              <w:jc w:val="center"/>
              <w:rPr>
                <w:rFonts w:ascii="宋体" w:hAnsi="宋体"/>
                <w:color w:val="auto"/>
                <w:szCs w:val="21"/>
                <w:highlight w:val="none"/>
              </w:rPr>
            </w:pPr>
          </w:p>
        </w:tc>
        <w:tc>
          <w:tcPr>
            <w:tcW w:w="7532" w:type="dxa"/>
            <w:gridSpan w:val="4"/>
            <w:vAlign w:val="center"/>
          </w:tcPr>
          <w:p w14:paraId="5621A46A">
            <w:pPr>
              <w:rPr>
                <w:rFonts w:ascii="宋体" w:hAnsi="宋体"/>
                <w:b/>
                <w:color w:val="auto"/>
                <w:szCs w:val="21"/>
                <w:highlight w:val="none"/>
              </w:rPr>
            </w:pPr>
            <w:r>
              <w:rPr>
                <w:rFonts w:hint="eastAsia" w:ascii="宋体" w:hAnsi="宋体"/>
                <w:bCs/>
                <w:color w:val="auto"/>
                <w:szCs w:val="21"/>
                <w:highlight w:val="none"/>
              </w:rPr>
              <w:t>本项目不组织踏勘现场。</w:t>
            </w:r>
          </w:p>
        </w:tc>
      </w:tr>
      <w:tr w14:paraId="49BEEC0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2B5D2AA9">
            <w:pPr>
              <w:jc w:val="center"/>
              <w:rPr>
                <w:rFonts w:ascii="宋体" w:hAnsi="宋体"/>
                <w:color w:val="auto"/>
                <w:szCs w:val="21"/>
                <w:highlight w:val="none"/>
              </w:rPr>
            </w:pPr>
            <w:r>
              <w:rPr>
                <w:rFonts w:hint="eastAsia" w:ascii="宋体" w:hAnsi="宋体"/>
                <w:color w:val="auto"/>
                <w:szCs w:val="21"/>
                <w:highlight w:val="none"/>
              </w:rPr>
              <w:t>6</w:t>
            </w:r>
          </w:p>
        </w:tc>
        <w:tc>
          <w:tcPr>
            <w:tcW w:w="7532" w:type="dxa"/>
            <w:gridSpan w:val="4"/>
            <w:vAlign w:val="center"/>
          </w:tcPr>
          <w:p w14:paraId="1E49582A">
            <w:pPr>
              <w:jc w:val="center"/>
              <w:rPr>
                <w:rFonts w:ascii="宋体" w:hAnsi="宋体"/>
                <w:b/>
                <w:color w:val="auto"/>
                <w:szCs w:val="21"/>
                <w:highlight w:val="none"/>
              </w:rPr>
            </w:pPr>
            <w:r>
              <w:rPr>
                <w:rFonts w:hint="eastAsia" w:ascii="宋体" w:hAnsi="宋体"/>
                <w:b/>
                <w:color w:val="auto"/>
                <w:szCs w:val="21"/>
                <w:highlight w:val="none"/>
              </w:rPr>
              <w:t>采购信息发布网站</w:t>
            </w:r>
          </w:p>
        </w:tc>
      </w:tr>
      <w:tr w14:paraId="2FEC22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E849AEE">
            <w:pPr>
              <w:jc w:val="center"/>
              <w:rPr>
                <w:rFonts w:ascii="宋体" w:hAnsi="宋体"/>
                <w:color w:val="auto"/>
                <w:szCs w:val="21"/>
                <w:highlight w:val="none"/>
              </w:rPr>
            </w:pPr>
          </w:p>
        </w:tc>
        <w:tc>
          <w:tcPr>
            <w:tcW w:w="3841" w:type="dxa"/>
            <w:gridSpan w:val="3"/>
            <w:vAlign w:val="center"/>
          </w:tcPr>
          <w:p w14:paraId="57C3AEB3">
            <w:pPr>
              <w:jc w:val="center"/>
              <w:rPr>
                <w:rFonts w:ascii="宋体" w:hAnsi="宋体"/>
                <w:b/>
                <w:color w:val="auto"/>
                <w:szCs w:val="21"/>
                <w:highlight w:val="none"/>
              </w:rPr>
            </w:pPr>
            <w:r>
              <w:rPr>
                <w:rFonts w:hint="eastAsia" w:ascii="宋体" w:hAnsi="宋体"/>
                <w:b/>
                <w:bCs/>
                <w:color w:val="auto"/>
                <w:szCs w:val="21"/>
                <w:highlight w:val="none"/>
              </w:rPr>
              <w:t>政通招标网</w:t>
            </w:r>
          </w:p>
        </w:tc>
        <w:tc>
          <w:tcPr>
            <w:tcW w:w="3691" w:type="dxa"/>
            <w:vAlign w:val="center"/>
          </w:tcPr>
          <w:p w14:paraId="2CC7E787">
            <w:pPr>
              <w:jc w:val="center"/>
              <w:rPr>
                <w:rFonts w:ascii="宋体" w:hAnsi="宋体"/>
                <w:b/>
                <w:color w:val="auto"/>
                <w:szCs w:val="21"/>
                <w:highlight w:val="none"/>
              </w:rPr>
            </w:pPr>
            <w:r>
              <w:rPr>
                <w:rFonts w:hint="eastAsia" w:ascii="宋体" w:hAnsi="宋体"/>
                <w:b/>
                <w:color w:val="auto"/>
                <w:szCs w:val="21"/>
                <w:highlight w:val="none"/>
              </w:rPr>
              <w:t>中国采购与招标网</w:t>
            </w:r>
          </w:p>
        </w:tc>
      </w:tr>
      <w:tr w14:paraId="2264BA5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0869437">
            <w:pPr>
              <w:jc w:val="center"/>
              <w:rPr>
                <w:rFonts w:ascii="宋体" w:hAnsi="宋体"/>
                <w:color w:val="auto"/>
                <w:szCs w:val="21"/>
                <w:highlight w:val="none"/>
              </w:rPr>
            </w:pPr>
          </w:p>
        </w:tc>
        <w:tc>
          <w:tcPr>
            <w:tcW w:w="3841" w:type="dxa"/>
            <w:gridSpan w:val="3"/>
            <w:vAlign w:val="center"/>
          </w:tcPr>
          <w:p w14:paraId="3617E56F">
            <w:pPr>
              <w:jc w:val="center"/>
              <w:rPr>
                <w:rFonts w:ascii="宋体" w:hAnsi="宋体"/>
                <w:b/>
                <w:color w:val="auto"/>
                <w:szCs w:val="21"/>
                <w:highlight w:val="none"/>
              </w:rPr>
            </w:pPr>
            <w:r>
              <w:rPr>
                <w:rFonts w:hint="eastAsia" w:ascii="宋体" w:hAnsi="宋体"/>
                <w:color w:val="auto"/>
                <w:szCs w:val="21"/>
                <w:highlight w:val="none"/>
              </w:rPr>
              <w:t>http://www.zttendering.com/</w:t>
            </w:r>
          </w:p>
        </w:tc>
        <w:tc>
          <w:tcPr>
            <w:tcW w:w="3691" w:type="dxa"/>
            <w:vAlign w:val="center"/>
          </w:tcPr>
          <w:p w14:paraId="436FF26C">
            <w:pPr>
              <w:jc w:val="center"/>
              <w:rPr>
                <w:rFonts w:ascii="宋体" w:hAnsi="宋体"/>
                <w:b/>
                <w:color w:val="auto"/>
                <w:szCs w:val="21"/>
                <w:highlight w:val="none"/>
              </w:rPr>
            </w:pPr>
            <w:r>
              <w:rPr>
                <w:rFonts w:hint="eastAsia" w:ascii="宋体" w:hAnsi="宋体"/>
                <w:bCs/>
                <w:color w:val="auto"/>
                <w:szCs w:val="21"/>
                <w:highlight w:val="none"/>
              </w:rPr>
              <w:t>https://www.chinabidding.com.cn</w:t>
            </w:r>
          </w:p>
        </w:tc>
      </w:tr>
      <w:tr w14:paraId="31FF80C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18FEC245">
            <w:pPr>
              <w:jc w:val="center"/>
              <w:rPr>
                <w:rFonts w:ascii="宋体" w:hAnsi="宋体"/>
                <w:b/>
                <w:color w:val="auto"/>
                <w:szCs w:val="21"/>
                <w:highlight w:val="none"/>
              </w:rPr>
            </w:pPr>
            <w:r>
              <w:rPr>
                <w:rFonts w:hint="eastAsia" w:ascii="宋体" w:hAnsi="宋体"/>
                <w:b/>
                <w:color w:val="auto"/>
                <w:szCs w:val="21"/>
                <w:highlight w:val="none"/>
              </w:rPr>
              <w:t>二、响应文件的编制</w:t>
            </w:r>
          </w:p>
        </w:tc>
      </w:tr>
      <w:tr w14:paraId="53AE369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FD09612">
            <w:pPr>
              <w:jc w:val="center"/>
              <w:rPr>
                <w:rFonts w:ascii="宋体" w:hAnsi="宋体"/>
                <w:color w:val="auto"/>
                <w:szCs w:val="21"/>
                <w:highlight w:val="none"/>
              </w:rPr>
            </w:pPr>
            <w:r>
              <w:rPr>
                <w:rFonts w:hint="eastAsia" w:ascii="宋体" w:hAnsi="宋体"/>
                <w:color w:val="auto"/>
                <w:szCs w:val="21"/>
                <w:highlight w:val="none"/>
              </w:rPr>
              <w:t>7</w:t>
            </w:r>
          </w:p>
        </w:tc>
        <w:tc>
          <w:tcPr>
            <w:tcW w:w="7532" w:type="dxa"/>
            <w:gridSpan w:val="4"/>
            <w:vAlign w:val="center"/>
          </w:tcPr>
          <w:p w14:paraId="39EAF0FA">
            <w:pPr>
              <w:rPr>
                <w:rFonts w:ascii="宋体" w:hAnsi="宋体"/>
                <w:b/>
                <w:color w:val="auto"/>
                <w:szCs w:val="21"/>
                <w:highlight w:val="none"/>
              </w:rPr>
            </w:pPr>
            <w:r>
              <w:rPr>
                <w:rFonts w:hint="eastAsia" w:ascii="宋体" w:hAnsi="宋体"/>
                <w:b/>
                <w:color w:val="auto"/>
                <w:szCs w:val="21"/>
                <w:highlight w:val="none"/>
              </w:rPr>
              <w:t>磋商语言</w:t>
            </w:r>
          </w:p>
        </w:tc>
      </w:tr>
      <w:tr w14:paraId="36EDBDE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2C438BC">
            <w:pPr>
              <w:jc w:val="center"/>
              <w:rPr>
                <w:rFonts w:ascii="宋体" w:hAnsi="宋体"/>
                <w:color w:val="auto"/>
                <w:szCs w:val="21"/>
                <w:highlight w:val="none"/>
              </w:rPr>
            </w:pPr>
          </w:p>
        </w:tc>
        <w:tc>
          <w:tcPr>
            <w:tcW w:w="7532" w:type="dxa"/>
            <w:gridSpan w:val="4"/>
            <w:vAlign w:val="center"/>
          </w:tcPr>
          <w:p w14:paraId="53FC1439">
            <w:pPr>
              <w:rPr>
                <w:rFonts w:ascii="宋体" w:hAnsi="宋体"/>
                <w:b/>
                <w:color w:val="auto"/>
                <w:szCs w:val="21"/>
                <w:highlight w:val="none"/>
              </w:rPr>
            </w:pPr>
            <w:r>
              <w:rPr>
                <w:rFonts w:hint="eastAsia" w:ascii="宋体" w:hAnsi="宋体"/>
                <w:color w:val="auto"/>
                <w:szCs w:val="21"/>
                <w:highlight w:val="none"/>
              </w:rPr>
              <w:t>中文。</w:t>
            </w:r>
          </w:p>
        </w:tc>
      </w:tr>
      <w:tr w14:paraId="09BE013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4703D15">
            <w:pPr>
              <w:jc w:val="center"/>
              <w:rPr>
                <w:rFonts w:ascii="宋体" w:hAnsi="宋体"/>
                <w:color w:val="auto"/>
                <w:szCs w:val="21"/>
                <w:highlight w:val="none"/>
              </w:rPr>
            </w:pPr>
            <w:r>
              <w:rPr>
                <w:rFonts w:hint="eastAsia" w:ascii="宋体" w:hAnsi="宋体"/>
                <w:color w:val="auto"/>
                <w:szCs w:val="21"/>
                <w:highlight w:val="none"/>
              </w:rPr>
              <w:t>8</w:t>
            </w:r>
          </w:p>
        </w:tc>
        <w:tc>
          <w:tcPr>
            <w:tcW w:w="7532" w:type="dxa"/>
            <w:gridSpan w:val="4"/>
            <w:vAlign w:val="center"/>
          </w:tcPr>
          <w:p w14:paraId="23E2DE92">
            <w:pPr>
              <w:jc w:val="both"/>
              <w:rPr>
                <w:rFonts w:ascii="宋体" w:hAnsi="宋体"/>
                <w:b/>
                <w:color w:val="auto"/>
                <w:szCs w:val="21"/>
                <w:highlight w:val="none"/>
              </w:rPr>
            </w:pPr>
            <w:r>
              <w:rPr>
                <w:rFonts w:hint="eastAsia" w:ascii="宋体" w:hAnsi="宋体"/>
                <w:b/>
                <w:color w:val="auto"/>
                <w:szCs w:val="21"/>
                <w:highlight w:val="none"/>
              </w:rPr>
              <w:t>磋商报价</w:t>
            </w:r>
          </w:p>
        </w:tc>
      </w:tr>
      <w:tr w14:paraId="5AFCDB2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92DFC8A">
            <w:pPr>
              <w:jc w:val="center"/>
              <w:rPr>
                <w:rFonts w:ascii="宋体" w:hAnsi="宋体"/>
                <w:color w:val="auto"/>
                <w:szCs w:val="21"/>
                <w:highlight w:val="none"/>
              </w:rPr>
            </w:pPr>
          </w:p>
        </w:tc>
        <w:tc>
          <w:tcPr>
            <w:tcW w:w="7532" w:type="dxa"/>
            <w:gridSpan w:val="4"/>
            <w:vAlign w:val="center"/>
          </w:tcPr>
          <w:p w14:paraId="3CB4A6E3">
            <w:pPr>
              <w:jc w:val="both"/>
              <w:rPr>
                <w:rFonts w:ascii="宋体" w:hAnsi="宋体"/>
                <w:b/>
                <w:color w:val="auto"/>
                <w:szCs w:val="21"/>
                <w:highlight w:val="none"/>
              </w:rPr>
            </w:pPr>
            <w:r>
              <w:rPr>
                <w:rFonts w:hint="eastAsia" w:ascii="宋体" w:hAnsi="宋体"/>
                <w:color w:val="auto"/>
                <w:szCs w:val="21"/>
                <w:highlight w:val="none"/>
              </w:rPr>
              <w:t>详见供应商须知。</w:t>
            </w:r>
          </w:p>
        </w:tc>
      </w:tr>
      <w:tr w14:paraId="07C4279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4AF33A2">
            <w:pPr>
              <w:jc w:val="center"/>
              <w:rPr>
                <w:rFonts w:ascii="宋体" w:hAnsi="宋体"/>
                <w:color w:val="auto"/>
                <w:szCs w:val="21"/>
                <w:highlight w:val="none"/>
              </w:rPr>
            </w:pPr>
            <w:r>
              <w:rPr>
                <w:rFonts w:hint="eastAsia" w:ascii="宋体" w:hAnsi="宋体"/>
                <w:color w:val="auto"/>
                <w:szCs w:val="21"/>
                <w:highlight w:val="none"/>
              </w:rPr>
              <w:t>9</w:t>
            </w:r>
          </w:p>
        </w:tc>
        <w:tc>
          <w:tcPr>
            <w:tcW w:w="7532" w:type="dxa"/>
            <w:gridSpan w:val="4"/>
            <w:vAlign w:val="center"/>
          </w:tcPr>
          <w:p w14:paraId="7F8BA86D">
            <w:pPr>
              <w:jc w:val="both"/>
              <w:rPr>
                <w:rFonts w:ascii="宋体" w:hAnsi="宋体"/>
                <w:b/>
                <w:color w:val="auto"/>
                <w:szCs w:val="21"/>
                <w:highlight w:val="none"/>
              </w:rPr>
            </w:pPr>
            <w:r>
              <w:rPr>
                <w:rFonts w:hint="eastAsia" w:ascii="宋体" w:hAnsi="宋体"/>
                <w:b/>
                <w:color w:val="auto"/>
                <w:szCs w:val="21"/>
                <w:highlight w:val="none"/>
              </w:rPr>
              <w:t>磋商样品</w:t>
            </w:r>
          </w:p>
        </w:tc>
      </w:tr>
      <w:tr w14:paraId="000F325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C6E833F">
            <w:pPr>
              <w:jc w:val="center"/>
              <w:rPr>
                <w:rFonts w:ascii="宋体" w:hAnsi="宋体"/>
                <w:color w:val="auto"/>
                <w:szCs w:val="21"/>
                <w:highlight w:val="none"/>
              </w:rPr>
            </w:pPr>
          </w:p>
        </w:tc>
        <w:tc>
          <w:tcPr>
            <w:tcW w:w="7532" w:type="dxa"/>
            <w:gridSpan w:val="4"/>
            <w:vAlign w:val="center"/>
          </w:tcPr>
          <w:p w14:paraId="7A093E31">
            <w:pPr>
              <w:jc w:val="both"/>
              <w:rPr>
                <w:rFonts w:ascii="宋体" w:hAnsi="宋体"/>
                <w:b/>
                <w:color w:val="auto"/>
                <w:szCs w:val="21"/>
                <w:highlight w:val="none"/>
              </w:rPr>
            </w:pPr>
            <w:r>
              <w:rPr>
                <w:rFonts w:hint="eastAsia" w:ascii="宋体" w:hAnsi="宋体"/>
                <w:color w:val="auto"/>
                <w:szCs w:val="21"/>
                <w:highlight w:val="none"/>
              </w:rPr>
              <w:t>详见用户需求。</w:t>
            </w:r>
          </w:p>
        </w:tc>
      </w:tr>
      <w:tr w14:paraId="3476E2E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4B8C455C">
            <w:pPr>
              <w:jc w:val="center"/>
              <w:rPr>
                <w:rFonts w:ascii="宋体" w:hAnsi="宋体"/>
                <w:color w:val="auto"/>
                <w:szCs w:val="21"/>
                <w:highlight w:val="none"/>
              </w:rPr>
            </w:pPr>
            <w:r>
              <w:rPr>
                <w:rFonts w:hint="eastAsia" w:ascii="宋体" w:hAnsi="宋体"/>
                <w:color w:val="auto"/>
                <w:szCs w:val="21"/>
                <w:highlight w:val="none"/>
              </w:rPr>
              <w:t>10</w:t>
            </w:r>
          </w:p>
        </w:tc>
        <w:tc>
          <w:tcPr>
            <w:tcW w:w="7532" w:type="dxa"/>
            <w:gridSpan w:val="4"/>
            <w:vAlign w:val="center"/>
          </w:tcPr>
          <w:p w14:paraId="732C9DD1">
            <w:pPr>
              <w:jc w:val="both"/>
              <w:rPr>
                <w:rFonts w:ascii="宋体" w:hAnsi="宋体"/>
                <w:color w:val="auto"/>
                <w:szCs w:val="21"/>
                <w:highlight w:val="none"/>
              </w:rPr>
            </w:pPr>
            <w:r>
              <w:rPr>
                <w:rFonts w:hint="eastAsia" w:ascii="宋体" w:hAnsi="宋体"/>
                <w:b/>
                <w:color w:val="auto"/>
                <w:szCs w:val="21"/>
                <w:highlight w:val="none"/>
              </w:rPr>
              <w:t>核心产品</w:t>
            </w:r>
          </w:p>
        </w:tc>
      </w:tr>
      <w:tr w14:paraId="25DAC7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1E76679">
            <w:pPr>
              <w:jc w:val="both"/>
              <w:rPr>
                <w:rFonts w:ascii="宋体" w:hAnsi="宋体"/>
                <w:color w:val="auto"/>
                <w:szCs w:val="21"/>
                <w:highlight w:val="none"/>
              </w:rPr>
            </w:pPr>
          </w:p>
        </w:tc>
        <w:tc>
          <w:tcPr>
            <w:tcW w:w="7532" w:type="dxa"/>
            <w:gridSpan w:val="4"/>
            <w:vAlign w:val="center"/>
          </w:tcPr>
          <w:p w14:paraId="6823B3BC">
            <w:pPr>
              <w:jc w:val="both"/>
              <w:rPr>
                <w:rFonts w:ascii="宋体" w:hAnsi="宋体"/>
                <w:color w:val="auto"/>
                <w:szCs w:val="21"/>
                <w:highlight w:val="none"/>
              </w:rPr>
            </w:pPr>
            <w:r>
              <w:rPr>
                <w:rFonts w:hint="eastAsia" w:ascii="宋体" w:hAnsi="宋体"/>
                <w:color w:val="auto"/>
                <w:szCs w:val="21"/>
                <w:highlight w:val="none"/>
              </w:rPr>
              <w:t>“●”为核心产品（本项目无核心产品）</w:t>
            </w:r>
          </w:p>
        </w:tc>
      </w:tr>
      <w:tr w14:paraId="4309BD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34189202">
            <w:pPr>
              <w:jc w:val="center"/>
              <w:rPr>
                <w:rFonts w:ascii="宋体" w:hAnsi="宋体"/>
                <w:color w:val="auto"/>
                <w:szCs w:val="21"/>
                <w:highlight w:val="none"/>
              </w:rPr>
            </w:pPr>
            <w:r>
              <w:rPr>
                <w:rFonts w:hint="eastAsia" w:ascii="宋体" w:hAnsi="宋体"/>
                <w:color w:val="auto"/>
                <w:szCs w:val="21"/>
                <w:highlight w:val="none"/>
              </w:rPr>
              <w:t>11</w:t>
            </w:r>
          </w:p>
        </w:tc>
        <w:tc>
          <w:tcPr>
            <w:tcW w:w="7532" w:type="dxa"/>
            <w:gridSpan w:val="4"/>
            <w:vAlign w:val="center"/>
          </w:tcPr>
          <w:p w14:paraId="120AB3D1">
            <w:pPr>
              <w:jc w:val="both"/>
              <w:rPr>
                <w:rFonts w:ascii="宋体" w:hAnsi="宋体"/>
                <w:b/>
                <w:color w:val="auto"/>
                <w:szCs w:val="21"/>
                <w:highlight w:val="none"/>
              </w:rPr>
            </w:pPr>
            <w:r>
              <w:rPr>
                <w:rFonts w:hint="eastAsia" w:ascii="宋体" w:hAnsi="宋体"/>
                <w:b/>
                <w:color w:val="auto"/>
                <w:szCs w:val="21"/>
                <w:highlight w:val="none"/>
              </w:rPr>
              <w:t>磋商保证金：本项目不需提供磋商保证金</w:t>
            </w:r>
          </w:p>
        </w:tc>
      </w:tr>
      <w:tr w14:paraId="21171E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BD9FF1E">
            <w:pPr>
              <w:jc w:val="center"/>
              <w:rPr>
                <w:rFonts w:ascii="宋体" w:hAnsi="宋体"/>
                <w:color w:val="auto"/>
                <w:szCs w:val="21"/>
                <w:highlight w:val="none"/>
              </w:rPr>
            </w:pPr>
            <w:r>
              <w:rPr>
                <w:rFonts w:hint="eastAsia" w:ascii="宋体" w:hAnsi="宋体"/>
                <w:color w:val="auto"/>
                <w:szCs w:val="21"/>
                <w:highlight w:val="none"/>
              </w:rPr>
              <w:t>12</w:t>
            </w:r>
          </w:p>
        </w:tc>
        <w:tc>
          <w:tcPr>
            <w:tcW w:w="7532" w:type="dxa"/>
            <w:gridSpan w:val="4"/>
            <w:vAlign w:val="center"/>
          </w:tcPr>
          <w:p w14:paraId="2956A267">
            <w:pPr>
              <w:jc w:val="both"/>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报价（响应文件）有效期</w:t>
            </w:r>
          </w:p>
        </w:tc>
      </w:tr>
      <w:tr w14:paraId="4A76C37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5C616ED">
            <w:pPr>
              <w:jc w:val="center"/>
              <w:rPr>
                <w:rFonts w:ascii="宋体" w:hAnsi="宋体"/>
                <w:color w:val="auto"/>
                <w:szCs w:val="21"/>
                <w:highlight w:val="none"/>
              </w:rPr>
            </w:pPr>
          </w:p>
        </w:tc>
        <w:tc>
          <w:tcPr>
            <w:tcW w:w="7532" w:type="dxa"/>
            <w:gridSpan w:val="4"/>
            <w:vAlign w:val="center"/>
          </w:tcPr>
          <w:p w14:paraId="2DA8A70A">
            <w:pPr>
              <w:jc w:val="both"/>
              <w:rPr>
                <w:rFonts w:ascii="宋体" w:hAnsi="宋体"/>
                <w:b/>
                <w:color w:val="auto"/>
                <w:szCs w:val="21"/>
                <w:highlight w:val="none"/>
              </w:rPr>
            </w:pPr>
            <w:r>
              <w:rPr>
                <w:rFonts w:hint="eastAsia" w:ascii="宋体" w:hAnsi="宋体"/>
                <w:color w:val="auto"/>
                <w:szCs w:val="21"/>
                <w:highlight w:val="none"/>
              </w:rPr>
              <w:t>九十天。</w:t>
            </w:r>
          </w:p>
        </w:tc>
      </w:tr>
      <w:tr w14:paraId="3B3838E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082553E7">
            <w:pPr>
              <w:jc w:val="center"/>
              <w:rPr>
                <w:rFonts w:ascii="宋体" w:hAnsi="宋体"/>
                <w:color w:val="auto"/>
                <w:szCs w:val="21"/>
                <w:highlight w:val="none"/>
              </w:rPr>
            </w:pPr>
            <w:r>
              <w:rPr>
                <w:rFonts w:hint="eastAsia" w:ascii="宋体" w:hAnsi="宋体"/>
                <w:color w:val="auto"/>
                <w:szCs w:val="21"/>
                <w:highlight w:val="none"/>
              </w:rPr>
              <w:t>13</w:t>
            </w:r>
          </w:p>
        </w:tc>
        <w:tc>
          <w:tcPr>
            <w:tcW w:w="7532" w:type="dxa"/>
            <w:gridSpan w:val="4"/>
            <w:vAlign w:val="center"/>
          </w:tcPr>
          <w:p w14:paraId="39667FD0">
            <w:pPr>
              <w:jc w:val="center"/>
              <w:rPr>
                <w:rFonts w:ascii="宋体" w:hAnsi="宋体"/>
                <w:color w:val="auto"/>
                <w:szCs w:val="21"/>
                <w:highlight w:val="none"/>
              </w:rPr>
            </w:pPr>
            <w:r>
              <w:rPr>
                <w:rFonts w:hint="eastAsia" w:ascii="宋体" w:hAnsi="宋体"/>
                <w:b/>
                <w:color w:val="auto"/>
                <w:szCs w:val="21"/>
                <w:highlight w:val="none"/>
              </w:rPr>
              <w:t>信用信息查询渠道</w:t>
            </w:r>
          </w:p>
        </w:tc>
      </w:tr>
      <w:tr w14:paraId="7B97296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A7CC063">
            <w:pPr>
              <w:jc w:val="center"/>
              <w:rPr>
                <w:rFonts w:ascii="宋体" w:hAnsi="宋体"/>
                <w:color w:val="auto"/>
                <w:szCs w:val="21"/>
                <w:highlight w:val="none"/>
              </w:rPr>
            </w:pPr>
          </w:p>
        </w:tc>
        <w:tc>
          <w:tcPr>
            <w:tcW w:w="3766" w:type="dxa"/>
            <w:gridSpan w:val="2"/>
            <w:vAlign w:val="center"/>
          </w:tcPr>
          <w:p w14:paraId="709A42F2">
            <w:pPr>
              <w:jc w:val="center"/>
              <w:rPr>
                <w:rFonts w:ascii="宋体" w:hAnsi="宋体"/>
                <w:b/>
                <w:color w:val="auto"/>
                <w:szCs w:val="21"/>
                <w:highlight w:val="none"/>
              </w:rPr>
            </w:pPr>
            <w:r>
              <w:rPr>
                <w:rFonts w:hint="eastAsia" w:ascii="宋体" w:hAnsi="宋体"/>
                <w:b/>
                <w:color w:val="auto"/>
                <w:szCs w:val="21"/>
                <w:highlight w:val="none"/>
              </w:rPr>
              <w:t>信用中国</w:t>
            </w:r>
          </w:p>
        </w:tc>
        <w:tc>
          <w:tcPr>
            <w:tcW w:w="3766" w:type="dxa"/>
            <w:gridSpan w:val="2"/>
            <w:vAlign w:val="center"/>
          </w:tcPr>
          <w:p w14:paraId="71AE7952">
            <w:pPr>
              <w:jc w:val="center"/>
              <w:rPr>
                <w:rFonts w:ascii="宋体" w:hAnsi="宋体"/>
                <w:b/>
                <w:color w:val="auto"/>
                <w:szCs w:val="21"/>
                <w:highlight w:val="none"/>
              </w:rPr>
            </w:pPr>
            <w:r>
              <w:rPr>
                <w:rFonts w:hint="eastAsia" w:ascii="宋体" w:hAnsi="宋体"/>
                <w:b/>
                <w:color w:val="auto"/>
                <w:szCs w:val="21"/>
                <w:highlight w:val="none"/>
              </w:rPr>
              <w:t>中国政府采购网</w:t>
            </w:r>
          </w:p>
        </w:tc>
      </w:tr>
      <w:tr w14:paraId="5DAE40F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7BA3196">
            <w:pPr>
              <w:jc w:val="center"/>
              <w:rPr>
                <w:rFonts w:ascii="宋体" w:hAnsi="宋体"/>
                <w:color w:val="auto"/>
                <w:szCs w:val="21"/>
                <w:highlight w:val="none"/>
              </w:rPr>
            </w:pPr>
          </w:p>
        </w:tc>
        <w:tc>
          <w:tcPr>
            <w:tcW w:w="3766" w:type="dxa"/>
            <w:gridSpan w:val="2"/>
            <w:vAlign w:val="center"/>
          </w:tcPr>
          <w:p w14:paraId="5EED814B">
            <w:pPr>
              <w:jc w:val="center"/>
              <w:rPr>
                <w:rFonts w:ascii="宋体" w:hAnsi="宋体"/>
                <w:color w:val="auto"/>
                <w:szCs w:val="21"/>
                <w:highlight w:val="none"/>
              </w:rPr>
            </w:pPr>
            <w:r>
              <w:rPr>
                <w:rFonts w:hint="eastAsia" w:ascii="宋体" w:hAnsi="宋体"/>
                <w:color w:val="auto"/>
                <w:szCs w:val="21"/>
                <w:highlight w:val="none"/>
              </w:rPr>
              <w:t>https://www.creditchina.gov.cn/</w:t>
            </w:r>
          </w:p>
        </w:tc>
        <w:tc>
          <w:tcPr>
            <w:tcW w:w="3766" w:type="dxa"/>
            <w:gridSpan w:val="2"/>
            <w:vAlign w:val="center"/>
          </w:tcPr>
          <w:p w14:paraId="45F831F8">
            <w:pPr>
              <w:jc w:val="center"/>
              <w:rPr>
                <w:rFonts w:ascii="宋体" w:hAnsi="宋体"/>
                <w:color w:val="auto"/>
                <w:szCs w:val="21"/>
                <w:highlight w:val="none"/>
              </w:rPr>
            </w:pPr>
            <w:r>
              <w:rPr>
                <w:rFonts w:ascii="宋体" w:hAnsi="宋体"/>
                <w:color w:val="auto"/>
                <w:szCs w:val="21"/>
                <w:highlight w:val="none"/>
              </w:rPr>
              <w:t>http://www.ccgp.gov.cn/</w:t>
            </w:r>
          </w:p>
        </w:tc>
      </w:tr>
      <w:tr w14:paraId="5D65F6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3B2A59B5">
            <w:pPr>
              <w:jc w:val="center"/>
              <w:rPr>
                <w:rFonts w:ascii="宋体" w:hAnsi="宋体"/>
                <w:color w:val="auto"/>
                <w:szCs w:val="21"/>
                <w:highlight w:val="none"/>
              </w:rPr>
            </w:pPr>
            <w:r>
              <w:rPr>
                <w:rFonts w:hint="eastAsia" w:ascii="宋体" w:hAnsi="宋体"/>
                <w:color w:val="auto"/>
                <w:szCs w:val="21"/>
                <w:highlight w:val="none"/>
              </w:rPr>
              <w:t>14</w:t>
            </w:r>
          </w:p>
        </w:tc>
        <w:tc>
          <w:tcPr>
            <w:tcW w:w="7532" w:type="dxa"/>
            <w:gridSpan w:val="4"/>
            <w:vAlign w:val="center"/>
          </w:tcPr>
          <w:p w14:paraId="1C09BDC6">
            <w:pPr>
              <w:jc w:val="center"/>
              <w:rPr>
                <w:rFonts w:ascii="宋体" w:hAnsi="宋体"/>
                <w:b/>
                <w:color w:val="auto"/>
                <w:szCs w:val="21"/>
                <w:highlight w:val="none"/>
              </w:rPr>
            </w:pPr>
            <w:r>
              <w:rPr>
                <w:rFonts w:hint="eastAsia" w:ascii="宋体" w:hAnsi="宋体"/>
                <w:b/>
                <w:color w:val="auto"/>
                <w:szCs w:val="21"/>
                <w:highlight w:val="none"/>
              </w:rPr>
              <w:t>供应商应提交以下响应文件</w:t>
            </w:r>
          </w:p>
        </w:tc>
      </w:tr>
      <w:tr w14:paraId="355479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D55D09C">
            <w:pPr>
              <w:jc w:val="center"/>
              <w:rPr>
                <w:rFonts w:ascii="宋体" w:hAnsi="宋体"/>
                <w:color w:val="auto"/>
                <w:szCs w:val="21"/>
                <w:highlight w:val="none"/>
              </w:rPr>
            </w:pPr>
          </w:p>
        </w:tc>
        <w:tc>
          <w:tcPr>
            <w:tcW w:w="2608" w:type="dxa"/>
            <w:vAlign w:val="center"/>
          </w:tcPr>
          <w:p w14:paraId="039FD974">
            <w:pPr>
              <w:jc w:val="center"/>
              <w:rPr>
                <w:rFonts w:ascii="宋体" w:hAnsi="宋体"/>
                <w:b/>
                <w:color w:val="auto"/>
                <w:szCs w:val="21"/>
                <w:highlight w:val="none"/>
              </w:rPr>
            </w:pPr>
            <w:r>
              <w:rPr>
                <w:rFonts w:hint="eastAsia" w:ascii="宋体" w:hAnsi="宋体"/>
                <w:b/>
                <w:color w:val="auto"/>
                <w:szCs w:val="21"/>
                <w:highlight w:val="none"/>
              </w:rPr>
              <w:t>响应文件类型</w:t>
            </w:r>
          </w:p>
        </w:tc>
        <w:tc>
          <w:tcPr>
            <w:tcW w:w="4924" w:type="dxa"/>
            <w:gridSpan w:val="3"/>
            <w:vAlign w:val="center"/>
          </w:tcPr>
          <w:p w14:paraId="31A72FC4">
            <w:pPr>
              <w:jc w:val="center"/>
              <w:rPr>
                <w:rFonts w:ascii="宋体" w:hAnsi="宋体"/>
                <w:b/>
                <w:color w:val="auto"/>
                <w:szCs w:val="21"/>
                <w:highlight w:val="none"/>
              </w:rPr>
            </w:pPr>
            <w:r>
              <w:rPr>
                <w:rFonts w:hint="eastAsia" w:ascii="宋体" w:hAnsi="宋体"/>
                <w:b/>
                <w:color w:val="auto"/>
                <w:szCs w:val="21"/>
                <w:highlight w:val="none"/>
              </w:rPr>
              <w:t>份数</w:t>
            </w:r>
          </w:p>
        </w:tc>
      </w:tr>
      <w:tr w14:paraId="22B76FF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80FBC7A">
            <w:pPr>
              <w:jc w:val="center"/>
              <w:rPr>
                <w:rFonts w:ascii="宋体" w:hAnsi="宋体"/>
                <w:color w:val="auto"/>
                <w:szCs w:val="21"/>
                <w:highlight w:val="none"/>
              </w:rPr>
            </w:pPr>
          </w:p>
        </w:tc>
        <w:tc>
          <w:tcPr>
            <w:tcW w:w="2608" w:type="dxa"/>
            <w:vAlign w:val="center"/>
          </w:tcPr>
          <w:p w14:paraId="565475C6">
            <w:pPr>
              <w:jc w:val="center"/>
              <w:rPr>
                <w:rFonts w:ascii="宋体" w:hAnsi="宋体"/>
                <w:b/>
                <w:color w:val="auto"/>
                <w:szCs w:val="21"/>
                <w:highlight w:val="none"/>
              </w:rPr>
            </w:pPr>
            <w:r>
              <w:rPr>
                <w:rFonts w:hint="eastAsia" w:ascii="宋体" w:hAnsi="宋体"/>
                <w:b/>
                <w:color w:val="auto"/>
                <w:szCs w:val="21"/>
                <w:highlight w:val="none"/>
              </w:rPr>
              <w:t>报价文件</w:t>
            </w:r>
          </w:p>
        </w:tc>
        <w:tc>
          <w:tcPr>
            <w:tcW w:w="4924" w:type="dxa"/>
            <w:gridSpan w:val="3"/>
            <w:vAlign w:val="center"/>
          </w:tcPr>
          <w:p w14:paraId="060FC4CC">
            <w:pPr>
              <w:jc w:val="center"/>
              <w:rPr>
                <w:rFonts w:ascii="宋体" w:hAnsi="宋体"/>
                <w:b/>
                <w:color w:val="auto"/>
                <w:szCs w:val="21"/>
                <w:highlight w:val="none"/>
              </w:rPr>
            </w:pPr>
            <w:r>
              <w:rPr>
                <w:rFonts w:hint="eastAsia" w:ascii="宋体" w:hAnsi="宋体"/>
                <w:b/>
                <w:color w:val="auto"/>
                <w:szCs w:val="21"/>
                <w:highlight w:val="none"/>
              </w:rPr>
              <w:t>1</w:t>
            </w:r>
          </w:p>
        </w:tc>
      </w:tr>
      <w:tr w14:paraId="03F6D9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5F56E36">
            <w:pPr>
              <w:jc w:val="center"/>
              <w:rPr>
                <w:rFonts w:ascii="宋体" w:hAnsi="宋体"/>
                <w:color w:val="auto"/>
                <w:szCs w:val="21"/>
                <w:highlight w:val="none"/>
              </w:rPr>
            </w:pPr>
          </w:p>
        </w:tc>
        <w:tc>
          <w:tcPr>
            <w:tcW w:w="2608" w:type="dxa"/>
            <w:vAlign w:val="center"/>
          </w:tcPr>
          <w:p w14:paraId="59B89EAA">
            <w:pPr>
              <w:jc w:val="center"/>
              <w:rPr>
                <w:rFonts w:ascii="宋体" w:hAnsi="宋体"/>
                <w:b/>
                <w:color w:val="auto"/>
                <w:szCs w:val="21"/>
                <w:highlight w:val="none"/>
              </w:rPr>
            </w:pPr>
            <w:r>
              <w:rPr>
                <w:rFonts w:hint="eastAsia" w:ascii="宋体" w:hAnsi="宋体"/>
                <w:b/>
                <w:color w:val="auto"/>
                <w:szCs w:val="21"/>
                <w:highlight w:val="none"/>
              </w:rPr>
              <w:t>响应文件正本</w:t>
            </w:r>
          </w:p>
        </w:tc>
        <w:tc>
          <w:tcPr>
            <w:tcW w:w="4924" w:type="dxa"/>
            <w:gridSpan w:val="3"/>
            <w:vAlign w:val="center"/>
          </w:tcPr>
          <w:p w14:paraId="29E2E435">
            <w:pPr>
              <w:jc w:val="center"/>
              <w:rPr>
                <w:rFonts w:ascii="宋体" w:hAnsi="宋体"/>
                <w:b/>
                <w:color w:val="auto"/>
                <w:szCs w:val="21"/>
                <w:highlight w:val="none"/>
              </w:rPr>
            </w:pPr>
            <w:r>
              <w:rPr>
                <w:rFonts w:hint="eastAsia" w:ascii="宋体" w:hAnsi="宋体"/>
                <w:b/>
                <w:color w:val="auto"/>
                <w:szCs w:val="21"/>
                <w:highlight w:val="none"/>
              </w:rPr>
              <w:t>1</w:t>
            </w:r>
          </w:p>
        </w:tc>
      </w:tr>
      <w:tr w14:paraId="36C6ED5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5A51E25">
            <w:pPr>
              <w:jc w:val="center"/>
              <w:rPr>
                <w:rFonts w:ascii="宋体" w:hAnsi="宋体"/>
                <w:color w:val="auto"/>
                <w:szCs w:val="21"/>
                <w:highlight w:val="none"/>
              </w:rPr>
            </w:pPr>
          </w:p>
        </w:tc>
        <w:tc>
          <w:tcPr>
            <w:tcW w:w="2608" w:type="dxa"/>
            <w:vAlign w:val="center"/>
          </w:tcPr>
          <w:p w14:paraId="6FBD0C3F">
            <w:pPr>
              <w:jc w:val="center"/>
              <w:rPr>
                <w:rFonts w:ascii="宋体" w:hAnsi="宋体"/>
                <w:b/>
                <w:color w:val="auto"/>
                <w:szCs w:val="21"/>
                <w:highlight w:val="none"/>
              </w:rPr>
            </w:pPr>
            <w:r>
              <w:rPr>
                <w:rFonts w:hint="eastAsia" w:ascii="宋体" w:hAnsi="宋体"/>
                <w:b/>
                <w:color w:val="auto"/>
                <w:szCs w:val="21"/>
                <w:highlight w:val="none"/>
              </w:rPr>
              <w:t>响应文件副本</w:t>
            </w:r>
          </w:p>
        </w:tc>
        <w:tc>
          <w:tcPr>
            <w:tcW w:w="4924" w:type="dxa"/>
            <w:gridSpan w:val="3"/>
            <w:vAlign w:val="center"/>
          </w:tcPr>
          <w:p w14:paraId="2AD9805E">
            <w:pPr>
              <w:jc w:val="center"/>
              <w:rPr>
                <w:rFonts w:ascii="宋体" w:hAnsi="宋体"/>
                <w:b/>
                <w:color w:val="auto"/>
                <w:szCs w:val="21"/>
                <w:highlight w:val="none"/>
              </w:rPr>
            </w:pPr>
            <w:r>
              <w:rPr>
                <w:rFonts w:hint="eastAsia" w:ascii="宋体" w:hAnsi="宋体"/>
                <w:b/>
                <w:color w:val="auto"/>
                <w:szCs w:val="21"/>
                <w:highlight w:val="none"/>
              </w:rPr>
              <w:t>3</w:t>
            </w:r>
          </w:p>
        </w:tc>
      </w:tr>
      <w:tr w14:paraId="07C61D5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3882620">
            <w:pPr>
              <w:jc w:val="center"/>
              <w:rPr>
                <w:rFonts w:ascii="宋体" w:hAnsi="宋体"/>
                <w:color w:val="auto"/>
                <w:szCs w:val="21"/>
                <w:highlight w:val="none"/>
              </w:rPr>
            </w:pPr>
          </w:p>
        </w:tc>
        <w:tc>
          <w:tcPr>
            <w:tcW w:w="2608" w:type="dxa"/>
            <w:vAlign w:val="center"/>
          </w:tcPr>
          <w:p w14:paraId="04D8ED87">
            <w:pPr>
              <w:jc w:val="center"/>
              <w:rPr>
                <w:rFonts w:ascii="宋体" w:hAnsi="宋体"/>
                <w:b/>
                <w:color w:val="auto"/>
                <w:szCs w:val="21"/>
                <w:highlight w:val="none"/>
              </w:rPr>
            </w:pPr>
            <w:r>
              <w:rPr>
                <w:rFonts w:hint="eastAsia" w:ascii="宋体" w:hAnsi="宋体"/>
                <w:b/>
                <w:color w:val="auto"/>
                <w:szCs w:val="21"/>
                <w:highlight w:val="none"/>
              </w:rPr>
              <w:t>电子文档</w:t>
            </w:r>
          </w:p>
        </w:tc>
        <w:tc>
          <w:tcPr>
            <w:tcW w:w="4924" w:type="dxa"/>
            <w:gridSpan w:val="3"/>
            <w:vAlign w:val="center"/>
          </w:tcPr>
          <w:p w14:paraId="14A89C74">
            <w:pPr>
              <w:jc w:val="center"/>
              <w:rPr>
                <w:rFonts w:ascii="宋体" w:hAnsi="宋体"/>
                <w:b/>
                <w:color w:val="auto"/>
                <w:szCs w:val="21"/>
                <w:highlight w:val="none"/>
              </w:rPr>
            </w:pPr>
            <w:r>
              <w:rPr>
                <w:rFonts w:hint="eastAsia" w:ascii="宋体" w:hAnsi="宋体"/>
                <w:b/>
                <w:color w:val="auto"/>
                <w:szCs w:val="21"/>
                <w:highlight w:val="none"/>
              </w:rPr>
              <w:t>1</w:t>
            </w:r>
          </w:p>
        </w:tc>
      </w:tr>
      <w:tr w14:paraId="2964CE7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05F42E2B">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139855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9140F8F">
            <w:pPr>
              <w:jc w:val="center"/>
              <w:rPr>
                <w:rFonts w:ascii="宋体" w:hAnsi="宋体"/>
                <w:color w:val="auto"/>
                <w:szCs w:val="21"/>
                <w:highlight w:val="none"/>
              </w:rPr>
            </w:pPr>
            <w:r>
              <w:rPr>
                <w:rFonts w:hint="eastAsia" w:ascii="宋体" w:hAnsi="宋体"/>
                <w:color w:val="auto"/>
                <w:szCs w:val="21"/>
                <w:highlight w:val="none"/>
              </w:rPr>
              <w:t>15</w:t>
            </w:r>
          </w:p>
        </w:tc>
        <w:tc>
          <w:tcPr>
            <w:tcW w:w="7532" w:type="dxa"/>
            <w:gridSpan w:val="4"/>
            <w:vAlign w:val="center"/>
          </w:tcPr>
          <w:p w14:paraId="3A87F3B2">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1F9DF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04D6C37">
            <w:pPr>
              <w:jc w:val="center"/>
              <w:rPr>
                <w:rFonts w:ascii="宋体" w:hAnsi="宋体"/>
                <w:color w:val="auto"/>
                <w:szCs w:val="21"/>
                <w:highlight w:val="none"/>
              </w:rPr>
            </w:pPr>
          </w:p>
        </w:tc>
        <w:tc>
          <w:tcPr>
            <w:tcW w:w="7532" w:type="dxa"/>
            <w:gridSpan w:val="4"/>
            <w:vAlign w:val="center"/>
          </w:tcPr>
          <w:p w14:paraId="5B59552A">
            <w:pPr>
              <w:jc w:val="both"/>
              <w:rPr>
                <w:rFonts w:ascii="宋体" w:hAnsi="宋体"/>
                <w:b/>
                <w:color w:val="auto"/>
                <w:szCs w:val="21"/>
                <w:highlight w:val="none"/>
              </w:rPr>
            </w:pPr>
            <w:r>
              <w:rPr>
                <w:rFonts w:hint="eastAsia" w:ascii="宋体" w:hAnsi="宋体"/>
                <w:color w:val="auto"/>
                <w:szCs w:val="21"/>
                <w:highlight w:val="none"/>
              </w:rPr>
              <w:t>综合评分法。</w:t>
            </w:r>
          </w:p>
        </w:tc>
      </w:tr>
      <w:tr w14:paraId="23A39D2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3729454D">
            <w:pPr>
              <w:jc w:val="center"/>
              <w:rPr>
                <w:rFonts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4"/>
            <w:vAlign w:val="center"/>
          </w:tcPr>
          <w:p w14:paraId="22B52FA6">
            <w:pPr>
              <w:jc w:val="both"/>
              <w:rPr>
                <w:rFonts w:ascii="宋体" w:hAnsi="宋体"/>
                <w:color w:val="auto"/>
                <w:szCs w:val="21"/>
                <w:highlight w:val="none"/>
              </w:rPr>
            </w:pPr>
            <w:r>
              <w:rPr>
                <w:rFonts w:hint="eastAsia" w:ascii="宋体" w:hAnsi="宋体"/>
                <w:b/>
                <w:color w:val="auto"/>
                <w:szCs w:val="21"/>
                <w:highlight w:val="none"/>
              </w:rPr>
              <w:t>小型或微型企业、监狱企业、残疾人福利性单位磋商价格折扣标准</w:t>
            </w:r>
          </w:p>
        </w:tc>
      </w:tr>
      <w:tr w14:paraId="7C08405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5CE3725">
            <w:pPr>
              <w:jc w:val="center"/>
              <w:rPr>
                <w:rFonts w:ascii="宋体" w:hAnsi="宋体"/>
                <w:color w:val="auto"/>
                <w:szCs w:val="21"/>
                <w:highlight w:val="none"/>
              </w:rPr>
            </w:pPr>
          </w:p>
        </w:tc>
        <w:tc>
          <w:tcPr>
            <w:tcW w:w="7532" w:type="dxa"/>
            <w:gridSpan w:val="4"/>
            <w:vAlign w:val="center"/>
          </w:tcPr>
          <w:p w14:paraId="603C42F8">
            <w:pPr>
              <w:jc w:val="both"/>
              <w:rPr>
                <w:rFonts w:ascii="宋体" w:hAnsi="宋体"/>
                <w:color w:val="auto"/>
                <w:szCs w:val="21"/>
                <w:highlight w:val="none"/>
              </w:rPr>
            </w:pPr>
            <w:r>
              <w:rPr>
                <w:rFonts w:hint="eastAsia" w:ascii="宋体" w:hAnsi="宋体" w:cs="宋体"/>
                <w:color w:val="auto"/>
                <w:kern w:val="2"/>
                <w:szCs w:val="21"/>
                <w:highlight w:val="none"/>
              </w:rPr>
              <w:t>10%（工程类5%）</w:t>
            </w:r>
          </w:p>
        </w:tc>
      </w:tr>
      <w:tr w14:paraId="781B4F9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31CDE14">
            <w:pPr>
              <w:jc w:val="center"/>
              <w:rPr>
                <w:rFonts w:ascii="宋体" w:hAnsi="宋体"/>
                <w:color w:val="auto"/>
                <w:szCs w:val="21"/>
                <w:highlight w:val="none"/>
              </w:rPr>
            </w:pPr>
          </w:p>
        </w:tc>
        <w:tc>
          <w:tcPr>
            <w:tcW w:w="7532" w:type="dxa"/>
            <w:gridSpan w:val="4"/>
            <w:vAlign w:val="center"/>
          </w:tcPr>
          <w:p w14:paraId="4E94895F">
            <w:pPr>
              <w:jc w:val="both"/>
              <w:rPr>
                <w:rFonts w:ascii="宋体" w:hAnsi="宋体"/>
                <w:color w:val="auto"/>
                <w:szCs w:val="21"/>
                <w:highlight w:val="none"/>
              </w:rPr>
            </w:pPr>
            <w:r>
              <w:rPr>
                <w:rFonts w:hint="eastAsia" w:ascii="宋体" w:hAnsi="宋体"/>
                <w:b/>
                <w:color w:val="auto"/>
                <w:szCs w:val="21"/>
                <w:highlight w:val="none"/>
              </w:rPr>
              <w:t>供应商符合须知“优惠政策”中联合体规定的响应价格折扣标准</w:t>
            </w:r>
          </w:p>
        </w:tc>
      </w:tr>
      <w:tr w14:paraId="339AA2E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5D97F35D">
            <w:pPr>
              <w:jc w:val="center"/>
              <w:rPr>
                <w:rFonts w:ascii="宋体" w:hAnsi="宋体"/>
                <w:color w:val="auto"/>
                <w:szCs w:val="21"/>
                <w:highlight w:val="none"/>
              </w:rPr>
            </w:pPr>
          </w:p>
        </w:tc>
        <w:tc>
          <w:tcPr>
            <w:tcW w:w="7532" w:type="dxa"/>
            <w:gridSpan w:val="4"/>
            <w:vAlign w:val="center"/>
          </w:tcPr>
          <w:p w14:paraId="0514BD7E">
            <w:pPr>
              <w:jc w:val="both"/>
              <w:rPr>
                <w:rFonts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04168E3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47DDF97">
            <w:pPr>
              <w:jc w:val="center"/>
              <w:rPr>
                <w:rFonts w:ascii="宋体" w:hAnsi="宋体"/>
                <w:color w:val="auto"/>
                <w:szCs w:val="21"/>
                <w:highlight w:val="none"/>
              </w:rPr>
            </w:pPr>
          </w:p>
        </w:tc>
        <w:tc>
          <w:tcPr>
            <w:tcW w:w="7532" w:type="dxa"/>
            <w:gridSpan w:val="4"/>
            <w:vAlign w:val="center"/>
          </w:tcPr>
          <w:p w14:paraId="31DAF442">
            <w:pPr>
              <w:jc w:val="both"/>
              <w:rPr>
                <w:rFonts w:ascii="宋体" w:hAnsi="宋体"/>
                <w:color w:val="auto"/>
                <w:szCs w:val="21"/>
                <w:highlight w:val="none"/>
              </w:rPr>
            </w:pPr>
            <w:r>
              <w:rPr>
                <w:rFonts w:hint="eastAsia" w:ascii="宋体" w:hAnsi="宋体"/>
                <w:b/>
                <w:bCs/>
                <w:color w:val="auto"/>
                <w:szCs w:val="21"/>
                <w:highlight w:val="none"/>
              </w:rPr>
              <w:t>供应商所投产品为获得节能产品认证或环境标志产品认证证书的价格折扣标准（相关规定详见供应商须知“优惠政策”）</w:t>
            </w:r>
          </w:p>
        </w:tc>
      </w:tr>
      <w:tr w14:paraId="0A31FBE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8766B84">
            <w:pPr>
              <w:jc w:val="center"/>
              <w:rPr>
                <w:rFonts w:ascii="宋体" w:hAnsi="宋体"/>
                <w:color w:val="auto"/>
                <w:szCs w:val="21"/>
                <w:highlight w:val="none"/>
              </w:rPr>
            </w:pPr>
          </w:p>
        </w:tc>
        <w:tc>
          <w:tcPr>
            <w:tcW w:w="7532" w:type="dxa"/>
            <w:gridSpan w:val="4"/>
            <w:vAlign w:val="center"/>
          </w:tcPr>
          <w:p w14:paraId="0EF79FC9">
            <w:pPr>
              <w:jc w:val="both"/>
              <w:rPr>
                <w:rFonts w:ascii="宋体" w:hAnsi="宋体"/>
                <w:color w:val="auto"/>
                <w:szCs w:val="21"/>
                <w:highlight w:val="none"/>
              </w:rPr>
            </w:pPr>
            <w:r>
              <w:rPr>
                <w:rFonts w:hint="eastAsia" w:ascii="宋体" w:hAnsi="宋体"/>
                <w:color w:val="auto"/>
                <w:szCs w:val="21"/>
                <w:highlight w:val="none"/>
              </w:rPr>
              <w:t>该项节能或环境标志产品折扣3%。</w:t>
            </w:r>
          </w:p>
        </w:tc>
      </w:tr>
      <w:tr w14:paraId="42EE3F9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73F8EC55">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51ECC23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5230E23E">
            <w:pPr>
              <w:jc w:val="center"/>
              <w:rPr>
                <w:rFonts w:ascii="宋体" w:hAnsi="宋体"/>
                <w:color w:val="auto"/>
                <w:szCs w:val="21"/>
                <w:highlight w:val="none"/>
              </w:rPr>
            </w:pPr>
            <w:r>
              <w:rPr>
                <w:rFonts w:hint="eastAsia" w:ascii="宋体" w:hAnsi="宋体"/>
                <w:color w:val="auto"/>
                <w:szCs w:val="21"/>
                <w:highlight w:val="none"/>
              </w:rPr>
              <w:t>17</w:t>
            </w:r>
          </w:p>
        </w:tc>
        <w:tc>
          <w:tcPr>
            <w:tcW w:w="7532" w:type="dxa"/>
            <w:gridSpan w:val="4"/>
            <w:shd w:val="clear" w:color="auto" w:fill="auto"/>
            <w:vAlign w:val="center"/>
          </w:tcPr>
          <w:p w14:paraId="4CBD5E28">
            <w:pPr>
              <w:jc w:val="both"/>
              <w:rPr>
                <w:rFonts w:ascii="宋体" w:hAnsi="宋体"/>
                <w:b/>
                <w:color w:val="auto"/>
                <w:szCs w:val="21"/>
                <w:highlight w:val="none"/>
              </w:rPr>
            </w:pPr>
            <w:r>
              <w:rPr>
                <w:rFonts w:hint="eastAsia" w:ascii="宋体" w:hAnsi="宋体"/>
                <w:b/>
                <w:color w:val="auto"/>
                <w:szCs w:val="21"/>
                <w:highlight w:val="none"/>
              </w:rPr>
              <w:t>履约保证金</w:t>
            </w:r>
          </w:p>
        </w:tc>
      </w:tr>
      <w:tr w14:paraId="73032F4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3376A15E">
            <w:pPr>
              <w:jc w:val="center"/>
              <w:rPr>
                <w:rFonts w:ascii="宋体" w:hAnsi="宋体"/>
                <w:color w:val="auto"/>
                <w:szCs w:val="21"/>
                <w:highlight w:val="none"/>
              </w:rPr>
            </w:pPr>
          </w:p>
        </w:tc>
        <w:tc>
          <w:tcPr>
            <w:tcW w:w="7532" w:type="dxa"/>
            <w:gridSpan w:val="4"/>
            <w:shd w:val="clear" w:color="auto" w:fill="auto"/>
            <w:vAlign w:val="center"/>
          </w:tcPr>
          <w:p w14:paraId="27B11819">
            <w:pPr>
              <w:jc w:val="both"/>
              <w:rPr>
                <w:rFonts w:ascii="宋体" w:hAnsi="宋体"/>
                <w:b/>
                <w:color w:val="auto"/>
                <w:szCs w:val="21"/>
                <w:highlight w:val="none"/>
              </w:rPr>
            </w:pPr>
            <w:r>
              <w:rPr>
                <w:rFonts w:hint="eastAsia" w:ascii="宋体" w:hAnsi="宋体"/>
                <w:b/>
                <w:color w:val="auto"/>
                <w:szCs w:val="21"/>
                <w:highlight w:val="none"/>
              </w:rPr>
              <w:t>（本项目不收取）</w:t>
            </w:r>
          </w:p>
        </w:tc>
      </w:tr>
      <w:tr w14:paraId="0FC365E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6F0AE63A">
            <w:pPr>
              <w:jc w:val="center"/>
              <w:rPr>
                <w:rFonts w:ascii="宋体" w:hAnsi="宋体"/>
                <w:color w:val="auto"/>
                <w:szCs w:val="21"/>
                <w:highlight w:val="none"/>
              </w:rPr>
            </w:pPr>
            <w:r>
              <w:rPr>
                <w:rFonts w:hint="eastAsia" w:ascii="宋体" w:hAnsi="宋体"/>
                <w:color w:val="auto"/>
                <w:szCs w:val="21"/>
                <w:highlight w:val="none"/>
              </w:rPr>
              <w:t>18</w:t>
            </w:r>
          </w:p>
        </w:tc>
        <w:tc>
          <w:tcPr>
            <w:tcW w:w="7532" w:type="dxa"/>
            <w:gridSpan w:val="4"/>
            <w:vAlign w:val="center"/>
          </w:tcPr>
          <w:p w14:paraId="4301A69B">
            <w:pPr>
              <w:jc w:val="both"/>
              <w:rPr>
                <w:rFonts w:ascii="宋体" w:hAnsi="宋体"/>
                <w:b/>
                <w:color w:val="auto"/>
                <w:szCs w:val="21"/>
                <w:highlight w:val="none"/>
              </w:rPr>
            </w:pPr>
            <w:r>
              <w:rPr>
                <w:rFonts w:hint="eastAsia" w:ascii="宋体" w:hAnsi="宋体"/>
                <w:b/>
                <w:color w:val="auto"/>
                <w:szCs w:val="21"/>
                <w:highlight w:val="none"/>
              </w:rPr>
              <w:t>成交服务费</w:t>
            </w:r>
          </w:p>
        </w:tc>
      </w:tr>
      <w:tr w14:paraId="6B857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74BF942F">
            <w:pPr>
              <w:jc w:val="center"/>
              <w:rPr>
                <w:rFonts w:ascii="宋体" w:hAnsi="宋体"/>
                <w:color w:val="auto"/>
                <w:szCs w:val="21"/>
                <w:highlight w:val="none"/>
              </w:rPr>
            </w:pPr>
          </w:p>
        </w:tc>
        <w:tc>
          <w:tcPr>
            <w:tcW w:w="7532" w:type="dxa"/>
            <w:gridSpan w:val="4"/>
            <w:vAlign w:val="center"/>
          </w:tcPr>
          <w:p w14:paraId="6FF32F11">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1）成交服务费根据国家计委[计价格[2002]1980号]文和国家发改委[发改价格[2011]534号]文及相关规定下浮20%向成交单位收取，按差额定率累进法计算，以成交通知书中确定的成交总金额作为收费的计算依据；成交服务费最低收费标准为陆仟元整。</w:t>
            </w:r>
          </w:p>
        </w:tc>
      </w:tr>
      <w:tr w14:paraId="6C46C62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2CC3D49E">
            <w:pPr>
              <w:jc w:val="center"/>
              <w:rPr>
                <w:rFonts w:ascii="宋体" w:hAnsi="宋体"/>
                <w:color w:val="auto"/>
                <w:szCs w:val="21"/>
                <w:highlight w:val="none"/>
              </w:rPr>
            </w:pPr>
          </w:p>
        </w:tc>
        <w:tc>
          <w:tcPr>
            <w:tcW w:w="7532" w:type="dxa"/>
            <w:gridSpan w:val="4"/>
            <w:vAlign w:val="center"/>
          </w:tcPr>
          <w:p w14:paraId="386C17C7">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（2）成交服务费以转账或现金的形式支付。采购代理机构服务费汇入账号：</w:t>
            </w:r>
          </w:p>
          <w:p w14:paraId="17B8C296">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收 款 人：广东政通招标有限公司</w:t>
            </w:r>
          </w:p>
          <w:p w14:paraId="150FA145">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开户银行：广发银行股份有限公司东莞南城支行</w:t>
            </w:r>
          </w:p>
          <w:p w14:paraId="3255DDB5">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账　　号：9550880331235700173</w:t>
            </w:r>
          </w:p>
        </w:tc>
      </w:tr>
      <w:tr w14:paraId="3601C46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268F56B0">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注：本表关于要采购项目的具体资料，是对供应商须知的具体补充和修改，如有矛盾，应以本资料表为准。</w:t>
            </w:r>
          </w:p>
        </w:tc>
      </w:tr>
    </w:tbl>
    <w:p w14:paraId="6B5CE102">
      <w:pPr>
        <w:rPr>
          <w:color w:val="auto"/>
          <w:highlight w:val="none"/>
        </w:rPr>
      </w:pPr>
    </w:p>
    <w:p w14:paraId="73DED032">
      <w:pPr>
        <w:rPr>
          <w:color w:val="auto"/>
          <w:highlight w:val="none"/>
        </w:rPr>
      </w:pPr>
    </w:p>
    <w:p w14:paraId="6543BE0F">
      <w:pPr>
        <w:rPr>
          <w:color w:val="auto"/>
          <w:highlight w:val="none"/>
        </w:rPr>
      </w:pPr>
    </w:p>
    <w:p w14:paraId="1E6CC558">
      <w:pPr>
        <w:rPr>
          <w:color w:val="auto"/>
          <w:highlight w:val="none"/>
        </w:rPr>
      </w:pPr>
    </w:p>
    <w:p w14:paraId="50C71A9B">
      <w:pPr>
        <w:rPr>
          <w:color w:val="auto"/>
          <w:highlight w:val="none"/>
        </w:rPr>
      </w:pPr>
    </w:p>
    <w:p w14:paraId="18F898D6">
      <w:pPr>
        <w:rPr>
          <w:color w:val="auto"/>
          <w:highlight w:val="none"/>
        </w:rPr>
      </w:pPr>
    </w:p>
    <w:p w14:paraId="07330239">
      <w:pPr>
        <w:rPr>
          <w:color w:val="auto"/>
          <w:highlight w:val="none"/>
        </w:rPr>
      </w:pPr>
    </w:p>
    <w:p w14:paraId="10D4BDDF">
      <w:pPr>
        <w:rPr>
          <w:color w:val="auto"/>
          <w:highlight w:val="none"/>
        </w:rPr>
      </w:pPr>
    </w:p>
    <w:p w14:paraId="2BFDA65A">
      <w:pPr>
        <w:rPr>
          <w:color w:val="auto"/>
          <w:highlight w:val="none"/>
        </w:rPr>
      </w:pPr>
    </w:p>
    <w:p w14:paraId="095DC447">
      <w:pPr>
        <w:rPr>
          <w:color w:val="auto"/>
          <w:highlight w:val="none"/>
        </w:rPr>
      </w:pPr>
    </w:p>
    <w:p w14:paraId="1F3B3124">
      <w:pPr>
        <w:rPr>
          <w:color w:val="auto"/>
          <w:highlight w:val="none"/>
        </w:rPr>
      </w:pPr>
    </w:p>
    <w:p w14:paraId="5E032E92">
      <w:pPr>
        <w:rPr>
          <w:color w:val="auto"/>
          <w:highlight w:val="none"/>
        </w:rPr>
      </w:pPr>
    </w:p>
    <w:p w14:paraId="08731A9B">
      <w:pPr>
        <w:rPr>
          <w:color w:val="auto"/>
          <w:highlight w:val="none"/>
        </w:rPr>
      </w:pPr>
    </w:p>
    <w:p w14:paraId="6E3D7EDE">
      <w:pPr>
        <w:rPr>
          <w:color w:val="auto"/>
          <w:highlight w:val="none"/>
        </w:rPr>
      </w:pPr>
    </w:p>
    <w:p w14:paraId="071C61D4">
      <w:pPr>
        <w:rPr>
          <w:color w:val="auto"/>
          <w:highlight w:val="none"/>
        </w:rPr>
      </w:pPr>
    </w:p>
    <w:p w14:paraId="5A1D8C3F">
      <w:pPr>
        <w:rPr>
          <w:color w:val="auto"/>
          <w:highlight w:val="none"/>
        </w:rPr>
      </w:pPr>
    </w:p>
    <w:p w14:paraId="33BA7300">
      <w:pPr>
        <w:rPr>
          <w:color w:val="auto"/>
          <w:highlight w:val="none"/>
        </w:rPr>
      </w:pPr>
    </w:p>
    <w:p w14:paraId="500A60AF">
      <w:pPr>
        <w:rPr>
          <w:color w:val="auto"/>
          <w:highlight w:val="none"/>
        </w:rPr>
      </w:pPr>
    </w:p>
    <w:p w14:paraId="72D5B279">
      <w:pPr>
        <w:rPr>
          <w:color w:val="auto"/>
          <w:highlight w:val="none"/>
        </w:rPr>
      </w:pPr>
    </w:p>
    <w:p w14:paraId="21B112FF">
      <w:pPr>
        <w:rPr>
          <w:color w:val="auto"/>
          <w:highlight w:val="none"/>
        </w:rPr>
      </w:pPr>
    </w:p>
    <w:p w14:paraId="702EC92C">
      <w:pPr>
        <w:rPr>
          <w:color w:val="auto"/>
          <w:highlight w:val="none"/>
        </w:rPr>
      </w:pPr>
    </w:p>
    <w:p w14:paraId="08B915F1">
      <w:pPr>
        <w:rPr>
          <w:color w:val="auto"/>
          <w:highlight w:val="none"/>
        </w:rPr>
      </w:pPr>
    </w:p>
    <w:p w14:paraId="5BDF0048">
      <w:pPr>
        <w:rPr>
          <w:color w:val="auto"/>
          <w:highlight w:val="none"/>
        </w:rPr>
      </w:pPr>
    </w:p>
    <w:p w14:paraId="6E0306D9">
      <w:pPr>
        <w:rPr>
          <w:color w:val="auto"/>
          <w:highlight w:val="none"/>
        </w:rPr>
      </w:pPr>
    </w:p>
    <w:p w14:paraId="34FABEA6">
      <w:pPr>
        <w:pStyle w:val="3"/>
        <w:spacing w:before="0" w:after="0" w:line="360" w:lineRule="auto"/>
        <w:rPr>
          <w:color w:val="auto"/>
          <w:highlight w:val="none"/>
        </w:rPr>
      </w:pPr>
      <w:bookmarkStart w:id="8" w:name="_Toc13473"/>
      <w:bookmarkStart w:id="9" w:name="_Hlk55300595"/>
      <w:bookmarkStart w:id="10" w:name="_Toc4043"/>
      <w:bookmarkStart w:id="11" w:name="_Toc9572"/>
      <w:r>
        <w:rPr>
          <w:rFonts w:hint="eastAsia"/>
          <w:color w:val="auto"/>
          <w:sz w:val="28"/>
          <w:szCs w:val="28"/>
          <w:highlight w:val="none"/>
        </w:rPr>
        <w:t xml:space="preserve">第三部分 </w:t>
      </w:r>
      <w:bookmarkStart w:id="12" w:name="_Hlk55300643"/>
      <w:bookmarkStart w:id="13" w:name="_Toc7113352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0"/>
      <w:bookmarkEnd w:id="12"/>
      <w:bookmarkEnd w:id="13"/>
      <w:bookmarkEnd w:id="14"/>
    </w:p>
    <w:p w14:paraId="74F4B088">
      <w:pPr>
        <w:pStyle w:val="4"/>
        <w:spacing w:line="240" w:lineRule="auto"/>
        <w:jc w:val="center"/>
        <w:rPr>
          <w:rFonts w:ascii="宋体" w:hAnsi="宋体" w:cs="宋体"/>
          <w:color w:val="auto"/>
          <w:sz w:val="24"/>
          <w:szCs w:val="24"/>
          <w:highlight w:val="none"/>
        </w:rPr>
      </w:pPr>
      <w:bookmarkStart w:id="15" w:name="_Toc462"/>
      <w:bookmarkStart w:id="16" w:name="_Toc18413"/>
      <w:r>
        <w:rPr>
          <w:rFonts w:hint="eastAsia" w:ascii="宋体" w:hAnsi="宋体" w:cs="宋体"/>
          <w:color w:val="auto"/>
          <w:sz w:val="24"/>
          <w:szCs w:val="24"/>
          <w:highlight w:val="none"/>
        </w:rPr>
        <w:t>价格及商务技术评分权重细则表</w:t>
      </w:r>
      <w:bookmarkEnd w:id="11"/>
      <w:bookmarkEnd w:id="15"/>
      <w:bookmarkEnd w:id="16"/>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15"/>
        <w:gridCol w:w="777"/>
        <w:gridCol w:w="5640"/>
      </w:tblGrid>
      <w:tr w14:paraId="728D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2D2F1F9">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序号</w:t>
            </w:r>
          </w:p>
        </w:tc>
        <w:tc>
          <w:tcPr>
            <w:tcW w:w="1415" w:type="dxa"/>
            <w:tcBorders>
              <w:top w:val="single" w:color="auto" w:sz="4" w:space="0"/>
              <w:left w:val="single" w:color="auto" w:sz="4" w:space="0"/>
              <w:bottom w:val="single" w:color="auto" w:sz="4" w:space="0"/>
              <w:right w:val="single" w:color="auto" w:sz="4" w:space="0"/>
            </w:tcBorders>
            <w:vAlign w:val="center"/>
          </w:tcPr>
          <w:p w14:paraId="109BC668">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评审项目</w:t>
            </w:r>
          </w:p>
        </w:tc>
        <w:tc>
          <w:tcPr>
            <w:tcW w:w="777" w:type="dxa"/>
            <w:tcBorders>
              <w:top w:val="single" w:color="auto" w:sz="4" w:space="0"/>
              <w:left w:val="single" w:color="auto" w:sz="4" w:space="0"/>
              <w:bottom w:val="single" w:color="auto" w:sz="4" w:space="0"/>
              <w:right w:val="single" w:color="auto" w:sz="4" w:space="0"/>
            </w:tcBorders>
            <w:vAlign w:val="center"/>
          </w:tcPr>
          <w:p w14:paraId="7B0EE69C">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分值</w:t>
            </w:r>
          </w:p>
        </w:tc>
        <w:tc>
          <w:tcPr>
            <w:tcW w:w="5640" w:type="dxa"/>
            <w:tcBorders>
              <w:top w:val="single" w:color="auto" w:sz="4" w:space="0"/>
              <w:left w:val="single" w:color="auto" w:sz="4" w:space="0"/>
              <w:bottom w:val="single" w:color="auto" w:sz="4" w:space="0"/>
              <w:right w:val="single" w:color="auto" w:sz="4" w:space="0"/>
            </w:tcBorders>
            <w:vAlign w:val="center"/>
          </w:tcPr>
          <w:p w14:paraId="68BDDF45">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评审细则</w:t>
            </w:r>
          </w:p>
        </w:tc>
      </w:tr>
      <w:tr w14:paraId="53CF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157DDDCD">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商务评审（30分）</w:t>
            </w:r>
          </w:p>
        </w:tc>
      </w:tr>
      <w:tr w14:paraId="0275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690" w:type="dxa"/>
            <w:tcBorders>
              <w:top w:val="single" w:color="auto" w:sz="4" w:space="0"/>
              <w:left w:val="single" w:color="auto" w:sz="4" w:space="0"/>
              <w:right w:val="single" w:color="auto" w:sz="4" w:space="0"/>
            </w:tcBorders>
            <w:vAlign w:val="center"/>
          </w:tcPr>
          <w:p w14:paraId="2E12E3B6">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415" w:type="dxa"/>
            <w:tcBorders>
              <w:top w:val="single" w:color="auto" w:sz="4" w:space="0"/>
              <w:left w:val="single" w:color="auto" w:sz="4" w:space="0"/>
              <w:right w:val="single" w:color="auto" w:sz="4" w:space="0"/>
            </w:tcBorders>
            <w:shd w:val="clear" w:color="auto" w:fill="auto"/>
            <w:vAlign w:val="center"/>
          </w:tcPr>
          <w:p w14:paraId="251A3ABA">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项目业绩</w:t>
            </w: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90B2AA8">
            <w:pPr>
              <w:pStyle w:val="38"/>
              <w:spacing w:line="240" w:lineRule="auto"/>
              <w:ind w:firstLine="0" w:firstLineChars="0"/>
              <w:jc w:val="center"/>
              <w:rPr>
                <w:rFonts w:ascii="宋体" w:eastAsia="宋体" w:cs="宋体"/>
                <w:color w:val="auto"/>
                <w:sz w:val="21"/>
                <w:szCs w:val="21"/>
                <w:highlight w:val="none"/>
              </w:rPr>
            </w:pPr>
            <w:r>
              <w:rPr>
                <w:rFonts w:ascii="宋体" w:eastAsia="宋体" w:cs="宋体"/>
                <w:color w:val="auto"/>
                <w:sz w:val="21"/>
                <w:szCs w:val="21"/>
                <w:highlight w:val="none"/>
              </w:rPr>
              <w:t>15</w:t>
            </w:r>
          </w:p>
        </w:tc>
        <w:tc>
          <w:tcPr>
            <w:tcW w:w="5640" w:type="dxa"/>
            <w:tcBorders>
              <w:top w:val="single" w:color="auto" w:sz="4" w:space="0"/>
              <w:left w:val="single" w:color="auto" w:sz="4" w:space="0"/>
              <w:bottom w:val="single" w:color="auto" w:sz="4" w:space="0"/>
              <w:right w:val="single" w:color="auto" w:sz="4" w:space="0"/>
            </w:tcBorders>
            <w:shd w:val="clear" w:color="auto" w:fill="auto"/>
            <w:vAlign w:val="center"/>
          </w:tcPr>
          <w:p w14:paraId="759A210C">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供应商具有规划编制类或调整类项目业绩经验的，每提供一个得</w:t>
            </w:r>
            <w:r>
              <w:rPr>
                <w:rFonts w:ascii="宋体" w:eastAsia="宋体" w:cs="宋体"/>
                <w:bCs/>
                <w:color w:val="auto"/>
                <w:sz w:val="21"/>
                <w:szCs w:val="21"/>
                <w:highlight w:val="none"/>
                <w:lang w:val="zh-CN"/>
              </w:rPr>
              <w:t>15</w:t>
            </w:r>
            <w:r>
              <w:rPr>
                <w:rFonts w:hint="eastAsia" w:ascii="宋体" w:eastAsia="宋体" w:cs="宋体"/>
                <w:bCs/>
                <w:color w:val="auto"/>
                <w:sz w:val="21"/>
                <w:szCs w:val="21"/>
                <w:highlight w:val="none"/>
                <w:lang w:val="zh-CN"/>
              </w:rPr>
              <w:t>分，本项最高得</w:t>
            </w:r>
            <w:r>
              <w:rPr>
                <w:rFonts w:ascii="宋体" w:eastAsia="宋体" w:cs="宋体"/>
                <w:bCs/>
                <w:color w:val="auto"/>
                <w:sz w:val="21"/>
                <w:szCs w:val="21"/>
                <w:highlight w:val="none"/>
              </w:rPr>
              <w:t>15</w:t>
            </w:r>
            <w:r>
              <w:rPr>
                <w:rFonts w:hint="eastAsia" w:ascii="宋体" w:eastAsia="宋体" w:cs="宋体"/>
                <w:bCs/>
                <w:color w:val="auto"/>
                <w:sz w:val="21"/>
                <w:szCs w:val="21"/>
                <w:highlight w:val="none"/>
                <w:lang w:val="zh-CN"/>
              </w:rPr>
              <w:t>分。</w:t>
            </w:r>
          </w:p>
          <w:p w14:paraId="1B760035">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注：</w:t>
            </w:r>
            <w:r>
              <w:rPr>
                <w:rFonts w:hint="eastAsia" w:ascii="宋体" w:eastAsia="宋体" w:cs="宋体"/>
                <w:bCs/>
                <w:color w:val="auto"/>
                <w:sz w:val="21"/>
                <w:szCs w:val="21"/>
                <w:highlight w:val="none"/>
              </w:rPr>
              <w:t>须</w:t>
            </w:r>
            <w:r>
              <w:rPr>
                <w:rFonts w:hint="eastAsia" w:ascii="宋体" w:eastAsia="宋体" w:cs="宋体"/>
                <w:bCs/>
                <w:color w:val="auto"/>
                <w:sz w:val="21"/>
                <w:szCs w:val="21"/>
                <w:highlight w:val="none"/>
                <w:lang w:val="zh-CN"/>
              </w:rPr>
              <w:t>提供合同</w:t>
            </w:r>
            <w:r>
              <w:rPr>
                <w:rFonts w:hint="eastAsia" w:ascii="宋体" w:eastAsia="宋体" w:cs="宋体"/>
                <w:bCs/>
                <w:color w:val="auto"/>
                <w:sz w:val="21"/>
                <w:szCs w:val="21"/>
                <w:highlight w:val="none"/>
              </w:rPr>
              <w:t>复印件并加盖供应商公章</w:t>
            </w:r>
            <w:r>
              <w:rPr>
                <w:rFonts w:hint="eastAsia" w:ascii="宋体" w:eastAsia="宋体" w:cs="宋体"/>
                <w:bCs/>
                <w:color w:val="auto"/>
                <w:sz w:val="21"/>
                <w:szCs w:val="21"/>
                <w:highlight w:val="none"/>
                <w:lang w:val="zh-CN"/>
              </w:rPr>
              <w:t>。</w:t>
            </w:r>
          </w:p>
        </w:tc>
      </w:tr>
      <w:tr w14:paraId="6823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690" w:type="dxa"/>
            <w:tcBorders>
              <w:top w:val="single" w:color="auto" w:sz="4" w:space="0"/>
              <w:left w:val="single" w:color="auto" w:sz="4" w:space="0"/>
              <w:right w:val="single" w:color="auto" w:sz="4" w:space="0"/>
            </w:tcBorders>
            <w:vAlign w:val="center"/>
          </w:tcPr>
          <w:p w14:paraId="1EC7BE6F">
            <w:pPr>
              <w:pStyle w:val="38"/>
              <w:spacing w:line="240" w:lineRule="auto"/>
              <w:ind w:firstLine="0" w:firstLineChars="0"/>
              <w:jc w:val="center"/>
              <w:rPr>
                <w:rFonts w:hint="eastAsia" w:ascii="宋体" w:eastAsia="宋体" w:cs="宋体"/>
                <w:color w:val="auto"/>
                <w:sz w:val="21"/>
                <w:szCs w:val="21"/>
                <w:highlight w:val="none"/>
              </w:rPr>
            </w:pPr>
            <w:r>
              <w:rPr>
                <w:rFonts w:hint="eastAsia" w:ascii="宋体" w:eastAsia="宋体" w:cs="宋体"/>
                <w:color w:val="auto"/>
                <w:sz w:val="21"/>
                <w:szCs w:val="21"/>
                <w:highlight w:val="none"/>
              </w:rPr>
              <w:t>2</w:t>
            </w:r>
          </w:p>
        </w:tc>
        <w:tc>
          <w:tcPr>
            <w:tcW w:w="1415" w:type="dxa"/>
            <w:tcBorders>
              <w:top w:val="single" w:color="auto" w:sz="4" w:space="0"/>
              <w:left w:val="single" w:color="auto" w:sz="4" w:space="0"/>
              <w:right w:val="single" w:color="auto" w:sz="4" w:space="0"/>
            </w:tcBorders>
            <w:shd w:val="clear" w:color="auto" w:fill="auto"/>
            <w:vAlign w:val="center"/>
          </w:tcPr>
          <w:p w14:paraId="6FE1792B">
            <w:pPr>
              <w:pStyle w:val="38"/>
              <w:spacing w:line="240" w:lineRule="auto"/>
              <w:ind w:firstLine="0" w:firstLineChars="0"/>
              <w:jc w:val="center"/>
              <w:rPr>
                <w:rFonts w:hint="eastAsia" w:ascii="宋体" w:eastAsia="宋体" w:cs="宋体"/>
                <w:color w:val="auto"/>
                <w:sz w:val="21"/>
                <w:szCs w:val="21"/>
                <w:highlight w:val="none"/>
              </w:rPr>
            </w:pPr>
            <w:r>
              <w:rPr>
                <w:rFonts w:hint="eastAsia" w:ascii="宋体" w:eastAsia="宋体" w:cs="宋体"/>
                <w:color w:val="auto"/>
                <w:sz w:val="21"/>
                <w:szCs w:val="21"/>
                <w:highlight w:val="none"/>
              </w:rPr>
              <w:t>项目团队</w:t>
            </w: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7F26673">
            <w:pPr>
              <w:pStyle w:val="38"/>
              <w:spacing w:line="240" w:lineRule="auto"/>
              <w:ind w:firstLine="0" w:firstLineChars="0"/>
              <w:jc w:val="center"/>
              <w:rPr>
                <w:rFonts w:hint="eastAsia" w:ascii="宋体" w:eastAsia="宋体" w:cs="宋体"/>
                <w:color w:val="auto"/>
                <w:sz w:val="21"/>
                <w:szCs w:val="21"/>
                <w:highlight w:val="none"/>
              </w:rPr>
            </w:pPr>
            <w:r>
              <w:rPr>
                <w:rFonts w:hint="eastAsia" w:ascii="宋体" w:eastAsia="宋体" w:cs="宋体"/>
                <w:color w:val="auto"/>
                <w:sz w:val="21"/>
                <w:szCs w:val="21"/>
                <w:highlight w:val="none"/>
              </w:rPr>
              <w:t>1</w:t>
            </w:r>
            <w:r>
              <w:rPr>
                <w:rFonts w:ascii="宋体" w:eastAsia="宋体" w:cs="宋体"/>
                <w:color w:val="auto"/>
                <w:sz w:val="21"/>
                <w:szCs w:val="21"/>
                <w:highlight w:val="none"/>
              </w:rPr>
              <w:t>5</w:t>
            </w:r>
          </w:p>
        </w:tc>
        <w:tc>
          <w:tcPr>
            <w:tcW w:w="5640" w:type="dxa"/>
            <w:tcBorders>
              <w:top w:val="single" w:color="auto" w:sz="4" w:space="0"/>
              <w:left w:val="single" w:color="auto" w:sz="4" w:space="0"/>
              <w:bottom w:val="single" w:color="auto" w:sz="4" w:space="0"/>
              <w:right w:val="single" w:color="auto" w:sz="4" w:space="0"/>
            </w:tcBorders>
            <w:shd w:val="clear" w:color="auto" w:fill="auto"/>
            <w:vAlign w:val="center"/>
          </w:tcPr>
          <w:p w14:paraId="69511F1E">
            <w:pPr>
              <w:pStyle w:val="38"/>
              <w:spacing w:line="240" w:lineRule="auto"/>
              <w:ind w:firstLine="420" w:firstLineChars="200"/>
              <w:rPr>
                <w:rFonts w:hint="eastAsia"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1、项目负责人具备城乡规划高级（及以上）</w:t>
            </w:r>
            <w:r>
              <w:rPr>
                <w:rFonts w:hint="eastAsia" w:ascii="宋体" w:eastAsia="宋体" w:cs="宋体"/>
                <w:bCs/>
                <w:color w:val="auto"/>
                <w:sz w:val="21"/>
                <w:szCs w:val="21"/>
                <w:highlight w:val="none"/>
                <w:lang w:val="en-US" w:eastAsia="zh-CN"/>
              </w:rPr>
              <w:t>职称证书</w:t>
            </w:r>
            <w:r>
              <w:rPr>
                <w:rFonts w:hint="eastAsia" w:ascii="宋体" w:eastAsia="宋体" w:cs="宋体"/>
                <w:bCs/>
                <w:color w:val="auto"/>
                <w:sz w:val="21"/>
                <w:szCs w:val="21"/>
                <w:highlight w:val="none"/>
                <w:lang w:val="zh-CN"/>
              </w:rPr>
              <w:t>与注册城乡规划师的，得</w:t>
            </w:r>
            <w:r>
              <w:rPr>
                <w:rFonts w:ascii="宋体" w:eastAsia="宋体" w:cs="宋体"/>
                <w:bCs/>
                <w:color w:val="auto"/>
                <w:sz w:val="21"/>
                <w:szCs w:val="21"/>
                <w:highlight w:val="none"/>
                <w:lang w:val="zh-CN"/>
              </w:rPr>
              <w:t>7</w:t>
            </w:r>
            <w:r>
              <w:rPr>
                <w:rFonts w:hint="eastAsia" w:ascii="宋体" w:eastAsia="宋体" w:cs="宋体"/>
                <w:bCs/>
                <w:color w:val="auto"/>
                <w:sz w:val="21"/>
                <w:szCs w:val="21"/>
                <w:highlight w:val="none"/>
                <w:lang w:val="zh-CN"/>
              </w:rPr>
              <w:t>分；2、投入项目组技术人员（不含项目负责人）具有城乡（市）规划相关专业工程师职称的每个得2分，本项最高得</w:t>
            </w:r>
            <w:r>
              <w:rPr>
                <w:rFonts w:ascii="宋体" w:eastAsia="宋体" w:cs="宋体"/>
                <w:bCs/>
                <w:color w:val="auto"/>
                <w:sz w:val="21"/>
                <w:szCs w:val="21"/>
                <w:highlight w:val="none"/>
                <w:lang w:val="zh-CN"/>
              </w:rPr>
              <w:t>8</w:t>
            </w:r>
            <w:r>
              <w:rPr>
                <w:rFonts w:hint="eastAsia" w:ascii="宋体" w:eastAsia="宋体" w:cs="宋体"/>
                <w:bCs/>
                <w:color w:val="auto"/>
                <w:sz w:val="21"/>
                <w:szCs w:val="21"/>
                <w:highlight w:val="none"/>
                <w:lang w:val="zh-CN"/>
              </w:rPr>
              <w:t>分。本项满分为1</w:t>
            </w:r>
            <w:r>
              <w:rPr>
                <w:rFonts w:ascii="宋体" w:eastAsia="宋体" w:cs="宋体"/>
                <w:bCs/>
                <w:color w:val="auto"/>
                <w:sz w:val="21"/>
                <w:szCs w:val="21"/>
                <w:highlight w:val="none"/>
                <w:lang w:val="zh-CN"/>
              </w:rPr>
              <w:t>5</w:t>
            </w:r>
            <w:r>
              <w:rPr>
                <w:rFonts w:hint="eastAsia" w:ascii="宋体" w:eastAsia="宋体" w:cs="宋体"/>
                <w:bCs/>
                <w:color w:val="auto"/>
                <w:sz w:val="21"/>
                <w:szCs w:val="21"/>
                <w:highlight w:val="none"/>
                <w:lang w:val="zh-CN"/>
              </w:rPr>
              <w:t>分（证明材料提供</w:t>
            </w:r>
            <w:r>
              <w:rPr>
                <w:rFonts w:hint="eastAsia" w:ascii="宋体" w:eastAsia="宋体" w:cs="宋体"/>
                <w:bCs/>
                <w:color w:val="auto"/>
                <w:sz w:val="21"/>
                <w:szCs w:val="21"/>
                <w:highlight w:val="none"/>
                <w:lang w:val="en-US" w:eastAsia="zh-CN"/>
              </w:rPr>
              <w:t>相关</w:t>
            </w:r>
            <w:bookmarkStart w:id="403" w:name="_GoBack"/>
            <w:r>
              <w:rPr>
                <w:rFonts w:hint="eastAsia" w:ascii="宋体" w:eastAsia="宋体" w:cs="宋体"/>
                <w:bCs/>
                <w:color w:val="auto"/>
                <w:sz w:val="21"/>
                <w:szCs w:val="21"/>
                <w:highlight w:val="none"/>
                <w:lang w:val="en-US" w:eastAsia="zh-CN"/>
              </w:rPr>
              <w:t>人员</w:t>
            </w:r>
            <w:bookmarkEnd w:id="403"/>
            <w:r>
              <w:rPr>
                <w:rFonts w:hint="eastAsia" w:ascii="宋体" w:eastAsia="宋体" w:cs="宋体"/>
                <w:bCs/>
                <w:color w:val="auto"/>
                <w:sz w:val="21"/>
                <w:szCs w:val="21"/>
                <w:highlight w:val="none"/>
                <w:lang w:val="zh-CN"/>
              </w:rPr>
              <w:t>证书</w:t>
            </w:r>
            <w:r>
              <w:rPr>
                <w:rFonts w:hint="eastAsia" w:ascii="宋体" w:eastAsia="宋体" w:cs="宋体"/>
                <w:bCs/>
                <w:color w:val="auto"/>
                <w:sz w:val="21"/>
                <w:szCs w:val="21"/>
                <w:highlight w:val="none"/>
                <w:lang w:val="en-US" w:eastAsia="zh-CN"/>
              </w:rPr>
              <w:t>复印件</w:t>
            </w:r>
            <w:r>
              <w:rPr>
                <w:rFonts w:hint="eastAsia" w:ascii="宋体" w:eastAsia="宋体" w:cs="宋体"/>
                <w:bCs/>
                <w:color w:val="auto"/>
                <w:sz w:val="21"/>
                <w:szCs w:val="21"/>
                <w:highlight w:val="none"/>
                <w:lang w:val="zh-CN"/>
              </w:rPr>
              <w:t>和近六个月（</w:t>
            </w:r>
            <w:r>
              <w:rPr>
                <w:rFonts w:hint="eastAsia" w:ascii="宋体" w:eastAsia="宋体" w:cs="宋体"/>
                <w:bCs/>
                <w:color w:val="auto"/>
                <w:sz w:val="21"/>
                <w:szCs w:val="21"/>
                <w:highlight w:val="none"/>
                <w:lang w:val="en-US" w:eastAsia="zh-CN"/>
              </w:rPr>
              <w:t>不含开标当月</w:t>
            </w:r>
            <w:r>
              <w:rPr>
                <w:rFonts w:hint="eastAsia" w:ascii="宋体" w:eastAsia="宋体" w:cs="宋体"/>
                <w:bCs/>
                <w:color w:val="auto"/>
                <w:sz w:val="21"/>
                <w:szCs w:val="21"/>
                <w:highlight w:val="none"/>
                <w:lang w:val="zh-CN"/>
              </w:rPr>
              <w:t>）</w:t>
            </w:r>
            <w:r>
              <w:rPr>
                <w:rFonts w:hint="eastAsia" w:ascii="宋体" w:eastAsia="宋体" w:cs="宋体"/>
                <w:bCs/>
                <w:color w:val="auto"/>
                <w:sz w:val="21"/>
                <w:szCs w:val="21"/>
                <w:highlight w:val="none"/>
                <w:lang w:val="en-US" w:eastAsia="zh-CN"/>
              </w:rPr>
              <w:t>内</w:t>
            </w:r>
            <w:r>
              <w:rPr>
                <w:rFonts w:hint="eastAsia" w:ascii="宋体" w:eastAsia="宋体" w:cs="宋体"/>
                <w:bCs/>
                <w:color w:val="auto"/>
                <w:sz w:val="21"/>
                <w:szCs w:val="21"/>
                <w:highlight w:val="none"/>
                <w:lang w:val="zh-CN"/>
              </w:rPr>
              <w:t>任意一个月社保）。</w:t>
            </w:r>
          </w:p>
        </w:tc>
      </w:tr>
      <w:tr w14:paraId="6945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0920389B">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技术评审（60分）</w:t>
            </w:r>
          </w:p>
        </w:tc>
      </w:tr>
      <w:tr w14:paraId="1BE2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03E250EE">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415" w:type="dxa"/>
            <w:tcBorders>
              <w:top w:val="single" w:color="auto" w:sz="4" w:space="0"/>
              <w:left w:val="single" w:color="auto" w:sz="4" w:space="0"/>
              <w:bottom w:val="single" w:color="auto" w:sz="4" w:space="0"/>
              <w:right w:val="single" w:color="auto" w:sz="4" w:space="0"/>
            </w:tcBorders>
            <w:vAlign w:val="center"/>
          </w:tcPr>
          <w:p w14:paraId="2D373B53">
            <w:pPr>
              <w:widowControl w:val="0"/>
              <w:adjustRightInd/>
              <w:snapToGrid/>
              <w:jc w:val="center"/>
              <w:rPr>
                <w:rFonts w:ascii="宋体" w:hAnsi="宋体" w:cs="宋体"/>
                <w:color w:val="auto"/>
                <w:szCs w:val="21"/>
                <w:highlight w:val="none"/>
              </w:rPr>
            </w:pPr>
            <w:r>
              <w:rPr>
                <w:rFonts w:hint="eastAsia" w:ascii="宋体" w:cs="宋体"/>
                <w:color w:val="auto"/>
                <w:szCs w:val="21"/>
                <w:highlight w:val="none"/>
              </w:rPr>
              <w:t>项目的理解</w:t>
            </w:r>
          </w:p>
        </w:tc>
        <w:tc>
          <w:tcPr>
            <w:tcW w:w="777" w:type="dxa"/>
            <w:tcBorders>
              <w:top w:val="single" w:color="auto" w:sz="4" w:space="0"/>
              <w:left w:val="single" w:color="auto" w:sz="4" w:space="0"/>
              <w:bottom w:val="single" w:color="auto" w:sz="4" w:space="0"/>
              <w:right w:val="single" w:color="auto" w:sz="4" w:space="0"/>
            </w:tcBorders>
            <w:vAlign w:val="center"/>
          </w:tcPr>
          <w:p w14:paraId="16DF6355">
            <w:pPr>
              <w:widowControl w:val="0"/>
              <w:adjustRightInd/>
              <w:snapToGrid/>
              <w:jc w:val="center"/>
              <w:rPr>
                <w:rFonts w:ascii="宋体" w:hAnsi="宋体" w:cs="宋体"/>
                <w:color w:val="auto"/>
                <w:szCs w:val="21"/>
                <w:highlight w:val="none"/>
              </w:rPr>
            </w:pPr>
            <w:r>
              <w:rPr>
                <w:rFonts w:ascii="宋体" w:hAnsi="宋体" w:cs="宋体"/>
                <w:color w:val="auto"/>
                <w:kern w:val="2"/>
                <w:szCs w:val="21"/>
                <w:highlight w:val="none"/>
              </w:rPr>
              <w:t>20</w:t>
            </w:r>
          </w:p>
        </w:tc>
        <w:tc>
          <w:tcPr>
            <w:tcW w:w="5640" w:type="dxa"/>
            <w:tcBorders>
              <w:top w:val="single" w:color="auto" w:sz="4" w:space="0"/>
              <w:left w:val="single" w:color="auto" w:sz="4" w:space="0"/>
              <w:bottom w:val="single" w:color="auto" w:sz="4" w:space="0"/>
              <w:right w:val="single" w:color="auto" w:sz="4" w:space="0"/>
            </w:tcBorders>
            <w:vAlign w:val="center"/>
          </w:tcPr>
          <w:p w14:paraId="271484AA">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根据供应商对项目工作背景、现状概况、相关规划以及工作内容的理解程度等进行综合评审：</w:t>
            </w:r>
          </w:p>
          <w:p w14:paraId="6ABB823D">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（1）供应商充分掌握项目片区的工作背景、现状、规划基础，工作内容清晰合理、具有针对性、可操作性强的，得</w:t>
            </w:r>
            <w:r>
              <w:rPr>
                <w:rFonts w:ascii="宋体" w:eastAsia="宋体" w:cs="宋体"/>
                <w:bCs/>
                <w:color w:val="auto"/>
                <w:sz w:val="21"/>
                <w:szCs w:val="21"/>
                <w:highlight w:val="none"/>
                <w:lang w:val="zh-CN"/>
              </w:rPr>
              <w:t>20</w:t>
            </w:r>
            <w:r>
              <w:rPr>
                <w:rFonts w:hint="eastAsia" w:ascii="宋体" w:eastAsia="宋体" w:cs="宋体"/>
                <w:bCs/>
                <w:color w:val="auto"/>
                <w:sz w:val="21"/>
                <w:szCs w:val="21"/>
                <w:highlight w:val="none"/>
                <w:lang w:val="zh-CN"/>
              </w:rPr>
              <w:t>分；</w:t>
            </w:r>
          </w:p>
          <w:p w14:paraId="1ECD621D">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（2）供应商一般掌握项目片区的工作背景、现状、规划基础，工作内容较为合理、具有一定针对性和可操作性的，得</w:t>
            </w:r>
            <w:r>
              <w:rPr>
                <w:rFonts w:hint="eastAsia" w:ascii="宋体" w:eastAsia="宋体" w:cs="宋体"/>
                <w:bCs/>
                <w:color w:val="auto"/>
                <w:sz w:val="21"/>
                <w:szCs w:val="21"/>
                <w:highlight w:val="none"/>
              </w:rPr>
              <w:t>1</w:t>
            </w:r>
            <w:r>
              <w:rPr>
                <w:rFonts w:ascii="宋体" w:eastAsia="宋体" w:cs="宋体"/>
                <w:bCs/>
                <w:color w:val="auto"/>
                <w:sz w:val="21"/>
                <w:szCs w:val="21"/>
                <w:highlight w:val="none"/>
              </w:rPr>
              <w:t>4</w:t>
            </w:r>
            <w:r>
              <w:rPr>
                <w:rFonts w:hint="eastAsia" w:ascii="宋体" w:eastAsia="宋体" w:cs="宋体"/>
                <w:bCs/>
                <w:color w:val="auto"/>
                <w:sz w:val="21"/>
                <w:szCs w:val="21"/>
                <w:highlight w:val="none"/>
                <w:lang w:val="zh-CN"/>
              </w:rPr>
              <w:t>分；</w:t>
            </w:r>
          </w:p>
          <w:p w14:paraId="74FEA42A">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（3）供应商对项目片区的工作背景、现状、规划基础认识有限，工作思路基本合理，可操作性弱的，得</w:t>
            </w:r>
            <w:r>
              <w:rPr>
                <w:rFonts w:ascii="宋体" w:eastAsia="宋体" w:cs="宋体"/>
                <w:bCs/>
                <w:color w:val="auto"/>
                <w:sz w:val="21"/>
                <w:szCs w:val="21"/>
                <w:highlight w:val="none"/>
              </w:rPr>
              <w:t>8</w:t>
            </w:r>
            <w:r>
              <w:rPr>
                <w:rFonts w:hint="eastAsia" w:ascii="宋体" w:eastAsia="宋体" w:cs="宋体"/>
                <w:bCs/>
                <w:color w:val="auto"/>
                <w:sz w:val="21"/>
                <w:szCs w:val="21"/>
                <w:highlight w:val="none"/>
                <w:lang w:val="zh-CN"/>
              </w:rPr>
              <w:t>分；</w:t>
            </w:r>
          </w:p>
          <w:p w14:paraId="3ED84129">
            <w:pPr>
              <w:pStyle w:val="38"/>
              <w:spacing w:line="240" w:lineRule="auto"/>
              <w:ind w:firstLine="420" w:firstLineChars="200"/>
              <w:rPr>
                <w:rFonts w:ascii="宋体" w:eastAsia="宋体" w:cs="宋体"/>
                <w:bCs/>
                <w:color w:val="auto"/>
                <w:sz w:val="21"/>
                <w:szCs w:val="21"/>
                <w:highlight w:val="none"/>
              </w:rPr>
            </w:pPr>
            <w:r>
              <w:rPr>
                <w:rFonts w:hint="eastAsia" w:ascii="宋体" w:eastAsia="宋体" w:cs="宋体"/>
                <w:bCs/>
                <w:color w:val="auto"/>
                <w:sz w:val="21"/>
                <w:szCs w:val="21"/>
                <w:highlight w:val="none"/>
                <w:lang w:val="zh-CN"/>
              </w:rPr>
              <w:t>（4）无相关内容或其他不得分。</w:t>
            </w:r>
          </w:p>
        </w:tc>
      </w:tr>
      <w:tr w14:paraId="0E22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035DB61">
            <w:pPr>
              <w:pStyle w:val="38"/>
              <w:spacing w:line="240" w:lineRule="auto"/>
              <w:ind w:firstLine="0" w:firstLineChars="0"/>
              <w:jc w:val="center"/>
              <w:rPr>
                <w:rFonts w:ascii="宋体" w:eastAsia="宋体" w:cs="宋体"/>
                <w:color w:val="auto"/>
                <w:sz w:val="21"/>
                <w:szCs w:val="21"/>
                <w:highlight w:val="none"/>
              </w:rPr>
            </w:pPr>
            <w:r>
              <w:rPr>
                <w:rFonts w:ascii="宋体" w:eastAsia="宋体" w:cs="宋体"/>
                <w:color w:val="auto"/>
                <w:sz w:val="21"/>
                <w:szCs w:val="21"/>
                <w:highlight w:val="none"/>
              </w:rPr>
              <w:t>2</w:t>
            </w:r>
          </w:p>
        </w:tc>
        <w:tc>
          <w:tcPr>
            <w:tcW w:w="1415" w:type="dxa"/>
            <w:tcBorders>
              <w:top w:val="single" w:color="auto" w:sz="4" w:space="0"/>
              <w:left w:val="single" w:color="auto" w:sz="4" w:space="0"/>
              <w:bottom w:val="single" w:color="auto" w:sz="4" w:space="0"/>
              <w:right w:val="single" w:color="auto" w:sz="4" w:space="0"/>
            </w:tcBorders>
            <w:vAlign w:val="center"/>
          </w:tcPr>
          <w:p w14:paraId="42952FF4">
            <w:pPr>
              <w:widowControl w:val="0"/>
              <w:adjustRightInd/>
              <w:snapToGrid/>
              <w:jc w:val="center"/>
              <w:rPr>
                <w:rFonts w:ascii="宋体" w:hAnsi="宋体" w:cs="宋体"/>
                <w:color w:val="auto"/>
                <w:szCs w:val="21"/>
                <w:highlight w:val="none"/>
              </w:rPr>
            </w:pPr>
            <w:r>
              <w:rPr>
                <w:rFonts w:hint="eastAsia" w:ascii="宋体" w:hAnsi="宋体" w:cs="宋体"/>
                <w:color w:val="auto"/>
                <w:szCs w:val="21"/>
                <w:highlight w:val="none"/>
              </w:rPr>
              <w:t>项目重点、难点分析及合理化建议</w:t>
            </w:r>
          </w:p>
        </w:tc>
        <w:tc>
          <w:tcPr>
            <w:tcW w:w="777" w:type="dxa"/>
            <w:tcBorders>
              <w:top w:val="single" w:color="auto" w:sz="4" w:space="0"/>
              <w:left w:val="single" w:color="auto" w:sz="4" w:space="0"/>
              <w:bottom w:val="single" w:color="auto" w:sz="4" w:space="0"/>
              <w:right w:val="single" w:color="auto" w:sz="4" w:space="0"/>
            </w:tcBorders>
            <w:vAlign w:val="center"/>
          </w:tcPr>
          <w:p w14:paraId="40B5EE00">
            <w:pPr>
              <w:widowControl w:val="0"/>
              <w:adjustRightInd/>
              <w:snapToGrid/>
              <w:jc w:val="center"/>
              <w:rPr>
                <w:rFonts w:ascii="宋体" w:hAnsi="宋体" w:cs="宋体"/>
                <w:color w:val="auto"/>
                <w:szCs w:val="21"/>
                <w:highlight w:val="none"/>
              </w:rPr>
            </w:pPr>
            <w:r>
              <w:rPr>
                <w:rFonts w:hint="eastAsia" w:ascii="宋体" w:hAnsi="宋体" w:cs="宋体"/>
                <w:color w:val="auto"/>
                <w:kern w:val="2"/>
                <w:szCs w:val="21"/>
                <w:highlight w:val="none"/>
              </w:rPr>
              <w:t>15</w:t>
            </w:r>
          </w:p>
        </w:tc>
        <w:tc>
          <w:tcPr>
            <w:tcW w:w="5640" w:type="dxa"/>
            <w:tcBorders>
              <w:top w:val="single" w:color="auto" w:sz="4" w:space="0"/>
              <w:left w:val="single" w:color="auto" w:sz="4" w:space="0"/>
              <w:bottom w:val="single" w:color="auto" w:sz="4" w:space="0"/>
              <w:right w:val="single" w:color="auto" w:sz="4" w:space="0"/>
            </w:tcBorders>
            <w:vAlign w:val="center"/>
          </w:tcPr>
          <w:p w14:paraId="4D6FFCFF">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根据供应商对项目的重点、难点把握程度及提出的建议的科学与合理性等进行综合评审：</w:t>
            </w:r>
          </w:p>
          <w:p w14:paraId="31382CF4">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（1）供应商对项目的重点、难点把握准确到位，提出的建议科学、合理，得1</w:t>
            </w:r>
            <w:r>
              <w:rPr>
                <w:rFonts w:hint="eastAsia" w:ascii="宋体" w:eastAsia="宋体" w:cs="宋体"/>
                <w:bCs/>
                <w:color w:val="auto"/>
                <w:sz w:val="21"/>
                <w:szCs w:val="21"/>
                <w:highlight w:val="none"/>
              </w:rPr>
              <w:t>5</w:t>
            </w:r>
            <w:r>
              <w:rPr>
                <w:rFonts w:hint="eastAsia" w:ascii="宋体" w:eastAsia="宋体" w:cs="宋体"/>
                <w:bCs/>
                <w:color w:val="auto"/>
                <w:sz w:val="21"/>
                <w:szCs w:val="21"/>
                <w:highlight w:val="none"/>
                <w:lang w:val="zh-CN"/>
              </w:rPr>
              <w:t>分；</w:t>
            </w:r>
          </w:p>
          <w:p w14:paraId="09BAFCB7">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（2）供应商对项目的重点、难点把握较为准确，提出的建议较为科学、合理，得</w:t>
            </w:r>
            <w:r>
              <w:rPr>
                <w:rFonts w:hint="eastAsia" w:ascii="宋体" w:eastAsia="宋体" w:cs="宋体"/>
                <w:bCs/>
                <w:color w:val="auto"/>
                <w:sz w:val="21"/>
                <w:szCs w:val="21"/>
                <w:highlight w:val="none"/>
              </w:rPr>
              <w:t>10</w:t>
            </w:r>
            <w:r>
              <w:rPr>
                <w:rFonts w:hint="eastAsia" w:ascii="宋体" w:eastAsia="宋体" w:cs="宋体"/>
                <w:bCs/>
                <w:color w:val="auto"/>
                <w:sz w:val="21"/>
                <w:szCs w:val="21"/>
                <w:highlight w:val="none"/>
                <w:lang w:val="zh-CN"/>
              </w:rPr>
              <w:t>分；</w:t>
            </w:r>
          </w:p>
          <w:p w14:paraId="54F76C04">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（3）供应商对项目的重点、难点把握准确基本到位，提出的建议具有一定的科学性、合理性，得</w:t>
            </w:r>
            <w:r>
              <w:rPr>
                <w:rFonts w:hint="eastAsia" w:ascii="宋体" w:eastAsia="宋体" w:cs="宋体"/>
                <w:bCs/>
                <w:color w:val="auto"/>
                <w:sz w:val="21"/>
                <w:szCs w:val="21"/>
                <w:highlight w:val="none"/>
              </w:rPr>
              <w:t>5</w:t>
            </w:r>
            <w:r>
              <w:rPr>
                <w:rFonts w:hint="eastAsia" w:ascii="宋体" w:eastAsia="宋体" w:cs="宋体"/>
                <w:bCs/>
                <w:color w:val="auto"/>
                <w:sz w:val="21"/>
                <w:szCs w:val="21"/>
                <w:highlight w:val="none"/>
                <w:lang w:val="zh-CN"/>
              </w:rPr>
              <w:t>分；</w:t>
            </w:r>
          </w:p>
          <w:p w14:paraId="26B88F5A">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（4）无相关内容或其他不得分。</w:t>
            </w:r>
          </w:p>
        </w:tc>
      </w:tr>
      <w:tr w14:paraId="7553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501A920">
            <w:pPr>
              <w:pStyle w:val="38"/>
              <w:spacing w:line="240" w:lineRule="auto"/>
              <w:ind w:firstLine="0" w:firstLineChars="0"/>
              <w:jc w:val="center"/>
              <w:rPr>
                <w:rFonts w:hint="eastAsia" w:ascii="宋体" w:eastAsia="宋体" w:cs="宋体"/>
                <w:color w:val="auto"/>
                <w:sz w:val="21"/>
                <w:szCs w:val="21"/>
                <w:highlight w:val="none"/>
              </w:rPr>
            </w:pPr>
            <w:r>
              <w:rPr>
                <w:rFonts w:hint="eastAsia" w:ascii="宋体" w:eastAsia="宋体" w:cs="宋体"/>
                <w:color w:val="auto"/>
                <w:sz w:val="21"/>
                <w:szCs w:val="21"/>
                <w:highlight w:val="none"/>
              </w:rPr>
              <w:t>3</w:t>
            </w:r>
          </w:p>
        </w:tc>
        <w:tc>
          <w:tcPr>
            <w:tcW w:w="1415" w:type="dxa"/>
            <w:tcBorders>
              <w:top w:val="single" w:color="auto" w:sz="4" w:space="0"/>
              <w:left w:val="single" w:color="auto" w:sz="4" w:space="0"/>
              <w:bottom w:val="single" w:color="auto" w:sz="4" w:space="0"/>
              <w:right w:val="single" w:color="auto" w:sz="4" w:space="0"/>
            </w:tcBorders>
            <w:vAlign w:val="center"/>
          </w:tcPr>
          <w:p w14:paraId="2584200F">
            <w:pPr>
              <w:widowControl w:val="0"/>
              <w:adjustRightInd/>
              <w:snapToGrid/>
              <w:jc w:val="center"/>
              <w:rPr>
                <w:rFonts w:hint="eastAsia" w:ascii="宋体" w:hAnsi="宋体" w:cs="宋体"/>
                <w:color w:val="auto"/>
                <w:szCs w:val="21"/>
                <w:highlight w:val="none"/>
              </w:rPr>
            </w:pPr>
            <w:r>
              <w:rPr>
                <w:rFonts w:hint="eastAsia" w:ascii="宋体" w:hAnsi="宋体" w:cs="宋体"/>
                <w:color w:val="auto"/>
                <w:szCs w:val="21"/>
                <w:highlight w:val="none"/>
              </w:rPr>
              <w:t>技术方案合理性可</w:t>
            </w:r>
          </w:p>
          <w:p w14:paraId="1BC1FAA8">
            <w:pPr>
              <w:widowControl w:val="0"/>
              <w:adjustRightInd/>
              <w:snapToGrid/>
              <w:jc w:val="center"/>
              <w:rPr>
                <w:rFonts w:hint="eastAsia" w:ascii="宋体" w:hAnsi="宋体" w:cs="宋体"/>
                <w:color w:val="auto"/>
                <w:szCs w:val="21"/>
                <w:highlight w:val="none"/>
              </w:rPr>
            </w:pPr>
            <w:r>
              <w:rPr>
                <w:rFonts w:hint="eastAsia" w:ascii="宋体" w:hAnsi="宋体" w:cs="宋体"/>
                <w:color w:val="auto"/>
                <w:szCs w:val="21"/>
                <w:highlight w:val="none"/>
              </w:rPr>
              <w:t>行性</w:t>
            </w:r>
          </w:p>
        </w:tc>
        <w:tc>
          <w:tcPr>
            <w:tcW w:w="777" w:type="dxa"/>
            <w:tcBorders>
              <w:top w:val="single" w:color="auto" w:sz="4" w:space="0"/>
              <w:left w:val="single" w:color="auto" w:sz="4" w:space="0"/>
              <w:bottom w:val="single" w:color="auto" w:sz="4" w:space="0"/>
              <w:right w:val="single" w:color="auto" w:sz="4" w:space="0"/>
            </w:tcBorders>
            <w:vAlign w:val="center"/>
          </w:tcPr>
          <w:p w14:paraId="7BB9C430">
            <w:pPr>
              <w:widowControl w:val="0"/>
              <w:adjustRightInd/>
              <w:snapToGrid/>
              <w:jc w:val="center"/>
              <w:rPr>
                <w:rFonts w:hint="eastAsia" w:ascii="宋体" w:hAnsi="宋体" w:cs="宋体"/>
                <w:color w:val="auto"/>
                <w:kern w:val="2"/>
                <w:szCs w:val="21"/>
                <w:highlight w:val="none"/>
              </w:rPr>
            </w:pPr>
            <w:r>
              <w:rPr>
                <w:rFonts w:ascii="宋体" w:hAnsi="宋体" w:cs="宋体"/>
                <w:color w:val="auto"/>
                <w:kern w:val="2"/>
                <w:szCs w:val="21"/>
                <w:highlight w:val="none"/>
              </w:rPr>
              <w:t>15</w:t>
            </w:r>
          </w:p>
        </w:tc>
        <w:tc>
          <w:tcPr>
            <w:tcW w:w="5640" w:type="dxa"/>
            <w:tcBorders>
              <w:top w:val="single" w:color="auto" w:sz="4" w:space="0"/>
              <w:left w:val="single" w:color="auto" w:sz="4" w:space="0"/>
              <w:bottom w:val="single" w:color="auto" w:sz="4" w:space="0"/>
              <w:right w:val="single" w:color="auto" w:sz="4" w:space="0"/>
            </w:tcBorders>
            <w:vAlign w:val="center"/>
          </w:tcPr>
          <w:p w14:paraId="2FAE6B0E">
            <w:pPr>
              <w:pStyle w:val="38"/>
              <w:spacing w:line="240" w:lineRule="auto"/>
              <w:ind w:firstLine="420" w:firstLineChars="200"/>
              <w:rPr>
                <w:rFonts w:hint="eastAsia"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根据供应商对本项目的技术方案的叙述情况、合理性、可行性进行综合评审：</w:t>
            </w:r>
          </w:p>
          <w:p w14:paraId="514DC410">
            <w:pPr>
              <w:pStyle w:val="38"/>
              <w:spacing w:line="240" w:lineRule="auto"/>
              <w:ind w:firstLine="420" w:firstLineChars="200"/>
              <w:rPr>
                <w:rFonts w:hint="eastAsia"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 xml:space="preserve">（1）技术方法叙述全面、技术方案合理、可行，得 </w:t>
            </w:r>
            <w:r>
              <w:rPr>
                <w:rFonts w:ascii="宋体" w:eastAsia="宋体" w:cs="宋体"/>
                <w:bCs/>
                <w:color w:val="auto"/>
                <w:sz w:val="21"/>
                <w:szCs w:val="21"/>
                <w:highlight w:val="none"/>
                <w:lang w:val="zh-CN"/>
              </w:rPr>
              <w:t>15</w:t>
            </w:r>
            <w:r>
              <w:rPr>
                <w:rFonts w:hint="eastAsia" w:ascii="宋体" w:eastAsia="宋体" w:cs="宋体"/>
                <w:bCs/>
                <w:color w:val="auto"/>
                <w:sz w:val="21"/>
                <w:szCs w:val="21"/>
                <w:highlight w:val="none"/>
                <w:lang w:val="zh-CN"/>
              </w:rPr>
              <w:t>分；</w:t>
            </w:r>
          </w:p>
          <w:p w14:paraId="2FDAD32F">
            <w:pPr>
              <w:pStyle w:val="38"/>
              <w:spacing w:line="240" w:lineRule="auto"/>
              <w:ind w:firstLine="420" w:firstLineChars="200"/>
              <w:rPr>
                <w:rFonts w:hint="eastAsia"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（2）技术方法叙述基本全面、技术方案基本合理、基本可行，得</w:t>
            </w:r>
            <w:r>
              <w:rPr>
                <w:rFonts w:ascii="宋体" w:eastAsia="宋体" w:cs="宋体"/>
                <w:bCs/>
                <w:color w:val="auto"/>
                <w:sz w:val="21"/>
                <w:szCs w:val="21"/>
                <w:highlight w:val="none"/>
                <w:lang w:val="zh-CN"/>
              </w:rPr>
              <w:t>10</w:t>
            </w:r>
            <w:r>
              <w:rPr>
                <w:rFonts w:hint="eastAsia" w:ascii="宋体" w:eastAsia="宋体" w:cs="宋体"/>
                <w:bCs/>
                <w:color w:val="auto"/>
                <w:sz w:val="21"/>
                <w:szCs w:val="21"/>
                <w:highlight w:val="none"/>
                <w:lang w:val="zh-CN"/>
              </w:rPr>
              <w:t>分；</w:t>
            </w:r>
          </w:p>
          <w:p w14:paraId="723768EB">
            <w:pPr>
              <w:pStyle w:val="38"/>
              <w:spacing w:line="240" w:lineRule="auto"/>
              <w:ind w:firstLine="420" w:firstLineChars="200"/>
              <w:rPr>
                <w:rFonts w:hint="eastAsia"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 xml:space="preserve">（3）技术方法叙述较不全面、技术方案不太合理、不可行，得 </w:t>
            </w:r>
            <w:r>
              <w:rPr>
                <w:rFonts w:ascii="宋体" w:eastAsia="宋体" w:cs="宋体"/>
                <w:bCs/>
                <w:color w:val="auto"/>
                <w:sz w:val="21"/>
                <w:szCs w:val="21"/>
                <w:highlight w:val="none"/>
                <w:lang w:val="zh-CN"/>
              </w:rPr>
              <w:t>5</w:t>
            </w:r>
            <w:r>
              <w:rPr>
                <w:rFonts w:hint="eastAsia" w:ascii="宋体" w:eastAsia="宋体" w:cs="宋体"/>
                <w:bCs/>
                <w:color w:val="auto"/>
                <w:sz w:val="21"/>
                <w:szCs w:val="21"/>
                <w:highlight w:val="none"/>
                <w:lang w:val="zh-CN"/>
              </w:rPr>
              <w:t>分；</w:t>
            </w:r>
          </w:p>
          <w:p w14:paraId="20A85861">
            <w:pPr>
              <w:pStyle w:val="38"/>
              <w:spacing w:line="240" w:lineRule="auto"/>
              <w:ind w:firstLine="420" w:firstLineChars="200"/>
              <w:rPr>
                <w:rFonts w:hint="eastAsia"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（4）未提供相关说明的，得 0 分。</w:t>
            </w:r>
          </w:p>
        </w:tc>
      </w:tr>
      <w:tr w14:paraId="511D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EB2B80C">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4</w:t>
            </w:r>
          </w:p>
        </w:tc>
        <w:tc>
          <w:tcPr>
            <w:tcW w:w="1415" w:type="dxa"/>
            <w:tcBorders>
              <w:top w:val="single" w:color="auto" w:sz="4" w:space="0"/>
              <w:left w:val="single" w:color="auto" w:sz="4" w:space="0"/>
              <w:bottom w:val="single" w:color="auto" w:sz="4" w:space="0"/>
              <w:right w:val="single" w:color="auto" w:sz="4" w:space="0"/>
            </w:tcBorders>
            <w:vAlign w:val="center"/>
          </w:tcPr>
          <w:p w14:paraId="4218839D">
            <w:pPr>
              <w:widowControl w:val="0"/>
              <w:adjustRightInd/>
              <w:snapToGrid/>
              <w:jc w:val="center"/>
              <w:rPr>
                <w:rFonts w:ascii="宋体" w:hAnsi="宋体" w:cs="宋体"/>
                <w:color w:val="auto"/>
                <w:szCs w:val="21"/>
                <w:highlight w:val="none"/>
              </w:rPr>
            </w:pPr>
            <w:r>
              <w:rPr>
                <w:rFonts w:hint="eastAsia" w:ascii="宋体" w:hAnsi="宋体" w:cs="宋体"/>
                <w:color w:val="auto"/>
                <w:szCs w:val="21"/>
                <w:highlight w:val="none"/>
              </w:rPr>
              <w:t>质量及进度保障措施、服务承诺</w:t>
            </w:r>
          </w:p>
        </w:tc>
        <w:tc>
          <w:tcPr>
            <w:tcW w:w="777" w:type="dxa"/>
            <w:tcBorders>
              <w:top w:val="single" w:color="auto" w:sz="4" w:space="0"/>
              <w:left w:val="single" w:color="auto" w:sz="4" w:space="0"/>
              <w:bottom w:val="single" w:color="auto" w:sz="4" w:space="0"/>
              <w:right w:val="single" w:color="auto" w:sz="4" w:space="0"/>
            </w:tcBorders>
            <w:vAlign w:val="center"/>
          </w:tcPr>
          <w:p w14:paraId="671B4D57">
            <w:pPr>
              <w:widowControl w:val="0"/>
              <w:adjustRightInd/>
              <w:snapToGrid/>
              <w:jc w:val="center"/>
              <w:rPr>
                <w:rFonts w:ascii="宋体" w:hAnsi="宋体" w:cs="宋体"/>
                <w:color w:val="auto"/>
                <w:szCs w:val="21"/>
                <w:highlight w:val="none"/>
              </w:rPr>
            </w:pPr>
            <w:r>
              <w:rPr>
                <w:rFonts w:hint="eastAsia" w:ascii="宋体" w:hAnsi="宋体" w:cs="宋体"/>
                <w:color w:val="auto"/>
                <w:kern w:val="2"/>
                <w:szCs w:val="21"/>
                <w:highlight w:val="none"/>
              </w:rPr>
              <w:t>1</w:t>
            </w:r>
            <w:r>
              <w:rPr>
                <w:rFonts w:ascii="宋体" w:hAnsi="宋体" w:cs="宋体"/>
                <w:color w:val="auto"/>
                <w:kern w:val="2"/>
                <w:szCs w:val="21"/>
                <w:highlight w:val="none"/>
              </w:rPr>
              <w:t>0</w:t>
            </w:r>
          </w:p>
        </w:tc>
        <w:tc>
          <w:tcPr>
            <w:tcW w:w="5640" w:type="dxa"/>
            <w:tcBorders>
              <w:top w:val="single" w:color="auto" w:sz="4" w:space="0"/>
              <w:left w:val="single" w:color="auto" w:sz="4" w:space="0"/>
              <w:bottom w:val="single" w:color="auto" w:sz="4" w:space="0"/>
              <w:right w:val="single" w:color="auto" w:sz="4" w:space="0"/>
            </w:tcBorders>
            <w:vAlign w:val="center"/>
          </w:tcPr>
          <w:p w14:paraId="75E4CD6F">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根据供应商提供的服务质量及进度保障措施是否具体、合理、可行，服务承诺是否具体合理、有针对性，工作计划安排是否科学合理等进行综合评审：</w:t>
            </w:r>
          </w:p>
          <w:p w14:paraId="1A4E0DA7">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（1）质量及进度保障措施具体、合理、可行，服务承诺具体合理、有针对性，工作计划安排科学合理，得1</w:t>
            </w:r>
            <w:r>
              <w:rPr>
                <w:rFonts w:ascii="宋体" w:eastAsia="宋体" w:cs="宋体"/>
                <w:bCs/>
                <w:color w:val="auto"/>
                <w:sz w:val="21"/>
                <w:szCs w:val="21"/>
                <w:highlight w:val="none"/>
              </w:rPr>
              <w:t>0</w:t>
            </w:r>
            <w:r>
              <w:rPr>
                <w:rFonts w:hint="eastAsia" w:ascii="宋体" w:eastAsia="宋体" w:cs="宋体"/>
                <w:bCs/>
                <w:color w:val="auto"/>
                <w:sz w:val="21"/>
                <w:szCs w:val="21"/>
                <w:highlight w:val="none"/>
                <w:lang w:val="zh-CN"/>
              </w:rPr>
              <w:t>分；</w:t>
            </w:r>
          </w:p>
          <w:p w14:paraId="1878BEF7">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（2）质量及进度保障措施比较具体、合理、可行，服务承诺较具体合理、较有针对性，工作计划安排比较科学合理，得</w:t>
            </w:r>
            <w:r>
              <w:rPr>
                <w:rFonts w:ascii="宋体" w:eastAsia="宋体" w:cs="宋体"/>
                <w:bCs/>
                <w:color w:val="auto"/>
                <w:sz w:val="21"/>
                <w:szCs w:val="21"/>
                <w:highlight w:val="none"/>
              </w:rPr>
              <w:t>6</w:t>
            </w:r>
            <w:r>
              <w:rPr>
                <w:rFonts w:hint="eastAsia" w:ascii="宋体" w:eastAsia="宋体" w:cs="宋体"/>
                <w:bCs/>
                <w:color w:val="auto"/>
                <w:sz w:val="21"/>
                <w:szCs w:val="21"/>
                <w:highlight w:val="none"/>
                <w:lang w:val="zh-CN"/>
              </w:rPr>
              <w:t>分；</w:t>
            </w:r>
          </w:p>
          <w:p w14:paraId="2255BE80">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（3）质量及进度保障措施一般，服务承诺一般、针对性差，工作计划安排一般，得</w:t>
            </w:r>
            <w:r>
              <w:rPr>
                <w:rFonts w:ascii="宋体" w:eastAsia="宋体" w:cs="宋体"/>
                <w:bCs/>
                <w:color w:val="auto"/>
                <w:sz w:val="21"/>
                <w:szCs w:val="21"/>
                <w:highlight w:val="none"/>
              </w:rPr>
              <w:t>3</w:t>
            </w:r>
            <w:r>
              <w:rPr>
                <w:rFonts w:hint="eastAsia" w:ascii="宋体" w:eastAsia="宋体" w:cs="宋体"/>
                <w:bCs/>
                <w:color w:val="auto"/>
                <w:sz w:val="21"/>
                <w:szCs w:val="21"/>
                <w:highlight w:val="none"/>
                <w:lang w:val="zh-CN"/>
              </w:rPr>
              <w:t>分；</w:t>
            </w:r>
          </w:p>
          <w:p w14:paraId="4853A352">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bCs/>
                <w:color w:val="auto"/>
                <w:sz w:val="21"/>
                <w:szCs w:val="21"/>
                <w:highlight w:val="none"/>
                <w:lang w:val="zh-CN"/>
              </w:rPr>
              <w:t>（4）无相关内容或其他不得分。</w:t>
            </w:r>
          </w:p>
        </w:tc>
      </w:tr>
      <w:tr w14:paraId="664C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F2C5613">
            <w:pPr>
              <w:widowControl w:val="0"/>
              <w:tabs>
                <w:tab w:val="left" w:pos="907"/>
              </w:tabs>
              <w:adjustRightInd/>
              <w:snapToGrid/>
              <w:spacing w:line="240" w:lineRule="auto"/>
              <w:ind w:firstLine="422" w:firstLineChars="200"/>
              <w:jc w:val="both"/>
              <w:rPr>
                <w:rFonts w:ascii="宋体" w:hAnsi="宋体" w:cs="宋体"/>
                <w:b/>
                <w:color w:val="auto"/>
                <w:szCs w:val="21"/>
                <w:highlight w:val="none"/>
              </w:rPr>
            </w:pPr>
            <w:r>
              <w:rPr>
                <w:rFonts w:hint="eastAsia" w:ascii="宋体" w:hAnsi="宋体" w:cs="宋体"/>
                <w:b/>
                <w:color w:val="auto"/>
                <w:szCs w:val="21"/>
                <w:highlight w:val="none"/>
              </w:rPr>
              <w:t>注：</w:t>
            </w:r>
          </w:p>
          <w:p w14:paraId="2B3185FA">
            <w:pPr>
              <w:widowControl w:val="0"/>
              <w:tabs>
                <w:tab w:val="left" w:pos="907"/>
              </w:tabs>
              <w:adjustRightInd/>
              <w:snapToGrid/>
              <w:spacing w:line="240" w:lineRule="auto"/>
              <w:ind w:firstLine="422" w:firstLineChars="200"/>
              <w:jc w:val="both"/>
              <w:rPr>
                <w:rFonts w:ascii="宋体" w:hAnsi="宋体" w:cs="宋体"/>
                <w:b/>
                <w:color w:val="auto"/>
                <w:szCs w:val="21"/>
                <w:highlight w:val="none"/>
              </w:rPr>
            </w:pPr>
            <w:r>
              <w:rPr>
                <w:rFonts w:hint="eastAsia" w:ascii="宋体" w:hAnsi="宋体" w:cs="宋体"/>
                <w:b/>
                <w:color w:val="auto"/>
                <w:szCs w:val="21"/>
                <w:highlight w:val="none"/>
              </w:rPr>
              <w:t>（1）无特殊说明外，以上评审项，同一证明文件不重复计分。</w:t>
            </w:r>
          </w:p>
          <w:p w14:paraId="4B9EA5EC">
            <w:pPr>
              <w:widowControl w:val="0"/>
              <w:tabs>
                <w:tab w:val="left" w:pos="907"/>
              </w:tabs>
              <w:adjustRightInd/>
              <w:snapToGrid/>
              <w:spacing w:line="240" w:lineRule="auto"/>
              <w:ind w:firstLine="422" w:firstLineChars="200"/>
              <w:jc w:val="both"/>
              <w:rPr>
                <w:rFonts w:ascii="宋体" w:hAnsi="宋体" w:cs="宋体"/>
                <w:color w:val="auto"/>
                <w:szCs w:val="21"/>
                <w:highlight w:val="none"/>
              </w:rPr>
            </w:pPr>
            <w:r>
              <w:rPr>
                <w:rFonts w:hint="eastAsia" w:ascii="宋体" w:hAnsi="宋体" w:cs="宋体"/>
                <w:b/>
                <w:color w:val="auto"/>
                <w:szCs w:val="21"/>
                <w:highlight w:val="none"/>
              </w:rPr>
              <w:t>（2）供应商根据以上评分要求提供的响应材料因模糊不清导致磋商小组无法清晰辨认进行评审的，视为无效材料。</w:t>
            </w:r>
          </w:p>
        </w:tc>
      </w:tr>
      <w:tr w14:paraId="4EF2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5416A48D">
            <w:pPr>
              <w:pStyle w:val="38"/>
              <w:spacing w:line="240" w:lineRule="auto"/>
              <w:ind w:firstLine="0" w:firstLineChars="0"/>
              <w:jc w:val="center"/>
              <w:rPr>
                <w:rFonts w:ascii="宋体" w:eastAsia="宋体" w:cs="宋体"/>
                <w:color w:val="auto"/>
                <w:sz w:val="21"/>
                <w:szCs w:val="21"/>
                <w:highlight w:val="none"/>
                <w:lang w:val="zh-CN"/>
              </w:rPr>
            </w:pPr>
            <w:r>
              <w:rPr>
                <w:rFonts w:hint="eastAsia" w:ascii="宋体" w:eastAsia="宋体" w:cs="宋体"/>
                <w:color w:val="auto"/>
                <w:sz w:val="21"/>
                <w:szCs w:val="21"/>
                <w:highlight w:val="none"/>
              </w:rPr>
              <w:t>价格评审（10分）</w:t>
            </w:r>
          </w:p>
        </w:tc>
      </w:tr>
      <w:tr w14:paraId="3CDA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F21939F">
            <w:pPr>
              <w:pStyle w:val="38"/>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415" w:type="dxa"/>
            <w:tcBorders>
              <w:top w:val="single" w:color="auto" w:sz="4" w:space="0"/>
              <w:left w:val="single" w:color="auto" w:sz="4" w:space="0"/>
              <w:bottom w:val="single" w:color="auto" w:sz="4" w:space="0"/>
              <w:right w:val="single" w:color="auto" w:sz="4" w:space="0"/>
            </w:tcBorders>
            <w:vAlign w:val="center"/>
          </w:tcPr>
          <w:p w14:paraId="746D6740">
            <w:pPr>
              <w:widowControl w:val="0"/>
              <w:adjustRightInd/>
              <w:snapToGrid/>
              <w:spacing w:line="240" w:lineRule="auto"/>
              <w:jc w:val="center"/>
              <w:rPr>
                <w:rFonts w:ascii="宋体" w:hAnsi="宋体" w:cs="宋体"/>
                <w:color w:val="auto"/>
                <w:kern w:val="2"/>
                <w:szCs w:val="21"/>
                <w:highlight w:val="none"/>
              </w:rPr>
            </w:pPr>
            <w:r>
              <w:rPr>
                <w:rFonts w:hint="eastAsia" w:ascii="宋体" w:hAnsi="宋体" w:cs="宋体"/>
                <w:color w:val="auto"/>
                <w:kern w:val="2"/>
                <w:szCs w:val="21"/>
                <w:highlight w:val="none"/>
              </w:rPr>
              <w:t>经磋商后的响应下浮率报价</w:t>
            </w:r>
          </w:p>
        </w:tc>
        <w:tc>
          <w:tcPr>
            <w:tcW w:w="777" w:type="dxa"/>
            <w:tcBorders>
              <w:top w:val="single" w:color="auto" w:sz="4" w:space="0"/>
              <w:left w:val="single" w:color="auto" w:sz="4" w:space="0"/>
              <w:bottom w:val="single" w:color="auto" w:sz="4" w:space="0"/>
              <w:right w:val="single" w:color="auto" w:sz="4" w:space="0"/>
            </w:tcBorders>
            <w:vAlign w:val="center"/>
          </w:tcPr>
          <w:p w14:paraId="3A3683C4">
            <w:pPr>
              <w:widowControl w:val="0"/>
              <w:adjustRightInd/>
              <w:snapToGrid/>
              <w:spacing w:line="240" w:lineRule="auto"/>
              <w:jc w:val="center"/>
              <w:rPr>
                <w:rFonts w:ascii="宋体" w:hAnsi="宋体" w:cs="宋体"/>
                <w:color w:val="auto"/>
                <w:kern w:val="2"/>
                <w:szCs w:val="21"/>
                <w:highlight w:val="none"/>
              </w:rPr>
            </w:pPr>
            <w:r>
              <w:rPr>
                <w:rFonts w:hint="eastAsia" w:ascii="宋体" w:hAnsi="宋体" w:cs="宋体"/>
                <w:color w:val="auto"/>
                <w:kern w:val="2"/>
                <w:szCs w:val="21"/>
                <w:highlight w:val="none"/>
              </w:rPr>
              <w:t>10</w:t>
            </w:r>
          </w:p>
        </w:tc>
        <w:tc>
          <w:tcPr>
            <w:tcW w:w="5640" w:type="dxa"/>
            <w:tcBorders>
              <w:top w:val="single" w:color="auto" w:sz="4" w:space="0"/>
              <w:left w:val="single" w:color="auto" w:sz="4" w:space="0"/>
              <w:bottom w:val="single" w:color="auto" w:sz="4" w:space="0"/>
              <w:right w:val="single" w:color="auto" w:sz="4" w:space="0"/>
            </w:tcBorders>
            <w:vAlign w:val="center"/>
          </w:tcPr>
          <w:p w14:paraId="1CDFDD4E">
            <w:pPr>
              <w:pStyle w:val="38"/>
              <w:spacing w:line="240" w:lineRule="auto"/>
              <w:ind w:firstLine="420" w:firstLineChars="200"/>
              <w:rPr>
                <w:rFonts w:ascii="宋体" w:eastAsia="宋体" w:cs="宋体"/>
                <w:bCs/>
                <w:color w:val="auto"/>
                <w:sz w:val="21"/>
                <w:szCs w:val="21"/>
                <w:highlight w:val="none"/>
                <w:lang w:val="zh-CN"/>
              </w:rPr>
            </w:pPr>
            <w:r>
              <w:rPr>
                <w:rFonts w:hint="eastAsia" w:ascii="宋体" w:eastAsia="宋体" w:cs="宋体"/>
                <w:color w:val="auto"/>
                <w:sz w:val="21"/>
                <w:szCs w:val="21"/>
                <w:highlight w:val="none"/>
                <w:lang w:val="zh-CN"/>
              </w:rPr>
              <w:t>价</w:t>
            </w:r>
            <w:r>
              <w:rPr>
                <w:rFonts w:hint="eastAsia" w:ascii="宋体" w:eastAsia="宋体" w:cs="宋体"/>
                <w:bCs/>
                <w:color w:val="auto"/>
                <w:sz w:val="21"/>
                <w:szCs w:val="21"/>
                <w:highlight w:val="none"/>
                <w:lang w:val="zh-CN"/>
              </w:rPr>
              <w:t>格分计算方法：满足</w:t>
            </w:r>
            <w:r>
              <w:rPr>
                <w:rFonts w:hint="eastAsia" w:ascii="宋体" w:eastAsia="宋体" w:cs="宋体"/>
                <w:bCs/>
                <w:color w:val="auto"/>
                <w:sz w:val="21"/>
                <w:szCs w:val="21"/>
                <w:highlight w:val="none"/>
              </w:rPr>
              <w:t>磋商</w:t>
            </w:r>
            <w:r>
              <w:rPr>
                <w:rFonts w:hint="eastAsia" w:ascii="宋体" w:eastAsia="宋体" w:cs="宋体"/>
                <w:bCs/>
                <w:color w:val="auto"/>
                <w:sz w:val="21"/>
                <w:szCs w:val="21"/>
                <w:highlight w:val="none"/>
                <w:lang w:val="zh-CN"/>
              </w:rPr>
              <w:t>文件要求且响应下浮率报价最低（即最大下浮率）的报价为评标基准价，其价格分为满分。其他供应商的价格分统一按照下列公式计算：</w:t>
            </w:r>
          </w:p>
          <w:p w14:paraId="27E16B76">
            <w:pPr>
              <w:widowControl w:val="0"/>
              <w:adjustRightInd/>
              <w:snapToGrid/>
              <w:spacing w:line="240" w:lineRule="auto"/>
              <w:ind w:firstLine="420" w:firstLineChars="200"/>
              <w:rPr>
                <w:rFonts w:ascii="宋体" w:hAnsi="宋体" w:cs="宋体"/>
                <w:color w:val="auto"/>
                <w:kern w:val="2"/>
                <w:szCs w:val="21"/>
                <w:highlight w:val="none"/>
              </w:rPr>
            </w:pPr>
            <w:r>
              <w:rPr>
                <w:rFonts w:hint="eastAsia" w:ascii="宋体" w:hAnsi="宋体" w:cs="宋体"/>
                <w:color w:val="auto"/>
                <w:kern w:val="2"/>
                <w:szCs w:val="21"/>
                <w:highlight w:val="none"/>
              </w:rPr>
              <w:t>响应下浮率报价</w:t>
            </w:r>
            <w:r>
              <w:rPr>
                <w:rFonts w:hint="eastAsia" w:ascii="宋体" w:hAnsi="宋体" w:cs="宋体"/>
                <w:bCs/>
                <w:color w:val="auto"/>
                <w:szCs w:val="21"/>
                <w:highlight w:val="none"/>
                <w:lang w:val="zh-CN"/>
              </w:rPr>
              <w:t>得分=[(1-最大下浮率)／(1-</w:t>
            </w:r>
            <w:r>
              <w:rPr>
                <w:rFonts w:hint="eastAsia" w:ascii="宋体" w:hAnsi="宋体" w:cs="宋体"/>
                <w:bCs/>
                <w:color w:val="auto"/>
                <w:szCs w:val="21"/>
                <w:highlight w:val="none"/>
              </w:rPr>
              <w:t>响应</w:t>
            </w:r>
            <w:r>
              <w:rPr>
                <w:rFonts w:hint="eastAsia" w:ascii="宋体" w:hAnsi="宋体" w:cs="宋体"/>
                <w:bCs/>
                <w:color w:val="auto"/>
                <w:szCs w:val="21"/>
                <w:highlight w:val="none"/>
                <w:lang w:val="zh-CN"/>
              </w:rPr>
              <w:t>下浮率</w:t>
            </w:r>
            <w:r>
              <w:rPr>
                <w:rFonts w:hint="eastAsia" w:ascii="宋体" w:hAnsi="宋体" w:cs="宋体"/>
                <w:bCs/>
                <w:color w:val="auto"/>
                <w:szCs w:val="21"/>
                <w:highlight w:val="none"/>
              </w:rPr>
              <w:t>报价</w:t>
            </w:r>
            <w:r>
              <w:rPr>
                <w:rFonts w:hint="eastAsia" w:ascii="宋体" w:hAnsi="宋体" w:cs="宋体"/>
                <w:bCs/>
                <w:color w:val="auto"/>
                <w:szCs w:val="21"/>
                <w:highlight w:val="none"/>
                <w:lang w:val="zh-CN"/>
              </w:rPr>
              <w:t>)]×价格权重</w:t>
            </w:r>
          </w:p>
        </w:tc>
      </w:tr>
    </w:tbl>
    <w:p w14:paraId="511C6D3B">
      <w:pPr>
        <w:rPr>
          <w:color w:val="auto"/>
          <w:highlight w:val="none"/>
        </w:rPr>
      </w:pPr>
      <w:r>
        <w:rPr>
          <w:rFonts w:hint="eastAsia"/>
          <w:color w:val="auto"/>
          <w:highlight w:val="none"/>
        </w:rPr>
        <w:br w:type="page"/>
      </w:r>
    </w:p>
    <w:p w14:paraId="1DBF6752">
      <w:pPr>
        <w:pStyle w:val="3"/>
        <w:spacing w:before="0" w:after="0" w:line="240" w:lineRule="auto"/>
        <w:rPr>
          <w:color w:val="auto"/>
          <w:sz w:val="24"/>
          <w:szCs w:val="24"/>
          <w:highlight w:val="none"/>
        </w:rPr>
      </w:pPr>
      <w:bookmarkStart w:id="17" w:name="_Toc24511"/>
      <w:bookmarkStart w:id="18" w:name="_Toc29685"/>
      <w:bookmarkStart w:id="19" w:name="_Toc2479"/>
      <w:bookmarkStart w:id="20" w:name="_Toc14146"/>
      <w:r>
        <w:rPr>
          <w:rFonts w:hint="eastAsia"/>
          <w:color w:val="auto"/>
          <w:sz w:val="28"/>
          <w:szCs w:val="28"/>
          <w:highlight w:val="none"/>
        </w:rPr>
        <w:t>第四部分 供应商须知</w:t>
      </w:r>
      <w:bookmarkEnd w:id="17"/>
      <w:bookmarkEnd w:id="18"/>
      <w:bookmarkEnd w:id="19"/>
    </w:p>
    <w:p w14:paraId="5EEC5FDA">
      <w:pPr>
        <w:pStyle w:val="3"/>
        <w:keepNext w:val="0"/>
        <w:keepLines w:val="0"/>
        <w:spacing w:before="0" w:after="0" w:line="360" w:lineRule="auto"/>
        <w:jc w:val="center"/>
        <w:rPr>
          <w:rFonts w:ascii="宋体" w:hAnsi="宋体" w:eastAsia="宋体"/>
          <w:color w:val="auto"/>
          <w:sz w:val="24"/>
          <w:szCs w:val="21"/>
          <w:highlight w:val="none"/>
        </w:rPr>
      </w:pPr>
      <w:bookmarkStart w:id="21" w:name="_Toc6882675"/>
      <w:bookmarkStart w:id="22" w:name="_Toc24057"/>
      <w:bookmarkStart w:id="23" w:name="_Toc102277756"/>
      <w:bookmarkStart w:id="24" w:name="_Toc507407359"/>
      <w:bookmarkStart w:id="25" w:name="_Toc28014"/>
      <w:bookmarkStart w:id="26" w:name="_Toc466786434"/>
      <w:bookmarkStart w:id="27" w:name="_Toc6968687"/>
      <w:bookmarkStart w:id="28" w:name="_Toc479991566"/>
      <w:bookmarkStart w:id="29" w:name="_Toc467236724"/>
      <w:bookmarkStart w:id="30" w:name="_Toc480171863"/>
      <w:bookmarkStart w:id="31" w:name="_Toc458262599"/>
      <w:bookmarkStart w:id="32" w:name="_Toc468157520"/>
      <w:bookmarkStart w:id="33" w:name="_Toc480021037"/>
      <w:bookmarkStart w:id="34" w:name="_Toc480010692"/>
      <w:bookmarkStart w:id="35" w:name="_Toc468606013"/>
      <w:bookmarkStart w:id="36" w:name="_Toc480020241"/>
      <w:bookmarkStart w:id="37" w:name="_Toc467987807"/>
      <w:bookmarkStart w:id="38" w:name="_Toc48207756"/>
      <w:r>
        <w:rPr>
          <w:rFonts w:hint="eastAsia" w:ascii="宋体" w:hAnsi="宋体" w:eastAsia="宋体"/>
          <w:color w:val="auto"/>
          <w:sz w:val="24"/>
          <w:szCs w:val="21"/>
          <w:highlight w:val="none"/>
        </w:rPr>
        <w:t>第一章说  明</w:t>
      </w:r>
      <w:bookmarkEnd w:id="21"/>
      <w:bookmarkEnd w:id="22"/>
      <w:bookmarkEnd w:id="23"/>
      <w:bookmarkEnd w:id="24"/>
      <w:bookmarkEnd w:id="25"/>
      <w:bookmarkEnd w:id="26"/>
      <w:bookmarkEnd w:id="27"/>
    </w:p>
    <w:p w14:paraId="03A08B00">
      <w:pPr>
        <w:pStyle w:val="4"/>
        <w:keepNext w:val="0"/>
        <w:keepLines w:val="0"/>
        <w:numPr>
          <w:ilvl w:val="0"/>
          <w:numId w:val="3"/>
        </w:numPr>
        <w:adjustRightInd/>
        <w:rPr>
          <w:rFonts w:hAnsi="宋体"/>
          <w:color w:val="auto"/>
          <w:sz w:val="21"/>
          <w:szCs w:val="21"/>
          <w:highlight w:val="none"/>
        </w:rPr>
      </w:pPr>
      <w:bookmarkStart w:id="39" w:name="_Toc10228"/>
      <w:bookmarkStart w:id="40" w:name="_Toc475249114"/>
      <w:bookmarkStart w:id="41" w:name="_Toc17291"/>
      <w:r>
        <w:rPr>
          <w:rFonts w:hint="eastAsia" w:hAnsi="宋体"/>
          <w:color w:val="auto"/>
          <w:sz w:val="21"/>
          <w:szCs w:val="21"/>
          <w:highlight w:val="none"/>
        </w:rPr>
        <w:t>适用范围</w:t>
      </w:r>
      <w:bookmarkEnd w:id="39"/>
      <w:bookmarkEnd w:id="40"/>
      <w:bookmarkEnd w:id="41"/>
    </w:p>
    <w:p w14:paraId="6B52F868">
      <w:pPr>
        <w:numPr>
          <w:ilvl w:val="1"/>
          <w:numId w:val="4"/>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本磋商文件仅适用于本次采购邀请中所叙述的项目。</w:t>
      </w:r>
    </w:p>
    <w:p w14:paraId="0E66750D">
      <w:pPr>
        <w:rPr>
          <w:rFonts w:ascii="宋体" w:hAnsi="宋体" w:cs="宋体"/>
          <w:color w:val="auto"/>
          <w:szCs w:val="21"/>
          <w:highlight w:val="none"/>
        </w:rPr>
      </w:pPr>
      <w:bookmarkStart w:id="42" w:name="_Toc475249115"/>
    </w:p>
    <w:p w14:paraId="6A3340E7">
      <w:pPr>
        <w:pStyle w:val="4"/>
        <w:keepNext w:val="0"/>
        <w:keepLines w:val="0"/>
        <w:numPr>
          <w:ilvl w:val="0"/>
          <w:numId w:val="3"/>
        </w:numPr>
        <w:adjustRightInd/>
        <w:rPr>
          <w:rFonts w:hAnsi="宋体"/>
          <w:color w:val="auto"/>
          <w:sz w:val="21"/>
          <w:szCs w:val="21"/>
          <w:highlight w:val="none"/>
        </w:rPr>
      </w:pPr>
      <w:bookmarkStart w:id="43" w:name="_Toc8868"/>
      <w:bookmarkStart w:id="44" w:name="_Toc22176"/>
      <w:r>
        <w:rPr>
          <w:rFonts w:hint="eastAsia" w:hAnsi="宋体"/>
          <w:color w:val="auto"/>
          <w:sz w:val="21"/>
          <w:szCs w:val="21"/>
          <w:highlight w:val="none"/>
        </w:rPr>
        <w:t>定义</w:t>
      </w:r>
      <w:bookmarkEnd w:id="42"/>
      <w:bookmarkEnd w:id="43"/>
      <w:bookmarkEnd w:id="44"/>
    </w:p>
    <w:p w14:paraId="159BF39B">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采购人：详见投标邀请书。</w:t>
      </w:r>
    </w:p>
    <w:p w14:paraId="0AC8C2D8">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“采购代理机构”是指广东政通招标有限公司。</w:t>
      </w:r>
    </w:p>
    <w:p w14:paraId="38BF13FA">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“供应商”指根据磋商文件要求进行文件领购并向采购代理机构提交响应文件参与本项目的法人。</w:t>
      </w:r>
    </w:p>
    <w:p w14:paraId="7EE596D2">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“法人”是依法在国内进行注册并具有民事权利能力和民事行为能力，依法独立享有民事权利和承担民事义务的组织。</w:t>
      </w:r>
    </w:p>
    <w:p w14:paraId="00FEEFF4">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“货物”是指</w:t>
      </w:r>
      <w:r>
        <w:rPr>
          <w:rFonts w:ascii="宋体" w:hAnsi="宋体"/>
          <w:color w:val="auto"/>
          <w:szCs w:val="21"/>
          <w:highlight w:val="none"/>
        </w:rPr>
        <w:t>各种形态和种类的物品，包括原材料、燃料、设备、产品等</w:t>
      </w:r>
      <w:r>
        <w:rPr>
          <w:rFonts w:hint="eastAsia" w:ascii="宋体" w:hAnsi="宋体"/>
          <w:color w:val="auto"/>
          <w:szCs w:val="21"/>
          <w:highlight w:val="none"/>
        </w:rPr>
        <w:t>。</w:t>
      </w:r>
    </w:p>
    <w:p w14:paraId="73BDB314">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除货物和工程以外的其他政府采购对象</w:t>
      </w:r>
      <w:r>
        <w:rPr>
          <w:rFonts w:hint="eastAsia" w:ascii="宋体" w:hAnsi="宋体"/>
          <w:color w:val="auto"/>
          <w:szCs w:val="21"/>
          <w:highlight w:val="none"/>
        </w:rPr>
        <w:t>。</w:t>
      </w:r>
    </w:p>
    <w:p w14:paraId="120F6861">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“工程”是指建设工程，包括建筑物和构筑物的新建、改建、扩建及其相关的装修、拆除、修缮等。</w:t>
      </w:r>
    </w:p>
    <w:p w14:paraId="79C2B7D5">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“语言”是指采购文件的语言为简体中文。</w:t>
      </w:r>
    </w:p>
    <w:p w14:paraId="6E389434">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“日期”是指公历日。</w:t>
      </w:r>
    </w:p>
    <w:p w14:paraId="739FF67C">
      <w:pPr>
        <w:numPr>
          <w:ilvl w:val="1"/>
          <w:numId w:val="5"/>
        </w:numPr>
        <w:autoSpaceDE w:val="0"/>
        <w:autoSpaceDN w:val="0"/>
        <w:textAlignment w:val="baseline"/>
        <w:rPr>
          <w:rFonts w:ascii="宋体" w:hAnsi="宋体"/>
          <w:color w:val="auto"/>
          <w:szCs w:val="21"/>
          <w:highlight w:val="none"/>
        </w:rPr>
      </w:pPr>
      <w:r>
        <w:rPr>
          <w:rFonts w:hint="eastAsia" w:ascii="宋体" w:hAnsi="宋体"/>
          <w:color w:val="auto"/>
          <w:szCs w:val="21"/>
          <w:highlight w:val="none"/>
        </w:rPr>
        <w:t>“时间”是指北京时间。</w:t>
      </w:r>
    </w:p>
    <w:p w14:paraId="0E071129">
      <w:pPr>
        <w:rPr>
          <w:rFonts w:ascii="宋体" w:hAnsi="宋体" w:cs="宋体"/>
          <w:color w:val="auto"/>
          <w:szCs w:val="21"/>
          <w:highlight w:val="none"/>
        </w:rPr>
      </w:pPr>
      <w:bookmarkStart w:id="45" w:name="_Toc110953831"/>
      <w:bookmarkStart w:id="46" w:name="_Toc6882676"/>
      <w:bookmarkStart w:id="47" w:name="_Toc102277757"/>
      <w:bookmarkStart w:id="48" w:name="_Toc466786435"/>
      <w:bookmarkStart w:id="49" w:name="_Toc6968688"/>
      <w:bookmarkStart w:id="50" w:name="_Toc507407360"/>
    </w:p>
    <w:p w14:paraId="09833001">
      <w:pPr>
        <w:pStyle w:val="4"/>
        <w:keepNext w:val="0"/>
        <w:keepLines w:val="0"/>
        <w:numPr>
          <w:ilvl w:val="0"/>
          <w:numId w:val="3"/>
        </w:numPr>
        <w:adjustRightInd/>
        <w:rPr>
          <w:rFonts w:hAnsi="宋体"/>
          <w:color w:val="auto"/>
          <w:sz w:val="21"/>
          <w:szCs w:val="21"/>
          <w:highlight w:val="none"/>
        </w:rPr>
      </w:pPr>
      <w:bookmarkStart w:id="51" w:name="_Toc31412"/>
      <w:bookmarkStart w:id="52" w:name="_Toc1083"/>
      <w:r>
        <w:rPr>
          <w:rFonts w:hint="eastAsia" w:hAnsi="宋体"/>
          <w:color w:val="auto"/>
          <w:sz w:val="21"/>
          <w:szCs w:val="21"/>
          <w:highlight w:val="none"/>
        </w:rPr>
        <w:t>适用法律</w:t>
      </w:r>
      <w:bookmarkEnd w:id="45"/>
      <w:bookmarkEnd w:id="51"/>
      <w:bookmarkEnd w:id="52"/>
    </w:p>
    <w:p w14:paraId="44355754">
      <w:pPr>
        <w:numPr>
          <w:ilvl w:val="1"/>
          <w:numId w:val="3"/>
        </w:numPr>
        <w:rPr>
          <w:rFonts w:ascii="宋体" w:hAnsi="宋体" w:cs="宋体"/>
          <w:color w:val="auto"/>
          <w:szCs w:val="21"/>
          <w:highlight w:val="none"/>
        </w:rPr>
      </w:pPr>
      <w:r>
        <w:rPr>
          <w:rFonts w:hint="eastAsia" w:ascii="宋体" w:hAnsi="宋体" w:cs="宋体"/>
          <w:color w:val="auto"/>
          <w:szCs w:val="21"/>
          <w:highlight w:val="none"/>
        </w:rPr>
        <w:t>本项目参照《中华人民共和国政府采购法》、《中华人民共和国政府采购法实施条例》、《财政部关于印发&lt;政府采购竞争性磋商采购方式管理暂行办法&gt;的通知》（财库[2014]214号）及相关法律法规。</w:t>
      </w:r>
    </w:p>
    <w:p w14:paraId="7F467791">
      <w:pPr>
        <w:rPr>
          <w:color w:val="auto"/>
          <w:highlight w:val="none"/>
        </w:rPr>
      </w:pPr>
      <w:bookmarkStart w:id="53" w:name="_Toc110953832"/>
    </w:p>
    <w:bookmarkEnd w:id="53"/>
    <w:p w14:paraId="76397497">
      <w:pPr>
        <w:pStyle w:val="4"/>
        <w:keepNext w:val="0"/>
        <w:keepLines w:val="0"/>
        <w:numPr>
          <w:ilvl w:val="0"/>
          <w:numId w:val="3"/>
        </w:numPr>
        <w:adjustRightInd/>
        <w:rPr>
          <w:rFonts w:hAnsi="宋体"/>
          <w:color w:val="auto"/>
          <w:sz w:val="21"/>
          <w:szCs w:val="21"/>
          <w:highlight w:val="none"/>
        </w:rPr>
      </w:pPr>
      <w:bookmarkStart w:id="54" w:name="_Toc18833"/>
      <w:bookmarkStart w:id="55" w:name="_Toc15452"/>
      <w:bookmarkStart w:id="56" w:name="_Toc29484"/>
      <w:bookmarkStart w:id="57" w:name="_Toc5242"/>
      <w:bookmarkStart w:id="58" w:name="_Toc110953833"/>
      <w:r>
        <w:rPr>
          <w:rFonts w:hint="eastAsia" w:hAnsi="宋体"/>
          <w:color w:val="auto"/>
          <w:sz w:val="21"/>
          <w:szCs w:val="21"/>
          <w:highlight w:val="none"/>
        </w:rPr>
        <w:t>知识产权</w:t>
      </w:r>
      <w:bookmarkEnd w:id="54"/>
      <w:bookmarkEnd w:id="55"/>
    </w:p>
    <w:p w14:paraId="69EB7CA1">
      <w:pPr>
        <w:numPr>
          <w:ilvl w:val="1"/>
          <w:numId w:val="3"/>
        </w:numPr>
        <w:rPr>
          <w:rFonts w:ascii="宋体" w:hAnsi="宋体" w:cs="宋体"/>
          <w:color w:val="auto"/>
          <w:szCs w:val="21"/>
          <w:highlight w:val="none"/>
        </w:rPr>
      </w:pPr>
      <w:r>
        <w:rPr>
          <w:rFonts w:hint="eastAsia" w:ascii="宋体" w:hAnsi="宋体" w:cs="宋体"/>
          <w:color w:val="auto"/>
          <w:szCs w:val="21"/>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2DF57CC0">
      <w:pPr>
        <w:numPr>
          <w:ilvl w:val="1"/>
          <w:numId w:val="3"/>
        </w:numPr>
        <w:rPr>
          <w:rFonts w:ascii="宋体" w:hAnsi="宋体" w:cs="宋体"/>
          <w:color w:val="auto"/>
          <w:szCs w:val="21"/>
          <w:highlight w:val="none"/>
        </w:rPr>
      </w:pPr>
      <w:r>
        <w:rPr>
          <w:rFonts w:hint="eastAsia" w:ascii="宋体" w:hAnsi="宋体" w:cs="宋体"/>
          <w:color w:val="auto"/>
          <w:szCs w:val="21"/>
          <w:highlight w:val="none"/>
        </w:rPr>
        <w:t>采购人享有本项目实施过程中产生的知识成果及知识产权。</w:t>
      </w:r>
    </w:p>
    <w:p w14:paraId="49FA5597">
      <w:pPr>
        <w:numPr>
          <w:ilvl w:val="1"/>
          <w:numId w:val="3"/>
        </w:numPr>
        <w:rPr>
          <w:rFonts w:ascii="宋体" w:hAnsi="宋体" w:cs="宋体"/>
          <w:color w:val="auto"/>
          <w:szCs w:val="21"/>
          <w:highlight w:val="none"/>
        </w:rPr>
      </w:pPr>
      <w:r>
        <w:rPr>
          <w:rFonts w:hint="eastAsia" w:ascii="宋体" w:hAnsi="宋体" w:cs="宋体"/>
          <w:color w:val="auto"/>
          <w:szCs w:val="21"/>
          <w:highlight w:val="none"/>
        </w:rPr>
        <w:t>供应商如欲在项目实施过程中采用自有知识成果，需在响应文件中声明，并提供相关知识产权证明文件。使用该知识成果后，供应商需提供开发接口和开发手册等技术文档。</w:t>
      </w:r>
    </w:p>
    <w:p w14:paraId="228E3669">
      <w:pPr>
        <w:numPr>
          <w:ilvl w:val="1"/>
          <w:numId w:val="3"/>
        </w:numPr>
        <w:rPr>
          <w:rFonts w:ascii="宋体" w:hAnsi="宋体" w:cs="宋体"/>
          <w:color w:val="auto"/>
          <w:szCs w:val="21"/>
          <w:highlight w:val="none"/>
        </w:rPr>
      </w:pPr>
      <w:r>
        <w:rPr>
          <w:rFonts w:hint="eastAsia" w:ascii="宋体" w:hAnsi="宋体" w:cs="宋体"/>
          <w:color w:val="auto"/>
          <w:szCs w:val="21"/>
          <w:highlight w:val="none"/>
        </w:rPr>
        <w:t>采购货物为计算机办公设备或含有计算机办公设备时，供应商提供的产品必须是预装正版操作系统软件的计算机产品。</w:t>
      </w:r>
    </w:p>
    <w:p w14:paraId="5110B5D2">
      <w:pPr>
        <w:numPr>
          <w:ilvl w:val="1"/>
          <w:numId w:val="3"/>
        </w:numPr>
        <w:rPr>
          <w:rFonts w:ascii="宋体" w:hAnsi="宋体" w:cs="宋体"/>
          <w:color w:val="auto"/>
          <w:szCs w:val="21"/>
          <w:highlight w:val="none"/>
        </w:rPr>
      </w:pPr>
      <w:r>
        <w:rPr>
          <w:rFonts w:hint="eastAsia" w:ascii="宋体" w:hAnsi="宋体" w:cs="宋体"/>
          <w:color w:val="auto"/>
          <w:szCs w:val="21"/>
          <w:highlight w:val="none"/>
        </w:rPr>
        <w:t>供应商提供的服务、货物经认定存在侵权行为的，其响应文件无效，并上报相关监管部门。</w:t>
      </w:r>
    </w:p>
    <w:p w14:paraId="724C3B06">
      <w:pPr>
        <w:rPr>
          <w:rFonts w:ascii="宋体" w:hAnsi="宋体" w:cs="宋体"/>
          <w:color w:val="auto"/>
          <w:szCs w:val="21"/>
          <w:highlight w:val="none"/>
        </w:rPr>
      </w:pPr>
    </w:p>
    <w:p w14:paraId="6E176F57">
      <w:pPr>
        <w:pStyle w:val="4"/>
        <w:keepNext w:val="0"/>
        <w:keepLines w:val="0"/>
        <w:numPr>
          <w:ilvl w:val="0"/>
          <w:numId w:val="3"/>
        </w:numPr>
        <w:adjustRightInd/>
        <w:rPr>
          <w:rFonts w:hAnsi="宋体"/>
          <w:color w:val="auto"/>
          <w:sz w:val="21"/>
          <w:szCs w:val="21"/>
          <w:highlight w:val="none"/>
        </w:rPr>
      </w:pPr>
      <w:r>
        <w:rPr>
          <w:rFonts w:hint="eastAsia" w:hAnsi="宋体"/>
          <w:color w:val="auto"/>
          <w:sz w:val="21"/>
          <w:szCs w:val="21"/>
          <w:highlight w:val="none"/>
        </w:rPr>
        <w:t>关于联合体报价</w:t>
      </w:r>
      <w:bookmarkEnd w:id="56"/>
      <w:bookmarkEnd w:id="57"/>
    </w:p>
    <w:p w14:paraId="4A040B51">
      <w:pPr>
        <w:numPr>
          <w:ilvl w:val="1"/>
          <w:numId w:val="3"/>
        </w:numPr>
        <w:rPr>
          <w:rFonts w:ascii="宋体" w:hAnsi="宋体" w:cs="宋体"/>
          <w:color w:val="auto"/>
          <w:szCs w:val="21"/>
          <w:highlight w:val="none"/>
        </w:rPr>
      </w:pPr>
      <w:r>
        <w:rPr>
          <w:rFonts w:hint="eastAsia" w:ascii="宋体" w:hAnsi="宋体" w:cs="宋体"/>
          <w:color w:val="auto"/>
          <w:szCs w:val="21"/>
          <w:highlight w:val="none"/>
        </w:rPr>
        <w:t>对接受联合体报价的项目：两个以上的自然人、法人或者其他组织可以组成一个联合体，以一个供应商的身份共同参加政府采购。</w:t>
      </w:r>
    </w:p>
    <w:p w14:paraId="09B2DA59">
      <w:pPr>
        <w:numPr>
          <w:ilvl w:val="1"/>
          <w:numId w:val="3"/>
        </w:numPr>
        <w:rPr>
          <w:rFonts w:ascii="宋体" w:hAnsi="宋体" w:cs="宋体"/>
          <w:color w:val="auto"/>
          <w:szCs w:val="21"/>
          <w:highlight w:val="none"/>
        </w:rPr>
      </w:pPr>
      <w:r>
        <w:rPr>
          <w:rFonts w:hint="eastAsia" w:ascii="宋体" w:hAnsi="宋体" w:cs="宋体"/>
          <w:color w:val="auto"/>
          <w:szCs w:val="21"/>
          <w:highlight w:val="none"/>
        </w:rPr>
        <w:t>以联合体形式参与项目的供应商在领购磋商文件时，应提供所有联合体组成成员的营业执照复印件，并加盖各联合体组成成员的公章。</w:t>
      </w:r>
    </w:p>
    <w:p w14:paraId="5296EBF3">
      <w:pPr>
        <w:numPr>
          <w:ilvl w:val="1"/>
          <w:numId w:val="3"/>
        </w:numPr>
        <w:rPr>
          <w:rFonts w:ascii="宋体" w:hAnsi="宋体" w:cs="宋体"/>
          <w:color w:val="auto"/>
          <w:szCs w:val="21"/>
          <w:highlight w:val="none"/>
        </w:rPr>
      </w:pPr>
      <w:r>
        <w:rPr>
          <w:rFonts w:hint="eastAsia" w:ascii="宋体" w:hAnsi="宋体" w:cs="宋体"/>
          <w:color w:val="auto"/>
          <w:szCs w:val="21"/>
          <w:highlight w:val="none"/>
        </w:rPr>
        <w:t>联合体各方均应当符合磋商文件规定的资格要求。</w:t>
      </w:r>
    </w:p>
    <w:p w14:paraId="5804F4A9">
      <w:pPr>
        <w:numPr>
          <w:ilvl w:val="1"/>
          <w:numId w:val="3"/>
        </w:numPr>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项目采购活动的，应当对所有联合体成员进行信用记录查询，联合体成员存在不良信用记录的，视同联合体存在不良信用记录。</w:t>
      </w:r>
    </w:p>
    <w:p w14:paraId="64467FD5">
      <w:pPr>
        <w:numPr>
          <w:ilvl w:val="1"/>
          <w:numId w:val="3"/>
        </w:numPr>
        <w:rPr>
          <w:rFonts w:ascii="宋体" w:hAnsi="宋体" w:cs="宋体"/>
          <w:color w:val="auto"/>
          <w:szCs w:val="21"/>
          <w:highlight w:val="none"/>
        </w:rPr>
      </w:pPr>
      <w:r>
        <w:rPr>
          <w:rFonts w:hint="eastAsia" w:ascii="宋体" w:hAnsi="宋体" w:cs="宋体"/>
          <w:color w:val="auto"/>
          <w:szCs w:val="21"/>
          <w:highlight w:val="none"/>
        </w:rPr>
        <w:t>采购人根据采购项目的特殊要求规定供应商特定条件的，联合体各方中至少应当有一方符合采购人规定的特定条件。</w:t>
      </w:r>
    </w:p>
    <w:p w14:paraId="4EF79CEE">
      <w:pPr>
        <w:numPr>
          <w:ilvl w:val="1"/>
          <w:numId w:val="3"/>
        </w:numPr>
        <w:rPr>
          <w:rFonts w:ascii="宋体" w:hAnsi="宋体" w:cs="宋体"/>
          <w:color w:val="auto"/>
          <w:szCs w:val="21"/>
          <w:highlight w:val="none"/>
        </w:rPr>
      </w:pPr>
      <w:r>
        <w:rPr>
          <w:rFonts w:hint="eastAsia" w:ascii="宋体" w:hAnsi="宋体" w:cs="宋体"/>
          <w:color w:val="auto"/>
          <w:szCs w:val="21"/>
          <w:highlight w:val="none"/>
        </w:rPr>
        <w:t>联合体各方之间应当签订联合体协议并在响应文件内提交，明确约定联合体各方承担的工作和相应的责任。联合体各方签订联合体协议后，不得再以自己名义单独在同一项目中报价，也不得组成新的联合体参加同一项目的磋商。</w:t>
      </w:r>
    </w:p>
    <w:p w14:paraId="0B9EC373">
      <w:pPr>
        <w:numPr>
          <w:ilvl w:val="1"/>
          <w:numId w:val="3"/>
        </w:numPr>
        <w:rPr>
          <w:rFonts w:ascii="宋体" w:hAnsi="宋体" w:cs="宋体"/>
          <w:color w:val="auto"/>
          <w:szCs w:val="21"/>
          <w:highlight w:val="none"/>
        </w:rPr>
      </w:pPr>
      <w:r>
        <w:rPr>
          <w:rFonts w:hint="eastAsia" w:ascii="宋体" w:hAnsi="宋体" w:cs="宋体"/>
          <w:color w:val="auto"/>
          <w:szCs w:val="21"/>
          <w:highlight w:val="none"/>
        </w:rPr>
        <w:t>供应商为联合体的，可以由联合体中的任意一方交纳保证金，其交纳的保证金对联合体各方均具有约束力。</w:t>
      </w:r>
    </w:p>
    <w:p w14:paraId="4AA55A1E">
      <w:pPr>
        <w:numPr>
          <w:ilvl w:val="1"/>
          <w:numId w:val="3"/>
        </w:numPr>
        <w:rPr>
          <w:rFonts w:ascii="宋体" w:hAnsi="宋体" w:cs="宋体"/>
          <w:color w:val="auto"/>
          <w:szCs w:val="21"/>
          <w:highlight w:val="none"/>
        </w:rPr>
      </w:pPr>
      <w:r>
        <w:rPr>
          <w:rFonts w:hint="eastAsia" w:ascii="宋体" w:hAnsi="宋体" w:cs="宋体"/>
          <w:color w:val="auto"/>
          <w:szCs w:val="21"/>
          <w:highlight w:val="none"/>
        </w:rPr>
        <w:t>联合体中有同类资质的供应商按照联合体分工承担相同工作的，应当按照资质等级较低的联合体成员确定资质等级。</w:t>
      </w:r>
    </w:p>
    <w:p w14:paraId="24386F1F">
      <w:pPr>
        <w:numPr>
          <w:ilvl w:val="1"/>
          <w:numId w:val="3"/>
        </w:numPr>
        <w:rPr>
          <w:rFonts w:ascii="宋体" w:hAnsi="宋体" w:cs="宋体"/>
          <w:color w:val="auto"/>
          <w:szCs w:val="21"/>
          <w:highlight w:val="none"/>
        </w:rPr>
      </w:pPr>
      <w:r>
        <w:rPr>
          <w:rFonts w:hint="eastAsia" w:ascii="宋体" w:hAnsi="宋体" w:cs="宋体"/>
          <w:color w:val="auto"/>
          <w:szCs w:val="21"/>
          <w:highlight w:val="none"/>
        </w:rPr>
        <w:t>以联合体形式参加项目采购活动，联合体各方均为中小企业的，联合体视同中小企业。其中，联合体各方均为小微企业的，联合体视同小微企业。双方均应提供《中小企业声明函》。</w:t>
      </w:r>
    </w:p>
    <w:p w14:paraId="3FF57308">
      <w:pPr>
        <w:numPr>
          <w:ilvl w:val="1"/>
          <w:numId w:val="3"/>
        </w:numPr>
        <w:rPr>
          <w:rFonts w:ascii="宋体" w:hAnsi="宋体" w:cs="宋体"/>
          <w:color w:val="auto"/>
          <w:szCs w:val="21"/>
          <w:highlight w:val="none"/>
        </w:rPr>
      </w:pPr>
      <w:r>
        <w:rPr>
          <w:rFonts w:hint="eastAsia" w:ascii="宋体" w:hAnsi="宋体" w:cs="宋体"/>
          <w:color w:val="auto"/>
          <w:szCs w:val="21"/>
          <w:highlight w:val="none"/>
        </w:rPr>
        <w:t>除联合体协议明确授权盖章单位外，联合体报价时响应文件中所有要求盖章的地方均须加盖联合体所有组成成员的公章，否则该处盖章无效。</w:t>
      </w:r>
    </w:p>
    <w:p w14:paraId="5937529A">
      <w:pPr>
        <w:numPr>
          <w:ilvl w:val="1"/>
          <w:numId w:val="3"/>
        </w:numPr>
        <w:rPr>
          <w:rFonts w:ascii="宋体" w:hAnsi="宋体" w:cs="宋体"/>
          <w:color w:val="auto"/>
          <w:szCs w:val="21"/>
          <w:highlight w:val="none"/>
        </w:rPr>
      </w:pPr>
      <w:r>
        <w:rPr>
          <w:rFonts w:hint="eastAsia" w:ascii="宋体" w:hAnsi="宋体" w:cs="宋体"/>
          <w:color w:val="auto"/>
          <w:szCs w:val="21"/>
          <w:highlight w:val="none"/>
        </w:rPr>
        <w:t>联合体进行评分时，业绩、奖项等的认定和评分根据联合体协议约定的各方承担的工作和相应责任，确定一方打分，不累加打分，若评分项中有明确以哪方为打分主体，则按要求进行评分；评审标准不明确或难以明确以哪一方计算评分情况时，则按主体方情况评分。</w:t>
      </w:r>
    </w:p>
    <w:p w14:paraId="6417F0C6">
      <w:pPr>
        <w:rPr>
          <w:color w:val="auto"/>
          <w:highlight w:val="none"/>
        </w:rPr>
      </w:pPr>
    </w:p>
    <w:bookmarkEnd w:id="58"/>
    <w:p w14:paraId="2FDDF764">
      <w:pPr>
        <w:pStyle w:val="4"/>
        <w:keepNext w:val="0"/>
        <w:keepLines w:val="0"/>
        <w:numPr>
          <w:ilvl w:val="0"/>
          <w:numId w:val="3"/>
        </w:numPr>
        <w:adjustRightInd/>
        <w:rPr>
          <w:rFonts w:hAnsi="宋体"/>
          <w:color w:val="auto"/>
          <w:sz w:val="21"/>
          <w:szCs w:val="21"/>
          <w:highlight w:val="none"/>
        </w:rPr>
      </w:pPr>
      <w:bookmarkStart w:id="59" w:name="_Toc2836"/>
      <w:bookmarkStart w:id="60" w:name="_Toc25157"/>
      <w:r>
        <w:rPr>
          <w:rFonts w:hint="eastAsia" w:hAnsi="宋体"/>
          <w:color w:val="auto"/>
          <w:sz w:val="21"/>
          <w:szCs w:val="21"/>
          <w:highlight w:val="none"/>
        </w:rPr>
        <w:t>关于分支机构报价</w:t>
      </w:r>
      <w:bookmarkEnd w:id="59"/>
      <w:bookmarkEnd w:id="60"/>
    </w:p>
    <w:p w14:paraId="0957FFDB">
      <w:pPr>
        <w:numPr>
          <w:ilvl w:val="1"/>
          <w:numId w:val="3"/>
        </w:numPr>
        <w:rPr>
          <w:rFonts w:ascii="宋体" w:hAnsi="宋体" w:cs="宋体"/>
          <w:color w:val="auto"/>
          <w:szCs w:val="21"/>
          <w:highlight w:val="none"/>
        </w:rPr>
      </w:pPr>
      <w:bookmarkStart w:id="61" w:name="_Toc98126295"/>
      <w:bookmarkStart w:id="62" w:name="_Toc98126220"/>
      <w:r>
        <w:rPr>
          <w:rFonts w:hint="eastAsia" w:ascii="宋体" w:hAnsi="宋体" w:cs="宋体"/>
          <w:color w:val="auto"/>
          <w:szCs w:val="21"/>
          <w:highlight w:val="none"/>
        </w:rPr>
        <w:t>对可接受分支机构报价的项目，分支机构报价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61"/>
      <w:bookmarkEnd w:id="62"/>
    </w:p>
    <w:p w14:paraId="1E6ED2D4">
      <w:pPr>
        <w:rPr>
          <w:color w:val="auto"/>
          <w:highlight w:val="none"/>
        </w:rPr>
      </w:pPr>
    </w:p>
    <w:p w14:paraId="0D4C1025">
      <w:pPr>
        <w:pStyle w:val="4"/>
        <w:keepNext w:val="0"/>
        <w:keepLines w:val="0"/>
        <w:numPr>
          <w:ilvl w:val="0"/>
          <w:numId w:val="3"/>
        </w:numPr>
        <w:adjustRightInd/>
        <w:rPr>
          <w:rFonts w:hAnsi="宋体"/>
          <w:color w:val="auto"/>
          <w:sz w:val="21"/>
          <w:szCs w:val="21"/>
          <w:highlight w:val="none"/>
        </w:rPr>
      </w:pPr>
      <w:bookmarkStart w:id="63" w:name="_Toc18108"/>
      <w:bookmarkStart w:id="64" w:name="_Toc110953834"/>
      <w:bookmarkStart w:id="65" w:name="_Toc16198"/>
      <w:r>
        <w:rPr>
          <w:rFonts w:hint="eastAsia" w:hAnsi="宋体"/>
          <w:color w:val="auto"/>
          <w:sz w:val="21"/>
          <w:szCs w:val="21"/>
          <w:highlight w:val="none"/>
        </w:rPr>
        <w:t>保密及其它注意事项</w:t>
      </w:r>
      <w:bookmarkEnd w:id="63"/>
      <w:bookmarkEnd w:id="64"/>
      <w:bookmarkEnd w:id="65"/>
    </w:p>
    <w:p w14:paraId="6DC23501">
      <w:pPr>
        <w:numPr>
          <w:ilvl w:val="1"/>
          <w:numId w:val="3"/>
        </w:numPr>
        <w:rPr>
          <w:rFonts w:ascii="宋体" w:hAnsi="宋体" w:cs="宋体"/>
          <w:color w:val="auto"/>
          <w:szCs w:val="21"/>
          <w:highlight w:val="none"/>
        </w:rPr>
      </w:pPr>
      <w:bookmarkStart w:id="66" w:name="_Toc98126297"/>
      <w:bookmarkStart w:id="67" w:name="_Toc98126222"/>
      <w:r>
        <w:rPr>
          <w:rFonts w:hint="eastAsia" w:ascii="宋体" w:hAnsi="宋体" w:cs="宋体"/>
          <w:color w:val="auto"/>
          <w:szCs w:val="21"/>
          <w:highlight w:val="none"/>
        </w:rPr>
        <w:t>凡参与采购工作的有关人员均应自觉接受有关主管部门的监督，不得向他人透露可能影响公平竞争的有关情况。</w:t>
      </w:r>
      <w:bookmarkEnd w:id="66"/>
      <w:bookmarkEnd w:id="67"/>
    </w:p>
    <w:p w14:paraId="136565E3">
      <w:pPr>
        <w:numPr>
          <w:ilvl w:val="1"/>
          <w:numId w:val="3"/>
        </w:numPr>
        <w:rPr>
          <w:rFonts w:ascii="宋体" w:hAnsi="宋体" w:cs="宋体"/>
          <w:color w:val="auto"/>
          <w:szCs w:val="21"/>
          <w:highlight w:val="none"/>
        </w:rPr>
      </w:pPr>
      <w:r>
        <w:rPr>
          <w:rFonts w:hint="eastAsia" w:ascii="宋体" w:hAnsi="宋体" w:cs="宋体"/>
          <w:color w:val="auto"/>
          <w:szCs w:val="21"/>
          <w:highlight w:val="none"/>
        </w:rPr>
        <w:t>开启响应文件后，凡与审查、澄清、评估和比较有关资料以及评审意见等，均不得向供应商及与评审无关的其他人透露。在采购工作结束后，与评审情况有接触的任何人，不得将评审情况扩散出磋商小组人员之外。</w:t>
      </w:r>
    </w:p>
    <w:p w14:paraId="5630810D">
      <w:pPr>
        <w:numPr>
          <w:ilvl w:val="1"/>
          <w:numId w:val="3"/>
        </w:numPr>
        <w:rPr>
          <w:rFonts w:ascii="宋体" w:hAnsi="宋体" w:cs="宋体"/>
          <w:color w:val="auto"/>
          <w:szCs w:val="21"/>
          <w:highlight w:val="none"/>
        </w:rPr>
      </w:pPr>
      <w:r>
        <w:rPr>
          <w:rFonts w:hint="eastAsia" w:ascii="宋体" w:hAnsi="宋体" w:cs="宋体"/>
          <w:color w:val="auto"/>
          <w:szCs w:val="21"/>
          <w:highlight w:val="none"/>
        </w:rPr>
        <w:t>在评审期间，供应商不得向磋商小组成员询问评审情况，不得进行旨在影响评审结果的活动。</w:t>
      </w:r>
    </w:p>
    <w:p w14:paraId="25C98F2E">
      <w:pPr>
        <w:numPr>
          <w:ilvl w:val="1"/>
          <w:numId w:val="3"/>
        </w:numPr>
        <w:rPr>
          <w:rFonts w:ascii="宋体" w:hAnsi="宋体" w:cs="宋体"/>
          <w:color w:val="auto"/>
          <w:szCs w:val="21"/>
          <w:highlight w:val="none"/>
        </w:rPr>
      </w:pPr>
      <w:r>
        <w:rPr>
          <w:rFonts w:hint="eastAsia" w:ascii="宋体" w:hAnsi="宋体" w:cs="宋体"/>
          <w:color w:val="auto"/>
          <w:szCs w:val="21"/>
          <w:highlight w:val="none"/>
        </w:rPr>
        <w:t>供应商应承担所有与准备和参加报价有关的费用。不论报价的结果如何，采购代理机构和采购人均无义务和责任承担这些费用。</w:t>
      </w:r>
    </w:p>
    <w:p w14:paraId="3D29856E">
      <w:pPr>
        <w:ind w:firstLine="420" w:firstLineChars="200"/>
        <w:rPr>
          <w:rFonts w:ascii="宋体" w:hAnsi="宋体" w:cs="宋体"/>
          <w:color w:val="auto"/>
          <w:szCs w:val="21"/>
          <w:highlight w:val="none"/>
        </w:rPr>
      </w:pPr>
    </w:p>
    <w:p w14:paraId="6E7A6609">
      <w:pPr>
        <w:pStyle w:val="3"/>
        <w:keepNext w:val="0"/>
        <w:keepLines w:val="0"/>
        <w:spacing w:before="0" w:after="0" w:line="360" w:lineRule="auto"/>
        <w:jc w:val="center"/>
        <w:rPr>
          <w:rFonts w:ascii="宋体" w:hAnsi="宋体" w:eastAsia="宋体"/>
          <w:color w:val="auto"/>
          <w:sz w:val="24"/>
          <w:szCs w:val="21"/>
          <w:highlight w:val="none"/>
        </w:rPr>
      </w:pPr>
      <w:bookmarkStart w:id="68" w:name="_Toc23588"/>
      <w:bookmarkStart w:id="69" w:name="_Toc25468"/>
      <w:r>
        <w:rPr>
          <w:rFonts w:hint="eastAsia" w:ascii="宋体" w:hAnsi="宋体" w:eastAsia="宋体"/>
          <w:color w:val="auto"/>
          <w:sz w:val="24"/>
          <w:szCs w:val="21"/>
          <w:highlight w:val="none"/>
        </w:rPr>
        <w:t>第二章磋商文件说明</w:t>
      </w:r>
      <w:bookmarkEnd w:id="46"/>
      <w:bookmarkEnd w:id="47"/>
      <w:bookmarkEnd w:id="48"/>
      <w:bookmarkEnd w:id="49"/>
      <w:bookmarkEnd w:id="50"/>
      <w:bookmarkEnd w:id="68"/>
      <w:bookmarkEnd w:id="69"/>
    </w:p>
    <w:p w14:paraId="32C20A6A">
      <w:pPr>
        <w:pStyle w:val="4"/>
        <w:keepNext w:val="0"/>
        <w:keepLines w:val="0"/>
        <w:numPr>
          <w:ilvl w:val="0"/>
          <w:numId w:val="3"/>
        </w:numPr>
        <w:adjustRightInd/>
        <w:rPr>
          <w:rFonts w:hAnsi="宋体"/>
          <w:color w:val="auto"/>
          <w:sz w:val="21"/>
          <w:szCs w:val="21"/>
          <w:highlight w:val="none"/>
        </w:rPr>
      </w:pPr>
      <w:bookmarkStart w:id="70" w:name="_Toc4511"/>
      <w:bookmarkStart w:id="71" w:name="_Toc110953836"/>
      <w:bookmarkStart w:id="72" w:name="_Toc21439"/>
      <w:bookmarkStart w:id="73" w:name="_Toc6882677"/>
      <w:bookmarkStart w:id="74" w:name="_Toc466786436"/>
      <w:bookmarkStart w:id="75" w:name="_Toc6968689"/>
      <w:bookmarkStart w:id="76" w:name="_Toc507407361"/>
      <w:bookmarkStart w:id="77" w:name="_Toc102277758"/>
      <w:r>
        <w:rPr>
          <w:rFonts w:hint="eastAsia" w:hAnsi="宋体"/>
          <w:color w:val="auto"/>
          <w:sz w:val="21"/>
          <w:szCs w:val="21"/>
          <w:highlight w:val="none"/>
        </w:rPr>
        <w:t>采购文件构成</w:t>
      </w:r>
      <w:bookmarkEnd w:id="70"/>
      <w:bookmarkEnd w:id="71"/>
      <w:bookmarkEnd w:id="72"/>
    </w:p>
    <w:p w14:paraId="57682CAA">
      <w:pPr>
        <w:numPr>
          <w:ilvl w:val="1"/>
          <w:numId w:val="3"/>
        </w:numPr>
        <w:rPr>
          <w:rFonts w:ascii="宋体" w:hAnsi="宋体" w:cs="宋体"/>
          <w:color w:val="auto"/>
          <w:szCs w:val="21"/>
          <w:highlight w:val="none"/>
        </w:rPr>
      </w:pPr>
      <w:r>
        <w:rPr>
          <w:rFonts w:hint="eastAsia" w:ascii="宋体" w:hAnsi="宋体" w:cs="宋体"/>
          <w:color w:val="auto"/>
          <w:szCs w:val="21"/>
          <w:highlight w:val="none"/>
        </w:rPr>
        <w:t>采购文件由下列文件以及在采购过程中发出的澄清更正文件组成：</w:t>
      </w:r>
    </w:p>
    <w:p w14:paraId="1480ECB9">
      <w:pPr>
        <w:pStyle w:val="7"/>
        <w:numPr>
          <w:ilvl w:val="0"/>
          <w:numId w:val="6"/>
        </w:numPr>
        <w:spacing w:before="0"/>
        <w:rPr>
          <w:color w:val="auto"/>
          <w:sz w:val="21"/>
          <w:szCs w:val="21"/>
          <w:highlight w:val="none"/>
        </w:rPr>
      </w:pPr>
      <w:r>
        <w:rPr>
          <w:rFonts w:hint="eastAsia"/>
          <w:color w:val="auto"/>
          <w:sz w:val="21"/>
          <w:szCs w:val="21"/>
          <w:highlight w:val="none"/>
        </w:rPr>
        <w:t>磋商邀请函；</w:t>
      </w:r>
    </w:p>
    <w:p w14:paraId="716F09AC">
      <w:pPr>
        <w:pStyle w:val="7"/>
        <w:numPr>
          <w:ilvl w:val="0"/>
          <w:numId w:val="6"/>
        </w:numPr>
        <w:spacing w:before="0"/>
        <w:rPr>
          <w:color w:val="auto"/>
          <w:sz w:val="21"/>
          <w:szCs w:val="21"/>
          <w:highlight w:val="none"/>
        </w:rPr>
      </w:pPr>
      <w:r>
        <w:rPr>
          <w:rFonts w:hint="eastAsia"/>
          <w:color w:val="auto"/>
          <w:sz w:val="21"/>
          <w:szCs w:val="21"/>
          <w:highlight w:val="none"/>
        </w:rPr>
        <w:t>磋商资料表；</w:t>
      </w:r>
    </w:p>
    <w:p w14:paraId="59B64612">
      <w:pPr>
        <w:pStyle w:val="7"/>
        <w:numPr>
          <w:ilvl w:val="0"/>
          <w:numId w:val="6"/>
        </w:numPr>
        <w:spacing w:before="0"/>
        <w:rPr>
          <w:color w:val="auto"/>
          <w:sz w:val="21"/>
          <w:szCs w:val="21"/>
          <w:highlight w:val="none"/>
        </w:rPr>
      </w:pPr>
      <w:r>
        <w:rPr>
          <w:rFonts w:hint="eastAsia"/>
          <w:color w:val="auto"/>
          <w:sz w:val="21"/>
          <w:szCs w:val="21"/>
          <w:highlight w:val="none"/>
        </w:rPr>
        <w:t>供应商须知；</w:t>
      </w:r>
    </w:p>
    <w:p w14:paraId="7990C771">
      <w:pPr>
        <w:pStyle w:val="7"/>
        <w:numPr>
          <w:ilvl w:val="0"/>
          <w:numId w:val="6"/>
        </w:numPr>
        <w:spacing w:before="0"/>
        <w:rPr>
          <w:color w:val="auto"/>
          <w:sz w:val="21"/>
          <w:szCs w:val="21"/>
          <w:highlight w:val="none"/>
        </w:rPr>
      </w:pPr>
      <w:r>
        <w:rPr>
          <w:rFonts w:hint="eastAsia"/>
          <w:color w:val="auto"/>
          <w:sz w:val="21"/>
          <w:szCs w:val="21"/>
          <w:highlight w:val="none"/>
        </w:rPr>
        <w:t>用户需求；</w:t>
      </w:r>
    </w:p>
    <w:p w14:paraId="7D91688C">
      <w:pPr>
        <w:pStyle w:val="7"/>
        <w:numPr>
          <w:ilvl w:val="0"/>
          <w:numId w:val="6"/>
        </w:numPr>
        <w:spacing w:before="0"/>
        <w:rPr>
          <w:color w:val="auto"/>
          <w:sz w:val="21"/>
          <w:szCs w:val="21"/>
          <w:highlight w:val="none"/>
        </w:rPr>
      </w:pPr>
      <w:r>
        <w:rPr>
          <w:rFonts w:hint="eastAsia"/>
          <w:color w:val="auto"/>
          <w:sz w:val="21"/>
          <w:szCs w:val="21"/>
          <w:highlight w:val="none"/>
        </w:rPr>
        <w:t>合同书格式；</w:t>
      </w:r>
    </w:p>
    <w:p w14:paraId="1CECDD29">
      <w:pPr>
        <w:pStyle w:val="7"/>
        <w:numPr>
          <w:ilvl w:val="0"/>
          <w:numId w:val="6"/>
        </w:numPr>
        <w:spacing w:before="0"/>
        <w:rPr>
          <w:color w:val="auto"/>
          <w:sz w:val="21"/>
          <w:szCs w:val="21"/>
          <w:highlight w:val="none"/>
        </w:rPr>
      </w:pPr>
      <w:r>
        <w:rPr>
          <w:rFonts w:hint="eastAsia"/>
          <w:color w:val="auto"/>
          <w:sz w:val="21"/>
          <w:szCs w:val="21"/>
          <w:highlight w:val="none"/>
        </w:rPr>
        <w:t>响应文件格式；</w:t>
      </w:r>
    </w:p>
    <w:p w14:paraId="6626C20C">
      <w:pPr>
        <w:pStyle w:val="7"/>
        <w:numPr>
          <w:ilvl w:val="0"/>
          <w:numId w:val="6"/>
        </w:numPr>
        <w:spacing w:before="0"/>
        <w:rPr>
          <w:color w:val="auto"/>
          <w:sz w:val="21"/>
          <w:szCs w:val="21"/>
          <w:highlight w:val="none"/>
        </w:rPr>
      </w:pPr>
      <w:r>
        <w:rPr>
          <w:rFonts w:hint="eastAsia"/>
          <w:color w:val="auto"/>
          <w:sz w:val="21"/>
          <w:szCs w:val="21"/>
          <w:highlight w:val="none"/>
        </w:rPr>
        <w:t>在采购过程中由集中采购机构发出的澄清更正文件等。</w:t>
      </w:r>
    </w:p>
    <w:p w14:paraId="39DDC2B9">
      <w:pPr>
        <w:numPr>
          <w:ilvl w:val="1"/>
          <w:numId w:val="3"/>
        </w:numPr>
        <w:rPr>
          <w:rFonts w:ascii="宋体" w:hAnsi="宋体" w:cs="宋体"/>
          <w:color w:val="auto"/>
          <w:szCs w:val="21"/>
          <w:highlight w:val="none"/>
        </w:rPr>
      </w:pPr>
      <w:r>
        <w:rPr>
          <w:rFonts w:hint="eastAsia" w:ascii="宋体" w:hAnsi="宋体" w:cs="宋体"/>
          <w:color w:val="auto"/>
          <w:szCs w:val="21"/>
          <w:highlight w:val="none"/>
        </w:rPr>
        <w:t>采购文件的澄清更正：</w:t>
      </w:r>
    </w:p>
    <w:p w14:paraId="58E79891">
      <w:pPr>
        <w:numPr>
          <w:ilvl w:val="0"/>
          <w:numId w:val="7"/>
        </w:numPr>
        <w:rPr>
          <w:rFonts w:ascii="宋体" w:hAnsi="宋体" w:cs="宋体"/>
          <w:color w:val="auto"/>
          <w:szCs w:val="21"/>
          <w:highlight w:val="none"/>
        </w:rPr>
      </w:pPr>
      <w:r>
        <w:rPr>
          <w:rFonts w:hint="eastAsia" w:ascii="宋体" w:hAnsi="宋体" w:cs="宋体"/>
          <w:color w:val="auto"/>
          <w:szCs w:val="21"/>
          <w:highlight w:val="none"/>
        </w:rPr>
        <w:t>采购代理机构对采购文件进行必要的澄清更正的，澄清或者修改的内容可能影响响应文件编制的，于提交首次响应文件截止之日5日前在指定媒体上发布公告，并通知所有报名及购买采购文件的供应商，该澄清更正的内容为采购文件的组成部分。</w:t>
      </w:r>
    </w:p>
    <w:p w14:paraId="0EBD6AF1">
      <w:pPr>
        <w:numPr>
          <w:ilvl w:val="0"/>
          <w:numId w:val="7"/>
        </w:numPr>
        <w:rPr>
          <w:rFonts w:ascii="宋体" w:hAnsi="宋体" w:cs="宋体"/>
          <w:color w:val="auto"/>
          <w:szCs w:val="21"/>
          <w:highlight w:val="none"/>
        </w:rPr>
      </w:pPr>
      <w:r>
        <w:rPr>
          <w:rFonts w:hint="eastAsia" w:ascii="宋体" w:hAnsi="宋体" w:cs="宋体"/>
          <w:color w:val="auto"/>
          <w:szCs w:val="21"/>
          <w:highlight w:val="none"/>
        </w:rPr>
        <w:t>采购期间，供应商有义务上网查看，公告一经上网发布，即视为送达。因供应商未及时上网查看而造成的所有后果，由供应商自行承担。</w:t>
      </w:r>
    </w:p>
    <w:p w14:paraId="2EB06CD4">
      <w:pPr>
        <w:numPr>
          <w:ilvl w:val="0"/>
          <w:numId w:val="7"/>
        </w:numPr>
        <w:rPr>
          <w:rFonts w:ascii="宋体" w:hAnsi="宋体" w:cs="宋体"/>
          <w:color w:val="auto"/>
          <w:szCs w:val="21"/>
          <w:highlight w:val="none"/>
        </w:rPr>
      </w:pPr>
      <w:r>
        <w:rPr>
          <w:rFonts w:hint="eastAsia" w:ascii="宋体" w:hAnsi="宋体" w:cs="宋体"/>
          <w:color w:val="auto"/>
          <w:szCs w:val="21"/>
          <w:highlight w:val="none"/>
        </w:rPr>
        <w:t>根据采购的具体情况，采购代理机构可延长响应文件递交截止时间和磋商时间，并将变更时间在指定媒体上发布公告及通知所有报名及购买采购文件的供应商。</w:t>
      </w:r>
    </w:p>
    <w:p w14:paraId="18CCF284">
      <w:pPr>
        <w:pStyle w:val="7"/>
        <w:rPr>
          <w:color w:val="auto"/>
          <w:sz w:val="21"/>
          <w:szCs w:val="21"/>
          <w:highlight w:val="none"/>
        </w:rPr>
      </w:pPr>
    </w:p>
    <w:bookmarkEnd w:id="73"/>
    <w:bookmarkEnd w:id="74"/>
    <w:bookmarkEnd w:id="75"/>
    <w:bookmarkEnd w:id="76"/>
    <w:bookmarkEnd w:id="77"/>
    <w:p w14:paraId="55881277">
      <w:pPr>
        <w:pStyle w:val="3"/>
        <w:keepNext w:val="0"/>
        <w:keepLines w:val="0"/>
        <w:spacing w:before="0" w:after="0" w:line="360" w:lineRule="auto"/>
        <w:jc w:val="center"/>
        <w:rPr>
          <w:rFonts w:ascii="宋体" w:hAnsi="宋体" w:eastAsia="宋体"/>
          <w:color w:val="auto"/>
          <w:sz w:val="24"/>
          <w:szCs w:val="21"/>
          <w:highlight w:val="none"/>
        </w:rPr>
      </w:pPr>
      <w:bookmarkStart w:id="78" w:name="_Toc110953838"/>
      <w:bookmarkStart w:id="79" w:name="_Toc158"/>
      <w:bookmarkStart w:id="80" w:name="_Toc25500"/>
      <w:bookmarkStart w:id="81" w:name="_Toc507407362"/>
      <w:bookmarkStart w:id="82" w:name="_Toc102277759"/>
      <w:bookmarkStart w:id="83" w:name="_Toc466786437"/>
      <w:bookmarkStart w:id="84" w:name="_Toc6882678"/>
      <w:bookmarkStart w:id="85" w:name="_Toc6968690"/>
      <w:r>
        <w:rPr>
          <w:rFonts w:hint="eastAsia" w:ascii="宋体" w:hAnsi="宋体" w:eastAsia="宋体"/>
          <w:color w:val="auto"/>
          <w:sz w:val="24"/>
          <w:szCs w:val="21"/>
          <w:highlight w:val="none"/>
        </w:rPr>
        <w:t>第三章响应文件的</w:t>
      </w:r>
      <w:bookmarkEnd w:id="78"/>
      <w:r>
        <w:rPr>
          <w:rFonts w:hint="eastAsia" w:ascii="宋体" w:hAnsi="宋体" w:eastAsia="宋体"/>
          <w:color w:val="auto"/>
          <w:sz w:val="24"/>
          <w:szCs w:val="21"/>
          <w:highlight w:val="none"/>
        </w:rPr>
        <w:t>编制</w:t>
      </w:r>
      <w:bookmarkEnd w:id="79"/>
      <w:bookmarkEnd w:id="80"/>
    </w:p>
    <w:p w14:paraId="0344E4DE">
      <w:pPr>
        <w:pStyle w:val="4"/>
        <w:keepNext w:val="0"/>
        <w:keepLines w:val="0"/>
        <w:numPr>
          <w:ilvl w:val="0"/>
          <w:numId w:val="3"/>
        </w:numPr>
        <w:adjustRightInd/>
        <w:rPr>
          <w:rFonts w:hAnsi="宋体"/>
          <w:color w:val="auto"/>
          <w:sz w:val="21"/>
          <w:szCs w:val="21"/>
          <w:highlight w:val="none"/>
        </w:rPr>
      </w:pPr>
      <w:bookmarkStart w:id="86" w:name="_Toc19833"/>
      <w:bookmarkStart w:id="87" w:name="_Toc4681"/>
      <w:bookmarkStart w:id="88" w:name="_Toc110953839"/>
      <w:r>
        <w:rPr>
          <w:rFonts w:hint="eastAsia" w:hAnsi="宋体"/>
          <w:color w:val="auto"/>
          <w:sz w:val="21"/>
          <w:szCs w:val="21"/>
          <w:highlight w:val="none"/>
        </w:rPr>
        <w:t>响应文件的语言及度量衡单位</w:t>
      </w:r>
      <w:bookmarkEnd w:id="86"/>
      <w:bookmarkEnd w:id="87"/>
    </w:p>
    <w:p w14:paraId="686AB45E">
      <w:pPr>
        <w:numPr>
          <w:ilvl w:val="1"/>
          <w:numId w:val="3"/>
        </w:numPr>
        <w:rPr>
          <w:rFonts w:ascii="宋体" w:hAnsi="宋体"/>
          <w:bCs/>
          <w:color w:val="auto"/>
          <w:szCs w:val="21"/>
          <w:highlight w:val="none"/>
        </w:rPr>
      </w:pPr>
      <w:r>
        <w:rPr>
          <w:rFonts w:hint="eastAsia" w:ascii="宋体" w:hAnsi="宋体"/>
          <w:bCs/>
          <w:color w:val="auto"/>
          <w:szCs w:val="21"/>
          <w:highlight w:val="none"/>
        </w:rPr>
        <w:t>供应商提交的响应文件以及供应商与集中采购机构就有关报价的所有来往函电均应使用中文。供应商提交的支持文件或印刷的资料可以用另一种语言，但相应内容应附有中文翻译本，两种语言不一致时以中文翻译本为准</w:t>
      </w:r>
      <w:r>
        <w:rPr>
          <w:rFonts w:hint="eastAsia" w:ascii="宋体" w:hAnsi="宋体"/>
          <w:color w:val="auto"/>
          <w:szCs w:val="21"/>
          <w:highlight w:val="none"/>
        </w:rPr>
        <w:t>（中文译本应由翻译机构盖章或者翻译人员签名确认，否则按无效处理）</w:t>
      </w:r>
      <w:r>
        <w:rPr>
          <w:rFonts w:hint="eastAsia" w:ascii="宋体" w:hAnsi="宋体"/>
          <w:bCs/>
          <w:color w:val="auto"/>
          <w:szCs w:val="21"/>
          <w:highlight w:val="none"/>
        </w:rPr>
        <w:t>。</w:t>
      </w:r>
    </w:p>
    <w:p w14:paraId="7E066FB5">
      <w:pPr>
        <w:numPr>
          <w:ilvl w:val="1"/>
          <w:numId w:val="3"/>
        </w:numPr>
        <w:rPr>
          <w:rFonts w:ascii="宋体" w:hAnsi="宋体"/>
          <w:bCs/>
          <w:color w:val="auto"/>
          <w:szCs w:val="21"/>
          <w:highlight w:val="none"/>
        </w:rPr>
      </w:pPr>
      <w:r>
        <w:rPr>
          <w:rFonts w:hint="eastAsia" w:ascii="宋体" w:hAnsi="宋体"/>
          <w:bCs/>
          <w:color w:val="auto"/>
          <w:szCs w:val="21"/>
          <w:highlight w:val="none"/>
        </w:rPr>
        <w:t>除非采购文件在技术规格中另有规定，供应商在采购文件中及其与采购代理机构和采购人所有往来文件中的所有计量单位均应采用中华人民共和国法定计量单位。</w:t>
      </w:r>
    </w:p>
    <w:p w14:paraId="7BAB22BA">
      <w:pPr>
        <w:rPr>
          <w:color w:val="auto"/>
          <w:highlight w:val="none"/>
        </w:rPr>
      </w:pPr>
    </w:p>
    <w:bookmarkEnd w:id="88"/>
    <w:p w14:paraId="1DE388B1">
      <w:pPr>
        <w:pStyle w:val="4"/>
        <w:keepNext w:val="0"/>
        <w:keepLines w:val="0"/>
        <w:numPr>
          <w:ilvl w:val="0"/>
          <w:numId w:val="3"/>
        </w:numPr>
        <w:adjustRightInd/>
        <w:rPr>
          <w:rFonts w:hAnsi="宋体"/>
          <w:color w:val="auto"/>
          <w:sz w:val="21"/>
          <w:szCs w:val="21"/>
          <w:highlight w:val="none"/>
        </w:rPr>
      </w:pPr>
      <w:bookmarkStart w:id="89" w:name="_Toc11910"/>
      <w:bookmarkStart w:id="90" w:name="_Toc110953840"/>
      <w:bookmarkStart w:id="91" w:name="_Toc26897"/>
      <w:r>
        <w:rPr>
          <w:rFonts w:hint="eastAsia" w:hAnsi="宋体"/>
          <w:color w:val="auto"/>
          <w:sz w:val="21"/>
          <w:szCs w:val="21"/>
          <w:highlight w:val="none"/>
        </w:rPr>
        <w:t>响应文件的内容</w:t>
      </w:r>
      <w:bookmarkEnd w:id="89"/>
      <w:bookmarkEnd w:id="90"/>
      <w:bookmarkEnd w:id="91"/>
    </w:p>
    <w:p w14:paraId="40C6D575">
      <w:pPr>
        <w:numPr>
          <w:ilvl w:val="1"/>
          <w:numId w:val="3"/>
        </w:numPr>
        <w:rPr>
          <w:rFonts w:ascii="宋体" w:hAnsi="宋体"/>
          <w:bCs/>
          <w:color w:val="auto"/>
          <w:szCs w:val="21"/>
          <w:highlight w:val="none"/>
        </w:rPr>
      </w:pPr>
      <w:r>
        <w:rPr>
          <w:rFonts w:hint="eastAsia" w:ascii="宋体" w:hAnsi="宋体"/>
          <w:bCs/>
          <w:color w:val="auto"/>
          <w:szCs w:val="21"/>
          <w:highlight w:val="none"/>
        </w:rPr>
        <w:t>证明供应商合格和资格的文件。</w:t>
      </w:r>
    </w:p>
    <w:p w14:paraId="6DB51B7C">
      <w:pPr>
        <w:numPr>
          <w:ilvl w:val="1"/>
          <w:numId w:val="3"/>
        </w:numPr>
        <w:rPr>
          <w:rFonts w:ascii="宋体" w:hAnsi="宋体"/>
          <w:bCs/>
          <w:color w:val="auto"/>
          <w:szCs w:val="21"/>
          <w:highlight w:val="none"/>
        </w:rPr>
      </w:pPr>
      <w:r>
        <w:rPr>
          <w:rFonts w:hint="eastAsia" w:ascii="宋体" w:hAnsi="宋体"/>
          <w:bCs/>
          <w:color w:val="auto"/>
          <w:szCs w:val="21"/>
          <w:highlight w:val="none"/>
        </w:rPr>
        <w:t>响应文件格式中要求必须提供的表格。</w:t>
      </w:r>
    </w:p>
    <w:p w14:paraId="4EDE7B4A">
      <w:pPr>
        <w:rPr>
          <w:rFonts w:ascii="宋体" w:hAnsi="宋体" w:cs="宋体"/>
          <w:color w:val="auto"/>
          <w:szCs w:val="21"/>
          <w:highlight w:val="none"/>
        </w:rPr>
      </w:pPr>
    </w:p>
    <w:p w14:paraId="5B5A4B13">
      <w:pPr>
        <w:pStyle w:val="4"/>
        <w:keepNext w:val="0"/>
        <w:keepLines w:val="0"/>
        <w:numPr>
          <w:ilvl w:val="0"/>
          <w:numId w:val="3"/>
        </w:numPr>
        <w:adjustRightInd/>
        <w:rPr>
          <w:rFonts w:hAnsi="宋体"/>
          <w:color w:val="auto"/>
          <w:sz w:val="21"/>
          <w:szCs w:val="21"/>
          <w:highlight w:val="none"/>
        </w:rPr>
      </w:pPr>
      <w:bookmarkStart w:id="92" w:name="_Toc25730"/>
      <w:bookmarkStart w:id="93" w:name="_Toc18228"/>
      <w:bookmarkStart w:id="94" w:name="_Toc1662"/>
      <w:bookmarkStart w:id="95" w:name="_Toc15387"/>
      <w:bookmarkStart w:id="96" w:name="_Toc110953841"/>
      <w:r>
        <w:rPr>
          <w:rFonts w:hint="eastAsia" w:hAnsi="宋体"/>
          <w:color w:val="auto"/>
          <w:sz w:val="21"/>
          <w:szCs w:val="21"/>
          <w:highlight w:val="none"/>
        </w:rPr>
        <w:t>响应文件编制</w:t>
      </w:r>
      <w:bookmarkEnd w:id="92"/>
      <w:bookmarkEnd w:id="93"/>
    </w:p>
    <w:p w14:paraId="30AC70E8">
      <w:pPr>
        <w:numPr>
          <w:ilvl w:val="1"/>
          <w:numId w:val="3"/>
        </w:numPr>
        <w:rPr>
          <w:rFonts w:ascii="宋体" w:hAnsi="宋体"/>
          <w:bCs/>
          <w:color w:val="auto"/>
          <w:szCs w:val="21"/>
          <w:highlight w:val="none"/>
        </w:rPr>
      </w:pPr>
      <w:r>
        <w:rPr>
          <w:rFonts w:hint="eastAsia" w:ascii="宋体" w:hAnsi="宋体"/>
          <w:bCs/>
          <w:color w:val="auto"/>
          <w:szCs w:val="21"/>
          <w:highlight w:val="none"/>
        </w:rPr>
        <w:t>供应商应认真阅读、并充分理解采购文件的全部内容（包括所有的补充、修改内容、重要事项、格式、条款和技术规范、参数及要求等），并应完整、真实、准确的填写采购文件中规定的所有内容。供应商没有按照采购文件要求提交全部资料，或者报价没有对采购文件在各方面都作出实质性响应是供应商的风险，有可能导致其报价被拒绝，或被认定为无效响应或被确定为报价无效。</w:t>
      </w:r>
    </w:p>
    <w:p w14:paraId="63CE6285">
      <w:pPr>
        <w:numPr>
          <w:ilvl w:val="1"/>
          <w:numId w:val="3"/>
        </w:numPr>
        <w:rPr>
          <w:rFonts w:ascii="宋体" w:hAnsi="宋体"/>
          <w:bCs/>
          <w:color w:val="auto"/>
          <w:szCs w:val="21"/>
          <w:highlight w:val="none"/>
        </w:rPr>
      </w:pPr>
      <w:r>
        <w:rPr>
          <w:rFonts w:hint="eastAsia" w:ascii="宋体" w:hAnsi="宋体"/>
          <w:bCs/>
          <w:color w:val="auto"/>
          <w:szCs w:val="21"/>
          <w:highlight w:val="none"/>
        </w:rPr>
        <w:t>供应商必须对响应文件所提供的全部资料的真实性承担法律责任，并无条件接受采购人或采购代理机构及政府采购监督管理部门等对其中任何资料进行核实的要求。</w:t>
      </w:r>
    </w:p>
    <w:p w14:paraId="43A04C31">
      <w:pPr>
        <w:numPr>
          <w:ilvl w:val="1"/>
          <w:numId w:val="3"/>
        </w:numPr>
        <w:rPr>
          <w:rFonts w:ascii="宋体" w:hAnsi="宋体"/>
          <w:bCs/>
          <w:color w:val="auto"/>
          <w:szCs w:val="21"/>
          <w:highlight w:val="none"/>
        </w:rPr>
      </w:pPr>
      <w:r>
        <w:rPr>
          <w:rFonts w:hint="eastAsia" w:ascii="宋体" w:hAnsi="宋体"/>
          <w:bCs/>
          <w:color w:val="auto"/>
          <w:szCs w:val="21"/>
          <w:highlight w:val="none"/>
        </w:rPr>
        <w:t>如果因为供应商响应文件填报的内容不详，或没有提供采购文件中所要求的全部资料及数据，由此造成的后果，其责任由供应商承担。</w:t>
      </w:r>
    </w:p>
    <w:p w14:paraId="34BBC285">
      <w:pPr>
        <w:numPr>
          <w:ilvl w:val="1"/>
          <w:numId w:val="3"/>
        </w:numPr>
        <w:rPr>
          <w:rFonts w:ascii="宋体" w:hAnsi="宋体"/>
          <w:bCs/>
          <w:color w:val="auto"/>
          <w:szCs w:val="21"/>
          <w:highlight w:val="none"/>
        </w:rPr>
      </w:pPr>
      <w:r>
        <w:rPr>
          <w:rFonts w:hint="eastAsia" w:ascii="宋体" w:hAnsi="宋体"/>
          <w:bCs/>
          <w:color w:val="auto"/>
          <w:szCs w:val="21"/>
          <w:highlight w:val="none"/>
        </w:rPr>
        <w:t>为方便磋商小组进行供应商授权代表人身份审查及供应商报价审查，供应商应将首次报价一览表及授权委托书单独密封提交，并在信封上标明“报价文件”字样。供应商的法定代表人参加磋商时，须开具法定代表人证明书，按上述要求一并密封提交。“报价文件”份数及签章等要求与响应文件正本相同（1份）。</w:t>
      </w:r>
    </w:p>
    <w:p w14:paraId="468C808E">
      <w:pPr>
        <w:numPr>
          <w:ilvl w:val="1"/>
          <w:numId w:val="3"/>
        </w:numPr>
        <w:rPr>
          <w:rFonts w:ascii="宋体" w:hAnsi="宋体"/>
          <w:bCs/>
          <w:color w:val="auto"/>
          <w:szCs w:val="21"/>
          <w:highlight w:val="none"/>
        </w:rPr>
      </w:pPr>
      <w:r>
        <w:rPr>
          <w:rFonts w:hint="eastAsia" w:ascii="宋体" w:hAnsi="宋体"/>
          <w:bCs/>
          <w:color w:val="auto"/>
          <w:szCs w:val="21"/>
          <w:highlight w:val="none"/>
        </w:rPr>
        <w:t>报价：</w:t>
      </w:r>
    </w:p>
    <w:p w14:paraId="4A45645F">
      <w:pPr>
        <w:numPr>
          <w:ilvl w:val="0"/>
          <w:numId w:val="8"/>
        </w:numPr>
        <w:rPr>
          <w:rFonts w:ascii="宋体" w:hAnsi="宋体"/>
          <w:bCs/>
          <w:color w:val="auto"/>
          <w:szCs w:val="21"/>
          <w:highlight w:val="none"/>
        </w:rPr>
      </w:pPr>
      <w:r>
        <w:rPr>
          <w:rFonts w:hint="eastAsia" w:ascii="宋体" w:hAnsi="宋体"/>
          <w:bCs/>
          <w:color w:val="auto"/>
          <w:szCs w:val="21"/>
          <w:highlight w:val="none"/>
        </w:rPr>
        <w:t>供应商应按响应文件的</w:t>
      </w:r>
      <w:r>
        <w:rPr>
          <w:rFonts w:hint="eastAsia" w:ascii="宋体" w:hAnsi="宋体"/>
          <w:color w:val="auto"/>
          <w:szCs w:val="21"/>
          <w:highlight w:val="none"/>
        </w:rPr>
        <w:t>用户需求中的要求进行一次报价</w:t>
      </w:r>
      <w:r>
        <w:rPr>
          <w:rFonts w:hint="eastAsia" w:ascii="宋体" w:hAnsi="宋体"/>
          <w:bCs/>
          <w:color w:val="auto"/>
          <w:szCs w:val="21"/>
          <w:highlight w:val="none"/>
        </w:rPr>
        <w:t>；</w:t>
      </w:r>
    </w:p>
    <w:p w14:paraId="6FBE7A2C">
      <w:pPr>
        <w:numPr>
          <w:ilvl w:val="0"/>
          <w:numId w:val="8"/>
        </w:numPr>
        <w:rPr>
          <w:rFonts w:ascii="宋体" w:hAnsi="宋体"/>
          <w:bCs/>
          <w:color w:val="auto"/>
          <w:szCs w:val="21"/>
          <w:highlight w:val="none"/>
        </w:rPr>
      </w:pPr>
      <w:r>
        <w:rPr>
          <w:rFonts w:hint="eastAsia" w:ascii="宋体" w:hAnsi="宋体"/>
          <w:bCs/>
          <w:color w:val="auto"/>
          <w:szCs w:val="21"/>
          <w:highlight w:val="none"/>
        </w:rPr>
        <w:t>供应商所提供的货物和服务均应以人民币</w:t>
      </w:r>
      <w:r>
        <w:rPr>
          <w:rFonts w:hint="eastAsia" w:ascii="宋体" w:hAnsi="宋体"/>
          <w:color w:val="auto"/>
          <w:szCs w:val="21"/>
          <w:highlight w:val="none"/>
        </w:rPr>
        <w:t>（或相关费率）</w:t>
      </w:r>
      <w:r>
        <w:rPr>
          <w:rFonts w:hint="eastAsia" w:ascii="宋体" w:hAnsi="宋体"/>
          <w:bCs/>
          <w:color w:val="auto"/>
          <w:szCs w:val="21"/>
          <w:highlight w:val="none"/>
        </w:rPr>
        <w:t>报价（具体报价要求详见用户需求）；</w:t>
      </w:r>
    </w:p>
    <w:p w14:paraId="143E7475">
      <w:pPr>
        <w:numPr>
          <w:ilvl w:val="0"/>
          <w:numId w:val="8"/>
        </w:numPr>
        <w:rPr>
          <w:rFonts w:ascii="宋体" w:hAnsi="宋体"/>
          <w:bCs/>
          <w:color w:val="auto"/>
          <w:szCs w:val="21"/>
          <w:highlight w:val="none"/>
        </w:rPr>
      </w:pPr>
      <w:r>
        <w:rPr>
          <w:rFonts w:hint="eastAsia" w:ascii="宋体" w:hAnsi="宋体"/>
          <w:bCs/>
          <w:color w:val="auto"/>
          <w:szCs w:val="21"/>
          <w:highlight w:val="none"/>
        </w:rPr>
        <w:t>报价应包含完成本次采购所有服务内容的费用，包含各种税务费及合同实施过程中的全部费用；</w:t>
      </w:r>
    </w:p>
    <w:p w14:paraId="78D3F77B">
      <w:pPr>
        <w:numPr>
          <w:ilvl w:val="0"/>
          <w:numId w:val="8"/>
        </w:numPr>
        <w:rPr>
          <w:rFonts w:ascii="宋体" w:hAnsi="宋体"/>
          <w:bCs/>
          <w:color w:val="auto"/>
          <w:szCs w:val="21"/>
          <w:highlight w:val="none"/>
        </w:rPr>
      </w:pPr>
      <w:r>
        <w:rPr>
          <w:rFonts w:hint="eastAsia" w:ascii="宋体" w:hAnsi="宋体"/>
          <w:bCs/>
          <w:color w:val="auto"/>
          <w:szCs w:val="21"/>
          <w:highlight w:val="none"/>
        </w:rPr>
        <w:t>经磋商后，供应商所报的最后磋商报价在合同执行过程中是固定不变的，不得以任何理由予以变更；</w:t>
      </w:r>
    </w:p>
    <w:p w14:paraId="4853EC5B">
      <w:pPr>
        <w:numPr>
          <w:ilvl w:val="0"/>
          <w:numId w:val="8"/>
        </w:numPr>
        <w:rPr>
          <w:rFonts w:ascii="宋体" w:hAnsi="宋体"/>
          <w:bCs/>
          <w:color w:val="auto"/>
          <w:szCs w:val="21"/>
          <w:highlight w:val="none"/>
        </w:rPr>
      </w:pPr>
      <w:r>
        <w:rPr>
          <w:rFonts w:hint="eastAsia" w:ascii="宋体" w:hAnsi="宋体"/>
          <w:bCs/>
          <w:color w:val="auto"/>
          <w:szCs w:val="21"/>
          <w:highlight w:val="none"/>
        </w:rPr>
        <w:t>供应商只能就单个项目提供唯一的方案和报价，不接受选择性的方案和报价，方案或报价不是唯一的响应文件作无效处理；</w:t>
      </w:r>
    </w:p>
    <w:p w14:paraId="2ACC1144">
      <w:pPr>
        <w:numPr>
          <w:ilvl w:val="0"/>
          <w:numId w:val="8"/>
        </w:numPr>
        <w:rPr>
          <w:rFonts w:ascii="宋体" w:hAnsi="宋体"/>
          <w:bCs/>
          <w:color w:val="auto"/>
          <w:szCs w:val="21"/>
          <w:highlight w:val="none"/>
        </w:rPr>
      </w:pPr>
      <w:r>
        <w:rPr>
          <w:rFonts w:hint="eastAsia" w:ascii="宋体" w:hAnsi="宋体"/>
          <w:bCs/>
          <w:color w:val="auto"/>
          <w:szCs w:val="21"/>
          <w:highlight w:val="none"/>
        </w:rPr>
        <w:t>最终报价文件为供应商响应文件组成的一部分，其报价有效期应与响应文件有效期保持一致；</w:t>
      </w:r>
    </w:p>
    <w:p w14:paraId="6F644052">
      <w:pPr>
        <w:numPr>
          <w:ilvl w:val="0"/>
          <w:numId w:val="8"/>
        </w:numPr>
        <w:rPr>
          <w:rFonts w:ascii="宋体" w:hAnsi="宋体"/>
          <w:bCs/>
          <w:color w:val="auto"/>
          <w:szCs w:val="21"/>
          <w:highlight w:val="none"/>
        </w:rPr>
      </w:pPr>
      <w:r>
        <w:rPr>
          <w:rFonts w:hint="eastAsia" w:ascii="宋体" w:hAnsi="宋体"/>
          <w:bCs/>
          <w:color w:val="auto"/>
          <w:szCs w:val="21"/>
          <w:highlight w:val="none"/>
        </w:rPr>
        <w:t>磋商小组认为供应商的报价明显低于其他通过初审的供应商的报价，有可能影响产品质量或者不能诚信履约的，应当要求其在磋商现场合理的时间内提供书面说明，必要时提交相关证明材料；供应商不能证明其报价合理性的，磋商小组应当将其作为无效报价处理。</w:t>
      </w:r>
    </w:p>
    <w:p w14:paraId="1EEDFA64">
      <w:pPr>
        <w:numPr>
          <w:ilvl w:val="1"/>
          <w:numId w:val="3"/>
        </w:numPr>
        <w:rPr>
          <w:rFonts w:ascii="宋体" w:hAnsi="宋体"/>
          <w:color w:val="auto"/>
          <w:szCs w:val="21"/>
          <w:highlight w:val="none"/>
        </w:rPr>
      </w:pPr>
      <w:r>
        <w:rPr>
          <w:rFonts w:hint="eastAsia" w:ascii="宋体" w:hAnsi="宋体"/>
          <w:bCs/>
          <w:color w:val="auto"/>
          <w:szCs w:val="21"/>
          <w:highlight w:val="none"/>
        </w:rPr>
        <w:t>供应商名称与供应商公章不一致，若供应商名称已进行变更，应在响应文件中提供相应的证明材料并加盖公章，否则响应文件无效。</w:t>
      </w:r>
    </w:p>
    <w:p w14:paraId="57B6F298">
      <w:pPr>
        <w:numPr>
          <w:ilvl w:val="1"/>
          <w:numId w:val="3"/>
        </w:numPr>
        <w:rPr>
          <w:rFonts w:ascii="宋体" w:hAnsi="宋体"/>
          <w:bCs/>
          <w:color w:val="auto"/>
          <w:szCs w:val="21"/>
          <w:highlight w:val="none"/>
        </w:rPr>
      </w:pPr>
      <w:r>
        <w:rPr>
          <w:rFonts w:hint="eastAsia" w:ascii="宋体" w:hAnsi="宋体"/>
          <w:bCs/>
          <w:color w:val="auto"/>
          <w:szCs w:val="21"/>
          <w:highlight w:val="none"/>
        </w:rPr>
        <w:t>响应文件密封、标记及内容与本项目采购信息不符，导致无法分辨所参与项目为本项目的，响应文件无效。</w:t>
      </w:r>
    </w:p>
    <w:p w14:paraId="334410B2">
      <w:pPr>
        <w:numPr>
          <w:ilvl w:val="1"/>
          <w:numId w:val="3"/>
        </w:numPr>
        <w:rPr>
          <w:rFonts w:ascii="宋体" w:hAnsi="宋体"/>
          <w:bCs/>
          <w:color w:val="auto"/>
          <w:szCs w:val="21"/>
          <w:highlight w:val="none"/>
        </w:rPr>
      </w:pPr>
      <w:r>
        <w:rPr>
          <w:rFonts w:hint="eastAsia" w:ascii="宋体" w:hAnsi="宋体"/>
          <w:bCs/>
          <w:color w:val="auto"/>
          <w:szCs w:val="21"/>
          <w:highlight w:val="none"/>
        </w:rPr>
        <w:t>除供应商对错处作必要修改外，响应文件中不允许涂改或改写。任何行间插字、涂改和增删，必须由供应商的法定代表人或委托代理人在修改处签字或加盖公章才有效，否则其该处内容无效。</w:t>
      </w:r>
    </w:p>
    <w:p w14:paraId="6759B7F2">
      <w:pPr>
        <w:numPr>
          <w:ilvl w:val="1"/>
          <w:numId w:val="3"/>
        </w:numPr>
        <w:rPr>
          <w:rFonts w:ascii="宋体" w:hAnsi="宋体"/>
          <w:bCs/>
          <w:color w:val="auto"/>
          <w:szCs w:val="21"/>
          <w:highlight w:val="none"/>
        </w:rPr>
      </w:pPr>
      <w:r>
        <w:rPr>
          <w:rFonts w:hint="eastAsia" w:ascii="宋体" w:hAnsi="宋体"/>
          <w:bCs/>
          <w:color w:val="auto"/>
          <w:szCs w:val="21"/>
          <w:highlight w:val="none"/>
        </w:rPr>
        <w:t>响应文件的签署：未按采购文件要求或未按响应文件所要求格式对响应文件进行签署授权的，其报价无效。</w:t>
      </w:r>
    </w:p>
    <w:p w14:paraId="195D5D83">
      <w:pPr>
        <w:numPr>
          <w:ilvl w:val="1"/>
          <w:numId w:val="3"/>
        </w:numPr>
        <w:rPr>
          <w:rFonts w:ascii="宋体" w:hAnsi="宋体"/>
          <w:bCs/>
          <w:color w:val="auto"/>
          <w:szCs w:val="21"/>
          <w:highlight w:val="none"/>
        </w:rPr>
      </w:pPr>
      <w:r>
        <w:rPr>
          <w:rFonts w:hint="eastAsia" w:ascii="宋体" w:hAnsi="宋体"/>
          <w:bCs/>
          <w:color w:val="auto"/>
          <w:szCs w:val="21"/>
          <w:highlight w:val="none"/>
        </w:rPr>
        <w:t>电报、电话、传真、电子邮件形式的响应文件概不接受。</w:t>
      </w:r>
    </w:p>
    <w:p w14:paraId="3F155A2B">
      <w:pPr>
        <w:rPr>
          <w:rFonts w:ascii="宋体" w:hAnsi="宋体"/>
          <w:bCs/>
          <w:color w:val="auto"/>
          <w:szCs w:val="21"/>
          <w:highlight w:val="none"/>
        </w:rPr>
      </w:pPr>
    </w:p>
    <w:p w14:paraId="76825BAD">
      <w:pPr>
        <w:pStyle w:val="4"/>
        <w:keepNext w:val="0"/>
        <w:keepLines w:val="0"/>
        <w:numPr>
          <w:ilvl w:val="0"/>
          <w:numId w:val="3"/>
        </w:numPr>
        <w:adjustRightInd/>
        <w:rPr>
          <w:rFonts w:hAnsi="宋体"/>
          <w:color w:val="auto"/>
          <w:sz w:val="21"/>
          <w:szCs w:val="21"/>
          <w:highlight w:val="none"/>
        </w:rPr>
      </w:pPr>
      <w:r>
        <w:rPr>
          <w:rFonts w:hint="eastAsia" w:hAnsi="宋体"/>
          <w:color w:val="auto"/>
          <w:sz w:val="21"/>
          <w:szCs w:val="21"/>
          <w:highlight w:val="none"/>
        </w:rPr>
        <w:t>响应文件格式</w:t>
      </w:r>
      <w:bookmarkEnd w:id="94"/>
      <w:bookmarkEnd w:id="95"/>
      <w:bookmarkEnd w:id="96"/>
    </w:p>
    <w:p w14:paraId="753460D2">
      <w:pPr>
        <w:numPr>
          <w:ilvl w:val="1"/>
          <w:numId w:val="3"/>
        </w:numPr>
        <w:rPr>
          <w:rFonts w:ascii="宋体" w:hAnsi="宋体"/>
          <w:bCs/>
          <w:color w:val="auto"/>
          <w:szCs w:val="21"/>
          <w:highlight w:val="none"/>
        </w:rPr>
      </w:pPr>
      <w:r>
        <w:rPr>
          <w:rFonts w:hint="eastAsia" w:ascii="宋体" w:hAnsi="宋体"/>
          <w:bCs/>
          <w:color w:val="auto"/>
          <w:szCs w:val="21"/>
          <w:highlight w:val="none"/>
        </w:rPr>
        <w:t>供应商应将响应文件装订成册，并制作“响应文件目录”。响应文件格式中要求必须提交的文件或表格，各供应商可以根据实际情况增加内容，但不得擅自减少有关内容。响应文件的完整性是评审的内容之一。</w:t>
      </w:r>
    </w:p>
    <w:p w14:paraId="32D81362">
      <w:pPr>
        <w:rPr>
          <w:rFonts w:ascii="宋体" w:hAnsi="宋体" w:cs="宋体"/>
          <w:color w:val="auto"/>
          <w:szCs w:val="21"/>
          <w:highlight w:val="none"/>
        </w:rPr>
      </w:pPr>
    </w:p>
    <w:p w14:paraId="43D72E98">
      <w:pPr>
        <w:pStyle w:val="4"/>
        <w:keepNext w:val="0"/>
        <w:keepLines w:val="0"/>
        <w:numPr>
          <w:ilvl w:val="0"/>
          <w:numId w:val="3"/>
        </w:numPr>
        <w:adjustRightInd/>
        <w:rPr>
          <w:rFonts w:hAnsi="宋体"/>
          <w:color w:val="auto"/>
          <w:sz w:val="21"/>
          <w:szCs w:val="21"/>
          <w:highlight w:val="none"/>
        </w:rPr>
      </w:pPr>
      <w:bookmarkStart w:id="97" w:name="_Toc1898"/>
      <w:bookmarkStart w:id="98" w:name="_Toc21656"/>
      <w:r>
        <w:rPr>
          <w:rFonts w:hint="eastAsia" w:hAnsi="宋体"/>
          <w:color w:val="auto"/>
          <w:sz w:val="21"/>
          <w:szCs w:val="21"/>
          <w:highlight w:val="none"/>
        </w:rPr>
        <w:t>磋商保证金</w:t>
      </w:r>
      <w:bookmarkEnd w:id="97"/>
      <w:bookmarkEnd w:id="98"/>
      <w:r>
        <w:rPr>
          <w:rFonts w:hint="eastAsia" w:hAnsi="宋体"/>
          <w:color w:val="auto"/>
          <w:sz w:val="21"/>
          <w:szCs w:val="21"/>
          <w:highlight w:val="none"/>
        </w:rPr>
        <w:t>（</w:t>
      </w:r>
      <w:r>
        <w:rPr>
          <w:rFonts w:hint="eastAsia" w:ascii="宋体" w:hAnsi="宋体"/>
          <w:color w:val="auto"/>
          <w:sz w:val="21"/>
          <w:szCs w:val="21"/>
          <w:highlight w:val="none"/>
        </w:rPr>
        <w:t>本项目不需提供</w:t>
      </w:r>
      <w:r>
        <w:rPr>
          <w:rFonts w:hint="eastAsia" w:hAnsi="宋体"/>
          <w:color w:val="auto"/>
          <w:sz w:val="21"/>
          <w:szCs w:val="21"/>
          <w:highlight w:val="none"/>
        </w:rPr>
        <w:t>磋商保证金）</w:t>
      </w:r>
    </w:p>
    <w:p w14:paraId="3FDA7EBA">
      <w:pPr>
        <w:numPr>
          <w:ilvl w:val="1"/>
          <w:numId w:val="3"/>
        </w:numPr>
        <w:rPr>
          <w:rFonts w:ascii="宋体" w:hAnsi="宋体"/>
          <w:bCs/>
          <w:color w:val="auto"/>
          <w:szCs w:val="21"/>
          <w:highlight w:val="none"/>
        </w:rPr>
      </w:pPr>
      <w:r>
        <w:rPr>
          <w:rFonts w:hint="eastAsia" w:ascii="宋体" w:hAnsi="宋体"/>
          <w:color w:val="auto"/>
          <w:szCs w:val="21"/>
          <w:highlight w:val="none"/>
        </w:rPr>
        <w:t>磋商保证金金额与采购文件要求金额保持一致（详见磋商资料表）。</w:t>
      </w:r>
    </w:p>
    <w:p w14:paraId="5156891B">
      <w:pPr>
        <w:numPr>
          <w:ilvl w:val="1"/>
          <w:numId w:val="3"/>
        </w:numPr>
        <w:rPr>
          <w:rFonts w:ascii="宋体" w:hAnsi="宋体"/>
          <w:bCs/>
          <w:color w:val="auto"/>
          <w:szCs w:val="21"/>
          <w:highlight w:val="none"/>
        </w:rPr>
      </w:pPr>
      <w:r>
        <w:rPr>
          <w:rFonts w:hint="eastAsia" w:ascii="宋体" w:hAnsi="宋体"/>
          <w:bCs/>
          <w:color w:val="auto"/>
          <w:szCs w:val="21"/>
          <w:highlight w:val="none"/>
        </w:rPr>
        <w:t>供应商应按磋商资料表中规定数额及法律规定的时间按相应包号保证金金额要求一次性提交磋商保证金，以多次汇入达到采购文件要求金额的磋商保证金无效。</w:t>
      </w:r>
    </w:p>
    <w:p w14:paraId="68F4E327">
      <w:pPr>
        <w:numPr>
          <w:ilvl w:val="1"/>
          <w:numId w:val="3"/>
        </w:numPr>
        <w:rPr>
          <w:rFonts w:ascii="宋体" w:hAnsi="宋体"/>
          <w:bCs/>
          <w:color w:val="auto"/>
          <w:szCs w:val="21"/>
          <w:highlight w:val="none"/>
        </w:rPr>
      </w:pPr>
      <w:r>
        <w:rPr>
          <w:rFonts w:hint="eastAsia" w:ascii="宋体" w:hAnsi="宋体"/>
          <w:bCs/>
          <w:color w:val="auto"/>
          <w:szCs w:val="21"/>
          <w:highlight w:val="none"/>
        </w:rPr>
        <w:t>磋商保证金有效期与响应文件有效期保持一致。</w:t>
      </w:r>
    </w:p>
    <w:p w14:paraId="6529AAED">
      <w:pPr>
        <w:numPr>
          <w:ilvl w:val="1"/>
          <w:numId w:val="3"/>
        </w:numPr>
        <w:rPr>
          <w:rFonts w:ascii="宋体" w:hAnsi="宋体"/>
          <w:bCs/>
          <w:color w:val="auto"/>
          <w:szCs w:val="21"/>
          <w:highlight w:val="none"/>
        </w:rPr>
      </w:pPr>
      <w:r>
        <w:rPr>
          <w:rFonts w:hint="eastAsia" w:ascii="宋体" w:hAnsi="宋体"/>
          <w:bCs/>
          <w:color w:val="auto"/>
          <w:szCs w:val="21"/>
          <w:highlight w:val="none"/>
        </w:rPr>
        <w:t>缴纳磋商保证金的供应商与参与本项目的供应商名称必须一致，非参与本项目的供应商缴纳的磋商保证金无效。</w:t>
      </w:r>
    </w:p>
    <w:p w14:paraId="4AB0310D">
      <w:pPr>
        <w:numPr>
          <w:ilvl w:val="1"/>
          <w:numId w:val="3"/>
        </w:numPr>
        <w:rPr>
          <w:rFonts w:ascii="宋体" w:hAnsi="宋体"/>
          <w:bCs/>
          <w:color w:val="auto"/>
          <w:szCs w:val="21"/>
          <w:highlight w:val="none"/>
        </w:rPr>
      </w:pPr>
      <w:r>
        <w:rPr>
          <w:rFonts w:hint="eastAsia" w:ascii="宋体" w:hAnsi="宋体"/>
          <w:bCs/>
          <w:color w:val="auto"/>
          <w:szCs w:val="21"/>
          <w:highlight w:val="none"/>
        </w:rPr>
        <w:t>采用银行转账、电汇方式提交的,付至采购代理机构指定账户上。 (详见磋商资料表)</w:t>
      </w:r>
    </w:p>
    <w:p w14:paraId="6D3F98B8">
      <w:pPr>
        <w:numPr>
          <w:ilvl w:val="1"/>
          <w:numId w:val="3"/>
        </w:numPr>
        <w:rPr>
          <w:rFonts w:ascii="宋体" w:hAnsi="宋体"/>
          <w:bCs/>
          <w:color w:val="auto"/>
          <w:szCs w:val="21"/>
          <w:highlight w:val="none"/>
        </w:rPr>
      </w:pPr>
      <w:r>
        <w:rPr>
          <w:rFonts w:hint="eastAsia" w:ascii="宋体" w:hAnsi="宋体"/>
          <w:bCs/>
          <w:color w:val="auto"/>
          <w:szCs w:val="21"/>
          <w:highlight w:val="none"/>
        </w:rPr>
        <w:t>担保是指由担保机构为供应商交纳磋商保证金向采购人或者采购代理机构提供的保证担保。供应商在响应有效期内撤回响应文件或成交后不签订政府采购合同的，由担保机构按照担保函的约定履行支付磋商保证金的责任。</w:t>
      </w:r>
    </w:p>
    <w:p w14:paraId="1D43F47A">
      <w:pPr>
        <w:numPr>
          <w:ilvl w:val="1"/>
          <w:numId w:val="3"/>
        </w:numPr>
        <w:rPr>
          <w:rFonts w:ascii="宋体" w:hAnsi="宋体"/>
          <w:bCs/>
          <w:color w:val="auto"/>
          <w:szCs w:val="21"/>
          <w:highlight w:val="none"/>
        </w:rPr>
      </w:pPr>
      <w:r>
        <w:rPr>
          <w:rFonts w:hint="eastAsia" w:ascii="宋体" w:hAnsi="宋体"/>
          <w:bCs/>
          <w:color w:val="auto"/>
          <w:szCs w:val="21"/>
          <w:highlight w:val="none"/>
        </w:rPr>
        <w:t>采用担保函提交的，应符合下列规定：</w:t>
      </w:r>
    </w:p>
    <w:p w14:paraId="54312926">
      <w:pPr>
        <w:pStyle w:val="7"/>
        <w:numPr>
          <w:ilvl w:val="0"/>
          <w:numId w:val="9"/>
        </w:numPr>
        <w:spacing w:before="0"/>
        <w:rPr>
          <w:color w:val="auto"/>
          <w:sz w:val="21"/>
          <w:szCs w:val="21"/>
          <w:highlight w:val="none"/>
        </w:rPr>
      </w:pPr>
      <w:r>
        <w:rPr>
          <w:rFonts w:hint="eastAsia"/>
          <w:color w:val="auto"/>
          <w:sz w:val="21"/>
          <w:szCs w:val="21"/>
          <w:highlight w:val="none"/>
        </w:rPr>
        <w:t>担保函有效期应与响应文件有效期一致；</w:t>
      </w:r>
    </w:p>
    <w:p w14:paraId="630F1FF0">
      <w:pPr>
        <w:pStyle w:val="7"/>
        <w:numPr>
          <w:ilvl w:val="0"/>
          <w:numId w:val="9"/>
        </w:numPr>
        <w:spacing w:before="0"/>
        <w:rPr>
          <w:color w:val="auto"/>
          <w:sz w:val="21"/>
          <w:szCs w:val="21"/>
          <w:highlight w:val="none"/>
        </w:rPr>
      </w:pPr>
      <w:r>
        <w:rPr>
          <w:rFonts w:hint="eastAsia"/>
          <w:color w:val="auto"/>
          <w:sz w:val="21"/>
          <w:szCs w:val="21"/>
          <w:highlight w:val="none"/>
        </w:rPr>
        <w:t>担保金额应与本项目的磋商保证金一致；</w:t>
      </w:r>
    </w:p>
    <w:p w14:paraId="2FE71DED">
      <w:pPr>
        <w:numPr>
          <w:ilvl w:val="1"/>
          <w:numId w:val="3"/>
        </w:numPr>
        <w:rPr>
          <w:rFonts w:ascii="宋体" w:hAnsi="宋体"/>
          <w:bCs/>
          <w:color w:val="auto"/>
          <w:szCs w:val="21"/>
          <w:highlight w:val="none"/>
        </w:rPr>
      </w:pPr>
      <w:r>
        <w:rPr>
          <w:rFonts w:hint="eastAsia" w:ascii="宋体" w:hAnsi="宋体"/>
          <w:bCs/>
          <w:color w:val="auto"/>
          <w:szCs w:val="21"/>
          <w:highlight w:val="none"/>
        </w:rPr>
        <w:t>保证金不接受现金方式（包括以存现方式）提交，未按要求提交磋商保证金的供应商其响应文件作无效处理。</w:t>
      </w:r>
    </w:p>
    <w:p w14:paraId="5378C249">
      <w:pPr>
        <w:numPr>
          <w:ilvl w:val="1"/>
          <w:numId w:val="3"/>
        </w:numPr>
        <w:rPr>
          <w:rFonts w:ascii="宋体" w:hAnsi="宋体"/>
          <w:bCs/>
          <w:color w:val="auto"/>
          <w:szCs w:val="21"/>
          <w:highlight w:val="none"/>
        </w:rPr>
      </w:pPr>
      <w:r>
        <w:rPr>
          <w:rFonts w:hint="eastAsia" w:ascii="宋体" w:hAnsi="宋体"/>
          <w:bCs/>
          <w:color w:val="auto"/>
          <w:szCs w:val="21"/>
          <w:highlight w:val="none"/>
        </w:rPr>
        <w:t>未成交的供应商保证金在采购结果公示发出后5个工作日内退还，成交供应商的保证金在采购合同签订后5个工作日内退还。</w:t>
      </w:r>
    </w:p>
    <w:p w14:paraId="4CDBC2F3">
      <w:pPr>
        <w:numPr>
          <w:ilvl w:val="1"/>
          <w:numId w:val="3"/>
        </w:numPr>
        <w:rPr>
          <w:rFonts w:ascii="宋体" w:hAnsi="宋体"/>
          <w:bCs/>
          <w:color w:val="auto"/>
          <w:szCs w:val="21"/>
          <w:highlight w:val="none"/>
        </w:rPr>
      </w:pPr>
      <w:r>
        <w:rPr>
          <w:rFonts w:hint="eastAsia" w:ascii="宋体" w:hAnsi="宋体"/>
          <w:bCs/>
          <w:color w:val="auto"/>
          <w:szCs w:val="21"/>
          <w:highlight w:val="none"/>
        </w:rPr>
        <w:t>为方便退还未成交的供应商保证金，供应商应制作《磋商保证金汇入情况说明》随响应文件一并递交。</w:t>
      </w:r>
    </w:p>
    <w:p w14:paraId="28EA6A5A">
      <w:pPr>
        <w:numPr>
          <w:ilvl w:val="1"/>
          <w:numId w:val="3"/>
        </w:numPr>
        <w:rPr>
          <w:rFonts w:ascii="宋体" w:hAnsi="宋体"/>
          <w:bCs/>
          <w:color w:val="auto"/>
          <w:szCs w:val="21"/>
          <w:highlight w:val="none"/>
        </w:rPr>
      </w:pPr>
      <w:r>
        <w:rPr>
          <w:rFonts w:hint="eastAsia" w:ascii="宋体" w:hAnsi="宋体"/>
          <w:bCs/>
          <w:color w:val="auto"/>
          <w:szCs w:val="21"/>
          <w:highlight w:val="none"/>
        </w:rPr>
        <w:t>有下列情形之一的，磋商保证金不予退还：</w:t>
      </w:r>
    </w:p>
    <w:p w14:paraId="23D213E2">
      <w:pPr>
        <w:pStyle w:val="7"/>
        <w:numPr>
          <w:ilvl w:val="0"/>
          <w:numId w:val="10"/>
        </w:numPr>
        <w:spacing w:before="0"/>
        <w:rPr>
          <w:color w:val="auto"/>
          <w:sz w:val="21"/>
          <w:szCs w:val="21"/>
          <w:highlight w:val="none"/>
        </w:rPr>
      </w:pPr>
      <w:r>
        <w:rPr>
          <w:rFonts w:hint="eastAsia"/>
          <w:color w:val="auto"/>
          <w:sz w:val="21"/>
          <w:szCs w:val="21"/>
          <w:highlight w:val="none"/>
        </w:rPr>
        <w:t>供应商在提交响应文件截止时间后撤回响应文件的；</w:t>
      </w:r>
    </w:p>
    <w:p w14:paraId="58F0DCCC">
      <w:pPr>
        <w:pStyle w:val="7"/>
        <w:numPr>
          <w:ilvl w:val="0"/>
          <w:numId w:val="10"/>
        </w:numPr>
        <w:spacing w:before="0"/>
        <w:rPr>
          <w:color w:val="auto"/>
          <w:sz w:val="21"/>
          <w:szCs w:val="21"/>
          <w:highlight w:val="none"/>
        </w:rPr>
      </w:pPr>
      <w:r>
        <w:rPr>
          <w:rFonts w:hint="eastAsia"/>
          <w:color w:val="auto"/>
          <w:sz w:val="21"/>
          <w:szCs w:val="21"/>
          <w:highlight w:val="none"/>
        </w:rPr>
        <w:t>供应商在响应文件中提供虚假材料的；</w:t>
      </w:r>
    </w:p>
    <w:p w14:paraId="24C0C547">
      <w:pPr>
        <w:pStyle w:val="7"/>
        <w:numPr>
          <w:ilvl w:val="0"/>
          <w:numId w:val="10"/>
        </w:numPr>
        <w:spacing w:before="0"/>
        <w:rPr>
          <w:color w:val="auto"/>
          <w:sz w:val="21"/>
          <w:szCs w:val="21"/>
          <w:highlight w:val="none"/>
        </w:rPr>
      </w:pPr>
      <w:r>
        <w:rPr>
          <w:rFonts w:hint="eastAsia"/>
          <w:color w:val="auto"/>
          <w:sz w:val="21"/>
          <w:szCs w:val="21"/>
          <w:highlight w:val="none"/>
        </w:rPr>
        <w:t>除因不可抗力或磋商文件（本文件）、询价通知书（本文件）认可的情形以外，成交供应商不与采购人签订合同的；</w:t>
      </w:r>
    </w:p>
    <w:p w14:paraId="28777DF2">
      <w:pPr>
        <w:pStyle w:val="7"/>
        <w:numPr>
          <w:ilvl w:val="0"/>
          <w:numId w:val="10"/>
        </w:numPr>
        <w:spacing w:before="0"/>
        <w:rPr>
          <w:color w:val="auto"/>
          <w:sz w:val="21"/>
          <w:szCs w:val="21"/>
          <w:highlight w:val="none"/>
        </w:rPr>
      </w:pPr>
      <w:r>
        <w:rPr>
          <w:rFonts w:hint="eastAsia"/>
          <w:color w:val="auto"/>
          <w:sz w:val="21"/>
          <w:szCs w:val="21"/>
          <w:highlight w:val="none"/>
        </w:rPr>
        <w:t>供应商与采购人、其他供应商或者采购代理机构恶意串通的；</w:t>
      </w:r>
    </w:p>
    <w:p w14:paraId="3354215E">
      <w:pPr>
        <w:pStyle w:val="7"/>
        <w:numPr>
          <w:ilvl w:val="0"/>
          <w:numId w:val="10"/>
        </w:numPr>
        <w:spacing w:before="0"/>
        <w:rPr>
          <w:color w:val="auto"/>
          <w:sz w:val="21"/>
          <w:szCs w:val="21"/>
          <w:highlight w:val="none"/>
        </w:rPr>
      </w:pPr>
      <w:r>
        <w:rPr>
          <w:rFonts w:hint="eastAsia"/>
          <w:color w:val="auto"/>
          <w:sz w:val="21"/>
          <w:szCs w:val="21"/>
          <w:highlight w:val="none"/>
        </w:rPr>
        <w:t>采购文件规定的其他情形。</w:t>
      </w:r>
    </w:p>
    <w:p w14:paraId="441E50E3">
      <w:pPr>
        <w:spacing w:line="480" w:lineRule="exact"/>
        <w:ind w:firstLine="480" w:firstLineChars="200"/>
        <w:rPr>
          <w:rFonts w:ascii="宋体" w:hAnsi="宋体"/>
          <w:color w:val="auto"/>
          <w:sz w:val="24"/>
          <w:szCs w:val="21"/>
          <w:highlight w:val="none"/>
        </w:rPr>
      </w:pPr>
    </w:p>
    <w:p w14:paraId="62DD303C">
      <w:pPr>
        <w:pStyle w:val="4"/>
        <w:keepNext w:val="0"/>
        <w:keepLines w:val="0"/>
        <w:numPr>
          <w:ilvl w:val="0"/>
          <w:numId w:val="3"/>
        </w:numPr>
        <w:adjustRightInd/>
        <w:rPr>
          <w:rFonts w:hAnsi="宋体"/>
          <w:color w:val="auto"/>
          <w:sz w:val="21"/>
          <w:szCs w:val="21"/>
          <w:highlight w:val="none"/>
        </w:rPr>
      </w:pPr>
      <w:bookmarkStart w:id="99" w:name="_Toc480021054"/>
      <w:bookmarkStart w:id="100" w:name="_Toc468157537"/>
      <w:bookmarkStart w:id="101" w:name="_Toc503758471"/>
      <w:bookmarkStart w:id="102" w:name="_Toc110953842"/>
      <w:bookmarkStart w:id="103" w:name="_Toc479991583"/>
      <w:bookmarkStart w:id="104" w:name="_Toc467987824"/>
      <w:bookmarkStart w:id="105" w:name="_Toc25734"/>
      <w:bookmarkStart w:id="106" w:name="_Toc467236741"/>
      <w:bookmarkStart w:id="107" w:name="_Toc10456"/>
      <w:bookmarkStart w:id="108" w:name="_Toc458262615"/>
      <w:bookmarkStart w:id="109" w:name="_Toc480010709"/>
      <w:bookmarkStart w:id="110" w:name="_Toc480171880"/>
      <w:bookmarkStart w:id="111" w:name="_Toc454701382"/>
      <w:bookmarkStart w:id="112" w:name="_Toc480020258"/>
      <w:bookmarkStart w:id="113" w:name="_Toc468606030"/>
      <w:r>
        <w:rPr>
          <w:rFonts w:hint="eastAsia" w:hAnsi="宋体"/>
          <w:color w:val="auto"/>
          <w:sz w:val="21"/>
          <w:szCs w:val="21"/>
          <w:highlight w:val="none"/>
        </w:rPr>
        <w:t>★报价（响应文件）有效期</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4735D8A">
      <w:pPr>
        <w:numPr>
          <w:ilvl w:val="1"/>
          <w:numId w:val="3"/>
        </w:numPr>
        <w:rPr>
          <w:rFonts w:ascii="宋体" w:hAnsi="宋体"/>
          <w:bCs/>
          <w:color w:val="auto"/>
          <w:szCs w:val="21"/>
          <w:highlight w:val="none"/>
        </w:rPr>
      </w:pPr>
      <w:r>
        <w:rPr>
          <w:rFonts w:hint="eastAsia" w:ascii="宋体" w:hAnsi="宋体"/>
          <w:bCs/>
          <w:color w:val="auto"/>
          <w:szCs w:val="21"/>
          <w:highlight w:val="none"/>
        </w:rPr>
        <w:t>响应文件从开启响应文件之日起，报价（响应文件）有效期为90个日历日。</w:t>
      </w:r>
    </w:p>
    <w:p w14:paraId="34693F8D">
      <w:pPr>
        <w:numPr>
          <w:ilvl w:val="1"/>
          <w:numId w:val="3"/>
        </w:numPr>
        <w:rPr>
          <w:rFonts w:ascii="宋体" w:hAnsi="宋体"/>
          <w:bCs/>
          <w:color w:val="auto"/>
          <w:szCs w:val="21"/>
          <w:highlight w:val="none"/>
        </w:rPr>
      </w:pPr>
      <w:r>
        <w:rPr>
          <w:rFonts w:hint="eastAsia" w:ascii="宋体" w:hAnsi="宋体"/>
          <w:bCs/>
          <w:color w:val="auto"/>
          <w:szCs w:val="21"/>
          <w:highlight w:val="none"/>
        </w:rPr>
        <w:t>特殊情况下，采购代理机构可于响应有效期期满之前，要求供应商同意延长响应有效期，要求与答复均应为书面形式。对于同意该要求的供应商，既不要求也不允许其修改响应文件。</w:t>
      </w:r>
    </w:p>
    <w:p w14:paraId="0C591C95">
      <w:pPr>
        <w:pStyle w:val="7"/>
        <w:rPr>
          <w:color w:val="auto"/>
          <w:sz w:val="21"/>
          <w:szCs w:val="21"/>
          <w:highlight w:val="none"/>
        </w:rPr>
      </w:pPr>
    </w:p>
    <w:bookmarkEnd w:id="81"/>
    <w:bookmarkEnd w:id="82"/>
    <w:bookmarkEnd w:id="83"/>
    <w:bookmarkEnd w:id="84"/>
    <w:bookmarkEnd w:id="85"/>
    <w:p w14:paraId="27D1112D">
      <w:pPr>
        <w:pStyle w:val="3"/>
        <w:keepNext w:val="0"/>
        <w:keepLines w:val="0"/>
        <w:spacing w:before="0" w:after="0" w:line="360" w:lineRule="auto"/>
        <w:jc w:val="center"/>
        <w:rPr>
          <w:rFonts w:ascii="宋体" w:hAnsi="宋体" w:eastAsia="宋体"/>
          <w:color w:val="auto"/>
          <w:sz w:val="24"/>
          <w:szCs w:val="21"/>
          <w:highlight w:val="none"/>
        </w:rPr>
      </w:pPr>
      <w:bookmarkStart w:id="114" w:name="_Toc32392"/>
      <w:bookmarkStart w:id="115" w:name="_Toc7006"/>
      <w:bookmarkStart w:id="116" w:name="_Toc110953843"/>
      <w:bookmarkStart w:id="117" w:name="_Toc466786438"/>
      <w:bookmarkStart w:id="118" w:name="_Toc102277760"/>
      <w:bookmarkStart w:id="119" w:name="_Toc507407363"/>
      <w:bookmarkStart w:id="120" w:name="_Toc6882679"/>
      <w:bookmarkStart w:id="121" w:name="_Toc6968691"/>
      <w:r>
        <w:rPr>
          <w:rFonts w:hint="eastAsia" w:ascii="宋体" w:hAnsi="宋体" w:eastAsia="宋体"/>
          <w:color w:val="auto"/>
          <w:sz w:val="24"/>
          <w:szCs w:val="21"/>
          <w:highlight w:val="none"/>
        </w:rPr>
        <w:t>第四章响应文件的递交</w:t>
      </w:r>
      <w:bookmarkEnd w:id="114"/>
      <w:bookmarkEnd w:id="115"/>
      <w:bookmarkEnd w:id="116"/>
    </w:p>
    <w:p w14:paraId="3444501F">
      <w:pPr>
        <w:pStyle w:val="4"/>
        <w:keepNext w:val="0"/>
        <w:keepLines w:val="0"/>
        <w:numPr>
          <w:ilvl w:val="0"/>
          <w:numId w:val="3"/>
        </w:numPr>
        <w:adjustRightInd/>
        <w:rPr>
          <w:rFonts w:hAnsi="宋体"/>
          <w:color w:val="auto"/>
          <w:sz w:val="21"/>
          <w:szCs w:val="21"/>
          <w:highlight w:val="none"/>
        </w:rPr>
      </w:pPr>
      <w:bookmarkStart w:id="122" w:name="_Toc110953844"/>
      <w:bookmarkStart w:id="123" w:name="_Toc13611"/>
      <w:bookmarkStart w:id="124" w:name="_Toc4400"/>
      <w:r>
        <w:rPr>
          <w:rFonts w:hint="eastAsia" w:hAnsi="宋体"/>
          <w:color w:val="auto"/>
          <w:sz w:val="21"/>
          <w:szCs w:val="21"/>
          <w:highlight w:val="none"/>
        </w:rPr>
        <w:t>响应文件的密封和标记</w:t>
      </w:r>
      <w:bookmarkEnd w:id="122"/>
      <w:bookmarkEnd w:id="123"/>
      <w:bookmarkEnd w:id="124"/>
    </w:p>
    <w:p w14:paraId="37F9ADE1">
      <w:pPr>
        <w:numPr>
          <w:ilvl w:val="1"/>
          <w:numId w:val="3"/>
        </w:numPr>
        <w:rPr>
          <w:rFonts w:ascii="宋体" w:hAnsi="宋体"/>
          <w:bCs/>
          <w:color w:val="auto"/>
          <w:szCs w:val="21"/>
          <w:highlight w:val="none"/>
        </w:rPr>
      </w:pPr>
      <w:r>
        <w:rPr>
          <w:rFonts w:hint="eastAsia" w:ascii="宋体" w:hAnsi="宋体"/>
          <w:bCs/>
          <w:color w:val="auto"/>
          <w:szCs w:val="21"/>
          <w:highlight w:val="none"/>
        </w:rPr>
        <w:t>供应商应当对响应文件进行装订，价格文件、商务文件、技术文件可合装订为一册，也可根据自身需要分册装订，对未经装订的响应文件可能发生的文件散落或缺损，由此产生的后果由供应商承担。</w:t>
      </w:r>
    </w:p>
    <w:p w14:paraId="3F3E9851">
      <w:pPr>
        <w:numPr>
          <w:ilvl w:val="1"/>
          <w:numId w:val="3"/>
        </w:numPr>
        <w:rPr>
          <w:rFonts w:ascii="宋体" w:hAnsi="宋体"/>
          <w:bCs/>
          <w:color w:val="auto"/>
          <w:szCs w:val="21"/>
          <w:highlight w:val="none"/>
        </w:rPr>
      </w:pPr>
      <w:r>
        <w:rPr>
          <w:rFonts w:hint="eastAsia" w:ascii="宋体" w:hAnsi="宋体"/>
          <w:bCs/>
          <w:color w:val="auto"/>
          <w:szCs w:val="21"/>
          <w:highlight w:val="none"/>
        </w:rPr>
        <w:t>响应文件正本均须用不褪色墨水书写或打印。响应文件的副本可采用响应文件的正本复印件，每套响应文件应当标明“正本”、“副本”的字样。响应文件的【正本】及所有【副本】的封面及骑缝均须加盖供应商公章（文件每页盖章等同于盖骑缝章）。若正本与副本不符，以正本为准。</w:t>
      </w:r>
    </w:p>
    <w:p w14:paraId="78DA14C9">
      <w:pPr>
        <w:numPr>
          <w:ilvl w:val="1"/>
          <w:numId w:val="3"/>
        </w:numPr>
        <w:rPr>
          <w:rFonts w:ascii="宋体" w:hAnsi="宋体"/>
          <w:bCs/>
          <w:color w:val="auto"/>
          <w:szCs w:val="21"/>
          <w:highlight w:val="none"/>
        </w:rPr>
      </w:pPr>
      <w:r>
        <w:rPr>
          <w:rFonts w:hint="eastAsia" w:ascii="宋体" w:hAnsi="宋体"/>
          <w:bCs/>
          <w:color w:val="auto"/>
          <w:szCs w:val="21"/>
          <w:highlight w:val="none"/>
        </w:rPr>
        <w:t>联合体响应文件的【正本】及【副本】的封面及骑缝均须加盖所有联合体组成成员的公章。（文件每页盖章等同于盖骑缝章）</w:t>
      </w:r>
    </w:p>
    <w:p w14:paraId="3DBC61FE">
      <w:pPr>
        <w:numPr>
          <w:ilvl w:val="1"/>
          <w:numId w:val="3"/>
        </w:numPr>
        <w:rPr>
          <w:rFonts w:ascii="宋体" w:hAnsi="宋体"/>
          <w:bCs/>
          <w:color w:val="auto"/>
          <w:szCs w:val="21"/>
          <w:highlight w:val="none"/>
        </w:rPr>
      </w:pPr>
      <w:r>
        <w:rPr>
          <w:rFonts w:hint="eastAsia" w:ascii="宋体" w:hAnsi="宋体"/>
          <w:bCs/>
          <w:color w:val="auto"/>
          <w:szCs w:val="21"/>
          <w:highlight w:val="none"/>
        </w:rPr>
        <w:t>供应商可将响应文件正本和所有的副本分开密封装在单独的信封中，且在信封上标明“正本”“副本”字样。然后再将所有信封封装在一个外层信封中。</w:t>
      </w:r>
    </w:p>
    <w:p w14:paraId="11D79F40">
      <w:pPr>
        <w:numPr>
          <w:ilvl w:val="1"/>
          <w:numId w:val="3"/>
        </w:numPr>
        <w:rPr>
          <w:rFonts w:ascii="宋体" w:hAnsi="宋体"/>
          <w:bCs/>
          <w:color w:val="auto"/>
          <w:szCs w:val="21"/>
          <w:highlight w:val="none"/>
        </w:rPr>
      </w:pPr>
      <w:r>
        <w:rPr>
          <w:rFonts w:hint="eastAsia" w:ascii="宋体" w:hAnsi="宋体"/>
          <w:bCs/>
          <w:color w:val="auto"/>
          <w:szCs w:val="21"/>
          <w:highlight w:val="none"/>
        </w:rPr>
        <w:t>电子文件内容包括：由供应商自行制作的与正本文件一致的所有文件。</w:t>
      </w:r>
      <w:r>
        <w:rPr>
          <w:rFonts w:ascii="宋体" w:hAnsi="宋体"/>
          <w:color w:val="auto"/>
          <w:szCs w:val="21"/>
          <w:highlight w:val="none"/>
        </w:rPr>
        <w:t>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，与正本密封包装，随正本提交。</w:t>
      </w:r>
      <w:r>
        <w:rPr>
          <w:rFonts w:hint="eastAsia" w:ascii="宋体" w:hAnsi="宋体"/>
          <w:bCs/>
          <w:color w:val="auto"/>
          <w:szCs w:val="21"/>
          <w:highlight w:val="none"/>
        </w:rPr>
        <w:t>电报、电话、传真、电子邮件形式的电子响应文件概不接受。</w:t>
      </w:r>
    </w:p>
    <w:p w14:paraId="47C128E3">
      <w:pPr>
        <w:numPr>
          <w:ilvl w:val="1"/>
          <w:numId w:val="3"/>
        </w:numPr>
        <w:rPr>
          <w:rFonts w:ascii="宋体" w:hAnsi="宋体"/>
          <w:bCs/>
          <w:color w:val="auto"/>
          <w:szCs w:val="21"/>
          <w:highlight w:val="none"/>
        </w:rPr>
      </w:pPr>
      <w:r>
        <w:rPr>
          <w:rFonts w:hint="eastAsia" w:ascii="宋体" w:hAnsi="宋体"/>
          <w:color w:val="auto"/>
          <w:szCs w:val="21"/>
          <w:highlight w:val="none"/>
        </w:rPr>
        <w:t>所有的信封均应注明：</w:t>
      </w:r>
    </w:p>
    <w:p w14:paraId="1803F1A6">
      <w:pPr>
        <w:rPr>
          <w:rFonts w:ascii="宋体" w:hAnsi="宋体"/>
          <w:color w:val="auto"/>
          <w:szCs w:val="21"/>
          <w:highlight w:val="none"/>
        </w:rPr>
      </w:pPr>
      <w:r>
        <w:rPr>
          <w:rFonts w:hint="eastAsia" w:ascii="宋体" w:hAnsi="宋体"/>
          <w:color w:val="auto"/>
          <w:szCs w:val="21"/>
          <w:highlight w:val="none"/>
        </w:rPr>
        <w:t>收件人：广东政通招标有限公司</w:t>
      </w:r>
    </w:p>
    <w:p w14:paraId="3FCE6D30">
      <w:pPr>
        <w:rPr>
          <w:rFonts w:ascii="宋体" w:hAnsi="宋体"/>
          <w:color w:val="auto"/>
          <w:szCs w:val="21"/>
          <w:highlight w:val="none"/>
        </w:rPr>
      </w:pPr>
      <w:r>
        <w:rPr>
          <w:rFonts w:hint="eastAsia" w:ascii="宋体" w:hAnsi="宋体"/>
          <w:color w:val="auto"/>
          <w:szCs w:val="21"/>
          <w:highlight w:val="none"/>
        </w:rPr>
        <w:t>供应商名称：</w:t>
      </w:r>
    </w:p>
    <w:p w14:paraId="08E85192">
      <w:pPr>
        <w:rPr>
          <w:rFonts w:ascii="宋体" w:hAnsi="宋体"/>
          <w:color w:val="auto"/>
          <w:szCs w:val="21"/>
          <w:highlight w:val="none"/>
        </w:rPr>
      </w:pPr>
      <w:r>
        <w:rPr>
          <w:rFonts w:hint="eastAsia" w:ascii="宋体" w:hAnsi="宋体"/>
          <w:color w:val="auto"/>
          <w:szCs w:val="21"/>
          <w:highlight w:val="none"/>
        </w:rPr>
        <w:t>项目名称：</w:t>
      </w:r>
    </w:p>
    <w:p w14:paraId="57F379CA">
      <w:pPr>
        <w:rPr>
          <w:rFonts w:ascii="宋体" w:hAnsi="宋体"/>
          <w:color w:val="auto"/>
          <w:szCs w:val="21"/>
          <w:highlight w:val="none"/>
        </w:rPr>
      </w:pPr>
      <w:r>
        <w:rPr>
          <w:rFonts w:hint="eastAsia" w:ascii="宋体" w:hAnsi="宋体"/>
          <w:color w:val="auto"/>
          <w:szCs w:val="21"/>
          <w:highlight w:val="none"/>
        </w:rPr>
        <w:t>采购项目编号：</w:t>
      </w:r>
    </w:p>
    <w:p w14:paraId="452C5D6D">
      <w:pPr>
        <w:rPr>
          <w:color w:val="auto"/>
          <w:highlight w:val="none"/>
        </w:rPr>
      </w:pPr>
    </w:p>
    <w:p w14:paraId="0F69FD78">
      <w:pPr>
        <w:pStyle w:val="4"/>
        <w:keepNext w:val="0"/>
        <w:keepLines w:val="0"/>
        <w:numPr>
          <w:ilvl w:val="0"/>
          <w:numId w:val="3"/>
        </w:numPr>
        <w:adjustRightInd/>
        <w:rPr>
          <w:rFonts w:hAnsi="宋体"/>
          <w:color w:val="auto"/>
          <w:sz w:val="21"/>
          <w:szCs w:val="21"/>
          <w:highlight w:val="none"/>
        </w:rPr>
      </w:pPr>
      <w:bookmarkStart w:id="125" w:name="_Toc5658"/>
      <w:bookmarkStart w:id="126" w:name="_Toc110953845"/>
      <w:bookmarkStart w:id="127" w:name="_Toc6425"/>
      <w:r>
        <w:rPr>
          <w:rFonts w:hint="eastAsia" w:hAnsi="宋体"/>
          <w:color w:val="auto"/>
          <w:sz w:val="21"/>
          <w:szCs w:val="21"/>
          <w:highlight w:val="none"/>
        </w:rPr>
        <w:t>响应文件的递交</w:t>
      </w:r>
      <w:bookmarkEnd w:id="125"/>
      <w:bookmarkEnd w:id="126"/>
      <w:bookmarkEnd w:id="127"/>
    </w:p>
    <w:p w14:paraId="41A7567A">
      <w:pPr>
        <w:numPr>
          <w:ilvl w:val="1"/>
          <w:numId w:val="3"/>
        </w:numPr>
        <w:rPr>
          <w:rFonts w:ascii="宋体" w:hAnsi="宋体"/>
          <w:color w:val="auto"/>
          <w:szCs w:val="21"/>
          <w:highlight w:val="none"/>
        </w:rPr>
      </w:pPr>
      <w:r>
        <w:rPr>
          <w:rFonts w:hint="eastAsia" w:ascii="宋体" w:hAnsi="宋体"/>
          <w:color w:val="auto"/>
          <w:szCs w:val="21"/>
          <w:highlight w:val="none"/>
        </w:rPr>
        <w:t>所有经密封的响应文件及单独密封的报价文件都必须在响应截止时间之前送至采购代理机构。</w:t>
      </w:r>
    </w:p>
    <w:p w14:paraId="71C1EE5D">
      <w:pPr>
        <w:numPr>
          <w:ilvl w:val="1"/>
          <w:numId w:val="3"/>
        </w:numPr>
        <w:rPr>
          <w:rFonts w:ascii="宋体" w:hAnsi="宋体"/>
          <w:color w:val="auto"/>
          <w:szCs w:val="21"/>
          <w:highlight w:val="none"/>
        </w:rPr>
      </w:pPr>
      <w:r>
        <w:rPr>
          <w:rFonts w:hint="eastAsia" w:ascii="宋体" w:hAnsi="宋体"/>
          <w:color w:val="auto"/>
          <w:szCs w:val="21"/>
          <w:highlight w:val="none"/>
        </w:rPr>
        <w:t>报价文件作为响应文件组成的一部分，采购文件所规定的初审事项适用于报价文件。</w:t>
      </w:r>
    </w:p>
    <w:p w14:paraId="3D2DB76D">
      <w:pPr>
        <w:numPr>
          <w:ilvl w:val="1"/>
          <w:numId w:val="3"/>
        </w:numPr>
        <w:rPr>
          <w:rFonts w:ascii="宋体" w:hAnsi="宋体"/>
          <w:color w:val="auto"/>
          <w:szCs w:val="21"/>
          <w:highlight w:val="none"/>
        </w:rPr>
      </w:pPr>
      <w:r>
        <w:rPr>
          <w:rFonts w:hint="eastAsia" w:ascii="宋体" w:hAnsi="宋体"/>
          <w:color w:val="auto"/>
          <w:szCs w:val="21"/>
          <w:highlight w:val="none"/>
        </w:rPr>
        <w:t>采购代理机构将拒绝接收出现以下情况的响应文件：</w:t>
      </w:r>
    </w:p>
    <w:p w14:paraId="10741EA7">
      <w:pPr>
        <w:pStyle w:val="7"/>
        <w:numPr>
          <w:ilvl w:val="0"/>
          <w:numId w:val="11"/>
        </w:numPr>
        <w:spacing w:before="0"/>
        <w:rPr>
          <w:color w:val="auto"/>
          <w:sz w:val="21"/>
          <w:szCs w:val="21"/>
          <w:highlight w:val="none"/>
        </w:rPr>
      </w:pPr>
      <w:r>
        <w:rPr>
          <w:rFonts w:hint="eastAsia"/>
          <w:color w:val="auto"/>
          <w:sz w:val="21"/>
          <w:szCs w:val="21"/>
          <w:highlight w:val="none"/>
        </w:rPr>
        <w:t>采用透明包装进行密封或未进行密封的响应文件；</w:t>
      </w:r>
    </w:p>
    <w:p w14:paraId="376CCF79">
      <w:pPr>
        <w:pStyle w:val="7"/>
        <w:numPr>
          <w:ilvl w:val="0"/>
          <w:numId w:val="11"/>
        </w:numPr>
        <w:spacing w:before="0"/>
        <w:rPr>
          <w:color w:val="auto"/>
          <w:sz w:val="21"/>
          <w:szCs w:val="21"/>
          <w:highlight w:val="none"/>
        </w:rPr>
      </w:pPr>
      <w:r>
        <w:rPr>
          <w:rFonts w:hint="eastAsia"/>
          <w:color w:val="auto"/>
          <w:sz w:val="21"/>
          <w:szCs w:val="21"/>
          <w:highlight w:val="none"/>
        </w:rPr>
        <w:t>密封破损导致响应文件内容直接或间接泄露的响应文件；</w:t>
      </w:r>
    </w:p>
    <w:p w14:paraId="57402B2F">
      <w:pPr>
        <w:pStyle w:val="7"/>
        <w:numPr>
          <w:ilvl w:val="0"/>
          <w:numId w:val="11"/>
        </w:numPr>
        <w:spacing w:before="0"/>
        <w:rPr>
          <w:color w:val="auto"/>
          <w:sz w:val="21"/>
          <w:szCs w:val="21"/>
          <w:highlight w:val="none"/>
        </w:rPr>
      </w:pPr>
      <w:r>
        <w:rPr>
          <w:rFonts w:hint="eastAsia"/>
          <w:color w:val="auto"/>
          <w:sz w:val="21"/>
          <w:szCs w:val="21"/>
          <w:highlight w:val="none"/>
        </w:rPr>
        <w:t>密封信封上项目编号错误的响应文件；</w:t>
      </w:r>
    </w:p>
    <w:p w14:paraId="68369C00">
      <w:pPr>
        <w:pStyle w:val="7"/>
        <w:numPr>
          <w:ilvl w:val="0"/>
          <w:numId w:val="11"/>
        </w:numPr>
        <w:spacing w:before="0"/>
        <w:rPr>
          <w:color w:val="auto"/>
          <w:sz w:val="21"/>
          <w:szCs w:val="21"/>
          <w:highlight w:val="none"/>
        </w:rPr>
      </w:pPr>
      <w:r>
        <w:rPr>
          <w:rFonts w:hint="eastAsia"/>
          <w:color w:val="auto"/>
          <w:sz w:val="21"/>
          <w:szCs w:val="21"/>
          <w:highlight w:val="none"/>
        </w:rPr>
        <w:t>未进行项目报名的供应商（以采购代理机构报名表及报名发票为准）递交的响应文件；</w:t>
      </w:r>
    </w:p>
    <w:p w14:paraId="593D9344">
      <w:pPr>
        <w:pStyle w:val="7"/>
        <w:numPr>
          <w:ilvl w:val="0"/>
          <w:numId w:val="11"/>
        </w:numPr>
        <w:spacing w:before="0"/>
        <w:rPr>
          <w:color w:val="auto"/>
          <w:sz w:val="21"/>
          <w:szCs w:val="21"/>
          <w:highlight w:val="none"/>
        </w:rPr>
      </w:pPr>
      <w:r>
        <w:rPr>
          <w:rFonts w:hint="eastAsia"/>
          <w:color w:val="auto"/>
          <w:sz w:val="21"/>
          <w:szCs w:val="21"/>
          <w:highlight w:val="none"/>
        </w:rPr>
        <w:t>项目名称出现严重歧义或未标注所参与项目信息导致无法分辨所参与项目为本项目的响应文件；</w:t>
      </w:r>
    </w:p>
    <w:p w14:paraId="0FB679B9">
      <w:pPr>
        <w:pStyle w:val="7"/>
        <w:numPr>
          <w:ilvl w:val="0"/>
          <w:numId w:val="11"/>
        </w:numPr>
        <w:spacing w:before="0"/>
        <w:rPr>
          <w:color w:val="auto"/>
          <w:sz w:val="21"/>
          <w:szCs w:val="21"/>
          <w:highlight w:val="none"/>
        </w:rPr>
      </w:pPr>
      <w:r>
        <w:rPr>
          <w:rFonts w:hint="eastAsia"/>
          <w:color w:val="auto"/>
          <w:sz w:val="21"/>
          <w:szCs w:val="21"/>
          <w:highlight w:val="none"/>
        </w:rPr>
        <w:t>未递交磋商保证金供应商递交的响应文件；</w:t>
      </w:r>
    </w:p>
    <w:p w14:paraId="0F73AD7E">
      <w:pPr>
        <w:pStyle w:val="7"/>
        <w:numPr>
          <w:ilvl w:val="0"/>
          <w:numId w:val="11"/>
        </w:numPr>
        <w:spacing w:before="0"/>
        <w:rPr>
          <w:color w:val="auto"/>
          <w:sz w:val="21"/>
          <w:szCs w:val="21"/>
          <w:highlight w:val="none"/>
        </w:rPr>
      </w:pPr>
      <w:r>
        <w:rPr>
          <w:rFonts w:hint="eastAsia"/>
          <w:color w:val="auto"/>
          <w:sz w:val="21"/>
          <w:szCs w:val="21"/>
          <w:highlight w:val="none"/>
        </w:rPr>
        <w:t>采用传真、电传的响应文件；</w:t>
      </w:r>
    </w:p>
    <w:p w14:paraId="6B354F19">
      <w:pPr>
        <w:pStyle w:val="7"/>
        <w:numPr>
          <w:ilvl w:val="0"/>
          <w:numId w:val="11"/>
        </w:numPr>
        <w:spacing w:before="0"/>
        <w:rPr>
          <w:color w:val="auto"/>
          <w:sz w:val="21"/>
          <w:szCs w:val="21"/>
          <w:highlight w:val="none"/>
        </w:rPr>
      </w:pPr>
      <w:r>
        <w:rPr>
          <w:rFonts w:hint="eastAsia"/>
          <w:color w:val="auto"/>
          <w:sz w:val="21"/>
          <w:szCs w:val="21"/>
          <w:highlight w:val="none"/>
        </w:rPr>
        <w:t>多个包号的一并密封的响应文件；</w:t>
      </w:r>
    </w:p>
    <w:p w14:paraId="3FFF89F3">
      <w:pPr>
        <w:pStyle w:val="7"/>
        <w:numPr>
          <w:ilvl w:val="0"/>
          <w:numId w:val="11"/>
        </w:numPr>
        <w:spacing w:before="0"/>
        <w:rPr>
          <w:color w:val="auto"/>
          <w:sz w:val="21"/>
          <w:szCs w:val="21"/>
          <w:highlight w:val="none"/>
        </w:rPr>
      </w:pPr>
      <w:r>
        <w:rPr>
          <w:rFonts w:hint="eastAsia"/>
          <w:color w:val="auto"/>
          <w:sz w:val="21"/>
          <w:szCs w:val="21"/>
          <w:highlight w:val="none"/>
        </w:rPr>
        <w:t>迟交的响应文件；</w:t>
      </w:r>
    </w:p>
    <w:p w14:paraId="2C0FA172">
      <w:pPr>
        <w:pStyle w:val="7"/>
        <w:numPr>
          <w:ilvl w:val="0"/>
          <w:numId w:val="11"/>
        </w:numPr>
        <w:spacing w:before="0"/>
        <w:rPr>
          <w:color w:val="auto"/>
          <w:sz w:val="21"/>
          <w:szCs w:val="21"/>
          <w:highlight w:val="none"/>
        </w:rPr>
      </w:pPr>
      <w:r>
        <w:rPr>
          <w:rFonts w:hint="eastAsia"/>
          <w:color w:val="auto"/>
          <w:sz w:val="21"/>
          <w:szCs w:val="21"/>
          <w:highlight w:val="none"/>
        </w:rPr>
        <w:t>磋商文件规定的其他情形。</w:t>
      </w:r>
    </w:p>
    <w:p w14:paraId="1D1FA0EB">
      <w:pPr>
        <w:numPr>
          <w:ilvl w:val="1"/>
          <w:numId w:val="3"/>
        </w:numPr>
        <w:rPr>
          <w:rFonts w:ascii="宋体" w:hAnsi="宋体"/>
          <w:color w:val="auto"/>
          <w:szCs w:val="21"/>
          <w:highlight w:val="none"/>
        </w:rPr>
      </w:pPr>
      <w:r>
        <w:rPr>
          <w:rFonts w:hint="eastAsia" w:ascii="宋体" w:hAnsi="宋体"/>
          <w:color w:val="auto"/>
          <w:szCs w:val="21"/>
          <w:highlight w:val="none"/>
        </w:rPr>
        <w:t>采购代理机构对所有响应文件的误投或提前启封概不负责。</w:t>
      </w:r>
    </w:p>
    <w:p w14:paraId="0611DD18">
      <w:pPr>
        <w:numPr>
          <w:ilvl w:val="1"/>
          <w:numId w:val="3"/>
        </w:numPr>
        <w:rPr>
          <w:rFonts w:ascii="宋体" w:hAnsi="宋体"/>
          <w:color w:val="auto"/>
          <w:szCs w:val="21"/>
          <w:highlight w:val="none"/>
        </w:rPr>
      </w:pPr>
      <w:r>
        <w:rPr>
          <w:rFonts w:hint="eastAsia" w:ascii="宋体" w:hAnsi="宋体"/>
          <w:color w:val="auto"/>
          <w:szCs w:val="21"/>
          <w:highlight w:val="none"/>
        </w:rPr>
        <w:t>供应商同时参加几个包磋商时必须按采购文件要求按包号分别制作响应文件，分别密封递交。</w:t>
      </w:r>
    </w:p>
    <w:p w14:paraId="03F6AC79">
      <w:pPr>
        <w:numPr>
          <w:ilvl w:val="1"/>
          <w:numId w:val="3"/>
        </w:numPr>
        <w:rPr>
          <w:rFonts w:ascii="宋体" w:hAnsi="宋体"/>
          <w:color w:val="auto"/>
          <w:szCs w:val="21"/>
          <w:highlight w:val="none"/>
        </w:rPr>
      </w:pPr>
      <w:r>
        <w:rPr>
          <w:rFonts w:hint="eastAsia" w:ascii="宋体" w:hAnsi="宋体"/>
          <w:color w:val="auto"/>
          <w:szCs w:val="21"/>
          <w:highlight w:val="none"/>
        </w:rPr>
        <w:t>递交的响应文件中所提供的通讯方式应保持联络畅通，因联系不上而导致的所有后果由供应商自行承担。</w:t>
      </w:r>
    </w:p>
    <w:p w14:paraId="1DE3ABB3">
      <w:pPr>
        <w:rPr>
          <w:color w:val="auto"/>
          <w:highlight w:val="none"/>
        </w:rPr>
      </w:pPr>
    </w:p>
    <w:p w14:paraId="253763D3">
      <w:pPr>
        <w:pStyle w:val="4"/>
        <w:keepNext w:val="0"/>
        <w:keepLines w:val="0"/>
        <w:numPr>
          <w:ilvl w:val="0"/>
          <w:numId w:val="3"/>
        </w:numPr>
        <w:adjustRightInd/>
        <w:rPr>
          <w:rFonts w:hAnsi="宋体" w:cs="宋体"/>
          <w:color w:val="auto"/>
          <w:sz w:val="21"/>
          <w:szCs w:val="21"/>
          <w:highlight w:val="none"/>
        </w:rPr>
      </w:pPr>
      <w:bookmarkStart w:id="128" w:name="_Toc23533"/>
      <w:bookmarkStart w:id="129" w:name="_Toc8440"/>
      <w:r>
        <w:rPr>
          <w:rFonts w:hint="eastAsia" w:hAnsi="宋体"/>
          <w:color w:val="auto"/>
          <w:sz w:val="21"/>
          <w:szCs w:val="21"/>
          <w:highlight w:val="none"/>
        </w:rPr>
        <w:t>样品（如需提交）</w:t>
      </w:r>
      <w:bookmarkEnd w:id="128"/>
      <w:bookmarkEnd w:id="129"/>
    </w:p>
    <w:p w14:paraId="5C4A7F85">
      <w:pPr>
        <w:numPr>
          <w:ilvl w:val="1"/>
          <w:numId w:val="3"/>
        </w:numPr>
        <w:rPr>
          <w:rFonts w:ascii="宋体" w:hAnsi="宋体"/>
          <w:color w:val="auto"/>
          <w:szCs w:val="21"/>
          <w:highlight w:val="none"/>
        </w:rPr>
      </w:pPr>
      <w:r>
        <w:rPr>
          <w:rFonts w:hint="eastAsia" w:ascii="宋体" w:hAnsi="宋体"/>
          <w:color w:val="auto"/>
          <w:szCs w:val="21"/>
          <w:highlight w:val="none"/>
        </w:rPr>
        <w:t>如有必要，采购代理机构可以要求供应商提供本服务项目涉及的部分设备或产品样品，供应商在磋商时应提交《样品清单》。</w:t>
      </w:r>
    </w:p>
    <w:p w14:paraId="7EEA9870">
      <w:pPr>
        <w:numPr>
          <w:ilvl w:val="1"/>
          <w:numId w:val="3"/>
        </w:numPr>
        <w:rPr>
          <w:rFonts w:ascii="宋体" w:hAnsi="宋体"/>
          <w:color w:val="auto"/>
          <w:szCs w:val="21"/>
          <w:highlight w:val="none"/>
        </w:rPr>
      </w:pPr>
      <w:r>
        <w:rPr>
          <w:rFonts w:hint="eastAsia" w:ascii="宋体" w:hAnsi="宋体"/>
          <w:color w:val="auto"/>
          <w:szCs w:val="21"/>
          <w:highlight w:val="none"/>
        </w:rPr>
        <w:t>为方便评审，供应商在提供样品时，应在所提供的样品表面显著位置标注供应商的名称、包号、样品名称、采购文件规定的服务或货物编号。</w:t>
      </w:r>
    </w:p>
    <w:p w14:paraId="222D8FC8">
      <w:pPr>
        <w:numPr>
          <w:ilvl w:val="1"/>
          <w:numId w:val="3"/>
        </w:numPr>
        <w:rPr>
          <w:rFonts w:ascii="宋体" w:hAnsi="宋体"/>
          <w:color w:val="auto"/>
          <w:szCs w:val="21"/>
          <w:highlight w:val="none"/>
        </w:rPr>
      </w:pPr>
      <w:r>
        <w:rPr>
          <w:rFonts w:hint="eastAsia" w:ascii="宋体" w:hAnsi="宋体"/>
          <w:color w:val="auto"/>
          <w:szCs w:val="21"/>
          <w:highlight w:val="none"/>
        </w:rPr>
        <w:t>样品作为响应文件的一部分，除非另有说明，成交单位的样品将作为履约验收标准的参考不再退还，未成交单位须在采购结果公示发布后五个工作日内，前往采购代理机构领取样品，逾期不领，采购代理机构将不承担样品的保管责任，由此引发的样品丢失、毁损，采购代理机构不予负责。</w:t>
      </w:r>
    </w:p>
    <w:p w14:paraId="7E072CE3">
      <w:pPr>
        <w:rPr>
          <w:rFonts w:ascii="宋体" w:hAnsi="宋体" w:cs="宋体"/>
          <w:color w:val="auto"/>
          <w:szCs w:val="21"/>
          <w:highlight w:val="none"/>
        </w:rPr>
      </w:pPr>
    </w:p>
    <w:p w14:paraId="61518606">
      <w:pPr>
        <w:pStyle w:val="3"/>
        <w:keepNext w:val="0"/>
        <w:keepLines w:val="0"/>
        <w:spacing w:before="0" w:after="0" w:line="360" w:lineRule="auto"/>
        <w:jc w:val="center"/>
        <w:rPr>
          <w:rFonts w:ascii="宋体" w:hAnsi="宋体" w:eastAsia="宋体"/>
          <w:color w:val="auto"/>
          <w:sz w:val="24"/>
          <w:szCs w:val="21"/>
          <w:highlight w:val="none"/>
        </w:rPr>
      </w:pPr>
      <w:bookmarkStart w:id="130" w:name="_Toc30009"/>
      <w:bookmarkStart w:id="131" w:name="_Toc3401"/>
      <w:r>
        <w:rPr>
          <w:rFonts w:hint="eastAsia" w:ascii="宋体" w:hAnsi="宋体" w:eastAsia="宋体"/>
          <w:color w:val="auto"/>
          <w:sz w:val="24"/>
          <w:szCs w:val="21"/>
          <w:highlight w:val="none"/>
        </w:rPr>
        <w:t>第五章</w:t>
      </w:r>
      <w:bookmarkEnd w:id="117"/>
      <w:bookmarkEnd w:id="118"/>
      <w:bookmarkEnd w:id="119"/>
      <w:bookmarkEnd w:id="120"/>
      <w:bookmarkEnd w:id="121"/>
      <w:r>
        <w:rPr>
          <w:rFonts w:hint="eastAsia" w:ascii="宋体" w:hAnsi="宋体" w:eastAsia="宋体"/>
          <w:color w:val="auto"/>
          <w:sz w:val="24"/>
          <w:szCs w:val="21"/>
          <w:highlight w:val="none"/>
        </w:rPr>
        <w:t>磋商、评审</w:t>
      </w:r>
      <w:bookmarkEnd w:id="130"/>
      <w:bookmarkEnd w:id="131"/>
    </w:p>
    <w:p w14:paraId="3D332F17">
      <w:pPr>
        <w:pStyle w:val="4"/>
        <w:keepNext w:val="0"/>
        <w:keepLines w:val="0"/>
        <w:numPr>
          <w:ilvl w:val="0"/>
          <w:numId w:val="3"/>
        </w:numPr>
        <w:adjustRightInd/>
        <w:rPr>
          <w:rFonts w:hAnsi="宋体"/>
          <w:color w:val="auto"/>
          <w:sz w:val="21"/>
          <w:szCs w:val="21"/>
          <w:highlight w:val="none"/>
        </w:rPr>
      </w:pPr>
      <w:bookmarkStart w:id="132" w:name="_Toc28590"/>
      <w:bookmarkStart w:id="133" w:name="_Toc8137"/>
      <w:r>
        <w:rPr>
          <w:rFonts w:hint="eastAsia" w:hAnsi="宋体"/>
          <w:color w:val="auto"/>
          <w:sz w:val="21"/>
          <w:szCs w:val="21"/>
          <w:highlight w:val="none"/>
        </w:rPr>
        <w:t>签到及评审方法</w:t>
      </w:r>
      <w:bookmarkEnd w:id="132"/>
      <w:bookmarkEnd w:id="133"/>
    </w:p>
    <w:p w14:paraId="2EFD20CF">
      <w:pPr>
        <w:numPr>
          <w:ilvl w:val="1"/>
          <w:numId w:val="3"/>
        </w:numPr>
        <w:rPr>
          <w:rFonts w:ascii="宋体" w:hAnsi="宋体"/>
          <w:color w:val="auto"/>
          <w:szCs w:val="21"/>
          <w:highlight w:val="none"/>
        </w:rPr>
      </w:pPr>
      <w:bookmarkStart w:id="134" w:name="_Toc475249135"/>
      <w:bookmarkStart w:id="135" w:name="_Toc475249138"/>
      <w:r>
        <w:rPr>
          <w:rFonts w:hint="eastAsia" w:ascii="宋体" w:hAnsi="宋体"/>
          <w:color w:val="auto"/>
          <w:szCs w:val="21"/>
          <w:highlight w:val="none"/>
        </w:rPr>
        <w:t>供应商应在《磋商邀请函》规定的日期、时间和地点递交响应文件并进行现场签到。</w:t>
      </w:r>
    </w:p>
    <w:p w14:paraId="32201DDC">
      <w:pPr>
        <w:numPr>
          <w:ilvl w:val="1"/>
          <w:numId w:val="3"/>
        </w:numPr>
        <w:rPr>
          <w:rFonts w:ascii="宋体" w:hAnsi="宋体"/>
          <w:color w:val="auto"/>
          <w:szCs w:val="21"/>
          <w:highlight w:val="none"/>
        </w:rPr>
      </w:pPr>
      <w:r>
        <w:rPr>
          <w:rFonts w:hint="eastAsia" w:ascii="宋体" w:hAnsi="宋体"/>
          <w:color w:val="auto"/>
          <w:szCs w:val="21"/>
          <w:highlight w:val="none"/>
        </w:rPr>
        <w:t>递交响应文件时间截止后，由参与磋商的供应商代表或者其推选的代表检查响应文件的密封情况，经确认密封完好后的响应文件不当众予以拆封，不宣读第一次报价和响应文件的其它主要内容。</w:t>
      </w:r>
    </w:p>
    <w:p w14:paraId="30D8CB22">
      <w:pPr>
        <w:numPr>
          <w:ilvl w:val="1"/>
          <w:numId w:val="3"/>
        </w:numPr>
        <w:rPr>
          <w:rFonts w:ascii="宋体" w:hAnsi="宋体"/>
          <w:color w:val="auto"/>
          <w:szCs w:val="21"/>
          <w:highlight w:val="none"/>
        </w:rPr>
      </w:pPr>
      <w:r>
        <w:rPr>
          <w:rFonts w:hint="eastAsia" w:ascii="宋体" w:hAnsi="宋体"/>
          <w:color w:val="auto"/>
          <w:szCs w:val="21"/>
          <w:highlight w:val="none"/>
        </w:rPr>
        <w:t>本项目采用综合评分法。</w:t>
      </w:r>
    </w:p>
    <w:p w14:paraId="5632AE8E">
      <w:pPr>
        <w:numPr>
          <w:ilvl w:val="1"/>
          <w:numId w:val="3"/>
        </w:numPr>
        <w:rPr>
          <w:rFonts w:ascii="宋体" w:hAnsi="宋体"/>
          <w:color w:val="auto"/>
          <w:szCs w:val="21"/>
          <w:highlight w:val="none"/>
        </w:rPr>
      </w:pPr>
      <w:r>
        <w:rPr>
          <w:rFonts w:hint="eastAsia" w:ascii="宋体" w:hAnsi="宋体"/>
          <w:color w:val="auto"/>
          <w:szCs w:val="21"/>
          <w:highlight w:val="none"/>
        </w:rPr>
        <w:t>通过资格性和符合性审查的有效供应商方有资格提交最终报价及进入综合评审。</w:t>
      </w:r>
    </w:p>
    <w:p w14:paraId="4016D889">
      <w:pPr>
        <w:numPr>
          <w:ilvl w:val="1"/>
          <w:numId w:val="3"/>
        </w:numPr>
        <w:rPr>
          <w:rFonts w:ascii="宋体" w:hAnsi="宋体"/>
          <w:color w:val="auto"/>
          <w:szCs w:val="21"/>
          <w:highlight w:val="none"/>
        </w:rPr>
      </w:pPr>
      <w:r>
        <w:rPr>
          <w:rFonts w:hint="eastAsia" w:ascii="宋体" w:hAnsi="宋体"/>
          <w:color w:val="auto"/>
          <w:szCs w:val="21"/>
          <w:highlight w:val="none"/>
        </w:rPr>
        <w:t>根据财库〔2015〕124 号，在采购过程中符合要求的供应商只有 2 家的，竞争性磋商采购活动继续进行。</w:t>
      </w:r>
    </w:p>
    <w:p w14:paraId="0DF3CF66">
      <w:pPr>
        <w:rPr>
          <w:color w:val="auto"/>
          <w:highlight w:val="none"/>
        </w:rPr>
      </w:pPr>
    </w:p>
    <w:p w14:paraId="58D38EF8">
      <w:pPr>
        <w:pStyle w:val="4"/>
        <w:keepNext w:val="0"/>
        <w:keepLines w:val="0"/>
        <w:numPr>
          <w:ilvl w:val="0"/>
          <w:numId w:val="3"/>
        </w:numPr>
        <w:adjustRightInd/>
        <w:rPr>
          <w:rFonts w:hAnsi="宋体"/>
          <w:color w:val="auto"/>
          <w:sz w:val="21"/>
          <w:szCs w:val="21"/>
          <w:highlight w:val="none"/>
        </w:rPr>
      </w:pPr>
      <w:bookmarkStart w:id="136" w:name="_Toc10800"/>
      <w:bookmarkStart w:id="137" w:name="_Toc10080"/>
      <w:r>
        <w:rPr>
          <w:rFonts w:hint="eastAsia" w:hAnsi="宋体"/>
          <w:color w:val="auto"/>
          <w:sz w:val="21"/>
          <w:szCs w:val="21"/>
          <w:highlight w:val="none"/>
        </w:rPr>
        <w:t>磋商小组</w:t>
      </w:r>
      <w:bookmarkEnd w:id="134"/>
      <w:bookmarkEnd w:id="136"/>
      <w:bookmarkEnd w:id="137"/>
    </w:p>
    <w:p w14:paraId="36EB5862">
      <w:pPr>
        <w:numPr>
          <w:ilvl w:val="1"/>
          <w:numId w:val="3"/>
        </w:numPr>
        <w:rPr>
          <w:rFonts w:ascii="宋体" w:hAnsi="宋体"/>
          <w:color w:val="auto"/>
          <w:szCs w:val="21"/>
          <w:highlight w:val="none"/>
        </w:rPr>
      </w:pPr>
      <w:r>
        <w:rPr>
          <w:rFonts w:hint="eastAsia" w:ascii="宋体" w:hAnsi="宋体"/>
          <w:color w:val="auto"/>
          <w:szCs w:val="21"/>
          <w:highlight w:val="none"/>
        </w:rPr>
        <w:t>本次采购依法组建磋商小组。</w:t>
      </w:r>
    </w:p>
    <w:p w14:paraId="4BFFF70C">
      <w:pPr>
        <w:numPr>
          <w:ilvl w:val="1"/>
          <w:numId w:val="3"/>
        </w:numPr>
        <w:rPr>
          <w:rFonts w:ascii="宋体" w:hAnsi="宋体"/>
          <w:color w:val="auto"/>
          <w:szCs w:val="21"/>
          <w:highlight w:val="none"/>
        </w:rPr>
      </w:pPr>
      <w:r>
        <w:rPr>
          <w:rFonts w:hint="eastAsia" w:ascii="宋体" w:hAnsi="宋体"/>
          <w:color w:val="auto"/>
          <w:szCs w:val="21"/>
          <w:highlight w:val="none"/>
        </w:rPr>
        <w:t>磋商小组将按照采购文件确定的评审方法进行评审。对采购文件中描述有歧义或前后不一致的地方，磋商小组有权按法律法规的规定进行评判，但对同一条款的评判应适用于每个供应商。</w:t>
      </w:r>
    </w:p>
    <w:p w14:paraId="5D596C85">
      <w:pPr>
        <w:numPr>
          <w:ilvl w:val="1"/>
          <w:numId w:val="3"/>
        </w:numPr>
        <w:rPr>
          <w:rFonts w:ascii="宋体" w:hAnsi="宋体"/>
          <w:color w:val="auto"/>
          <w:szCs w:val="21"/>
          <w:highlight w:val="none"/>
        </w:rPr>
      </w:pPr>
      <w:r>
        <w:rPr>
          <w:rFonts w:hint="eastAsia" w:ascii="宋体" w:hAnsi="宋体"/>
          <w:color w:val="auto"/>
          <w:szCs w:val="21"/>
          <w:highlight w:val="none"/>
        </w:rPr>
        <w:t>从递交响应文件截止到签订合同，凡与审查、澄清、评审和供应商响应文件有关的资料，均不得向任何供应商及与磋商无关的其他人透露。</w:t>
      </w:r>
    </w:p>
    <w:p w14:paraId="45E87913">
      <w:pPr>
        <w:rPr>
          <w:rFonts w:ascii="宋体" w:hAnsi="宋体"/>
          <w:color w:val="auto"/>
          <w:szCs w:val="21"/>
          <w:highlight w:val="none"/>
        </w:rPr>
      </w:pPr>
    </w:p>
    <w:p w14:paraId="060445C5">
      <w:pPr>
        <w:pStyle w:val="4"/>
        <w:keepNext w:val="0"/>
        <w:keepLines w:val="0"/>
        <w:numPr>
          <w:ilvl w:val="0"/>
          <w:numId w:val="3"/>
        </w:numPr>
        <w:adjustRightInd/>
        <w:rPr>
          <w:rFonts w:hAnsi="宋体"/>
          <w:color w:val="auto"/>
          <w:sz w:val="21"/>
          <w:szCs w:val="21"/>
          <w:highlight w:val="none"/>
        </w:rPr>
      </w:pPr>
      <w:bookmarkStart w:id="138" w:name="_Toc535141844"/>
      <w:bookmarkStart w:id="139" w:name="_Toc17157"/>
      <w:bookmarkStart w:id="140" w:name="_Toc17978"/>
      <w:bookmarkStart w:id="141" w:name="_Toc37121259"/>
      <w:r>
        <w:rPr>
          <w:rFonts w:hint="eastAsia" w:hAnsi="宋体"/>
          <w:color w:val="auto"/>
          <w:sz w:val="21"/>
          <w:szCs w:val="21"/>
          <w:highlight w:val="none"/>
        </w:rPr>
        <w:t>对响应文件的初审</w:t>
      </w:r>
      <w:bookmarkEnd w:id="138"/>
      <w:bookmarkEnd w:id="139"/>
      <w:bookmarkEnd w:id="140"/>
      <w:bookmarkEnd w:id="141"/>
    </w:p>
    <w:p w14:paraId="10CD0BBD">
      <w:pPr>
        <w:numPr>
          <w:ilvl w:val="1"/>
          <w:numId w:val="3"/>
        </w:numPr>
        <w:rPr>
          <w:rFonts w:ascii="宋体" w:hAnsi="宋体"/>
          <w:color w:val="auto"/>
          <w:szCs w:val="21"/>
          <w:highlight w:val="none"/>
        </w:rPr>
      </w:pPr>
      <w:r>
        <w:rPr>
          <w:rFonts w:hint="eastAsia" w:ascii="宋体" w:hAnsi="宋体"/>
          <w:color w:val="auto"/>
          <w:szCs w:val="21"/>
          <w:highlight w:val="none"/>
        </w:rPr>
        <w:t>开启响应文件后，采购代理机构将组织磋商小组对响应文件进行初审，初审包括资格性审查和符合性审查。</w:t>
      </w:r>
    </w:p>
    <w:p w14:paraId="572725C9">
      <w:pPr>
        <w:numPr>
          <w:ilvl w:val="1"/>
          <w:numId w:val="3"/>
        </w:numPr>
        <w:rPr>
          <w:rFonts w:ascii="宋体" w:hAnsi="宋体"/>
          <w:color w:val="auto"/>
          <w:szCs w:val="21"/>
          <w:highlight w:val="none"/>
        </w:rPr>
      </w:pPr>
      <w:r>
        <w:rPr>
          <w:rFonts w:hint="eastAsia" w:ascii="宋体" w:hAnsi="宋体"/>
          <w:color w:val="auto"/>
          <w:szCs w:val="21"/>
          <w:highlight w:val="none"/>
        </w:rPr>
        <w:t>资格性审查是指依据法律规定和磋商文件的规定，对响应文件中的资格证明等进行审查，确定供应商是否具备响应资格。</w:t>
      </w:r>
      <w:r>
        <w:rPr>
          <w:rFonts w:hint="eastAsia" w:ascii="宋体" w:hAnsi="宋体"/>
          <w:b/>
          <w:color w:val="auto"/>
          <w:szCs w:val="21"/>
          <w:highlight w:val="none"/>
        </w:rPr>
        <w:t>资格性检查中发现下列情形之一的，其报价及响应文件作无效处理。</w:t>
      </w:r>
    </w:p>
    <w:p w14:paraId="2EAB819A">
      <w:pPr>
        <w:numPr>
          <w:ilvl w:val="0"/>
          <w:numId w:val="12"/>
        </w:numPr>
        <w:rPr>
          <w:rFonts w:ascii="宋体" w:hAnsi="宋体"/>
          <w:color w:val="auto"/>
          <w:szCs w:val="21"/>
          <w:highlight w:val="none"/>
        </w:rPr>
      </w:pPr>
      <w:r>
        <w:rPr>
          <w:rFonts w:hint="eastAsia" w:ascii="宋体" w:hAnsi="宋体"/>
          <w:color w:val="auto"/>
          <w:szCs w:val="21"/>
          <w:highlight w:val="none"/>
        </w:rPr>
        <w:t>资格瑕疵</w:t>
      </w:r>
    </w:p>
    <w:p w14:paraId="730AE12D">
      <w:pPr>
        <w:ind w:firstLine="567"/>
        <w:rPr>
          <w:rFonts w:ascii="宋体" w:hAnsi="宋体"/>
          <w:color w:val="auto"/>
          <w:szCs w:val="21"/>
          <w:highlight w:val="none"/>
        </w:rPr>
      </w:pPr>
      <w:r>
        <w:rPr>
          <w:rFonts w:hint="eastAsia" w:ascii="宋体" w:hAnsi="宋体"/>
          <w:color w:val="auto"/>
          <w:szCs w:val="21"/>
          <w:highlight w:val="none"/>
        </w:rPr>
        <w:t>包括但不限于：①资格证明文件未提供或不符合采购文件要求的；</w:t>
      </w:r>
      <w:r>
        <w:rPr>
          <w:rFonts w:ascii="宋体" w:hAnsi="宋体"/>
          <w:color w:val="auto"/>
          <w:szCs w:val="21"/>
          <w:highlight w:val="none"/>
        </w:rPr>
        <w:t xml:space="preserve"> </w:t>
      </w:r>
      <w:r>
        <w:rPr>
          <w:rFonts w:hint="eastAsia" w:ascii="宋体" w:hAnsi="宋体"/>
          <w:color w:val="auto"/>
          <w:szCs w:val="21"/>
          <w:highlight w:val="none"/>
        </w:rPr>
        <w:t>②资格证明文件有效期过期的；③《营业执照》复印件（加盖公章）或《事业单位法人证书》复印件（加盖公章）或其他主体证书复印件（加盖公章）未提供或有效期过期的；④提供的资质材料模糊不清导致无法辨认的。</w:t>
      </w:r>
    </w:p>
    <w:p w14:paraId="1FF95012">
      <w:pPr>
        <w:numPr>
          <w:ilvl w:val="1"/>
          <w:numId w:val="3"/>
        </w:numPr>
        <w:rPr>
          <w:rFonts w:ascii="宋体" w:hAnsi="宋体"/>
          <w:color w:val="auto"/>
          <w:szCs w:val="21"/>
          <w:highlight w:val="none"/>
        </w:rPr>
      </w:pPr>
      <w:r>
        <w:rPr>
          <w:rFonts w:hint="eastAsia" w:ascii="宋体" w:hAnsi="宋体"/>
          <w:color w:val="auto"/>
          <w:szCs w:val="21"/>
          <w:highlight w:val="none"/>
        </w:rPr>
        <w:t>符合性审查是指依据磋商文件的规定，从响应文件的有效性、完整性和对磋商文件的响应程度进行审查，以确定是否对磋商文件的实质性要求作出响应，包括审查响应文件是否完整，有否计算错误，文件签署是否合格等。</w:t>
      </w:r>
      <w:r>
        <w:rPr>
          <w:rFonts w:hint="eastAsia" w:ascii="宋体" w:hAnsi="宋体"/>
          <w:b/>
          <w:color w:val="auto"/>
          <w:szCs w:val="21"/>
          <w:highlight w:val="none"/>
        </w:rPr>
        <w:t>符合性检查中发现下列情形之一的，其报价及响应文件作无效处理。</w:t>
      </w:r>
    </w:p>
    <w:p w14:paraId="7F823003">
      <w:pPr>
        <w:numPr>
          <w:ilvl w:val="0"/>
          <w:numId w:val="13"/>
        </w:numPr>
        <w:rPr>
          <w:rFonts w:ascii="宋体" w:hAnsi="宋体"/>
          <w:color w:val="auto"/>
          <w:szCs w:val="21"/>
          <w:highlight w:val="none"/>
        </w:rPr>
      </w:pPr>
      <w:r>
        <w:rPr>
          <w:rFonts w:hint="eastAsia" w:ascii="宋体" w:hAnsi="宋体"/>
          <w:color w:val="auto"/>
          <w:szCs w:val="21"/>
          <w:highlight w:val="none"/>
        </w:rPr>
        <w:t>响应文件的有效性、完整性瑕疵</w:t>
      </w:r>
    </w:p>
    <w:p w14:paraId="739B3774">
      <w:pPr>
        <w:ind w:firstLine="567"/>
        <w:rPr>
          <w:rFonts w:ascii="宋体" w:hAnsi="宋体"/>
          <w:color w:val="auto"/>
          <w:szCs w:val="21"/>
          <w:highlight w:val="none"/>
        </w:rPr>
      </w:pPr>
      <w:r>
        <w:rPr>
          <w:rFonts w:hint="eastAsia" w:ascii="宋体" w:hAnsi="宋体"/>
          <w:color w:val="auto"/>
          <w:szCs w:val="21"/>
          <w:highlight w:val="none"/>
        </w:rPr>
        <w:t>包括但不限于：①响应文件的数量、制作不符合要求、响应文件内容与采购内容不符的（包括但不限于响应文件项目采购项目编号错误，响应文件项目名称错误导致无法分辨所报价项目为本项目的）；②响应文件中要求签字的内容无法定代表人或其授权代表签字，或签字人无法定代表人有效授权的；③签字盖章不符合采购文件要求的；④响应文件内容有严重缺漏项的；⑤响应文件的关键内容字迹模糊、无法辨认的；⑥响应文件（报价）有效期不符合文件要求的。</w:t>
      </w:r>
    </w:p>
    <w:p w14:paraId="7AAF91C6">
      <w:pPr>
        <w:numPr>
          <w:ilvl w:val="0"/>
          <w:numId w:val="13"/>
        </w:numPr>
        <w:rPr>
          <w:rFonts w:ascii="宋体" w:hAnsi="宋体"/>
          <w:color w:val="auto"/>
          <w:szCs w:val="21"/>
          <w:highlight w:val="none"/>
        </w:rPr>
      </w:pPr>
      <w:r>
        <w:rPr>
          <w:rFonts w:hint="eastAsia" w:ascii="宋体" w:hAnsi="宋体"/>
          <w:color w:val="auto"/>
          <w:szCs w:val="21"/>
          <w:highlight w:val="none"/>
        </w:rPr>
        <w:t>技术响应瑕疵</w:t>
      </w:r>
    </w:p>
    <w:p w14:paraId="42C107BE">
      <w:pPr>
        <w:ind w:firstLine="567"/>
        <w:rPr>
          <w:rFonts w:ascii="宋体" w:hAnsi="宋体"/>
          <w:color w:val="auto"/>
          <w:szCs w:val="21"/>
          <w:highlight w:val="none"/>
        </w:rPr>
      </w:pPr>
      <w:r>
        <w:rPr>
          <w:rFonts w:hint="eastAsia" w:ascii="宋体" w:hAnsi="宋体"/>
          <w:color w:val="auto"/>
          <w:szCs w:val="21"/>
          <w:highlight w:val="none"/>
        </w:rPr>
        <w:t>包括但不限于：①响应文件不满足采购文件中加注星号（★）的主要参数要求或加注星号的主要参数无技术资料支持的；②一般参数超出允许偏离的最大范围或最高项数的；③响应文件技术响应与事实不符或虚假应标的；④《技术规格偏离表》未提供的；⑤将一个包中的内容拆开响应的；⑥供应商对同一货物或服务报价时，方案不唯一；⑦明显不符合技术规格、技术标准要求的；⑧其他未实质性响应采购文件技术要求的。</w:t>
      </w:r>
    </w:p>
    <w:p w14:paraId="1BEDB624">
      <w:pPr>
        <w:numPr>
          <w:ilvl w:val="0"/>
          <w:numId w:val="13"/>
        </w:numPr>
        <w:rPr>
          <w:rFonts w:ascii="宋体" w:hAnsi="宋体"/>
          <w:color w:val="auto"/>
          <w:szCs w:val="21"/>
          <w:highlight w:val="none"/>
        </w:rPr>
      </w:pPr>
      <w:r>
        <w:rPr>
          <w:rFonts w:hint="eastAsia" w:ascii="宋体" w:hAnsi="宋体"/>
          <w:color w:val="auto"/>
          <w:szCs w:val="21"/>
          <w:highlight w:val="none"/>
        </w:rPr>
        <w:t>商务响应瑕疵</w:t>
      </w:r>
    </w:p>
    <w:p w14:paraId="3BD6B71A">
      <w:pPr>
        <w:ind w:firstLine="567"/>
        <w:rPr>
          <w:rFonts w:ascii="宋体" w:hAnsi="宋体"/>
          <w:color w:val="auto"/>
          <w:szCs w:val="21"/>
          <w:highlight w:val="none"/>
        </w:rPr>
      </w:pPr>
      <w:r>
        <w:rPr>
          <w:rFonts w:hint="eastAsia" w:ascii="宋体" w:hAnsi="宋体"/>
          <w:color w:val="auto"/>
          <w:szCs w:val="21"/>
          <w:highlight w:val="none"/>
        </w:rPr>
        <w:t>包括但不限于：①采购文件加注星号（★）的商务要求负偏离的；②完成期（包括但不限于：工期，服务期，交货期等）未满足采购文件要求的；③响应文件载明的货物包装方式、检验标准和方法不符合采购文件要求，采购人无法接受的；④《商务条款偏离表》未提供的；⑤采购文件附有采购人不能接受的条件的；⑥其他未实质性响应磋商文件商务要求的。</w:t>
      </w:r>
    </w:p>
    <w:p w14:paraId="2B3141B6">
      <w:pPr>
        <w:numPr>
          <w:ilvl w:val="0"/>
          <w:numId w:val="13"/>
        </w:numPr>
        <w:rPr>
          <w:rFonts w:ascii="宋体" w:hAnsi="宋体"/>
          <w:color w:val="auto"/>
          <w:szCs w:val="21"/>
          <w:highlight w:val="none"/>
        </w:rPr>
      </w:pPr>
      <w:r>
        <w:rPr>
          <w:rFonts w:hint="eastAsia" w:ascii="宋体" w:hAnsi="宋体"/>
          <w:color w:val="auto"/>
          <w:szCs w:val="21"/>
          <w:highlight w:val="none"/>
        </w:rPr>
        <w:t>报价瑕疵</w:t>
      </w:r>
    </w:p>
    <w:p w14:paraId="277102FF">
      <w:pPr>
        <w:ind w:firstLine="567"/>
        <w:rPr>
          <w:rFonts w:ascii="宋体" w:hAnsi="宋体"/>
          <w:color w:val="auto"/>
          <w:szCs w:val="21"/>
          <w:highlight w:val="none"/>
        </w:rPr>
      </w:pPr>
      <w:r>
        <w:rPr>
          <w:rFonts w:hint="eastAsia" w:ascii="宋体" w:hAnsi="宋体"/>
          <w:color w:val="auto"/>
          <w:szCs w:val="21"/>
          <w:highlight w:val="none"/>
        </w:rPr>
        <w:t>包括但不限于：①一次报价或最终报价超过本采购文件明确的项目预算或文件明确的最高限价；②未按采购文件要求进行报价的；③报价内容或报价格式不符合采购文件要求的；④报价有严重缺漏项的。</w:t>
      </w:r>
    </w:p>
    <w:p w14:paraId="2754F038">
      <w:pPr>
        <w:numPr>
          <w:ilvl w:val="0"/>
          <w:numId w:val="13"/>
        </w:numPr>
        <w:rPr>
          <w:rFonts w:ascii="宋体" w:hAnsi="宋体"/>
          <w:color w:val="auto"/>
          <w:szCs w:val="21"/>
          <w:highlight w:val="none"/>
        </w:rPr>
      </w:pPr>
      <w:r>
        <w:rPr>
          <w:rFonts w:hint="eastAsia" w:ascii="宋体" w:hAnsi="宋体"/>
          <w:color w:val="auto"/>
          <w:szCs w:val="21"/>
          <w:highlight w:val="none"/>
        </w:rPr>
        <w:t>违规行为</w:t>
      </w:r>
    </w:p>
    <w:p w14:paraId="3F2998BB">
      <w:pPr>
        <w:ind w:firstLine="567"/>
        <w:rPr>
          <w:rFonts w:ascii="宋体" w:hAnsi="宋体"/>
          <w:color w:val="auto"/>
          <w:szCs w:val="21"/>
          <w:highlight w:val="none"/>
        </w:rPr>
      </w:pPr>
      <w:r>
        <w:rPr>
          <w:rFonts w:hint="eastAsia" w:ascii="宋体" w:hAnsi="宋体"/>
          <w:color w:val="auto"/>
          <w:szCs w:val="21"/>
          <w:highlight w:val="none"/>
        </w:rPr>
        <w:t>包括但不限于：①以他人的名义报价、串通投标、以行贿手段谋取成交或者以其他弄虚作假方式响应磋商的；②扰乱磋商评审秩序，干扰采购工作正常进行的。③存在经磋商小组认定的其他违规违法行为。</w:t>
      </w:r>
    </w:p>
    <w:p w14:paraId="43F5E49F">
      <w:pPr>
        <w:numPr>
          <w:ilvl w:val="0"/>
          <w:numId w:val="13"/>
        </w:numPr>
        <w:rPr>
          <w:rFonts w:ascii="宋体" w:hAnsi="宋体"/>
          <w:color w:val="auto"/>
          <w:szCs w:val="21"/>
          <w:highlight w:val="none"/>
        </w:rPr>
      </w:pPr>
      <w:r>
        <w:rPr>
          <w:rFonts w:hint="eastAsia" w:ascii="宋体" w:hAnsi="宋体"/>
          <w:color w:val="auto"/>
          <w:szCs w:val="21"/>
          <w:highlight w:val="none"/>
        </w:rPr>
        <w:t>法律法规及磋商文件中规定的其它情形</w:t>
      </w:r>
    </w:p>
    <w:p w14:paraId="301414FD">
      <w:pPr>
        <w:ind w:firstLine="567"/>
        <w:rPr>
          <w:rFonts w:ascii="宋体" w:hAnsi="宋体"/>
          <w:color w:val="auto"/>
          <w:szCs w:val="21"/>
          <w:highlight w:val="none"/>
        </w:rPr>
      </w:pPr>
      <w:r>
        <w:rPr>
          <w:rFonts w:hint="eastAsia" w:ascii="宋体" w:hAnsi="宋体"/>
          <w:color w:val="auto"/>
          <w:szCs w:val="21"/>
          <w:highlight w:val="none"/>
        </w:rPr>
        <w:t>根据项目情况，磋商小组有权决定采购文件中“可能导致废标”或“可能导致其报价被拒绝”等具体条款是否实施“废标”或“投标被拒绝”，但对同一条款的裁决应适用于每个供应商。</w:t>
      </w:r>
    </w:p>
    <w:p w14:paraId="7B1787C8">
      <w:pPr>
        <w:numPr>
          <w:ilvl w:val="1"/>
          <w:numId w:val="3"/>
        </w:numPr>
        <w:rPr>
          <w:rFonts w:ascii="宋体" w:hAnsi="宋体"/>
          <w:color w:val="auto"/>
          <w:szCs w:val="21"/>
          <w:highlight w:val="none"/>
        </w:rPr>
      </w:pPr>
      <w:r>
        <w:rPr>
          <w:rFonts w:hint="eastAsia" w:ascii="宋体" w:hAnsi="宋体"/>
          <w:color w:val="auto"/>
          <w:szCs w:val="21"/>
          <w:highlight w:val="none"/>
        </w:rPr>
        <w:t>在磋商过程中，供应商提交的澄清文件和最终响应文件，由供应商法定代表人或授权代表签署后生效，供应商应受其约束。因此，该签字人参加磋商时需出示有效的身份证明文件，否则，其签字的澄清文件和最终响应（报价）文件无效。</w:t>
      </w:r>
    </w:p>
    <w:p w14:paraId="0C6CDBF2">
      <w:pPr>
        <w:numPr>
          <w:ilvl w:val="1"/>
          <w:numId w:val="3"/>
        </w:numPr>
        <w:rPr>
          <w:rFonts w:ascii="宋体" w:hAnsi="宋体"/>
          <w:color w:val="auto"/>
          <w:szCs w:val="21"/>
          <w:highlight w:val="none"/>
        </w:rPr>
      </w:pPr>
      <w:r>
        <w:rPr>
          <w:rFonts w:hint="eastAsia" w:ascii="宋体" w:hAnsi="宋体"/>
          <w:color w:val="auto"/>
          <w:szCs w:val="21"/>
          <w:highlight w:val="none"/>
        </w:rPr>
        <w:t>在对响应文件进行详细评估之前，磋商小组将审查每份响应文件是否实质上响应了采购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响应的供应商的公平竞争地位。</w:t>
      </w:r>
    </w:p>
    <w:p w14:paraId="37CF5958">
      <w:pPr>
        <w:numPr>
          <w:ilvl w:val="1"/>
          <w:numId w:val="3"/>
        </w:numPr>
        <w:rPr>
          <w:rFonts w:ascii="宋体" w:hAnsi="宋体"/>
          <w:color w:val="auto"/>
          <w:szCs w:val="21"/>
          <w:highlight w:val="none"/>
        </w:rPr>
      </w:pPr>
      <w:r>
        <w:rPr>
          <w:rFonts w:hint="eastAsia" w:ascii="宋体" w:hAnsi="宋体"/>
          <w:color w:val="auto"/>
          <w:szCs w:val="21"/>
          <w:highlight w:val="none"/>
        </w:rPr>
        <w:t>磋商小组确定响应文件的响应性，只根据响应文件本身的内容，而不寻找外部的证据。</w:t>
      </w:r>
    </w:p>
    <w:p w14:paraId="1FFE20B2">
      <w:pPr>
        <w:numPr>
          <w:ilvl w:val="1"/>
          <w:numId w:val="3"/>
        </w:numPr>
        <w:rPr>
          <w:rFonts w:ascii="宋体" w:hAnsi="宋体"/>
          <w:color w:val="auto"/>
          <w:szCs w:val="21"/>
          <w:highlight w:val="none"/>
        </w:rPr>
      </w:pPr>
      <w:r>
        <w:rPr>
          <w:rFonts w:hint="eastAsia" w:ascii="宋体" w:hAnsi="宋体"/>
          <w:color w:val="auto"/>
          <w:szCs w:val="21"/>
          <w:highlight w:val="none"/>
        </w:rPr>
        <w:t>实质上没有响应磋商文件要求的响应文件将被拒绝。供应商不得通过修正或撤销不合要求的偏离或保留从而使其响应成为实质上的响应。</w:t>
      </w:r>
    </w:p>
    <w:p w14:paraId="3C4B6290">
      <w:pPr>
        <w:rPr>
          <w:color w:val="auto"/>
          <w:highlight w:val="none"/>
        </w:rPr>
      </w:pPr>
    </w:p>
    <w:p w14:paraId="6651B9BE">
      <w:pPr>
        <w:pStyle w:val="4"/>
        <w:keepNext w:val="0"/>
        <w:keepLines w:val="0"/>
        <w:numPr>
          <w:ilvl w:val="0"/>
          <w:numId w:val="3"/>
        </w:numPr>
        <w:adjustRightInd/>
        <w:rPr>
          <w:rFonts w:hAnsi="宋体"/>
          <w:color w:val="auto"/>
          <w:sz w:val="21"/>
          <w:szCs w:val="21"/>
          <w:highlight w:val="none"/>
        </w:rPr>
      </w:pPr>
      <w:bookmarkStart w:id="142" w:name="_Toc29665"/>
      <w:bookmarkStart w:id="143" w:name="_Toc18895"/>
      <w:r>
        <w:rPr>
          <w:rFonts w:hint="eastAsia" w:hAnsi="宋体"/>
          <w:color w:val="auto"/>
          <w:sz w:val="21"/>
          <w:szCs w:val="21"/>
          <w:highlight w:val="none"/>
        </w:rPr>
        <w:t>技术商务</w:t>
      </w:r>
      <w:bookmarkEnd w:id="142"/>
      <w:r>
        <w:rPr>
          <w:rFonts w:hint="eastAsia" w:hAnsi="宋体"/>
          <w:color w:val="auto"/>
          <w:sz w:val="21"/>
          <w:szCs w:val="21"/>
          <w:highlight w:val="none"/>
        </w:rPr>
        <w:t>磋商</w:t>
      </w:r>
      <w:bookmarkEnd w:id="143"/>
    </w:p>
    <w:p w14:paraId="352B70F5">
      <w:pPr>
        <w:numPr>
          <w:ilvl w:val="1"/>
          <w:numId w:val="3"/>
        </w:numPr>
        <w:rPr>
          <w:rFonts w:ascii="宋体" w:hAnsi="宋体"/>
          <w:color w:val="auto"/>
          <w:szCs w:val="21"/>
          <w:highlight w:val="none"/>
        </w:rPr>
      </w:pPr>
      <w:r>
        <w:rPr>
          <w:rFonts w:hint="eastAsia" w:ascii="宋体" w:hAnsi="宋体"/>
          <w:color w:val="auto"/>
          <w:szCs w:val="21"/>
          <w:highlight w:val="none"/>
        </w:rPr>
        <w:t>磋商小组所有成员应当集中与单一供应商分别进行磋商，并给予所有参加磋商的供应商平等的磋商机会。其磋商顺序以供应商签到顺序为准。</w:t>
      </w:r>
    </w:p>
    <w:p w14:paraId="1D0CFB60">
      <w:pPr>
        <w:numPr>
          <w:ilvl w:val="1"/>
          <w:numId w:val="3"/>
        </w:numPr>
        <w:rPr>
          <w:rFonts w:ascii="宋体" w:hAnsi="宋体"/>
          <w:color w:val="auto"/>
          <w:szCs w:val="21"/>
          <w:highlight w:val="none"/>
        </w:rPr>
      </w:pPr>
      <w:r>
        <w:rPr>
          <w:rFonts w:hint="eastAsia" w:ascii="宋体" w:hAnsi="宋体"/>
          <w:color w:val="auto"/>
          <w:szCs w:val="21"/>
          <w:highlight w:val="none"/>
        </w:rPr>
        <w:t>磋商使用语言为中文。</w:t>
      </w:r>
    </w:p>
    <w:p w14:paraId="528A6CBA">
      <w:pPr>
        <w:numPr>
          <w:ilvl w:val="1"/>
          <w:numId w:val="3"/>
        </w:numPr>
        <w:rPr>
          <w:rFonts w:ascii="宋体" w:hAnsi="宋体"/>
          <w:color w:val="auto"/>
          <w:szCs w:val="21"/>
          <w:highlight w:val="none"/>
        </w:rPr>
      </w:pPr>
      <w:r>
        <w:rPr>
          <w:rFonts w:hint="eastAsia" w:ascii="宋体" w:hAnsi="宋体"/>
          <w:color w:val="auto"/>
          <w:szCs w:val="21"/>
          <w:highlight w:val="none"/>
        </w:rPr>
        <w:t>磋商小组将拒绝与出现以下情况的供应商授权代表进行磋商：</w:t>
      </w:r>
    </w:p>
    <w:p w14:paraId="565BD61C">
      <w:pPr>
        <w:pStyle w:val="7"/>
        <w:numPr>
          <w:ilvl w:val="0"/>
          <w:numId w:val="14"/>
        </w:numPr>
        <w:spacing w:before="0"/>
        <w:rPr>
          <w:color w:val="auto"/>
          <w:sz w:val="21"/>
          <w:szCs w:val="21"/>
          <w:highlight w:val="none"/>
        </w:rPr>
      </w:pPr>
      <w:r>
        <w:rPr>
          <w:rFonts w:hint="eastAsia"/>
          <w:color w:val="auto"/>
          <w:sz w:val="21"/>
          <w:szCs w:val="21"/>
          <w:highlight w:val="none"/>
        </w:rPr>
        <w:t>供应商授权代表无有效授权的；</w:t>
      </w:r>
    </w:p>
    <w:p w14:paraId="3A064C49">
      <w:pPr>
        <w:pStyle w:val="7"/>
        <w:numPr>
          <w:ilvl w:val="0"/>
          <w:numId w:val="14"/>
        </w:numPr>
        <w:spacing w:before="0"/>
        <w:rPr>
          <w:color w:val="auto"/>
          <w:sz w:val="21"/>
          <w:szCs w:val="21"/>
          <w:highlight w:val="none"/>
        </w:rPr>
      </w:pPr>
      <w:r>
        <w:rPr>
          <w:rFonts w:hint="eastAsia"/>
          <w:color w:val="auto"/>
          <w:sz w:val="21"/>
          <w:szCs w:val="21"/>
          <w:highlight w:val="none"/>
        </w:rPr>
        <w:t>供应商响应文件中的授权代表与现场进行磋商的授权代表不一致的；</w:t>
      </w:r>
    </w:p>
    <w:p w14:paraId="12129B1B">
      <w:pPr>
        <w:pStyle w:val="7"/>
        <w:numPr>
          <w:ilvl w:val="0"/>
          <w:numId w:val="14"/>
        </w:numPr>
        <w:spacing w:before="0"/>
        <w:rPr>
          <w:color w:val="auto"/>
          <w:sz w:val="21"/>
          <w:szCs w:val="21"/>
          <w:highlight w:val="none"/>
        </w:rPr>
      </w:pPr>
      <w:r>
        <w:rPr>
          <w:rFonts w:hint="eastAsia"/>
          <w:color w:val="auto"/>
          <w:sz w:val="21"/>
          <w:szCs w:val="21"/>
          <w:highlight w:val="none"/>
        </w:rPr>
        <w:t>法人参加磋商但无法定代表人证明书的；</w:t>
      </w:r>
    </w:p>
    <w:p w14:paraId="125811CA">
      <w:pPr>
        <w:pStyle w:val="7"/>
        <w:numPr>
          <w:ilvl w:val="0"/>
          <w:numId w:val="14"/>
        </w:numPr>
        <w:spacing w:before="0"/>
        <w:rPr>
          <w:color w:val="auto"/>
          <w:sz w:val="21"/>
          <w:szCs w:val="21"/>
          <w:highlight w:val="none"/>
        </w:rPr>
      </w:pPr>
      <w:r>
        <w:rPr>
          <w:rFonts w:hint="eastAsia"/>
          <w:color w:val="auto"/>
          <w:sz w:val="21"/>
          <w:szCs w:val="21"/>
          <w:highlight w:val="none"/>
        </w:rPr>
        <w:t>授权代表现场不能出具可证明其身份信息的证件或文件的；</w:t>
      </w:r>
    </w:p>
    <w:p w14:paraId="63B20C8D">
      <w:pPr>
        <w:pStyle w:val="7"/>
        <w:numPr>
          <w:ilvl w:val="0"/>
          <w:numId w:val="14"/>
        </w:numPr>
        <w:spacing w:before="0"/>
        <w:rPr>
          <w:color w:val="auto"/>
          <w:sz w:val="21"/>
          <w:szCs w:val="21"/>
          <w:highlight w:val="none"/>
        </w:rPr>
      </w:pPr>
      <w:r>
        <w:rPr>
          <w:rFonts w:hint="eastAsia"/>
          <w:color w:val="auto"/>
          <w:sz w:val="21"/>
          <w:szCs w:val="21"/>
          <w:highlight w:val="none"/>
        </w:rPr>
        <w:t>供应商一次报价超出采购文件所规定的预算或最高限价的；</w:t>
      </w:r>
    </w:p>
    <w:p w14:paraId="3274A2C4">
      <w:pPr>
        <w:pStyle w:val="7"/>
        <w:numPr>
          <w:ilvl w:val="0"/>
          <w:numId w:val="14"/>
        </w:numPr>
        <w:spacing w:before="0"/>
        <w:rPr>
          <w:color w:val="auto"/>
          <w:sz w:val="21"/>
          <w:szCs w:val="21"/>
          <w:highlight w:val="none"/>
        </w:rPr>
      </w:pPr>
      <w:r>
        <w:rPr>
          <w:rFonts w:hint="eastAsia"/>
          <w:color w:val="auto"/>
          <w:sz w:val="21"/>
          <w:szCs w:val="21"/>
          <w:highlight w:val="none"/>
        </w:rPr>
        <w:t>扰乱磋商秩序，干扰采购工作正常进行的；</w:t>
      </w:r>
    </w:p>
    <w:p w14:paraId="2C862AB3">
      <w:pPr>
        <w:pStyle w:val="7"/>
        <w:numPr>
          <w:ilvl w:val="0"/>
          <w:numId w:val="14"/>
        </w:numPr>
        <w:spacing w:before="0"/>
        <w:rPr>
          <w:color w:val="auto"/>
          <w:sz w:val="21"/>
          <w:szCs w:val="21"/>
          <w:highlight w:val="none"/>
        </w:rPr>
      </w:pPr>
      <w:r>
        <w:rPr>
          <w:rFonts w:hint="eastAsia"/>
          <w:color w:val="auto"/>
          <w:sz w:val="21"/>
          <w:szCs w:val="21"/>
          <w:highlight w:val="none"/>
        </w:rPr>
        <w:t>直接或间接影响其他供应商进行最终报价的；</w:t>
      </w:r>
    </w:p>
    <w:p w14:paraId="04965F78">
      <w:pPr>
        <w:pStyle w:val="7"/>
        <w:numPr>
          <w:ilvl w:val="0"/>
          <w:numId w:val="14"/>
        </w:numPr>
        <w:spacing w:before="0"/>
        <w:rPr>
          <w:color w:val="auto"/>
          <w:sz w:val="21"/>
          <w:szCs w:val="21"/>
          <w:highlight w:val="none"/>
        </w:rPr>
      </w:pPr>
      <w:r>
        <w:rPr>
          <w:rFonts w:hint="eastAsia"/>
          <w:color w:val="auto"/>
          <w:sz w:val="21"/>
          <w:szCs w:val="21"/>
          <w:highlight w:val="none"/>
        </w:rPr>
        <w:t>磋商小组认定为违规的情况；</w:t>
      </w:r>
    </w:p>
    <w:p w14:paraId="61678880">
      <w:pPr>
        <w:pStyle w:val="7"/>
        <w:numPr>
          <w:ilvl w:val="0"/>
          <w:numId w:val="14"/>
        </w:numPr>
        <w:spacing w:before="0"/>
        <w:rPr>
          <w:color w:val="auto"/>
          <w:sz w:val="21"/>
          <w:szCs w:val="21"/>
          <w:highlight w:val="none"/>
        </w:rPr>
      </w:pPr>
      <w:r>
        <w:rPr>
          <w:rFonts w:hint="eastAsia"/>
          <w:color w:val="auto"/>
          <w:sz w:val="21"/>
          <w:szCs w:val="21"/>
          <w:highlight w:val="none"/>
        </w:rPr>
        <w:t>采购文件规定的其他情况。</w:t>
      </w:r>
    </w:p>
    <w:p w14:paraId="3F86CB38">
      <w:pPr>
        <w:numPr>
          <w:ilvl w:val="1"/>
          <w:numId w:val="3"/>
        </w:numPr>
        <w:rPr>
          <w:rFonts w:ascii="宋体" w:hAnsi="宋体"/>
          <w:color w:val="auto"/>
          <w:szCs w:val="21"/>
          <w:highlight w:val="none"/>
        </w:rPr>
      </w:pPr>
      <w:r>
        <w:rPr>
          <w:rFonts w:hint="eastAsia" w:ascii="宋体" w:hAnsi="宋体"/>
          <w:color w:val="auto"/>
          <w:szCs w:val="21"/>
          <w:highlight w:val="none"/>
        </w:rPr>
        <w:t>磋商小组与供应商分别进行磋商（除特殊情况外，磋商小组仅对各供应商进行一轮磋商）。在磋商过程中，磋商小组应当严格遵循保密原则，未经供应商同意不得向任何人透露当事人技术、价格和其他重要信息。</w:t>
      </w:r>
    </w:p>
    <w:p w14:paraId="6333EECE">
      <w:pPr>
        <w:numPr>
          <w:ilvl w:val="1"/>
          <w:numId w:val="3"/>
        </w:numPr>
        <w:rPr>
          <w:rFonts w:ascii="宋体" w:hAnsi="宋体"/>
          <w:color w:val="auto"/>
          <w:szCs w:val="21"/>
          <w:highlight w:val="none"/>
        </w:rPr>
      </w:pPr>
      <w:r>
        <w:rPr>
          <w:rFonts w:hint="eastAsia" w:ascii="宋体" w:hAnsi="宋体"/>
          <w:color w:val="auto"/>
          <w:szCs w:val="21"/>
          <w:highlight w:val="none"/>
        </w:rPr>
        <w:t>磋商文件的修正：磋商小组调整或修改采购需求内容时，应取得磋商小组的一致同意，并以书面形式通知所有参加磋商的供应商。但任何形式的决定须以符合公平、公正原则和有利于项目的顺利实施为前提。对磋商文件作出的实质性变动是磋商文件的有效组成部分。</w:t>
      </w:r>
    </w:p>
    <w:p w14:paraId="075D28A1">
      <w:pPr>
        <w:numPr>
          <w:ilvl w:val="1"/>
          <w:numId w:val="3"/>
        </w:numPr>
        <w:rPr>
          <w:rFonts w:ascii="宋体" w:hAnsi="宋体"/>
          <w:color w:val="auto"/>
          <w:szCs w:val="21"/>
          <w:highlight w:val="none"/>
        </w:rPr>
      </w:pPr>
      <w:r>
        <w:rPr>
          <w:rFonts w:hint="eastAsia" w:ascii="宋体" w:hAnsi="宋体"/>
          <w:color w:val="auto"/>
          <w:szCs w:val="21"/>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4BF3A499">
      <w:pPr>
        <w:rPr>
          <w:color w:val="auto"/>
          <w:highlight w:val="none"/>
        </w:rPr>
      </w:pPr>
    </w:p>
    <w:p w14:paraId="5340C557">
      <w:pPr>
        <w:pStyle w:val="4"/>
        <w:keepNext w:val="0"/>
        <w:keepLines w:val="0"/>
        <w:numPr>
          <w:ilvl w:val="0"/>
          <w:numId w:val="3"/>
        </w:numPr>
        <w:adjustRightInd/>
        <w:rPr>
          <w:rFonts w:hAnsi="宋体"/>
          <w:color w:val="auto"/>
          <w:sz w:val="21"/>
          <w:szCs w:val="21"/>
          <w:highlight w:val="none"/>
        </w:rPr>
      </w:pPr>
      <w:bookmarkStart w:id="144" w:name="_Toc30797"/>
      <w:bookmarkStart w:id="145" w:name="_Toc5492"/>
      <w:r>
        <w:rPr>
          <w:rFonts w:hint="eastAsia" w:hAnsi="宋体"/>
          <w:color w:val="auto"/>
          <w:sz w:val="21"/>
          <w:szCs w:val="21"/>
          <w:highlight w:val="none"/>
        </w:rPr>
        <w:t>最终报价</w:t>
      </w:r>
      <w:bookmarkEnd w:id="144"/>
      <w:bookmarkEnd w:id="145"/>
    </w:p>
    <w:p w14:paraId="0FA6F729">
      <w:pPr>
        <w:numPr>
          <w:ilvl w:val="1"/>
          <w:numId w:val="3"/>
        </w:numPr>
        <w:rPr>
          <w:rFonts w:ascii="宋体" w:hAnsi="宋体"/>
          <w:color w:val="auto"/>
          <w:szCs w:val="21"/>
          <w:highlight w:val="none"/>
        </w:rPr>
      </w:pPr>
      <w:r>
        <w:rPr>
          <w:rFonts w:hint="eastAsia" w:ascii="宋体" w:hAnsi="宋体"/>
          <w:color w:val="auto"/>
          <w:szCs w:val="21"/>
          <w:highlight w:val="none"/>
        </w:rPr>
        <w:t>磋商文件能够详细列明采购标的的技术、服务要求的，磋商结束后，磋商小组应当要求所有实质性响应的供应商在规定时间内提交最终报价（最终报价时间视磋商进程由磋商小组决定）。最后报价是供应商响应文件的有效组成部分。</w:t>
      </w:r>
    </w:p>
    <w:p w14:paraId="5AF666DF">
      <w:pPr>
        <w:numPr>
          <w:ilvl w:val="1"/>
          <w:numId w:val="3"/>
        </w:numPr>
        <w:rPr>
          <w:rFonts w:ascii="宋体" w:hAnsi="宋体"/>
          <w:color w:val="auto"/>
          <w:szCs w:val="21"/>
          <w:highlight w:val="none"/>
        </w:rPr>
      </w:pPr>
      <w:r>
        <w:rPr>
          <w:rFonts w:hint="eastAsia" w:ascii="宋体" w:hAnsi="宋体"/>
          <w:color w:val="auto"/>
          <w:szCs w:val="21"/>
          <w:highlight w:val="none"/>
        </w:rPr>
        <w:t>通过初审，但未在规定时间内进行最终报价的供应商，其报价文件上的报价视为其最终报价。</w:t>
      </w:r>
    </w:p>
    <w:p w14:paraId="41826A2E">
      <w:pPr>
        <w:numPr>
          <w:ilvl w:val="1"/>
          <w:numId w:val="3"/>
        </w:numPr>
        <w:rPr>
          <w:rFonts w:ascii="宋体" w:hAnsi="宋体"/>
          <w:color w:val="auto"/>
          <w:szCs w:val="21"/>
          <w:highlight w:val="none"/>
        </w:rPr>
      </w:pPr>
      <w:r>
        <w:rPr>
          <w:rFonts w:hint="eastAsia" w:ascii="宋体" w:hAnsi="宋体"/>
          <w:color w:val="auto"/>
          <w:szCs w:val="21"/>
          <w:highlight w:val="none"/>
        </w:rPr>
        <w:t>已提交响应文件的供应商，在提交最后报价之前，可以根据磋商情况退出磋商。响应文件不予退还，磋商保证金按采购文件规定进行退还。退出磋商的供应商不进入综合评分环节。</w:t>
      </w:r>
    </w:p>
    <w:p w14:paraId="7BC9D5DA">
      <w:pPr>
        <w:rPr>
          <w:color w:val="auto"/>
          <w:highlight w:val="none"/>
        </w:rPr>
      </w:pPr>
    </w:p>
    <w:bookmarkEnd w:id="135"/>
    <w:p w14:paraId="5828E829">
      <w:pPr>
        <w:pStyle w:val="4"/>
        <w:keepNext w:val="0"/>
        <w:keepLines w:val="0"/>
        <w:numPr>
          <w:ilvl w:val="0"/>
          <w:numId w:val="3"/>
        </w:numPr>
        <w:adjustRightInd/>
        <w:rPr>
          <w:rFonts w:hAnsi="宋体"/>
          <w:color w:val="auto"/>
          <w:sz w:val="21"/>
          <w:szCs w:val="21"/>
          <w:highlight w:val="none"/>
        </w:rPr>
      </w:pPr>
      <w:bookmarkStart w:id="146" w:name="_Toc19157"/>
      <w:bookmarkStart w:id="147" w:name="_Toc2794"/>
      <w:r>
        <w:rPr>
          <w:rFonts w:hint="eastAsia" w:hAnsi="宋体"/>
          <w:color w:val="auto"/>
          <w:sz w:val="21"/>
          <w:szCs w:val="21"/>
          <w:highlight w:val="none"/>
        </w:rPr>
        <w:t>综合评分</w:t>
      </w:r>
      <w:bookmarkEnd w:id="146"/>
      <w:bookmarkEnd w:id="147"/>
    </w:p>
    <w:p w14:paraId="71D7234E">
      <w:pPr>
        <w:numPr>
          <w:ilvl w:val="1"/>
          <w:numId w:val="3"/>
        </w:numPr>
        <w:rPr>
          <w:rFonts w:ascii="宋体" w:hAnsi="宋体"/>
          <w:color w:val="auto"/>
          <w:szCs w:val="21"/>
          <w:highlight w:val="none"/>
        </w:rPr>
      </w:pPr>
      <w:r>
        <w:rPr>
          <w:rFonts w:hint="eastAsia" w:ascii="宋体" w:hAnsi="宋体"/>
          <w:color w:val="auto"/>
          <w:szCs w:val="21"/>
          <w:highlight w:val="none"/>
        </w:rPr>
        <w:t>经磋商确定最终采购需求和提交最后报价的供应商后，由磋商小组采用综合评分法对提交最后报价的供应商的响应文件和最后报价进行综合评分。</w:t>
      </w:r>
    </w:p>
    <w:p w14:paraId="5128A48F">
      <w:pPr>
        <w:numPr>
          <w:ilvl w:val="1"/>
          <w:numId w:val="3"/>
        </w:numPr>
        <w:rPr>
          <w:rFonts w:ascii="宋体" w:hAnsi="宋体"/>
          <w:color w:val="auto"/>
          <w:szCs w:val="21"/>
          <w:highlight w:val="none"/>
        </w:rPr>
      </w:pPr>
      <w:r>
        <w:rPr>
          <w:rFonts w:hint="eastAsia" w:ascii="宋体" w:hAnsi="宋体"/>
          <w:color w:val="auto"/>
          <w:szCs w:val="21"/>
          <w:highlight w:val="none"/>
        </w:rPr>
        <w:t>价格评审：</w:t>
      </w:r>
    </w:p>
    <w:p w14:paraId="4B888BD7">
      <w:pPr>
        <w:pStyle w:val="7"/>
        <w:numPr>
          <w:ilvl w:val="0"/>
          <w:numId w:val="15"/>
        </w:numPr>
        <w:spacing w:before="0"/>
        <w:rPr>
          <w:color w:val="auto"/>
          <w:sz w:val="21"/>
          <w:szCs w:val="21"/>
          <w:highlight w:val="none"/>
        </w:rPr>
      </w:pPr>
      <w:r>
        <w:rPr>
          <w:rFonts w:hint="eastAsia"/>
          <w:color w:val="auto"/>
          <w:sz w:val="21"/>
          <w:szCs w:val="21"/>
          <w:highlight w:val="none"/>
        </w:rPr>
        <w:t>以各供应商最终报价进行评审；</w:t>
      </w:r>
    </w:p>
    <w:p w14:paraId="1280DC80">
      <w:pPr>
        <w:pStyle w:val="7"/>
        <w:numPr>
          <w:ilvl w:val="0"/>
          <w:numId w:val="15"/>
        </w:numPr>
        <w:spacing w:before="0"/>
        <w:rPr>
          <w:color w:val="auto"/>
          <w:sz w:val="21"/>
          <w:szCs w:val="21"/>
          <w:highlight w:val="none"/>
        </w:rPr>
      </w:pPr>
      <w:r>
        <w:rPr>
          <w:rFonts w:hint="eastAsia"/>
          <w:color w:val="auto"/>
          <w:sz w:val="21"/>
          <w:szCs w:val="21"/>
          <w:highlight w:val="none"/>
        </w:rPr>
        <w:t>报价错误修正原则：</w:t>
      </w:r>
    </w:p>
    <w:p w14:paraId="207C4DD7">
      <w:pPr>
        <w:pStyle w:val="7"/>
        <w:spacing w:before="0"/>
        <w:ind w:left="420"/>
        <w:rPr>
          <w:color w:val="auto"/>
          <w:sz w:val="21"/>
          <w:szCs w:val="21"/>
          <w:highlight w:val="none"/>
        </w:rPr>
      </w:pPr>
      <w:r>
        <w:rPr>
          <w:rFonts w:hint="eastAsia"/>
          <w:color w:val="auto"/>
          <w:sz w:val="21"/>
          <w:szCs w:val="21"/>
          <w:highlight w:val="none"/>
        </w:rPr>
        <w:t>①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14:paraId="6AFE7FB9">
      <w:pPr>
        <w:pStyle w:val="7"/>
        <w:spacing w:before="0"/>
        <w:ind w:left="420"/>
        <w:rPr>
          <w:color w:val="auto"/>
          <w:sz w:val="21"/>
          <w:szCs w:val="21"/>
          <w:highlight w:val="none"/>
        </w:rPr>
      </w:pPr>
      <w:r>
        <w:rPr>
          <w:rFonts w:hint="eastAsia"/>
          <w:color w:val="auto"/>
          <w:sz w:val="21"/>
          <w:szCs w:val="21"/>
          <w:highlight w:val="none"/>
        </w:rPr>
        <w:t>② 以上修正后的报价应当经报价供应商采用书面形式，并加盖公章，或者由法定代表人或其授权的代表签字确认，并对报价供应商产生约束力，报价供应商不确认的，其报价无效。</w:t>
      </w:r>
    </w:p>
    <w:p w14:paraId="51030457">
      <w:pPr>
        <w:pStyle w:val="7"/>
        <w:numPr>
          <w:ilvl w:val="0"/>
          <w:numId w:val="15"/>
        </w:numPr>
        <w:spacing w:before="0"/>
        <w:rPr>
          <w:color w:val="auto"/>
          <w:sz w:val="21"/>
          <w:szCs w:val="21"/>
          <w:highlight w:val="none"/>
        </w:rPr>
      </w:pPr>
      <w:r>
        <w:rPr>
          <w:rFonts w:hint="eastAsia"/>
          <w:color w:val="auto"/>
          <w:sz w:val="21"/>
          <w:szCs w:val="21"/>
          <w:highlight w:val="none"/>
        </w:rPr>
        <w:t>对报价服务报价漏项的，作非实质性响应处理。</w:t>
      </w:r>
    </w:p>
    <w:p w14:paraId="6F55D48E">
      <w:pPr>
        <w:numPr>
          <w:ilvl w:val="1"/>
          <w:numId w:val="3"/>
        </w:numPr>
        <w:rPr>
          <w:rFonts w:ascii="宋体" w:hAnsi="宋体" w:cs="宋体"/>
          <w:color w:val="auto"/>
          <w:szCs w:val="21"/>
          <w:highlight w:val="none"/>
        </w:rPr>
      </w:pPr>
      <w:r>
        <w:rPr>
          <w:rFonts w:hint="eastAsia" w:ascii="宋体" w:hAnsi="宋体" w:cs="宋体"/>
          <w:color w:val="auto"/>
          <w:szCs w:val="21"/>
          <w:highlight w:val="none"/>
        </w:rPr>
        <w:t>技术商务评审要求详见《商务技术评分及价格权重表》。</w:t>
      </w:r>
    </w:p>
    <w:p w14:paraId="4EA3006B">
      <w:pPr>
        <w:numPr>
          <w:ilvl w:val="1"/>
          <w:numId w:val="3"/>
        </w:numPr>
        <w:rPr>
          <w:rFonts w:ascii="宋体" w:hAnsi="宋体" w:cs="宋体"/>
          <w:color w:val="auto"/>
          <w:szCs w:val="21"/>
          <w:highlight w:val="none"/>
        </w:rPr>
      </w:pPr>
      <w:r>
        <w:rPr>
          <w:rFonts w:hint="eastAsia" w:ascii="宋体" w:hAnsi="宋体" w:cs="宋体"/>
          <w:color w:val="auto"/>
          <w:szCs w:val="21"/>
          <w:highlight w:val="none"/>
        </w:rPr>
        <w:t>磋商小组对通过资格审查、符合性审查及进行最终报价的供应商的响应文件进行详细评审。磋商小组对每一响应文件进行详细的商务评审、技术评审。按照评审程序的规定和依据评分标准，对每个供应商响应文件的技术、商务状况及其对采购文件要求的响应情况进行评议和比较，评出其技术评分和商务评分。根据采购文件规定评出得分，将价格得分、商务得分、技术得分相加得出最终评标得分（最终评标得分分值按四舍五入原则精确到小数点后两位）。</w:t>
      </w:r>
    </w:p>
    <w:p w14:paraId="779DCBC0">
      <w:pPr>
        <w:numPr>
          <w:ilvl w:val="1"/>
          <w:numId w:val="3"/>
        </w:numPr>
        <w:rPr>
          <w:rFonts w:ascii="宋体" w:hAnsi="宋体" w:cs="宋体"/>
          <w:color w:val="auto"/>
          <w:szCs w:val="21"/>
          <w:highlight w:val="none"/>
        </w:rPr>
      </w:pPr>
      <w:r>
        <w:rPr>
          <w:rFonts w:hint="eastAsia" w:ascii="宋体" w:hAnsi="宋体" w:cs="宋体"/>
          <w:color w:val="auto"/>
          <w:szCs w:val="21"/>
          <w:highlight w:val="none"/>
        </w:rPr>
        <w:t>使用综合评分法的采购项目，核心产品提供相同品牌产品且通过资格审查、符合性审查的不同供应商参加同一合同项下报价的，按一家供应商计算，评审后得分最高的同品牌供应商获得成交供应商推荐资格。</w:t>
      </w:r>
    </w:p>
    <w:p w14:paraId="29507ECC">
      <w:pPr>
        <w:numPr>
          <w:ilvl w:val="1"/>
          <w:numId w:val="3"/>
        </w:numPr>
        <w:rPr>
          <w:rFonts w:ascii="宋体" w:hAnsi="宋体" w:cs="宋体"/>
          <w:color w:val="auto"/>
          <w:szCs w:val="21"/>
          <w:highlight w:val="none"/>
        </w:rPr>
      </w:pPr>
      <w:r>
        <w:rPr>
          <w:rFonts w:hint="eastAsia" w:ascii="宋体" w:hAnsi="宋体" w:cs="宋体"/>
          <w:color w:val="auto"/>
          <w:szCs w:val="21"/>
          <w:highlight w:val="none"/>
        </w:rPr>
        <w:t>核心产品提供相同品牌产品且通过资格审查、符合性审查的不同供应商参加同一合同项下报价且评审得分相同的，按照评审因素的技术评审得分最高的供应商为排名第一的成交候选人，其他同品牌供应商不作为成交候选人。</w:t>
      </w:r>
    </w:p>
    <w:p w14:paraId="08A24379">
      <w:pPr>
        <w:numPr>
          <w:ilvl w:val="1"/>
          <w:numId w:val="3"/>
        </w:numPr>
        <w:rPr>
          <w:rFonts w:ascii="宋体" w:hAnsi="宋体" w:cs="宋体"/>
          <w:color w:val="auto"/>
          <w:szCs w:val="21"/>
          <w:highlight w:val="none"/>
        </w:rPr>
      </w:pPr>
      <w:r>
        <w:rPr>
          <w:rFonts w:hint="eastAsia" w:ascii="宋体" w:hAnsi="宋体" w:cs="宋体"/>
          <w:color w:val="auto"/>
          <w:szCs w:val="21"/>
          <w:highlight w:val="none"/>
        </w:rPr>
        <w:t>采用综合评分法的，评标结果按评审后得分由高到低顺序排列。得分相同的，按最终报价由低到高顺序排列。得分且最终报价相同的并列，响应文件满足采购文件全部实质性要求，且按照评审因素的量化指标评审得分最高的供应商为排名第一的成交候选人。</w:t>
      </w:r>
    </w:p>
    <w:p w14:paraId="4A697EC1">
      <w:pPr>
        <w:rPr>
          <w:color w:val="auto"/>
          <w:highlight w:val="none"/>
        </w:rPr>
      </w:pPr>
    </w:p>
    <w:p w14:paraId="0F57E4CA">
      <w:pPr>
        <w:pStyle w:val="4"/>
        <w:keepNext w:val="0"/>
        <w:keepLines w:val="0"/>
        <w:numPr>
          <w:ilvl w:val="0"/>
          <w:numId w:val="3"/>
        </w:numPr>
        <w:adjustRightInd/>
        <w:rPr>
          <w:rFonts w:hAnsi="宋体"/>
          <w:color w:val="auto"/>
          <w:sz w:val="21"/>
          <w:szCs w:val="21"/>
          <w:highlight w:val="none"/>
        </w:rPr>
      </w:pPr>
      <w:bookmarkStart w:id="148" w:name="_Toc23560"/>
      <w:bookmarkStart w:id="149" w:name="_Toc30725"/>
      <w:r>
        <w:rPr>
          <w:rFonts w:hint="eastAsia" w:hAnsi="宋体"/>
          <w:color w:val="auto"/>
          <w:sz w:val="21"/>
          <w:szCs w:val="21"/>
          <w:highlight w:val="none"/>
        </w:rPr>
        <w:t>优惠政策</w:t>
      </w:r>
      <w:bookmarkEnd w:id="148"/>
      <w:bookmarkEnd w:id="149"/>
    </w:p>
    <w:p w14:paraId="2D50C58D">
      <w:pPr>
        <w:numPr>
          <w:ilvl w:val="1"/>
          <w:numId w:val="3"/>
        </w:numPr>
        <w:rPr>
          <w:rFonts w:ascii="宋体" w:hAnsi="宋体"/>
          <w:color w:val="auto"/>
          <w:szCs w:val="21"/>
          <w:highlight w:val="none"/>
        </w:rPr>
      </w:pPr>
      <w:r>
        <w:rPr>
          <w:rFonts w:hint="eastAsia" w:ascii="宋体" w:hAnsi="宋体"/>
          <w:color w:val="auto"/>
          <w:szCs w:val="21"/>
          <w:highlight w:val="none"/>
        </w:rPr>
        <w:t>对小型或微型企业、监狱企业、残疾人福利性单位报价的扶持：</w:t>
      </w:r>
    </w:p>
    <w:p w14:paraId="100F125C">
      <w:pPr>
        <w:ind w:firstLine="420" w:firstLineChars="200"/>
        <w:rPr>
          <w:rFonts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项目采购活动的中小企业应按照磋商文件中磋商文件格式提出《中小企业声明函》）残疾人福利性单位、监狱企业（注：参加项目采购活动的监狱企业必须提供由省级以上监狱管理局、戒毒管理局(含新疆生产建设兵团)出具的监狱企业证明文件）视同小型、微型企业。</w:t>
      </w:r>
    </w:p>
    <w:p w14:paraId="712EF179">
      <w:pPr>
        <w:numPr>
          <w:ilvl w:val="1"/>
          <w:numId w:val="3"/>
        </w:numPr>
        <w:rPr>
          <w:rFonts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363A5952">
      <w:pPr>
        <w:numPr>
          <w:ilvl w:val="1"/>
          <w:numId w:val="3"/>
        </w:numPr>
        <w:rPr>
          <w:rFonts w:ascii="宋体" w:hAnsi="宋体"/>
          <w:color w:val="auto"/>
          <w:szCs w:val="21"/>
          <w:highlight w:val="none"/>
        </w:rPr>
      </w:pPr>
      <w:r>
        <w:rPr>
          <w:rFonts w:hint="eastAsia" w:ascii="宋体" w:hAnsi="宋体"/>
          <w:color w:val="auto"/>
          <w:szCs w:val="21"/>
          <w:highlight w:val="none"/>
        </w:rPr>
        <w:t>供应商为小型或微型企业且响应产品含小型或微型企业产品时，其对应产品价格的扣除详见磋商资料表。</w:t>
      </w:r>
    </w:p>
    <w:p w14:paraId="4ADB47BD">
      <w:pPr>
        <w:numPr>
          <w:ilvl w:val="1"/>
          <w:numId w:val="3"/>
        </w:numPr>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54EF8D96">
      <w:pPr>
        <w:numPr>
          <w:ilvl w:val="1"/>
          <w:numId w:val="3"/>
        </w:numPr>
        <w:rPr>
          <w:rFonts w:ascii="宋体" w:hAnsi="宋体"/>
          <w:color w:val="auto"/>
          <w:szCs w:val="21"/>
          <w:highlight w:val="none"/>
        </w:rPr>
      </w:pPr>
      <w:r>
        <w:rPr>
          <w:rFonts w:hint="eastAsia" w:ascii="宋体" w:hAnsi="宋体"/>
          <w:color w:val="auto"/>
          <w:szCs w:val="21"/>
          <w:highlight w:val="none"/>
        </w:rPr>
        <w:t>供应商同时为小型、微型企业、监狱企业、残疾人福利性单位任两种或以上情况的，评审中只享受一次价格扣除，不重复进行价格扣除。</w:t>
      </w:r>
    </w:p>
    <w:p w14:paraId="141F6990">
      <w:pPr>
        <w:numPr>
          <w:ilvl w:val="1"/>
          <w:numId w:val="3"/>
        </w:numPr>
        <w:rPr>
          <w:rFonts w:ascii="宋体" w:hAnsi="宋体"/>
          <w:color w:val="auto"/>
          <w:szCs w:val="21"/>
          <w:highlight w:val="none"/>
        </w:rPr>
      </w:pPr>
      <w:r>
        <w:rPr>
          <w:rFonts w:hint="eastAsia" w:ascii="宋体" w:hAnsi="宋体"/>
          <w:color w:val="auto"/>
          <w:szCs w:val="21"/>
          <w:highlight w:val="non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615A6922">
      <w:pPr>
        <w:numPr>
          <w:ilvl w:val="1"/>
          <w:numId w:val="3"/>
        </w:numPr>
        <w:rPr>
          <w:rFonts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242DE4FE">
      <w:pPr>
        <w:pStyle w:val="7"/>
        <w:numPr>
          <w:ilvl w:val="0"/>
          <w:numId w:val="16"/>
        </w:numPr>
        <w:spacing w:before="0"/>
        <w:rPr>
          <w:color w:val="auto"/>
          <w:sz w:val="21"/>
          <w:szCs w:val="21"/>
          <w:highlight w:val="none"/>
        </w:rPr>
      </w:pPr>
      <w:r>
        <w:rPr>
          <w:rFonts w:hint="eastAsia"/>
          <w:color w:val="auto"/>
          <w:sz w:val="21"/>
          <w:szCs w:val="21"/>
          <w:highlight w:val="none"/>
        </w:rPr>
        <w:t>安置的残疾人占本单位在职职工人数的比例不低于25%（含25%），并且安置的残疾人人数不少于10人（含10人）；</w:t>
      </w:r>
    </w:p>
    <w:p w14:paraId="4945BDA3">
      <w:pPr>
        <w:pStyle w:val="7"/>
        <w:numPr>
          <w:ilvl w:val="0"/>
          <w:numId w:val="16"/>
        </w:numPr>
        <w:spacing w:before="0"/>
        <w:rPr>
          <w:color w:val="auto"/>
          <w:sz w:val="21"/>
          <w:szCs w:val="21"/>
          <w:highlight w:val="none"/>
        </w:rPr>
      </w:pPr>
      <w:r>
        <w:rPr>
          <w:rFonts w:hint="eastAsia"/>
          <w:color w:val="auto"/>
          <w:sz w:val="21"/>
          <w:szCs w:val="21"/>
          <w:highlight w:val="none"/>
        </w:rPr>
        <w:t>依法与安置的每位残疾人签订了一年以上（含一年）的劳动合同或服务协议；</w:t>
      </w:r>
    </w:p>
    <w:p w14:paraId="7117E31A">
      <w:pPr>
        <w:pStyle w:val="7"/>
        <w:numPr>
          <w:ilvl w:val="0"/>
          <w:numId w:val="16"/>
        </w:numPr>
        <w:spacing w:before="0"/>
        <w:rPr>
          <w:color w:val="auto"/>
          <w:sz w:val="21"/>
          <w:szCs w:val="21"/>
          <w:highlight w:val="none"/>
        </w:rPr>
      </w:pPr>
      <w:r>
        <w:rPr>
          <w:rFonts w:hint="eastAsia"/>
          <w:color w:val="auto"/>
          <w:sz w:val="21"/>
          <w:szCs w:val="21"/>
          <w:highlight w:val="none"/>
        </w:rPr>
        <w:t>为安置的每位残疾人按月足额缴纳了基本养老保险、基本医疗保险、失业保险、工伤保险和生育保险等社会保险费；</w:t>
      </w:r>
    </w:p>
    <w:p w14:paraId="6E00A677">
      <w:pPr>
        <w:pStyle w:val="7"/>
        <w:numPr>
          <w:ilvl w:val="0"/>
          <w:numId w:val="16"/>
        </w:numPr>
        <w:spacing w:before="0"/>
        <w:rPr>
          <w:color w:val="auto"/>
          <w:sz w:val="21"/>
          <w:szCs w:val="21"/>
          <w:highlight w:val="none"/>
        </w:rPr>
      </w:pPr>
      <w:r>
        <w:rPr>
          <w:rFonts w:hint="eastAsia"/>
          <w:color w:val="auto"/>
          <w:sz w:val="21"/>
          <w:szCs w:val="21"/>
          <w:highlight w:val="none"/>
        </w:rPr>
        <w:t>通过银行等金融机构向安置的每位残疾人，按月支付了不低于单位所在区县适用的经省级人民政府批准的月最低工资标准的工资；</w:t>
      </w:r>
    </w:p>
    <w:p w14:paraId="75F44BAD">
      <w:pPr>
        <w:pStyle w:val="7"/>
        <w:numPr>
          <w:ilvl w:val="0"/>
          <w:numId w:val="16"/>
        </w:numPr>
        <w:spacing w:before="0"/>
        <w:rPr>
          <w:color w:val="auto"/>
          <w:sz w:val="21"/>
          <w:szCs w:val="21"/>
          <w:highlight w:val="none"/>
        </w:rPr>
      </w:pPr>
      <w:r>
        <w:rPr>
          <w:rFonts w:hint="eastAsia"/>
          <w:color w:val="auto"/>
          <w:sz w:val="21"/>
          <w:szCs w:val="21"/>
          <w:highlight w:val="none"/>
        </w:rPr>
        <w:t>提供本单位制造的货物、承担的工程或者服务（以下简称产品），或者提供其他残疾人福利性单位制造的货物（不包括使用非残疾人福利性单位注册商标的货物）。</w:t>
      </w:r>
    </w:p>
    <w:p w14:paraId="381EC95C">
      <w:pPr>
        <w:numPr>
          <w:ilvl w:val="1"/>
          <w:numId w:val="3"/>
        </w:numPr>
        <w:rPr>
          <w:rFonts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6D3DF20">
      <w:pPr>
        <w:numPr>
          <w:ilvl w:val="1"/>
          <w:numId w:val="3"/>
        </w:numPr>
        <w:rPr>
          <w:rFonts w:ascii="宋体" w:hAnsi="宋体"/>
          <w:color w:val="auto"/>
          <w:szCs w:val="21"/>
          <w:highlight w:val="none"/>
        </w:rPr>
      </w:pPr>
      <w:r>
        <w:rPr>
          <w:rFonts w:hint="eastAsia" w:ascii="宋体" w:hAnsi="宋体"/>
          <w:color w:val="auto"/>
          <w:szCs w:val="21"/>
          <w:highlight w:val="none"/>
        </w:rPr>
        <w:t>对节能产品或环境标志产品的扶持：</w:t>
      </w:r>
    </w:p>
    <w:p w14:paraId="71CF4BBA">
      <w:pPr>
        <w:ind w:firstLine="420" w:firstLineChars="200"/>
        <w:rPr>
          <w:rFonts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根据《关于调整优化节能产品、环境标志产品政府采购执行机制的通知》（财库〔2020〕9号）及《转发财政部 发展改革委 生态环境部 市场监管总局关于调整优化节能产品 环境标志产品政府采购执行机制的通知》（粤财采购函〔2020〕1号）的规定，对提供节能产品或环境标志产品的响应单位的价格给予一定比例扣除（扣除比例详见磋商资料表）。</w:t>
      </w:r>
    </w:p>
    <w:p w14:paraId="011B2A9D">
      <w:pPr>
        <w:numPr>
          <w:ilvl w:val="1"/>
          <w:numId w:val="3"/>
        </w:numPr>
        <w:rPr>
          <w:rFonts w:ascii="宋体" w:hAnsi="宋体"/>
          <w:color w:val="auto"/>
          <w:szCs w:val="21"/>
          <w:highlight w:val="none"/>
        </w:rPr>
      </w:pPr>
      <w:r>
        <w:rPr>
          <w:rFonts w:hint="eastAsia" w:ascii="宋体" w:hAnsi="宋体"/>
          <w:color w:val="auto"/>
          <w:szCs w:val="21"/>
          <w:highlight w:val="none"/>
        </w:rPr>
        <w:t>提供节能产品或环境标志产品的供应商其产品应符合以下规定：</w:t>
      </w:r>
    </w:p>
    <w:p w14:paraId="33C1470E">
      <w:pPr>
        <w:pStyle w:val="7"/>
        <w:numPr>
          <w:ilvl w:val="0"/>
          <w:numId w:val="17"/>
        </w:numPr>
        <w:spacing w:before="0"/>
        <w:rPr>
          <w:color w:val="auto"/>
          <w:sz w:val="21"/>
          <w:szCs w:val="21"/>
          <w:highlight w:val="none"/>
        </w:rPr>
      </w:pPr>
      <w:r>
        <w:rPr>
          <w:rFonts w:hint="eastAsia"/>
          <w:color w:val="auto"/>
          <w:sz w:val="21"/>
          <w:szCs w:val="21"/>
          <w:highlight w:val="none"/>
        </w:rPr>
        <w:t>所投产品属于《节能产品政府采购品目清单》或《环境标志产品政府采购品目清单》的，供应商应如实填写《节能产品或环境标志产品列价表》并提供在有效期内的“节能产品认证证书”或“环境标志产品认证证书”。</w:t>
      </w:r>
    </w:p>
    <w:p w14:paraId="14E25E63">
      <w:pPr>
        <w:pStyle w:val="7"/>
        <w:numPr>
          <w:ilvl w:val="0"/>
          <w:numId w:val="17"/>
        </w:numPr>
        <w:spacing w:before="0"/>
        <w:rPr>
          <w:color w:val="auto"/>
          <w:sz w:val="21"/>
          <w:szCs w:val="21"/>
          <w:highlight w:val="none"/>
        </w:rPr>
      </w:pPr>
      <w:r>
        <w:rPr>
          <w:rFonts w:hint="eastAsia"/>
          <w:color w:val="auto"/>
          <w:sz w:val="21"/>
          <w:szCs w:val="21"/>
          <w:highlight w:val="none"/>
        </w:rPr>
        <w:t>供应商所投节能产品或环境标志产品其认证证书的认证机构应属于《市场监管总局关于发布参与实施政府采购节能产品、环境标志产品认证机构名录的公告（2020年第16号）》公告中所公示的认证机构，若供应商所提供的产品认证证书其认证机构不属于以上公示中的机构，则视为无效认证，不给予价格扣除优惠。</w:t>
      </w:r>
    </w:p>
    <w:p w14:paraId="74B286B7">
      <w:pPr>
        <w:pStyle w:val="7"/>
        <w:numPr>
          <w:ilvl w:val="0"/>
          <w:numId w:val="17"/>
        </w:numPr>
        <w:spacing w:before="0"/>
        <w:rPr>
          <w:color w:val="auto"/>
          <w:sz w:val="21"/>
          <w:szCs w:val="21"/>
          <w:highlight w:val="none"/>
        </w:rPr>
      </w:pPr>
      <w:r>
        <w:rPr>
          <w:rFonts w:hint="eastAsia"/>
          <w:color w:val="auto"/>
          <w:sz w:val="21"/>
          <w:szCs w:val="21"/>
          <w:highlight w:val="none"/>
        </w:rPr>
        <w:t>若用户需求中含有《节能产品政府采购品目清单》中的政府强制采购产品，供应商应根据要求提供所对应的节能产品，否则做响应无效处理。</w:t>
      </w:r>
    </w:p>
    <w:p w14:paraId="74615CAB">
      <w:pPr>
        <w:rPr>
          <w:color w:val="auto"/>
          <w:highlight w:val="none"/>
        </w:rPr>
      </w:pPr>
    </w:p>
    <w:p w14:paraId="06B1E1AA">
      <w:pPr>
        <w:pStyle w:val="3"/>
        <w:keepNext w:val="0"/>
        <w:keepLines w:val="0"/>
        <w:spacing w:before="0" w:after="0" w:line="360" w:lineRule="auto"/>
        <w:jc w:val="center"/>
        <w:rPr>
          <w:rFonts w:ascii="宋体" w:hAnsi="宋体" w:eastAsia="宋体"/>
          <w:color w:val="auto"/>
          <w:sz w:val="24"/>
          <w:szCs w:val="21"/>
          <w:highlight w:val="none"/>
        </w:rPr>
      </w:pPr>
      <w:bookmarkStart w:id="150" w:name="_Toc1066"/>
      <w:bookmarkStart w:id="151" w:name="_Toc21886"/>
      <w:r>
        <w:rPr>
          <w:rFonts w:hint="eastAsia" w:ascii="宋体" w:hAnsi="宋体" w:eastAsia="宋体"/>
          <w:color w:val="auto"/>
          <w:sz w:val="24"/>
          <w:szCs w:val="21"/>
          <w:highlight w:val="none"/>
        </w:rPr>
        <w:t>第六章确定成交供应商</w:t>
      </w:r>
      <w:bookmarkEnd w:id="150"/>
      <w:bookmarkEnd w:id="151"/>
    </w:p>
    <w:p w14:paraId="3F1AF7BE">
      <w:pPr>
        <w:pStyle w:val="4"/>
        <w:keepNext w:val="0"/>
        <w:keepLines w:val="0"/>
        <w:numPr>
          <w:ilvl w:val="0"/>
          <w:numId w:val="3"/>
        </w:numPr>
        <w:adjustRightInd/>
        <w:rPr>
          <w:rFonts w:hAnsi="宋体"/>
          <w:color w:val="auto"/>
          <w:sz w:val="21"/>
          <w:szCs w:val="21"/>
          <w:highlight w:val="none"/>
        </w:rPr>
      </w:pPr>
      <w:bookmarkStart w:id="152" w:name="_Toc29068"/>
      <w:bookmarkStart w:id="153" w:name="_Toc19359"/>
      <w:r>
        <w:rPr>
          <w:rFonts w:hint="eastAsia" w:hAnsi="宋体"/>
          <w:color w:val="auto"/>
          <w:sz w:val="21"/>
          <w:szCs w:val="21"/>
          <w:highlight w:val="none"/>
        </w:rPr>
        <w:t>确定成交</w:t>
      </w:r>
      <w:bookmarkEnd w:id="152"/>
      <w:bookmarkEnd w:id="153"/>
    </w:p>
    <w:p w14:paraId="70889BF8">
      <w:pPr>
        <w:numPr>
          <w:ilvl w:val="1"/>
          <w:numId w:val="3"/>
        </w:numPr>
        <w:rPr>
          <w:rFonts w:ascii="宋体" w:hAnsi="宋体"/>
          <w:color w:val="auto"/>
          <w:szCs w:val="21"/>
          <w:highlight w:val="none"/>
        </w:rPr>
      </w:pPr>
      <w:r>
        <w:rPr>
          <w:rFonts w:hint="eastAsia" w:ascii="宋体" w:hAnsi="宋体"/>
          <w:color w:val="auto"/>
          <w:szCs w:val="21"/>
          <w:highlight w:val="none"/>
        </w:rPr>
        <w:t>磋商小组完成评审工作后，出具评审报告，推荐3名以上成交候选供应商。符合法律法规允许的情况的，可以推荐2家成交候选供应商。</w:t>
      </w:r>
    </w:p>
    <w:p w14:paraId="168DE223">
      <w:pPr>
        <w:numPr>
          <w:ilvl w:val="1"/>
          <w:numId w:val="3"/>
        </w:numPr>
        <w:rPr>
          <w:rFonts w:ascii="宋体" w:hAnsi="宋体"/>
          <w:color w:val="auto"/>
          <w:szCs w:val="21"/>
          <w:highlight w:val="none"/>
        </w:rPr>
      </w:pPr>
      <w:r>
        <w:rPr>
          <w:rFonts w:hint="eastAsia" w:ascii="宋体" w:hAnsi="宋体"/>
          <w:color w:val="auto"/>
          <w:szCs w:val="21"/>
          <w:highlight w:val="none"/>
        </w:rPr>
        <w:t>采购人从成交候选供应商名单中按照综合得分排序确定1名成交供应商。</w:t>
      </w:r>
    </w:p>
    <w:p w14:paraId="1D417BFF">
      <w:pPr>
        <w:rPr>
          <w:color w:val="auto"/>
          <w:highlight w:val="none"/>
        </w:rPr>
      </w:pPr>
    </w:p>
    <w:p w14:paraId="576D1F71">
      <w:pPr>
        <w:pStyle w:val="4"/>
        <w:keepNext w:val="0"/>
        <w:keepLines w:val="0"/>
        <w:numPr>
          <w:ilvl w:val="0"/>
          <w:numId w:val="3"/>
        </w:numPr>
        <w:adjustRightInd/>
        <w:rPr>
          <w:rFonts w:hAnsi="宋体"/>
          <w:color w:val="auto"/>
          <w:sz w:val="21"/>
          <w:szCs w:val="21"/>
          <w:highlight w:val="none"/>
        </w:rPr>
      </w:pPr>
      <w:bookmarkStart w:id="154" w:name="_Toc17569"/>
      <w:bookmarkStart w:id="155" w:name="_Toc3941"/>
      <w:r>
        <w:rPr>
          <w:rFonts w:hint="eastAsia" w:hAnsi="宋体"/>
          <w:color w:val="auto"/>
          <w:sz w:val="21"/>
          <w:szCs w:val="21"/>
          <w:highlight w:val="none"/>
        </w:rPr>
        <w:t>发布采购结果</w:t>
      </w:r>
      <w:bookmarkEnd w:id="154"/>
      <w:bookmarkEnd w:id="155"/>
    </w:p>
    <w:p w14:paraId="370C094D">
      <w:pPr>
        <w:numPr>
          <w:ilvl w:val="1"/>
          <w:numId w:val="3"/>
        </w:numPr>
        <w:rPr>
          <w:rFonts w:ascii="宋体" w:hAnsi="宋体"/>
          <w:color w:val="auto"/>
          <w:szCs w:val="21"/>
          <w:highlight w:val="none"/>
        </w:rPr>
      </w:pPr>
      <w:r>
        <w:rPr>
          <w:rFonts w:hint="eastAsia" w:ascii="宋体" w:hAnsi="宋体"/>
          <w:color w:val="auto"/>
          <w:szCs w:val="21"/>
          <w:highlight w:val="none"/>
        </w:rPr>
        <w:t>磋商小组提出评标书面报告和推荐成交意见报采购人确认后，采购代理机构将在指定的信息发布媒体上发布公告。</w:t>
      </w:r>
    </w:p>
    <w:p w14:paraId="116137E7">
      <w:pPr>
        <w:numPr>
          <w:ilvl w:val="1"/>
          <w:numId w:val="3"/>
        </w:numPr>
        <w:rPr>
          <w:rFonts w:ascii="宋体" w:hAnsi="宋体"/>
          <w:color w:val="auto"/>
          <w:szCs w:val="21"/>
          <w:highlight w:val="none"/>
        </w:rPr>
      </w:pPr>
      <w:r>
        <w:rPr>
          <w:rFonts w:hint="eastAsia" w:ascii="宋体" w:hAnsi="宋体"/>
          <w:color w:val="auto"/>
          <w:szCs w:val="21"/>
          <w:highlight w:val="none"/>
        </w:rPr>
        <w:t>公告期限为1个工作日。</w:t>
      </w:r>
    </w:p>
    <w:p w14:paraId="77670A75">
      <w:pPr>
        <w:numPr>
          <w:ilvl w:val="1"/>
          <w:numId w:val="3"/>
        </w:numPr>
        <w:rPr>
          <w:rFonts w:ascii="宋体" w:hAnsi="宋体"/>
          <w:color w:val="auto"/>
          <w:szCs w:val="21"/>
          <w:highlight w:val="none"/>
        </w:rPr>
      </w:pPr>
      <w:r>
        <w:rPr>
          <w:rFonts w:hint="eastAsia" w:ascii="宋体" w:hAnsi="宋体"/>
          <w:color w:val="auto"/>
          <w:szCs w:val="21"/>
          <w:highlight w:val="none"/>
        </w:rPr>
        <w:t>结果公示发布后，成交单位应及时领取成交通知书。《成交通知书》是合同的一个组成部分，《成交通知书》对采购人和成交供应商均具有同等法律效力。</w:t>
      </w:r>
    </w:p>
    <w:p w14:paraId="2AEE03B6">
      <w:pPr>
        <w:numPr>
          <w:ilvl w:val="1"/>
          <w:numId w:val="3"/>
        </w:numPr>
        <w:rPr>
          <w:rFonts w:ascii="宋体" w:hAnsi="宋体"/>
          <w:color w:val="auto"/>
          <w:szCs w:val="21"/>
          <w:highlight w:val="none"/>
        </w:rPr>
      </w:pPr>
      <w:r>
        <w:rPr>
          <w:rFonts w:hint="eastAsia" w:ascii="宋体" w:hAnsi="宋体"/>
          <w:color w:val="auto"/>
          <w:szCs w:val="21"/>
          <w:highlight w:val="none"/>
        </w:rPr>
        <w:t>成交供应商无正当理由不得放弃中标，因成交供应商放弃中标而对采购人造成的损失由放弃中标的成交供应商承担。</w:t>
      </w:r>
    </w:p>
    <w:p w14:paraId="36F023FF">
      <w:pPr>
        <w:pStyle w:val="7"/>
        <w:rPr>
          <w:color w:val="auto"/>
          <w:sz w:val="21"/>
          <w:szCs w:val="21"/>
          <w:highlight w:val="none"/>
        </w:rPr>
      </w:pPr>
    </w:p>
    <w:p w14:paraId="42283904">
      <w:pPr>
        <w:pStyle w:val="4"/>
        <w:keepNext w:val="0"/>
        <w:keepLines w:val="0"/>
        <w:numPr>
          <w:ilvl w:val="0"/>
          <w:numId w:val="3"/>
        </w:numPr>
        <w:adjustRightInd/>
        <w:rPr>
          <w:rFonts w:hAnsi="宋体"/>
          <w:color w:val="auto"/>
          <w:sz w:val="21"/>
          <w:szCs w:val="21"/>
          <w:highlight w:val="none"/>
        </w:rPr>
      </w:pPr>
      <w:bookmarkStart w:id="156" w:name="_Toc32414"/>
      <w:bookmarkStart w:id="157" w:name="_Toc29067"/>
      <w:r>
        <w:rPr>
          <w:rFonts w:hint="eastAsia" w:hAnsi="宋体"/>
          <w:color w:val="auto"/>
          <w:sz w:val="21"/>
          <w:szCs w:val="21"/>
          <w:highlight w:val="none"/>
        </w:rPr>
        <w:t>原件核查</w:t>
      </w:r>
      <w:bookmarkEnd w:id="156"/>
      <w:bookmarkEnd w:id="157"/>
    </w:p>
    <w:p w14:paraId="36B8CEAB">
      <w:pPr>
        <w:numPr>
          <w:ilvl w:val="1"/>
          <w:numId w:val="3"/>
        </w:numPr>
        <w:rPr>
          <w:rFonts w:ascii="宋体" w:hAnsi="宋体"/>
          <w:color w:val="auto"/>
          <w:szCs w:val="21"/>
          <w:highlight w:val="none"/>
        </w:rPr>
      </w:pPr>
      <w:r>
        <w:rPr>
          <w:rFonts w:hint="eastAsia" w:ascii="宋体" w:hAnsi="宋体"/>
          <w:color w:val="auto"/>
          <w:szCs w:val="21"/>
          <w:highlight w:val="none"/>
        </w:rPr>
        <w:t>采购结果发布后，采购代理机构及采购人有权对成交的供应商进行原件核查。成交供应商应在五个工作日内递交相关资质原件到采购代理机构办公地址或采购人指定地址进行核查。</w:t>
      </w:r>
    </w:p>
    <w:p w14:paraId="64AE7BF4">
      <w:pPr>
        <w:numPr>
          <w:ilvl w:val="1"/>
          <w:numId w:val="3"/>
        </w:numPr>
        <w:rPr>
          <w:rFonts w:ascii="宋体" w:hAnsi="宋体"/>
          <w:color w:val="auto"/>
          <w:szCs w:val="21"/>
          <w:highlight w:val="none"/>
        </w:rPr>
      </w:pPr>
      <w:r>
        <w:rPr>
          <w:rFonts w:hint="eastAsia" w:ascii="宋体" w:hAnsi="宋体"/>
          <w:color w:val="auto"/>
          <w:szCs w:val="21"/>
          <w:highlight w:val="none"/>
        </w:rPr>
        <w:t>成交供应商有下列情形之一的，取消中标资格：</w:t>
      </w:r>
    </w:p>
    <w:p w14:paraId="75305F86">
      <w:pPr>
        <w:pStyle w:val="7"/>
        <w:numPr>
          <w:ilvl w:val="0"/>
          <w:numId w:val="18"/>
        </w:numPr>
        <w:rPr>
          <w:color w:val="auto"/>
          <w:sz w:val="21"/>
          <w:szCs w:val="21"/>
          <w:highlight w:val="none"/>
        </w:rPr>
      </w:pPr>
      <w:r>
        <w:rPr>
          <w:rFonts w:hint="eastAsia"/>
          <w:color w:val="auto"/>
          <w:sz w:val="21"/>
          <w:szCs w:val="21"/>
          <w:highlight w:val="none"/>
        </w:rPr>
        <w:t>拒绝采购人或采购代理机构原件核查要求的；</w:t>
      </w:r>
    </w:p>
    <w:p w14:paraId="69AAF571">
      <w:pPr>
        <w:pStyle w:val="7"/>
        <w:numPr>
          <w:ilvl w:val="0"/>
          <w:numId w:val="18"/>
        </w:numPr>
        <w:rPr>
          <w:color w:val="auto"/>
          <w:sz w:val="21"/>
          <w:szCs w:val="21"/>
          <w:highlight w:val="none"/>
        </w:rPr>
      </w:pPr>
      <w:r>
        <w:rPr>
          <w:rFonts w:hint="eastAsia"/>
          <w:color w:val="auto"/>
          <w:sz w:val="21"/>
          <w:szCs w:val="21"/>
          <w:highlight w:val="none"/>
        </w:rPr>
        <w:t>未在规定时间内将原件递交到到采购代理机构办公地址或采购人指定地址进行核查的；</w:t>
      </w:r>
    </w:p>
    <w:p w14:paraId="5F03BF41">
      <w:pPr>
        <w:pStyle w:val="7"/>
        <w:numPr>
          <w:ilvl w:val="0"/>
          <w:numId w:val="18"/>
        </w:numPr>
        <w:rPr>
          <w:color w:val="auto"/>
          <w:sz w:val="21"/>
          <w:szCs w:val="21"/>
          <w:highlight w:val="none"/>
        </w:rPr>
      </w:pPr>
      <w:r>
        <w:rPr>
          <w:rFonts w:hint="eastAsia"/>
          <w:color w:val="auto"/>
          <w:sz w:val="21"/>
          <w:szCs w:val="21"/>
          <w:highlight w:val="none"/>
        </w:rPr>
        <w:t>在规定时间内递交的原件数量、内容与采购人、采购代理机构要求不一致的；</w:t>
      </w:r>
    </w:p>
    <w:p w14:paraId="1623839A">
      <w:pPr>
        <w:pStyle w:val="7"/>
        <w:numPr>
          <w:ilvl w:val="0"/>
          <w:numId w:val="18"/>
        </w:numPr>
        <w:rPr>
          <w:color w:val="auto"/>
          <w:sz w:val="21"/>
          <w:szCs w:val="21"/>
          <w:highlight w:val="none"/>
        </w:rPr>
      </w:pPr>
      <w:r>
        <w:rPr>
          <w:rFonts w:hint="eastAsia"/>
          <w:color w:val="auto"/>
          <w:sz w:val="21"/>
          <w:szCs w:val="21"/>
          <w:highlight w:val="none"/>
        </w:rPr>
        <w:t>因原件续期、更改等原因不能按时递交原件且未能在规定时间内提供相应部门开具的变更、续期等证明的；</w:t>
      </w:r>
    </w:p>
    <w:p w14:paraId="6057EBC9">
      <w:pPr>
        <w:pStyle w:val="7"/>
        <w:numPr>
          <w:ilvl w:val="0"/>
          <w:numId w:val="18"/>
        </w:numPr>
        <w:rPr>
          <w:color w:val="auto"/>
          <w:sz w:val="21"/>
          <w:szCs w:val="21"/>
          <w:highlight w:val="none"/>
        </w:rPr>
      </w:pPr>
      <w:r>
        <w:rPr>
          <w:rFonts w:hint="eastAsia"/>
          <w:color w:val="auto"/>
          <w:sz w:val="21"/>
          <w:szCs w:val="21"/>
          <w:highlight w:val="none"/>
        </w:rPr>
        <w:t>经查原件，响应文件内容有造假行为的。</w:t>
      </w:r>
    </w:p>
    <w:p w14:paraId="7C4B48FF">
      <w:pPr>
        <w:numPr>
          <w:ilvl w:val="1"/>
          <w:numId w:val="3"/>
        </w:numPr>
        <w:rPr>
          <w:rFonts w:ascii="宋体" w:hAnsi="宋体"/>
          <w:color w:val="auto"/>
          <w:szCs w:val="21"/>
          <w:highlight w:val="none"/>
        </w:rPr>
      </w:pPr>
      <w:r>
        <w:rPr>
          <w:rFonts w:hint="eastAsia" w:ascii="宋体" w:hAnsi="宋体"/>
          <w:color w:val="auto"/>
          <w:szCs w:val="21"/>
          <w:highlight w:val="none"/>
        </w:rPr>
        <w:t>采购结果发布后，采购代理机构及采购人有权根据磋商小组的建议或要求，对递交了响应文件的未成交的供应商进行原件核查。供应商应在采购代理机构或采购人发出纸质通知五个工作日内将原件递交到采购代理机构办公地址或采购人指定地址进行核查。</w:t>
      </w:r>
    </w:p>
    <w:p w14:paraId="727C244A">
      <w:pPr>
        <w:numPr>
          <w:ilvl w:val="1"/>
          <w:numId w:val="3"/>
        </w:numPr>
        <w:rPr>
          <w:rFonts w:ascii="宋体" w:hAnsi="宋体"/>
          <w:color w:val="auto"/>
          <w:szCs w:val="21"/>
          <w:highlight w:val="none"/>
        </w:rPr>
      </w:pPr>
      <w:r>
        <w:rPr>
          <w:rFonts w:hint="eastAsia" w:ascii="宋体" w:hAnsi="宋体"/>
          <w:color w:val="auto"/>
          <w:szCs w:val="21"/>
          <w:highlight w:val="none"/>
        </w:rPr>
        <w:t>供应商有下列情形之一的，响应文件作无效处理，其报价无效：</w:t>
      </w:r>
    </w:p>
    <w:p w14:paraId="5F0E3EF8">
      <w:pPr>
        <w:pStyle w:val="7"/>
        <w:numPr>
          <w:ilvl w:val="0"/>
          <w:numId w:val="19"/>
        </w:numPr>
        <w:spacing w:before="0"/>
        <w:rPr>
          <w:color w:val="auto"/>
          <w:sz w:val="21"/>
          <w:szCs w:val="21"/>
          <w:highlight w:val="none"/>
        </w:rPr>
      </w:pPr>
      <w:r>
        <w:rPr>
          <w:rFonts w:hint="eastAsia"/>
          <w:color w:val="auto"/>
          <w:sz w:val="21"/>
          <w:szCs w:val="21"/>
          <w:highlight w:val="none"/>
        </w:rPr>
        <w:t>拒绝采购人或采购代理机构原件核查要求的；</w:t>
      </w:r>
    </w:p>
    <w:p w14:paraId="20CFE757">
      <w:pPr>
        <w:pStyle w:val="7"/>
        <w:numPr>
          <w:ilvl w:val="0"/>
          <w:numId w:val="19"/>
        </w:numPr>
        <w:spacing w:before="0"/>
        <w:rPr>
          <w:color w:val="auto"/>
          <w:sz w:val="21"/>
          <w:szCs w:val="21"/>
          <w:highlight w:val="none"/>
        </w:rPr>
      </w:pPr>
      <w:r>
        <w:rPr>
          <w:rFonts w:hint="eastAsia"/>
          <w:color w:val="auto"/>
          <w:sz w:val="21"/>
          <w:szCs w:val="21"/>
          <w:highlight w:val="none"/>
        </w:rPr>
        <w:t>未在规定时间内将原件递交到到采购代理机构办公地址或采购人指定地址进行核查的；</w:t>
      </w:r>
    </w:p>
    <w:p w14:paraId="6D84D408">
      <w:pPr>
        <w:pStyle w:val="7"/>
        <w:numPr>
          <w:ilvl w:val="0"/>
          <w:numId w:val="19"/>
        </w:numPr>
        <w:spacing w:before="0"/>
        <w:rPr>
          <w:color w:val="auto"/>
          <w:sz w:val="21"/>
          <w:szCs w:val="21"/>
          <w:highlight w:val="none"/>
        </w:rPr>
      </w:pPr>
      <w:r>
        <w:rPr>
          <w:rFonts w:hint="eastAsia"/>
          <w:color w:val="auto"/>
          <w:sz w:val="21"/>
          <w:szCs w:val="21"/>
          <w:highlight w:val="none"/>
        </w:rPr>
        <w:t>在规定时间内递交的原件数量、内容不符合采购人、采购代理机构要求的；</w:t>
      </w:r>
    </w:p>
    <w:p w14:paraId="793C9410">
      <w:pPr>
        <w:pStyle w:val="7"/>
        <w:numPr>
          <w:ilvl w:val="0"/>
          <w:numId w:val="19"/>
        </w:numPr>
        <w:spacing w:before="0"/>
        <w:rPr>
          <w:color w:val="auto"/>
          <w:sz w:val="21"/>
          <w:szCs w:val="21"/>
          <w:highlight w:val="none"/>
        </w:rPr>
      </w:pPr>
      <w:r>
        <w:rPr>
          <w:rFonts w:hint="eastAsia"/>
          <w:color w:val="auto"/>
          <w:sz w:val="21"/>
          <w:szCs w:val="21"/>
          <w:highlight w:val="none"/>
        </w:rPr>
        <w:t>因原件续期、更改等原因不能按时递交原件且未能在规定时间内提供相应部门开具的变更、续期等证明的；</w:t>
      </w:r>
    </w:p>
    <w:p w14:paraId="17C46296">
      <w:pPr>
        <w:pStyle w:val="7"/>
        <w:numPr>
          <w:ilvl w:val="0"/>
          <w:numId w:val="19"/>
        </w:numPr>
        <w:spacing w:before="0"/>
        <w:rPr>
          <w:color w:val="auto"/>
          <w:sz w:val="21"/>
          <w:szCs w:val="21"/>
          <w:highlight w:val="none"/>
        </w:rPr>
      </w:pPr>
      <w:r>
        <w:rPr>
          <w:rFonts w:hint="eastAsia"/>
          <w:color w:val="auto"/>
          <w:sz w:val="21"/>
          <w:szCs w:val="21"/>
          <w:highlight w:val="none"/>
        </w:rPr>
        <w:t>经查原件，响应文件内容有造假行为的。</w:t>
      </w:r>
    </w:p>
    <w:p w14:paraId="3BCBBED1">
      <w:pPr>
        <w:numPr>
          <w:ilvl w:val="1"/>
          <w:numId w:val="3"/>
        </w:numPr>
        <w:rPr>
          <w:rFonts w:ascii="宋体" w:hAnsi="宋体"/>
          <w:color w:val="auto"/>
          <w:szCs w:val="21"/>
          <w:highlight w:val="none"/>
        </w:rPr>
      </w:pPr>
      <w:r>
        <w:rPr>
          <w:rFonts w:hint="eastAsia" w:ascii="宋体" w:hAnsi="宋体"/>
          <w:color w:val="auto"/>
          <w:szCs w:val="21"/>
          <w:highlight w:val="none"/>
        </w:rPr>
        <w:t>若供应商出现虚假应标情况，响应文件作无效处理，其报价、成交无效。并根据相关法律上报相关监管部门。</w:t>
      </w:r>
    </w:p>
    <w:p w14:paraId="0EF0588A">
      <w:pPr>
        <w:numPr>
          <w:ilvl w:val="1"/>
          <w:numId w:val="3"/>
        </w:numPr>
        <w:rPr>
          <w:rFonts w:ascii="宋体" w:hAnsi="宋体"/>
          <w:color w:val="auto"/>
          <w:szCs w:val="21"/>
          <w:highlight w:val="none"/>
        </w:rPr>
      </w:pPr>
      <w:r>
        <w:rPr>
          <w:rFonts w:hint="eastAsia" w:ascii="宋体" w:hAnsi="宋体"/>
          <w:color w:val="auto"/>
          <w:szCs w:val="21"/>
          <w:highlight w:val="none"/>
        </w:rPr>
        <w:t>属于建办市函[2016]462号通知内的证件可不提供原件，仅提供带二维码原件的复印件即可。</w:t>
      </w:r>
    </w:p>
    <w:p w14:paraId="789791D0">
      <w:pPr>
        <w:rPr>
          <w:color w:val="auto"/>
          <w:highlight w:val="none"/>
        </w:rPr>
      </w:pPr>
    </w:p>
    <w:p w14:paraId="0DC8ED91">
      <w:pPr>
        <w:pStyle w:val="3"/>
        <w:keepNext w:val="0"/>
        <w:keepLines w:val="0"/>
        <w:spacing w:before="0" w:after="0" w:line="360" w:lineRule="auto"/>
        <w:jc w:val="center"/>
        <w:rPr>
          <w:rFonts w:ascii="宋体" w:hAnsi="宋体" w:eastAsia="宋体"/>
          <w:color w:val="auto"/>
          <w:sz w:val="24"/>
          <w:szCs w:val="21"/>
          <w:highlight w:val="none"/>
        </w:rPr>
      </w:pPr>
      <w:bookmarkStart w:id="158" w:name="_Toc31756"/>
      <w:bookmarkStart w:id="159" w:name="_Toc110953852"/>
      <w:bookmarkStart w:id="160" w:name="_Toc37756778"/>
      <w:bookmarkStart w:id="161" w:name="_Toc3829"/>
      <w:bookmarkStart w:id="162" w:name="_Toc475249143"/>
      <w:r>
        <w:rPr>
          <w:rFonts w:hint="eastAsia" w:ascii="宋体" w:hAnsi="宋体" w:eastAsia="宋体"/>
          <w:color w:val="auto"/>
          <w:sz w:val="24"/>
          <w:szCs w:val="21"/>
          <w:highlight w:val="none"/>
        </w:rPr>
        <w:t>第七章签订合同</w:t>
      </w:r>
      <w:bookmarkEnd w:id="158"/>
      <w:bookmarkEnd w:id="159"/>
      <w:bookmarkEnd w:id="160"/>
      <w:bookmarkEnd w:id="161"/>
    </w:p>
    <w:p w14:paraId="4388CCA5">
      <w:pPr>
        <w:pStyle w:val="4"/>
        <w:keepNext w:val="0"/>
        <w:keepLines w:val="0"/>
        <w:numPr>
          <w:ilvl w:val="0"/>
          <w:numId w:val="3"/>
        </w:numPr>
        <w:adjustRightInd/>
        <w:rPr>
          <w:rFonts w:hAnsi="宋体"/>
          <w:color w:val="auto"/>
          <w:sz w:val="21"/>
          <w:szCs w:val="21"/>
          <w:highlight w:val="none"/>
        </w:rPr>
      </w:pPr>
      <w:bookmarkStart w:id="163" w:name="_Toc18000"/>
      <w:bookmarkStart w:id="164" w:name="_Toc29253"/>
      <w:r>
        <w:rPr>
          <w:rFonts w:hint="eastAsia" w:hAnsi="宋体"/>
          <w:color w:val="auto"/>
          <w:sz w:val="21"/>
          <w:szCs w:val="21"/>
          <w:highlight w:val="none"/>
        </w:rPr>
        <w:t>签订合同</w:t>
      </w:r>
      <w:bookmarkEnd w:id="163"/>
      <w:bookmarkEnd w:id="164"/>
    </w:p>
    <w:p w14:paraId="36B1DB0B">
      <w:pPr>
        <w:numPr>
          <w:ilvl w:val="1"/>
          <w:numId w:val="3"/>
        </w:numPr>
        <w:rPr>
          <w:rFonts w:ascii="宋体" w:hAnsi="宋体"/>
          <w:color w:val="auto"/>
          <w:szCs w:val="21"/>
          <w:highlight w:val="none"/>
        </w:rPr>
      </w:pPr>
      <w:r>
        <w:rPr>
          <w:rFonts w:hint="eastAsia" w:ascii="宋体" w:hAnsi="宋体"/>
          <w:color w:val="auto"/>
          <w:szCs w:val="21"/>
          <w:highlight w:val="none"/>
        </w:rPr>
        <w:t>采购人与成交供应商应当在成交通知书发出之日起30日内，按照采购文件确定的事项签订政府采购合同。</w:t>
      </w:r>
    </w:p>
    <w:p w14:paraId="012A5441">
      <w:pPr>
        <w:numPr>
          <w:ilvl w:val="1"/>
          <w:numId w:val="3"/>
        </w:numPr>
        <w:rPr>
          <w:rFonts w:ascii="宋体" w:hAnsi="宋体"/>
          <w:color w:val="auto"/>
          <w:szCs w:val="21"/>
          <w:highlight w:val="none"/>
        </w:rPr>
      </w:pPr>
      <w:r>
        <w:rPr>
          <w:rFonts w:hint="eastAsia" w:ascii="宋体" w:hAnsi="宋体"/>
          <w:color w:val="auto"/>
          <w:szCs w:val="21"/>
          <w:highlight w:val="none"/>
        </w:rPr>
        <w:t>合同内容不得与磋商文件和响应文件内容有实质性偏离。</w:t>
      </w:r>
    </w:p>
    <w:p w14:paraId="42801B79">
      <w:pPr>
        <w:numPr>
          <w:ilvl w:val="1"/>
          <w:numId w:val="3"/>
        </w:numPr>
        <w:rPr>
          <w:rFonts w:ascii="宋体" w:hAnsi="宋体"/>
          <w:color w:val="auto"/>
          <w:szCs w:val="21"/>
          <w:highlight w:val="none"/>
        </w:rPr>
      </w:pPr>
      <w:r>
        <w:rPr>
          <w:rFonts w:hint="eastAsia" w:ascii="宋体" w:hAnsi="宋体"/>
          <w:color w:val="auto"/>
          <w:szCs w:val="21"/>
          <w:highlight w:val="none"/>
        </w:rPr>
        <w:t>合同签订之日起2个工作日内，成交供应商应将所签订的合同副本（加盖公章）交至广东政通招标有限公司归档。</w:t>
      </w:r>
    </w:p>
    <w:p w14:paraId="31F9B46B">
      <w:pPr>
        <w:numPr>
          <w:ilvl w:val="1"/>
          <w:numId w:val="3"/>
        </w:numPr>
        <w:rPr>
          <w:rFonts w:ascii="宋体" w:hAnsi="宋体"/>
          <w:color w:val="auto"/>
          <w:szCs w:val="21"/>
          <w:highlight w:val="none"/>
        </w:rPr>
      </w:pPr>
      <w:r>
        <w:rPr>
          <w:rFonts w:hint="eastAsia" w:ascii="宋体" w:hAnsi="宋体"/>
          <w:color w:val="auto"/>
          <w:szCs w:val="21"/>
          <w:highlight w:val="none"/>
        </w:rPr>
        <w:t>成交供应商在评审结束当天至合同履行结束，若因不可抗力的因素（如国家出台新法律法规等）造成资质的变动，成交供应商应以纸质版形式通知采购人。若资质变动导致成交供应商不再具备履行合同资质要求，采购人有权中止合同。</w:t>
      </w:r>
    </w:p>
    <w:p w14:paraId="675C39FF">
      <w:pPr>
        <w:numPr>
          <w:ilvl w:val="1"/>
          <w:numId w:val="3"/>
        </w:numPr>
        <w:rPr>
          <w:rFonts w:ascii="宋体" w:hAnsi="宋体"/>
          <w:color w:val="auto"/>
          <w:szCs w:val="21"/>
          <w:highlight w:val="none"/>
        </w:rPr>
      </w:pPr>
      <w:r>
        <w:rPr>
          <w:rFonts w:hint="eastAsia" w:ascii="宋体" w:hAnsi="宋体"/>
          <w:color w:val="auto"/>
          <w:szCs w:val="21"/>
          <w:highlight w:val="none"/>
        </w:rPr>
        <w:t>成交供应商拒绝签订政府采购合同的，采购人可以按照评审报告中推荐的其他成交候选人以由高到低原则确定其他供应商作为成交供应商并签订政府采购合同，也可以重新开展采购活动。拒绝签订政府采购合同的成交供应商不得参加对该项目重新开展的采购活动。</w:t>
      </w:r>
    </w:p>
    <w:p w14:paraId="54825F60">
      <w:pPr>
        <w:rPr>
          <w:color w:val="auto"/>
          <w:highlight w:val="none"/>
        </w:rPr>
      </w:pPr>
    </w:p>
    <w:p w14:paraId="4CF103AE">
      <w:pPr>
        <w:pStyle w:val="3"/>
        <w:keepNext w:val="0"/>
        <w:keepLines w:val="0"/>
        <w:spacing w:before="0" w:after="0" w:line="360" w:lineRule="auto"/>
        <w:jc w:val="center"/>
        <w:rPr>
          <w:rFonts w:ascii="宋体" w:hAnsi="宋体" w:eastAsia="宋体"/>
          <w:color w:val="auto"/>
          <w:sz w:val="24"/>
          <w:szCs w:val="21"/>
          <w:highlight w:val="none"/>
        </w:rPr>
      </w:pPr>
      <w:bookmarkStart w:id="165" w:name="_Toc12802"/>
      <w:bookmarkStart w:id="166" w:name="_Toc8165"/>
      <w:r>
        <w:rPr>
          <w:rFonts w:hint="eastAsia" w:ascii="宋体" w:hAnsi="宋体" w:eastAsia="宋体"/>
          <w:color w:val="auto"/>
          <w:sz w:val="24"/>
          <w:szCs w:val="21"/>
          <w:highlight w:val="none"/>
        </w:rPr>
        <w:t>第八章询问或质疑</w:t>
      </w:r>
      <w:bookmarkEnd w:id="165"/>
      <w:bookmarkEnd w:id="166"/>
    </w:p>
    <w:p w14:paraId="1B268097">
      <w:pPr>
        <w:pStyle w:val="4"/>
        <w:keepNext w:val="0"/>
        <w:keepLines w:val="0"/>
        <w:numPr>
          <w:ilvl w:val="0"/>
          <w:numId w:val="3"/>
        </w:numPr>
        <w:adjustRightInd/>
        <w:rPr>
          <w:rFonts w:hAnsi="宋体"/>
          <w:color w:val="auto"/>
          <w:sz w:val="21"/>
          <w:szCs w:val="21"/>
          <w:highlight w:val="none"/>
        </w:rPr>
      </w:pPr>
      <w:bookmarkStart w:id="167" w:name="_Toc18663"/>
      <w:bookmarkStart w:id="168" w:name="_Toc452"/>
      <w:r>
        <w:rPr>
          <w:rFonts w:hint="eastAsia" w:hAnsi="宋体"/>
          <w:color w:val="auto"/>
          <w:sz w:val="21"/>
          <w:szCs w:val="21"/>
          <w:highlight w:val="none"/>
        </w:rPr>
        <w:t>询问</w:t>
      </w:r>
      <w:bookmarkEnd w:id="167"/>
      <w:bookmarkEnd w:id="168"/>
    </w:p>
    <w:p w14:paraId="5D55AE22">
      <w:pPr>
        <w:numPr>
          <w:ilvl w:val="1"/>
          <w:numId w:val="3"/>
        </w:numPr>
        <w:rPr>
          <w:rFonts w:ascii="宋体" w:hAnsi="宋体"/>
          <w:color w:val="auto"/>
          <w:szCs w:val="21"/>
          <w:highlight w:val="none"/>
        </w:rPr>
      </w:pPr>
      <w:r>
        <w:rPr>
          <w:rFonts w:hint="eastAsia" w:ascii="宋体" w:hAnsi="宋体"/>
          <w:color w:val="auto"/>
          <w:szCs w:val="21"/>
          <w:highlight w:val="none"/>
        </w:rPr>
        <w:t>供应商对政府采购活动事项（采购文件、采购过程和采购结果）有疑问的，可以按规定向采购代理机构提出询问。</w:t>
      </w:r>
    </w:p>
    <w:p w14:paraId="44638247">
      <w:pPr>
        <w:rPr>
          <w:color w:val="auto"/>
          <w:highlight w:val="none"/>
        </w:rPr>
      </w:pPr>
    </w:p>
    <w:p w14:paraId="72A4EE97">
      <w:pPr>
        <w:pStyle w:val="4"/>
        <w:keepNext w:val="0"/>
        <w:keepLines w:val="0"/>
        <w:numPr>
          <w:ilvl w:val="0"/>
          <w:numId w:val="3"/>
        </w:numPr>
        <w:adjustRightInd/>
        <w:rPr>
          <w:rFonts w:hAnsi="宋体"/>
          <w:color w:val="auto"/>
          <w:sz w:val="21"/>
          <w:szCs w:val="21"/>
          <w:highlight w:val="none"/>
        </w:rPr>
      </w:pPr>
      <w:bookmarkStart w:id="169" w:name="_Toc20114"/>
      <w:bookmarkStart w:id="170" w:name="_Toc17155"/>
      <w:r>
        <w:rPr>
          <w:rFonts w:hint="eastAsia" w:hAnsi="宋体"/>
          <w:color w:val="auto"/>
          <w:sz w:val="21"/>
          <w:szCs w:val="21"/>
          <w:highlight w:val="none"/>
        </w:rPr>
        <w:t>质疑</w:t>
      </w:r>
      <w:bookmarkEnd w:id="169"/>
      <w:bookmarkEnd w:id="170"/>
    </w:p>
    <w:p w14:paraId="6CA17989">
      <w:pPr>
        <w:numPr>
          <w:ilvl w:val="1"/>
          <w:numId w:val="3"/>
        </w:numPr>
        <w:rPr>
          <w:rFonts w:ascii="宋体" w:hAnsi="宋体"/>
          <w:color w:val="auto"/>
          <w:szCs w:val="21"/>
          <w:highlight w:val="none"/>
        </w:rPr>
      </w:pPr>
      <w:r>
        <w:rPr>
          <w:rFonts w:hint="eastAsia" w:ascii="宋体" w:hAnsi="宋体"/>
          <w:color w:val="auto"/>
          <w:szCs w:val="21"/>
          <w:highlight w:val="none"/>
        </w:rPr>
        <w:t>提出质疑的供应商应当是参与所质疑项目采购活动的供应商或是在规定的时间内已依法获取其可质疑的磋商文件的潜在供应商。</w:t>
      </w:r>
    </w:p>
    <w:p w14:paraId="770EA680">
      <w:pPr>
        <w:numPr>
          <w:ilvl w:val="1"/>
          <w:numId w:val="3"/>
        </w:numPr>
        <w:rPr>
          <w:rFonts w:ascii="宋体" w:hAnsi="宋体"/>
          <w:color w:val="auto"/>
          <w:szCs w:val="21"/>
          <w:highlight w:val="none"/>
        </w:rPr>
      </w:pPr>
      <w:r>
        <w:rPr>
          <w:rFonts w:hint="eastAsia" w:ascii="宋体" w:hAnsi="宋体"/>
          <w:color w:val="auto"/>
          <w:szCs w:val="21"/>
          <w:highlight w:val="none"/>
        </w:rPr>
        <w:t>供应商认为磋商文件、采购过程、成交或者成交结果使自己的权益受到损害的，可以在知道或者应知其权益受到损害之日起7个工作日内，以书面形式向采购人、采购代理机构提出质疑。超过规定时间提交的质疑函不予受理。</w:t>
      </w:r>
    </w:p>
    <w:p w14:paraId="13CC6E03">
      <w:pPr>
        <w:numPr>
          <w:ilvl w:val="1"/>
          <w:numId w:val="3"/>
        </w:numPr>
        <w:rPr>
          <w:rFonts w:ascii="宋体" w:hAnsi="宋体"/>
          <w:color w:val="auto"/>
          <w:szCs w:val="21"/>
          <w:highlight w:val="none"/>
        </w:rPr>
      </w:pPr>
      <w:r>
        <w:rPr>
          <w:rFonts w:hint="eastAsia" w:ascii="宋体" w:hAnsi="宋体"/>
          <w:color w:val="auto"/>
          <w:szCs w:val="21"/>
          <w:highlight w:val="none"/>
        </w:rPr>
        <w:t>供应商在法定质疑期内须一次性提出针对同一采购程序环节的质疑，对同一采购程序环节的二次质疑采购代理机构不予受理。</w:t>
      </w:r>
    </w:p>
    <w:p w14:paraId="41A7BC29">
      <w:pPr>
        <w:numPr>
          <w:ilvl w:val="1"/>
          <w:numId w:val="3"/>
        </w:numPr>
        <w:rPr>
          <w:rFonts w:ascii="宋体" w:hAnsi="宋体"/>
          <w:color w:val="auto"/>
          <w:szCs w:val="21"/>
          <w:highlight w:val="none"/>
        </w:rPr>
      </w:pPr>
      <w:r>
        <w:rPr>
          <w:rFonts w:hint="eastAsia" w:ascii="宋体" w:hAnsi="宋体"/>
          <w:color w:val="auto"/>
          <w:szCs w:val="21"/>
          <w:highlight w:val="none"/>
        </w:rPr>
        <w:t>供应商应将磋商文件所规定的纸质版形式（质疑须提交以下资料并加盖供应商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磋商邀请书）。供应商以电话、传真或电邮形式提交的质疑属于无效质疑。</w:t>
      </w:r>
    </w:p>
    <w:p w14:paraId="37E95619">
      <w:pPr>
        <w:numPr>
          <w:ilvl w:val="1"/>
          <w:numId w:val="3"/>
        </w:numPr>
        <w:rPr>
          <w:rFonts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3A11F537">
      <w:pPr>
        <w:numPr>
          <w:ilvl w:val="1"/>
          <w:numId w:val="3"/>
        </w:numPr>
        <w:rPr>
          <w:rFonts w:ascii="宋体" w:hAnsi="宋体"/>
          <w:color w:val="auto"/>
          <w:szCs w:val="21"/>
          <w:highlight w:val="none"/>
        </w:rPr>
      </w:pPr>
      <w:r>
        <w:rPr>
          <w:rFonts w:hint="eastAsia" w:ascii="宋体" w:hAnsi="宋体"/>
          <w:color w:val="auto"/>
          <w:szCs w:val="21"/>
          <w:highlight w:val="none"/>
        </w:rPr>
        <w:t>供应商提出质疑应当提交质疑函和必要的证明材料（须注明法律依据），因缺少相关证明材料或证明材料存在不真实而导致的后果由供应商自行承担。</w:t>
      </w:r>
    </w:p>
    <w:p w14:paraId="4FDDB77B">
      <w:pPr>
        <w:numPr>
          <w:ilvl w:val="1"/>
          <w:numId w:val="3"/>
        </w:numPr>
        <w:rPr>
          <w:rFonts w:ascii="宋体" w:hAnsi="宋体"/>
          <w:color w:val="auto"/>
          <w:szCs w:val="21"/>
          <w:highlight w:val="none"/>
        </w:rPr>
      </w:pPr>
      <w:r>
        <w:rPr>
          <w:rFonts w:hint="eastAsia" w:ascii="宋体" w:hAnsi="宋体"/>
          <w:color w:val="auto"/>
          <w:szCs w:val="21"/>
          <w:highlight w:val="none"/>
        </w:rPr>
        <w:t>不涉及对供应商利益造成损害的相关内容，不能作为质疑内容提交。</w:t>
      </w:r>
    </w:p>
    <w:p w14:paraId="69D5FB00">
      <w:pPr>
        <w:numPr>
          <w:ilvl w:val="1"/>
          <w:numId w:val="3"/>
        </w:numPr>
        <w:rPr>
          <w:rFonts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2F6BE3E1">
      <w:pPr>
        <w:numPr>
          <w:ilvl w:val="1"/>
          <w:numId w:val="3"/>
        </w:numPr>
        <w:rPr>
          <w:rFonts w:ascii="宋体" w:hAnsi="宋体"/>
          <w:color w:val="auto"/>
          <w:szCs w:val="21"/>
          <w:highlight w:val="none"/>
        </w:rPr>
      </w:pPr>
      <w:r>
        <w:rPr>
          <w:rFonts w:hint="eastAsia" w:ascii="宋体" w:hAnsi="宋体"/>
          <w:color w:val="auto"/>
          <w:szCs w:val="21"/>
          <w:highlight w:val="none"/>
        </w:rPr>
        <w:t>投诉人有下列行为之一的，属于虚假、恶意投诉，由财政部门列入不良行为记录名单，禁止其1至3年内参加全国范围内的政府采购活动：</w:t>
      </w:r>
    </w:p>
    <w:p w14:paraId="233085FC">
      <w:pPr>
        <w:tabs>
          <w:tab w:val="left" w:pos="907"/>
        </w:tabs>
        <w:ind w:left="567"/>
        <w:rPr>
          <w:rFonts w:ascii="宋体" w:hAnsi="宋体"/>
          <w:color w:val="auto"/>
          <w:szCs w:val="21"/>
          <w:highlight w:val="none"/>
        </w:rPr>
      </w:pPr>
      <w:r>
        <w:rPr>
          <w:rFonts w:hint="eastAsia" w:ascii="宋体" w:hAnsi="宋体"/>
          <w:color w:val="auto"/>
          <w:szCs w:val="21"/>
          <w:highlight w:val="none"/>
        </w:rPr>
        <w:t>（一）捏造事实;</w:t>
      </w:r>
    </w:p>
    <w:p w14:paraId="5BEE5F73">
      <w:pPr>
        <w:tabs>
          <w:tab w:val="left" w:pos="907"/>
        </w:tabs>
        <w:ind w:left="567"/>
        <w:rPr>
          <w:rFonts w:ascii="宋体" w:hAnsi="宋体"/>
          <w:color w:val="auto"/>
          <w:szCs w:val="21"/>
          <w:highlight w:val="none"/>
        </w:rPr>
      </w:pPr>
      <w:r>
        <w:rPr>
          <w:rFonts w:hint="eastAsia" w:ascii="宋体" w:hAnsi="宋体"/>
          <w:color w:val="auto"/>
          <w:szCs w:val="21"/>
          <w:highlight w:val="none"/>
        </w:rPr>
        <w:t>（二）提供虚假材料;</w:t>
      </w:r>
    </w:p>
    <w:p w14:paraId="4BBBE786">
      <w:pPr>
        <w:tabs>
          <w:tab w:val="left" w:pos="907"/>
        </w:tabs>
        <w:ind w:left="567"/>
        <w:rPr>
          <w:rFonts w:ascii="宋体" w:hAnsi="宋体"/>
          <w:color w:val="auto"/>
          <w:szCs w:val="21"/>
          <w:highlight w:val="none"/>
        </w:rPr>
      </w:pPr>
      <w:r>
        <w:rPr>
          <w:rFonts w:hint="eastAsia" w:ascii="宋体" w:hAnsi="宋体"/>
          <w:color w:val="auto"/>
          <w:szCs w:val="21"/>
          <w:highlight w:val="none"/>
        </w:rPr>
        <w:t>（三）以非法手段取得证明材料。证据来源的合法性存在明显疑问，投诉人无法证明其取得方式合法的，视为以非法手段取得证明材料。</w:t>
      </w:r>
    </w:p>
    <w:p w14:paraId="63EC89C9">
      <w:pPr>
        <w:numPr>
          <w:ilvl w:val="1"/>
          <w:numId w:val="3"/>
        </w:numPr>
        <w:rPr>
          <w:rFonts w:ascii="宋体" w:hAnsi="宋体"/>
          <w:color w:val="auto"/>
          <w:szCs w:val="21"/>
          <w:highlight w:val="none"/>
        </w:rPr>
      </w:pPr>
      <w:r>
        <w:rPr>
          <w:rFonts w:hint="eastAsia" w:ascii="宋体" w:hAnsi="宋体"/>
          <w:color w:val="auto"/>
          <w:szCs w:val="21"/>
          <w:highlight w:val="none"/>
        </w:rPr>
        <w:t>以联合体形式参加项目采购活动的，其质疑应当由组成联合体的所有供应商共同提出。</w:t>
      </w:r>
    </w:p>
    <w:p w14:paraId="04D2EFB7">
      <w:pPr>
        <w:rPr>
          <w:color w:val="auto"/>
          <w:highlight w:val="none"/>
        </w:rPr>
      </w:pPr>
    </w:p>
    <w:bookmarkEnd w:id="162"/>
    <w:p w14:paraId="535AA380">
      <w:pPr>
        <w:pStyle w:val="3"/>
        <w:keepNext w:val="0"/>
        <w:keepLines w:val="0"/>
        <w:spacing w:before="0" w:after="0" w:line="360" w:lineRule="auto"/>
        <w:jc w:val="center"/>
        <w:rPr>
          <w:rFonts w:ascii="宋体" w:hAnsi="宋体" w:eastAsia="宋体"/>
          <w:color w:val="auto"/>
          <w:sz w:val="24"/>
          <w:szCs w:val="21"/>
          <w:highlight w:val="none"/>
        </w:rPr>
      </w:pPr>
      <w:bookmarkStart w:id="171" w:name="_Toc5551"/>
      <w:bookmarkStart w:id="172" w:name="_Toc5474"/>
      <w:r>
        <w:rPr>
          <w:rFonts w:hint="eastAsia" w:ascii="宋体" w:hAnsi="宋体" w:eastAsia="宋体"/>
          <w:color w:val="auto"/>
          <w:sz w:val="24"/>
          <w:szCs w:val="21"/>
          <w:highlight w:val="none"/>
        </w:rPr>
        <w:t>第九章成交服务费</w:t>
      </w:r>
      <w:bookmarkEnd w:id="171"/>
      <w:bookmarkEnd w:id="172"/>
    </w:p>
    <w:p w14:paraId="3E8BF180">
      <w:pPr>
        <w:pStyle w:val="4"/>
        <w:keepNext w:val="0"/>
        <w:keepLines w:val="0"/>
        <w:numPr>
          <w:ilvl w:val="0"/>
          <w:numId w:val="3"/>
        </w:numPr>
        <w:adjustRightInd/>
        <w:rPr>
          <w:rFonts w:hAnsi="宋体"/>
          <w:color w:val="auto"/>
          <w:sz w:val="21"/>
          <w:szCs w:val="21"/>
          <w:highlight w:val="none"/>
        </w:rPr>
      </w:pPr>
      <w:bookmarkStart w:id="173" w:name="_Toc9437"/>
      <w:bookmarkStart w:id="174" w:name="_Toc26991"/>
      <w:r>
        <w:rPr>
          <w:rFonts w:hint="eastAsia" w:hAnsi="宋体"/>
          <w:color w:val="auto"/>
          <w:sz w:val="21"/>
          <w:szCs w:val="21"/>
          <w:highlight w:val="none"/>
        </w:rPr>
        <w:t>成交服务费</w:t>
      </w:r>
      <w:bookmarkEnd w:id="173"/>
      <w:bookmarkEnd w:id="174"/>
    </w:p>
    <w:p w14:paraId="7081E86B">
      <w:pPr>
        <w:numPr>
          <w:ilvl w:val="1"/>
          <w:numId w:val="3"/>
        </w:numPr>
        <w:rPr>
          <w:rFonts w:ascii="宋体" w:hAnsi="宋体"/>
          <w:color w:val="auto"/>
          <w:szCs w:val="21"/>
          <w:highlight w:val="none"/>
        </w:rPr>
      </w:pPr>
      <w:r>
        <w:rPr>
          <w:rFonts w:hint="eastAsia" w:ascii="宋体" w:hAnsi="宋体"/>
          <w:color w:val="auto"/>
          <w:szCs w:val="21"/>
          <w:highlight w:val="none"/>
        </w:rPr>
        <w:t>成交供应商须向招标代理机构按磋商文件规定交纳成交服务费。</w:t>
      </w:r>
    </w:p>
    <w:p w14:paraId="2855B82A">
      <w:pPr>
        <w:rPr>
          <w:color w:val="auto"/>
          <w:highlight w:val="none"/>
        </w:rPr>
      </w:pPr>
    </w:p>
    <w:bookmarkEnd w:id="28"/>
    <w:bookmarkEnd w:id="29"/>
    <w:bookmarkEnd w:id="30"/>
    <w:bookmarkEnd w:id="31"/>
    <w:bookmarkEnd w:id="32"/>
    <w:bookmarkEnd w:id="33"/>
    <w:bookmarkEnd w:id="34"/>
    <w:bookmarkEnd w:id="35"/>
    <w:bookmarkEnd w:id="36"/>
    <w:bookmarkEnd w:id="37"/>
    <w:bookmarkEnd w:id="38"/>
    <w:p w14:paraId="6EDC86AF">
      <w:pPr>
        <w:pStyle w:val="3"/>
        <w:keepNext w:val="0"/>
        <w:keepLines w:val="0"/>
        <w:spacing w:before="0" w:after="0" w:line="360" w:lineRule="auto"/>
        <w:jc w:val="center"/>
        <w:rPr>
          <w:rFonts w:ascii="宋体" w:hAnsi="宋体" w:eastAsia="宋体"/>
          <w:color w:val="auto"/>
          <w:sz w:val="24"/>
          <w:szCs w:val="21"/>
          <w:highlight w:val="none"/>
        </w:rPr>
      </w:pPr>
      <w:bookmarkStart w:id="175" w:name="_Toc7834"/>
      <w:bookmarkStart w:id="176" w:name="_Toc18389"/>
      <w:bookmarkStart w:id="177" w:name="_Toc486671570"/>
      <w:bookmarkStart w:id="178" w:name="_Toc52027926"/>
      <w:bookmarkStart w:id="179" w:name="_Toc52021538"/>
      <w:bookmarkStart w:id="180" w:name="_Toc56353011"/>
      <w:bookmarkStart w:id="181" w:name="_Toc457975339"/>
      <w:bookmarkStart w:id="182" w:name="_Toc467049706"/>
      <w:bookmarkStart w:id="183" w:name="_Toc51939456"/>
      <w:bookmarkStart w:id="184" w:name="_Toc467236766"/>
      <w:bookmarkStart w:id="185" w:name="_Toc476976198"/>
      <w:bookmarkStart w:id="186" w:name="_Toc51756491"/>
      <w:bookmarkStart w:id="187" w:name="_Toc467050236"/>
      <w:r>
        <w:rPr>
          <w:rFonts w:hint="eastAsia" w:ascii="宋体" w:hAnsi="宋体" w:eastAsia="宋体"/>
          <w:color w:val="auto"/>
          <w:sz w:val="24"/>
          <w:szCs w:val="21"/>
          <w:highlight w:val="none"/>
        </w:rPr>
        <w:t>第十章其他</w:t>
      </w:r>
      <w:bookmarkEnd w:id="175"/>
      <w:bookmarkEnd w:id="176"/>
    </w:p>
    <w:p w14:paraId="411574E7">
      <w:pPr>
        <w:pStyle w:val="4"/>
        <w:keepNext w:val="0"/>
        <w:keepLines w:val="0"/>
        <w:numPr>
          <w:ilvl w:val="0"/>
          <w:numId w:val="3"/>
        </w:numPr>
        <w:adjustRightInd/>
        <w:rPr>
          <w:rFonts w:hAnsi="宋体"/>
          <w:color w:val="auto"/>
          <w:sz w:val="21"/>
          <w:szCs w:val="21"/>
          <w:highlight w:val="none"/>
        </w:rPr>
      </w:pPr>
      <w:bookmarkStart w:id="188" w:name="_Toc10953"/>
      <w:bookmarkStart w:id="189" w:name="_Toc31522"/>
      <w:r>
        <w:rPr>
          <w:rFonts w:hint="eastAsia" w:hAnsi="宋体"/>
          <w:color w:val="auto"/>
          <w:sz w:val="21"/>
          <w:szCs w:val="21"/>
          <w:highlight w:val="none"/>
        </w:rPr>
        <w:t>磋商文件的解释权</w:t>
      </w:r>
      <w:bookmarkEnd w:id="188"/>
      <w:bookmarkEnd w:id="189"/>
    </w:p>
    <w:p w14:paraId="20CDA0C5">
      <w:pPr>
        <w:numPr>
          <w:ilvl w:val="1"/>
          <w:numId w:val="3"/>
        </w:numPr>
        <w:rPr>
          <w:rFonts w:ascii="宋体" w:hAnsi="宋体"/>
          <w:color w:val="auto"/>
          <w:szCs w:val="21"/>
          <w:highlight w:val="none"/>
        </w:rPr>
      </w:pPr>
      <w:r>
        <w:rPr>
          <w:rFonts w:hint="eastAsia" w:ascii="宋体" w:hAnsi="宋体"/>
          <w:color w:val="auto"/>
          <w:szCs w:val="21"/>
          <w:highlight w:val="none"/>
        </w:rPr>
        <w:t>采购文件版本号：广东政通20210618。</w:t>
      </w:r>
    </w:p>
    <w:p w14:paraId="4FEAD951">
      <w:pPr>
        <w:numPr>
          <w:ilvl w:val="1"/>
          <w:numId w:val="3"/>
        </w:numPr>
        <w:rPr>
          <w:rFonts w:ascii="宋体" w:hAnsi="宋体"/>
          <w:color w:val="auto"/>
          <w:szCs w:val="21"/>
          <w:highlight w:val="none"/>
        </w:rPr>
      </w:pPr>
      <w:r>
        <w:rPr>
          <w:rFonts w:hint="eastAsia" w:ascii="宋体" w:hAnsi="宋体"/>
          <w:color w:val="auto"/>
          <w:szCs w:val="21"/>
          <w:highlight w:val="none"/>
        </w:rPr>
        <w:t>本采购文件是参照国家有关法律、法规以及政府采购管理有关规定编制，解释权属本采购代理机构。</w:t>
      </w:r>
    </w:p>
    <w:p w14:paraId="3EEE0C9C">
      <w:pPr>
        <w:rPr>
          <w:color w:val="auto"/>
          <w:highlight w:val="none"/>
        </w:rPr>
      </w:pPr>
      <w:r>
        <w:rPr>
          <w:color w:val="auto"/>
          <w:highlight w:val="none"/>
        </w:rPr>
        <w:br w:type="page"/>
      </w:r>
      <w:bookmarkEnd w:id="177"/>
      <w:bookmarkEnd w:id="178"/>
      <w:bookmarkEnd w:id="179"/>
      <w:bookmarkEnd w:id="180"/>
      <w:bookmarkEnd w:id="181"/>
      <w:bookmarkEnd w:id="182"/>
      <w:bookmarkEnd w:id="183"/>
      <w:bookmarkEnd w:id="184"/>
      <w:bookmarkEnd w:id="185"/>
      <w:bookmarkEnd w:id="186"/>
      <w:bookmarkEnd w:id="187"/>
    </w:p>
    <w:bookmarkEnd w:id="20"/>
    <w:p w14:paraId="4474693D">
      <w:pPr>
        <w:pStyle w:val="3"/>
        <w:spacing w:before="0" w:after="0" w:line="240" w:lineRule="auto"/>
        <w:rPr>
          <w:color w:val="auto"/>
          <w:sz w:val="28"/>
          <w:szCs w:val="28"/>
          <w:highlight w:val="none"/>
        </w:rPr>
      </w:pPr>
      <w:bookmarkStart w:id="190" w:name="_Toc7011"/>
      <w:bookmarkStart w:id="191" w:name="_Toc3162"/>
      <w:bookmarkStart w:id="192" w:name="_Toc31854"/>
      <w:r>
        <w:rPr>
          <w:rFonts w:hint="eastAsia"/>
          <w:color w:val="auto"/>
          <w:sz w:val="28"/>
          <w:szCs w:val="28"/>
          <w:highlight w:val="none"/>
        </w:rPr>
        <w:t>第五部分 用户需求书</w:t>
      </w:r>
      <w:bookmarkEnd w:id="190"/>
      <w:bookmarkEnd w:id="191"/>
      <w:bookmarkEnd w:id="192"/>
    </w:p>
    <w:p w14:paraId="20970830">
      <w:pPr>
        <w:pStyle w:val="4"/>
        <w:jc w:val="center"/>
        <w:rPr>
          <w:rFonts w:ascii="宋体" w:hAnsi="宋体"/>
          <w:color w:val="auto"/>
          <w:highlight w:val="none"/>
        </w:rPr>
      </w:pPr>
      <w:bookmarkStart w:id="193" w:name="_Toc31162"/>
      <w:r>
        <w:rPr>
          <w:rFonts w:hint="eastAsia" w:ascii="宋体" w:hAnsi="宋体"/>
          <w:color w:val="auto"/>
          <w:highlight w:val="none"/>
        </w:rPr>
        <w:t>第一章 商务需求书</w:t>
      </w:r>
      <w:bookmarkEnd w:id="193"/>
    </w:p>
    <w:tbl>
      <w:tblPr>
        <w:tblStyle w:val="23"/>
        <w:tblW w:w="89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2"/>
        <w:gridCol w:w="1528"/>
        <w:gridCol w:w="6640"/>
      </w:tblGrid>
      <w:tr w14:paraId="451FF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732" w:type="dxa"/>
            <w:vAlign w:val="center"/>
          </w:tcPr>
          <w:p w14:paraId="44B2EBB3">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28" w:type="dxa"/>
            <w:vAlign w:val="center"/>
          </w:tcPr>
          <w:p w14:paraId="1D70AB3F">
            <w:pPr>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6640" w:type="dxa"/>
            <w:vAlign w:val="center"/>
          </w:tcPr>
          <w:p w14:paraId="40E66E67">
            <w:pPr>
              <w:jc w:val="center"/>
              <w:rPr>
                <w:rFonts w:ascii="宋体" w:hAnsi="宋体" w:cs="宋体"/>
                <w:color w:val="auto"/>
                <w:szCs w:val="21"/>
                <w:highlight w:val="none"/>
              </w:rPr>
            </w:pPr>
            <w:r>
              <w:rPr>
                <w:rFonts w:hint="eastAsia" w:ascii="宋体" w:hAnsi="宋体" w:cs="宋体"/>
                <w:color w:val="auto"/>
                <w:szCs w:val="21"/>
                <w:highlight w:val="none"/>
              </w:rPr>
              <w:t>说  明</w:t>
            </w:r>
          </w:p>
        </w:tc>
      </w:tr>
      <w:tr w14:paraId="4F0A0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32" w:type="dxa"/>
            <w:vAlign w:val="center"/>
          </w:tcPr>
          <w:p w14:paraId="4F3C495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528" w:type="dxa"/>
            <w:vAlign w:val="center"/>
          </w:tcPr>
          <w:p w14:paraId="05D03DD8">
            <w:pPr>
              <w:jc w:val="center"/>
              <w:rPr>
                <w:rFonts w:ascii="宋体" w:hAnsi="宋体" w:cs="宋体"/>
                <w:color w:val="auto"/>
                <w:szCs w:val="21"/>
                <w:highlight w:val="none"/>
              </w:rPr>
            </w:pPr>
            <w:r>
              <w:rPr>
                <w:rFonts w:hint="eastAsia" w:ascii="宋体" w:hAnsi="宋体" w:cs="宋体"/>
                <w:color w:val="auto"/>
                <w:szCs w:val="21"/>
                <w:highlight w:val="none"/>
              </w:rPr>
              <w:t>服务期</w:t>
            </w:r>
          </w:p>
        </w:tc>
        <w:tc>
          <w:tcPr>
            <w:tcW w:w="6640" w:type="dxa"/>
            <w:vAlign w:val="center"/>
          </w:tcPr>
          <w:p w14:paraId="1DC5FDF7">
            <w:pPr>
              <w:adjustRightInd/>
              <w:snapToGrid/>
              <w:ind w:firstLine="420" w:firstLineChars="200"/>
              <w:rPr>
                <w:rFonts w:ascii="宋体" w:hAnsi="宋体" w:cs="宋体"/>
                <w:color w:val="auto"/>
                <w:szCs w:val="21"/>
                <w:highlight w:val="none"/>
              </w:rPr>
            </w:pPr>
            <w:r>
              <w:rPr>
                <w:rFonts w:hint="eastAsia" w:ascii="宋体" w:hAnsi="宋体"/>
                <w:color w:val="auto"/>
                <w:szCs w:val="21"/>
                <w:highlight w:val="none"/>
              </w:rPr>
              <w:t>本项目服务期自签订合同起至完成服务成果并取得相关部门批复为准为止。</w:t>
            </w:r>
          </w:p>
        </w:tc>
      </w:tr>
      <w:tr w14:paraId="69B6E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732" w:type="dxa"/>
            <w:vAlign w:val="center"/>
          </w:tcPr>
          <w:p w14:paraId="2E0D6281">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528" w:type="dxa"/>
            <w:vAlign w:val="center"/>
          </w:tcPr>
          <w:p w14:paraId="71C324E4">
            <w:pPr>
              <w:jc w:val="center"/>
              <w:rPr>
                <w:rFonts w:ascii="宋体" w:hAnsi="宋体" w:cs="宋体"/>
                <w:color w:val="auto"/>
                <w:szCs w:val="21"/>
                <w:highlight w:val="none"/>
              </w:rPr>
            </w:pPr>
            <w:r>
              <w:rPr>
                <w:rFonts w:hint="eastAsia" w:ascii="宋体" w:hAnsi="宋体" w:cs="宋体"/>
                <w:color w:val="auto"/>
                <w:szCs w:val="21"/>
                <w:highlight w:val="none"/>
              </w:rPr>
              <w:t>服务地点</w:t>
            </w:r>
          </w:p>
        </w:tc>
        <w:tc>
          <w:tcPr>
            <w:tcW w:w="6640" w:type="dxa"/>
            <w:vAlign w:val="center"/>
          </w:tcPr>
          <w:p w14:paraId="112A6B6C">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采购人指定地点。</w:t>
            </w:r>
          </w:p>
        </w:tc>
      </w:tr>
      <w:tr w14:paraId="43CCF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732" w:type="dxa"/>
            <w:vAlign w:val="center"/>
          </w:tcPr>
          <w:p w14:paraId="1885D948">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528" w:type="dxa"/>
            <w:vAlign w:val="center"/>
          </w:tcPr>
          <w:p w14:paraId="21F846BF">
            <w:pPr>
              <w:adjustRightInd/>
              <w:snapToGrid/>
              <w:spacing w:line="240" w:lineRule="auto"/>
              <w:jc w:val="center"/>
              <w:rPr>
                <w:rFonts w:ascii="宋体" w:hAnsi="宋体" w:cs="宋体"/>
                <w:color w:val="auto"/>
                <w:szCs w:val="21"/>
                <w:highlight w:val="none"/>
              </w:rPr>
            </w:pPr>
            <w:r>
              <w:rPr>
                <w:rFonts w:hint="eastAsia" w:ascii="宋体" w:hAnsi="宋体"/>
                <w:color w:val="auto"/>
                <w:szCs w:val="21"/>
                <w:highlight w:val="none"/>
              </w:rPr>
              <w:t>付款方式</w:t>
            </w:r>
          </w:p>
        </w:tc>
        <w:tc>
          <w:tcPr>
            <w:tcW w:w="6640" w:type="dxa"/>
            <w:vAlign w:val="center"/>
          </w:tcPr>
          <w:p w14:paraId="7597B7D4">
            <w:pPr>
              <w:adjustRightInd/>
              <w:snapToGrid/>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r>
              <w:rPr>
                <w:rFonts w:hint="eastAsia" w:ascii="宋体" w:hAnsi="宋体" w:cs="宋体"/>
                <w:color w:val="auto"/>
                <w:szCs w:val="21"/>
                <w:highlight w:val="none"/>
              </w:rPr>
              <w:tab/>
            </w: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期：控规调整成果通过松山湖自然资源分局科室会审后5个工作日内，甲方应向乙方支付合同总金额的</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0%。</w:t>
            </w:r>
          </w:p>
          <w:p w14:paraId="63F0BF2E">
            <w:pPr>
              <w:adjustRightInd/>
              <w:snapToGrid/>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rPr>
              <w:tab/>
            </w: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期：控规调整成果取得批复并备案之后的5个工作日内，甲方应向乙方支付合同总金额的30%。</w:t>
            </w:r>
          </w:p>
        </w:tc>
      </w:tr>
      <w:tr w14:paraId="06A0F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2" w:hRule="atLeast"/>
          <w:jc w:val="center"/>
        </w:trPr>
        <w:tc>
          <w:tcPr>
            <w:tcW w:w="732" w:type="dxa"/>
            <w:vAlign w:val="center"/>
          </w:tcPr>
          <w:p w14:paraId="79E62E38">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528" w:type="dxa"/>
            <w:vAlign w:val="center"/>
          </w:tcPr>
          <w:p w14:paraId="7EC89796">
            <w:pPr>
              <w:adjustRightInd/>
              <w:snapToGrid/>
              <w:spacing w:line="240"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6640" w:type="dxa"/>
            <w:vAlign w:val="center"/>
          </w:tcPr>
          <w:p w14:paraId="3404BE2C">
            <w:pPr>
              <w:widowControl w:val="0"/>
              <w:adjustRightInd/>
              <w:snapToGrid/>
              <w:ind w:firstLine="420" w:firstLineChars="200"/>
              <w:jc w:val="both"/>
              <w:rPr>
                <w:rFonts w:ascii="宋体" w:hAnsi="宋体" w:cs="宋体"/>
                <w:color w:val="auto"/>
                <w:szCs w:val="21"/>
                <w:highlight w:val="none"/>
              </w:rPr>
            </w:pPr>
            <w:r>
              <w:rPr>
                <w:rFonts w:ascii="宋体" w:hAnsi="宋体" w:cs="宋体"/>
                <w:color w:val="auto"/>
                <w:szCs w:val="21"/>
                <w:highlight w:val="none"/>
              </w:rPr>
              <w:t>1.本项目采用下浮率报价方式，</w:t>
            </w:r>
            <w:r>
              <w:rPr>
                <w:rFonts w:hint="eastAsia" w:ascii="宋体" w:hAnsi="宋体" w:cs="宋体"/>
                <w:color w:val="auto"/>
                <w:szCs w:val="21"/>
                <w:highlight w:val="none"/>
              </w:rPr>
              <w:t>供应商</w:t>
            </w:r>
            <w:r>
              <w:rPr>
                <w:rFonts w:ascii="宋体" w:hAnsi="宋体" w:cs="宋体"/>
                <w:color w:val="auto"/>
                <w:szCs w:val="21"/>
                <w:highlight w:val="none"/>
              </w:rPr>
              <w:t>下浮率报价须≥</w:t>
            </w:r>
            <w:r>
              <w:rPr>
                <w:rFonts w:hint="eastAsia" w:ascii="宋体" w:hAnsi="宋体" w:cs="宋体"/>
                <w:color w:val="auto"/>
                <w:szCs w:val="21"/>
                <w:highlight w:val="none"/>
              </w:rPr>
              <w:t>0</w:t>
            </w:r>
            <w:r>
              <w:rPr>
                <w:rFonts w:ascii="宋体" w:hAnsi="宋体" w:cs="宋体"/>
                <w:color w:val="auto"/>
                <w:szCs w:val="21"/>
                <w:highlight w:val="none"/>
              </w:rPr>
              <w:t>.00%。报价应包含完成本次磋商所有服务内容的费用，包含各种税费及合同实施过程中的不可预见费用等全部费用（含磋商文件所要求的必要的辅助材料费用)和售后服务费等。采购人不向成交人另行支付任何费用。</w:t>
            </w:r>
          </w:p>
          <w:p w14:paraId="3C8FF851">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2.本项目根据《城市规划设计计费指导意见(2017修订)》的价格作为基准价，合同价=基准价*（1-成交下浮率）。</w:t>
            </w:r>
          </w:p>
        </w:tc>
      </w:tr>
      <w:tr w14:paraId="3D778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732" w:type="dxa"/>
            <w:vAlign w:val="center"/>
          </w:tcPr>
          <w:p w14:paraId="4CB9F118">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528" w:type="dxa"/>
            <w:vAlign w:val="center"/>
          </w:tcPr>
          <w:p w14:paraId="036204F6">
            <w:pPr>
              <w:adjustRightInd/>
              <w:snapToGrid/>
              <w:spacing w:line="240" w:lineRule="auto"/>
              <w:jc w:val="center"/>
              <w:rPr>
                <w:rFonts w:ascii="宋体" w:hAnsi="宋体" w:cs="宋体"/>
                <w:color w:val="auto"/>
                <w:szCs w:val="21"/>
                <w:highlight w:val="none"/>
              </w:rPr>
            </w:pPr>
            <w:r>
              <w:rPr>
                <w:rFonts w:hint="eastAsia" w:ascii="宋体" w:hAnsi="宋体" w:cs="宋体"/>
                <w:color w:val="auto"/>
                <w:szCs w:val="21"/>
                <w:highlight w:val="none"/>
              </w:rPr>
              <w:t>验收要求</w:t>
            </w:r>
          </w:p>
        </w:tc>
        <w:tc>
          <w:tcPr>
            <w:tcW w:w="6640" w:type="dxa"/>
            <w:vAlign w:val="center"/>
          </w:tcPr>
          <w:p w14:paraId="5589F3B4">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1.验收时间：服务完成后验收。</w:t>
            </w:r>
          </w:p>
          <w:p w14:paraId="5F43438A">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2.验收程序：采购人自行验收。</w:t>
            </w:r>
          </w:p>
          <w:p w14:paraId="2D516903">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3.验收标准：通过相关审批部门的审批和取得批复。</w:t>
            </w:r>
          </w:p>
          <w:p w14:paraId="7FC68B66">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4.验收不合格的处理方式：根据《中华人民共和国民法典》等法律以及项目实际情况确定。</w:t>
            </w:r>
          </w:p>
        </w:tc>
      </w:tr>
    </w:tbl>
    <w:p w14:paraId="4E462ED5">
      <w:pPr>
        <w:rPr>
          <w:rFonts w:ascii="宋体" w:hAnsi="宋体"/>
          <w:color w:val="auto"/>
          <w:highlight w:val="none"/>
        </w:rPr>
      </w:pPr>
      <w:bookmarkStart w:id="194" w:name="_Toc19981"/>
      <w:r>
        <w:rPr>
          <w:rFonts w:hint="eastAsia" w:ascii="宋体" w:hAnsi="宋体"/>
          <w:color w:val="auto"/>
          <w:highlight w:val="none"/>
        </w:rPr>
        <w:br w:type="page"/>
      </w:r>
    </w:p>
    <w:p w14:paraId="7C67643B">
      <w:pPr>
        <w:pStyle w:val="4"/>
        <w:jc w:val="center"/>
        <w:rPr>
          <w:color w:val="auto"/>
          <w:highlight w:val="none"/>
        </w:rPr>
      </w:pPr>
      <w:r>
        <w:rPr>
          <w:rFonts w:hint="eastAsia" w:ascii="宋体" w:hAnsi="宋体"/>
          <w:color w:val="auto"/>
          <w:highlight w:val="none"/>
        </w:rPr>
        <w:t>第二章 技术需求书</w:t>
      </w:r>
      <w:bookmarkEnd w:id="194"/>
      <w:bookmarkStart w:id="195" w:name="_Toc14462"/>
      <w:bookmarkStart w:id="196" w:name="_Toc13112"/>
      <w:bookmarkStart w:id="197" w:name="_Toc24679"/>
      <w:bookmarkStart w:id="198" w:name="_Toc31278"/>
    </w:p>
    <w:p w14:paraId="14856E5A">
      <w:pPr>
        <w:pStyle w:val="5"/>
        <w:rPr>
          <w:color w:val="auto"/>
          <w:highlight w:val="none"/>
        </w:rPr>
      </w:pPr>
      <w:r>
        <w:rPr>
          <w:rFonts w:hint="eastAsia"/>
          <w:color w:val="auto"/>
          <w:highlight w:val="none"/>
        </w:rPr>
        <w:t>一、项目概况</w:t>
      </w:r>
    </w:p>
    <w:p w14:paraId="49375312">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本次主要调整的目标地块为东莞市大朗镇象山片区05-05地块。</w:t>
      </w:r>
    </w:p>
    <w:p w14:paraId="714B8F13">
      <w:pPr>
        <w:rPr>
          <w:color w:val="auto"/>
          <w:highlight w:val="none"/>
        </w:rPr>
      </w:pPr>
    </w:p>
    <w:p w14:paraId="592D47FD">
      <w:pPr>
        <w:outlineLvl w:val="3"/>
        <w:rPr>
          <w:rFonts w:ascii="宋体" w:hAnsi="宋体" w:cs="Times New Roman"/>
          <w:b/>
          <w:bCs/>
          <w:color w:val="auto"/>
          <w:kern w:val="2"/>
          <w:sz w:val="24"/>
          <w:szCs w:val="24"/>
          <w:highlight w:val="none"/>
        </w:rPr>
      </w:pPr>
      <w:r>
        <w:rPr>
          <w:rFonts w:hint="eastAsia" w:ascii="宋体" w:hAnsi="宋体" w:cs="Times New Roman"/>
          <w:b/>
          <w:bCs/>
          <w:color w:val="auto"/>
          <w:kern w:val="2"/>
          <w:sz w:val="24"/>
          <w:szCs w:val="24"/>
          <w:highlight w:val="none"/>
        </w:rPr>
        <w:t>二、工作内容</w:t>
      </w:r>
    </w:p>
    <w:p w14:paraId="6A0B64B2">
      <w:pPr>
        <w:ind w:firstLine="420" w:firstLineChars="200"/>
        <w:rPr>
          <w:rFonts w:ascii="宋体" w:hAnsi="宋体" w:cs="宋体"/>
          <w:color w:val="auto"/>
          <w:szCs w:val="21"/>
          <w:highlight w:val="none"/>
        </w:rPr>
      </w:pPr>
      <w:r>
        <w:rPr>
          <w:rFonts w:hint="eastAsia" w:ascii="宋体" w:hAnsi="宋体" w:cs="宋体"/>
          <w:color w:val="auto"/>
          <w:szCs w:val="21"/>
          <w:highlight w:val="none"/>
        </w:rPr>
        <w:t>主要包括东莞市大朗镇象山片区05-05地块控制性详细规划调整，具体如下：</w:t>
      </w:r>
    </w:p>
    <w:p w14:paraId="6268C6C7">
      <w:pPr>
        <w:ind w:firstLine="420" w:firstLineChars="200"/>
        <w:rPr>
          <w:rFonts w:ascii="宋体" w:hAnsi="宋体" w:cs="宋体"/>
          <w:color w:val="auto"/>
          <w:szCs w:val="21"/>
          <w:highlight w:val="none"/>
        </w:rPr>
      </w:pPr>
      <w:r>
        <w:rPr>
          <w:rFonts w:hint="eastAsia" w:ascii="宋体" w:hAnsi="宋体" w:cs="宋体"/>
          <w:color w:val="auto"/>
          <w:szCs w:val="21"/>
          <w:highlight w:val="none"/>
        </w:rPr>
        <w:t>（1）现状基本情况摸查及与上位规划对接；</w:t>
      </w:r>
    </w:p>
    <w:p w14:paraId="18F8A1AB">
      <w:pPr>
        <w:ind w:firstLine="420" w:firstLineChars="200"/>
        <w:rPr>
          <w:rFonts w:ascii="宋体" w:hAnsi="宋体" w:cs="宋体"/>
          <w:color w:val="auto"/>
          <w:szCs w:val="21"/>
          <w:highlight w:val="none"/>
        </w:rPr>
      </w:pPr>
      <w:r>
        <w:rPr>
          <w:rFonts w:hint="eastAsia" w:ascii="宋体" w:hAnsi="宋体" w:cs="宋体"/>
          <w:color w:val="auto"/>
          <w:szCs w:val="21"/>
          <w:highlight w:val="none"/>
        </w:rPr>
        <w:t>（2）规划调整内容核查和说明；</w:t>
      </w:r>
    </w:p>
    <w:p w14:paraId="41E72384">
      <w:pPr>
        <w:ind w:firstLine="420" w:firstLineChars="200"/>
        <w:rPr>
          <w:rFonts w:ascii="宋体" w:hAnsi="宋体" w:cs="宋体"/>
          <w:color w:val="auto"/>
          <w:szCs w:val="21"/>
          <w:highlight w:val="none"/>
        </w:rPr>
      </w:pPr>
      <w:r>
        <w:rPr>
          <w:rFonts w:hint="eastAsia" w:ascii="宋体" w:hAnsi="宋体" w:cs="宋体"/>
          <w:color w:val="auto"/>
          <w:szCs w:val="21"/>
          <w:highlight w:val="none"/>
        </w:rPr>
        <w:t>（3）城市交通分析、公共服务设施分析、市政基础设施分析；</w:t>
      </w:r>
    </w:p>
    <w:p w14:paraId="3F09A349">
      <w:pPr>
        <w:ind w:firstLine="420" w:firstLineChars="200"/>
        <w:rPr>
          <w:rFonts w:ascii="宋体" w:hAnsi="宋体" w:cs="宋体"/>
          <w:color w:val="auto"/>
          <w:szCs w:val="21"/>
          <w:highlight w:val="none"/>
        </w:rPr>
      </w:pPr>
      <w:r>
        <w:rPr>
          <w:rFonts w:hint="eastAsia" w:ascii="宋体" w:hAnsi="宋体" w:cs="宋体"/>
          <w:color w:val="auto"/>
          <w:szCs w:val="21"/>
          <w:highlight w:val="none"/>
        </w:rPr>
        <w:t>（4）项目关键节点建筑模拟方案；</w:t>
      </w:r>
    </w:p>
    <w:p w14:paraId="0593021F">
      <w:pPr>
        <w:ind w:firstLine="420" w:firstLineChars="200"/>
        <w:rPr>
          <w:rFonts w:ascii="宋体" w:hAnsi="宋体" w:cs="宋体"/>
          <w:color w:val="auto"/>
          <w:szCs w:val="21"/>
          <w:highlight w:val="none"/>
        </w:rPr>
      </w:pPr>
      <w:r>
        <w:rPr>
          <w:rFonts w:hint="eastAsia" w:ascii="宋体" w:hAnsi="宋体" w:cs="宋体"/>
          <w:color w:val="auto"/>
          <w:szCs w:val="21"/>
          <w:highlight w:val="none"/>
        </w:rPr>
        <w:t>（5）编制控规调整论证报告、汇报文件、图集；</w:t>
      </w:r>
    </w:p>
    <w:p w14:paraId="72F008B7">
      <w:pPr>
        <w:ind w:firstLine="420" w:firstLineChars="200"/>
        <w:rPr>
          <w:rFonts w:ascii="宋体" w:hAnsi="宋体" w:cs="宋体"/>
          <w:color w:val="auto"/>
          <w:szCs w:val="21"/>
          <w:highlight w:val="none"/>
        </w:rPr>
      </w:pPr>
      <w:r>
        <w:rPr>
          <w:rFonts w:hint="eastAsia" w:ascii="宋体" w:hAnsi="宋体" w:cs="宋体"/>
          <w:color w:val="auto"/>
          <w:szCs w:val="21"/>
          <w:highlight w:val="none"/>
        </w:rPr>
        <w:t>（6）协助规划主管部门的控规备案。</w:t>
      </w:r>
    </w:p>
    <w:p w14:paraId="4D95293F">
      <w:pPr>
        <w:rPr>
          <w:rFonts w:ascii="宋体" w:hAnsi="宋体" w:cs="Times New Roman"/>
          <w:b/>
          <w:bCs/>
          <w:color w:val="auto"/>
          <w:kern w:val="2"/>
          <w:sz w:val="24"/>
          <w:szCs w:val="24"/>
          <w:highlight w:val="none"/>
        </w:rPr>
      </w:pPr>
    </w:p>
    <w:p w14:paraId="2009D54F">
      <w:pPr>
        <w:outlineLvl w:val="3"/>
        <w:rPr>
          <w:rFonts w:ascii="宋体" w:hAnsi="宋体" w:cs="Times New Roman"/>
          <w:b/>
          <w:bCs/>
          <w:color w:val="auto"/>
          <w:kern w:val="2"/>
          <w:sz w:val="24"/>
          <w:szCs w:val="24"/>
          <w:highlight w:val="none"/>
        </w:rPr>
      </w:pPr>
      <w:r>
        <w:rPr>
          <w:rFonts w:hint="eastAsia" w:ascii="宋体" w:hAnsi="宋体" w:cs="Times New Roman"/>
          <w:b/>
          <w:bCs/>
          <w:color w:val="auto"/>
          <w:kern w:val="2"/>
          <w:sz w:val="24"/>
          <w:szCs w:val="24"/>
          <w:highlight w:val="none"/>
        </w:rPr>
        <w:t>三、工作成果</w:t>
      </w:r>
    </w:p>
    <w:p w14:paraId="227F9231">
      <w:pPr>
        <w:ind w:firstLine="420" w:firstLineChars="200"/>
        <w:rPr>
          <w:rFonts w:ascii="宋体" w:hAnsi="宋体" w:cs="宋体"/>
          <w:color w:val="auto"/>
          <w:szCs w:val="21"/>
          <w:highlight w:val="none"/>
        </w:rPr>
      </w:pPr>
      <w:r>
        <w:rPr>
          <w:rFonts w:hint="eastAsia" w:ascii="宋体" w:hAnsi="宋体" w:cs="宋体"/>
          <w:color w:val="auto"/>
          <w:szCs w:val="21"/>
          <w:highlight w:val="none"/>
        </w:rPr>
        <w:t>控制性详细规划调整各阶段成果必须符合《中华人民共和国城乡规划法》、《城市规划编制办法》、《广东省城市控制性详细规划管理条例》、《广东省城市控制性详细规划编制指引（试行）》、《东莞市控制性详细规划编制技术规定》及国家、省、市有关城乡规划和相关行业标准、技术规范和规划编制办法的要求。规划成果工作包括但不限于以下内容：</w:t>
      </w:r>
    </w:p>
    <w:p w14:paraId="3E22E72C">
      <w:pPr>
        <w:ind w:firstLine="420" w:firstLineChars="200"/>
        <w:rPr>
          <w:rFonts w:ascii="宋体" w:hAnsi="宋体" w:cs="宋体"/>
          <w:color w:val="auto"/>
          <w:szCs w:val="21"/>
          <w:highlight w:val="none"/>
        </w:rPr>
      </w:pPr>
      <w:r>
        <w:rPr>
          <w:rFonts w:hint="eastAsia" w:ascii="宋体" w:hAnsi="宋体" w:cs="宋体"/>
          <w:color w:val="auto"/>
          <w:szCs w:val="21"/>
          <w:highlight w:val="none"/>
        </w:rPr>
        <w:t>（1）调整论证报告：为技术文件，详细阐述规划研究内容，主要包括项目背景与区位、上层次规划情况、调整理由、调整内容、利害关系人意见、技术可行性分析等内容。</w:t>
      </w:r>
    </w:p>
    <w:p w14:paraId="204376A0">
      <w:pPr>
        <w:ind w:firstLine="420" w:firstLineChars="200"/>
        <w:rPr>
          <w:rFonts w:ascii="宋体" w:hAnsi="宋体" w:cs="宋体"/>
          <w:color w:val="auto"/>
          <w:szCs w:val="21"/>
          <w:highlight w:val="none"/>
        </w:rPr>
      </w:pPr>
      <w:r>
        <w:rPr>
          <w:rFonts w:hint="eastAsia" w:ascii="宋体" w:hAnsi="宋体" w:cs="宋体"/>
          <w:color w:val="auto"/>
          <w:szCs w:val="21"/>
          <w:highlight w:val="none"/>
        </w:rPr>
        <w:t>（2）主要图纸：包括主要的法定图纸文件，如调整前后的用地规划图及分图图则等。</w:t>
      </w:r>
    </w:p>
    <w:p w14:paraId="167B7AD7">
      <w:pPr>
        <w:ind w:firstLine="420" w:firstLineChars="200"/>
        <w:rPr>
          <w:rFonts w:ascii="宋体" w:hAnsi="宋体" w:cs="宋体"/>
          <w:color w:val="auto"/>
          <w:szCs w:val="21"/>
          <w:highlight w:val="none"/>
        </w:rPr>
      </w:pPr>
    </w:p>
    <w:p w14:paraId="0E54F915">
      <w:pPr>
        <w:outlineLvl w:val="3"/>
        <w:rPr>
          <w:rFonts w:ascii="宋体" w:hAnsi="宋体" w:cs="Times New Roman"/>
          <w:b/>
          <w:bCs/>
          <w:color w:val="auto"/>
          <w:kern w:val="2"/>
          <w:sz w:val="24"/>
          <w:szCs w:val="24"/>
          <w:highlight w:val="none"/>
        </w:rPr>
      </w:pPr>
      <w:r>
        <w:rPr>
          <w:rFonts w:hint="eastAsia" w:ascii="宋体" w:hAnsi="宋体" w:cs="Times New Roman"/>
          <w:b/>
          <w:bCs/>
          <w:color w:val="auto"/>
          <w:kern w:val="2"/>
          <w:sz w:val="24"/>
          <w:szCs w:val="24"/>
          <w:highlight w:val="none"/>
        </w:rPr>
        <w:t>四、成果要求</w:t>
      </w:r>
    </w:p>
    <w:p w14:paraId="18F3FC5F">
      <w:pPr>
        <w:ind w:firstLine="420" w:firstLineChars="200"/>
        <w:rPr>
          <w:rFonts w:ascii="宋体" w:hAnsi="宋体" w:cs="宋体"/>
          <w:color w:val="auto"/>
          <w:szCs w:val="21"/>
          <w:highlight w:val="none"/>
        </w:rPr>
      </w:pPr>
      <w:r>
        <w:rPr>
          <w:rFonts w:hint="eastAsia" w:ascii="宋体" w:hAnsi="宋体" w:cs="宋体"/>
          <w:color w:val="auto"/>
          <w:szCs w:val="21"/>
          <w:highlight w:val="none"/>
        </w:rPr>
        <w:t>（1）成交人提交技术服务成果的形式：提交纸质成果文本及图纸文件，电子文件等。</w:t>
      </w:r>
    </w:p>
    <w:p w14:paraId="4C6E402A">
      <w:pPr>
        <w:ind w:firstLine="420" w:firstLineChars="200"/>
        <w:rPr>
          <w:rFonts w:ascii="宋体" w:hAnsi="宋体" w:cs="宋体"/>
          <w:color w:val="auto"/>
          <w:szCs w:val="21"/>
          <w:highlight w:val="none"/>
        </w:rPr>
      </w:pPr>
      <w:r>
        <w:rPr>
          <w:rFonts w:hint="eastAsia" w:ascii="宋体" w:hAnsi="宋体" w:cs="宋体"/>
          <w:color w:val="auto"/>
          <w:szCs w:val="21"/>
          <w:highlight w:val="none"/>
        </w:rPr>
        <w:t>（2）规划设计工作成果的验收标准：满足国家、广东省有关规划编制要求及国家、省、市有关法律、法规、标准、规范等要求，并按照任务书要求。</w:t>
      </w:r>
    </w:p>
    <w:p w14:paraId="3605B55F">
      <w:pPr>
        <w:ind w:firstLine="420" w:firstLineChars="200"/>
        <w:rPr>
          <w:rFonts w:ascii="宋体" w:hAnsi="宋体" w:cs="宋体"/>
          <w:color w:val="auto"/>
          <w:szCs w:val="21"/>
          <w:highlight w:val="none"/>
        </w:rPr>
      </w:pPr>
    </w:p>
    <w:p w14:paraId="5D43F3C2">
      <w:pPr>
        <w:pStyle w:val="7"/>
        <w:rPr>
          <w:color w:val="auto"/>
          <w:highlight w:val="none"/>
        </w:rPr>
      </w:pPr>
    </w:p>
    <w:p w14:paraId="0331EB72">
      <w:pPr>
        <w:rPr>
          <w:rFonts w:ascii="宋体" w:hAnsi="宋体" w:cs="Times New Roman"/>
          <w:b/>
          <w:bCs/>
          <w:color w:val="auto"/>
          <w:szCs w:val="21"/>
          <w:highlight w:val="none"/>
        </w:rPr>
      </w:pPr>
    </w:p>
    <w:p w14:paraId="4B28B116">
      <w:pPr>
        <w:ind w:firstLine="422" w:firstLineChars="200"/>
        <w:rPr>
          <w:color w:val="auto"/>
          <w:sz w:val="28"/>
          <w:szCs w:val="28"/>
          <w:highlight w:val="none"/>
        </w:rPr>
      </w:pPr>
      <w:r>
        <w:rPr>
          <w:rFonts w:hint="eastAsia" w:ascii="宋体" w:hAnsi="宋体" w:cs="Times New Roman"/>
          <w:b/>
          <w:bCs/>
          <w:color w:val="auto"/>
          <w:szCs w:val="21"/>
          <w:highlight w:val="none"/>
        </w:rPr>
        <w:t>注：不满足磋商文件中 “★”条款的响应文件将作无效响应文件处理。</w:t>
      </w:r>
      <w:bookmarkEnd w:id="195"/>
      <w:bookmarkEnd w:id="196"/>
      <w:bookmarkEnd w:id="197"/>
      <w:bookmarkEnd w:id="198"/>
      <w:bookmarkStart w:id="199" w:name="_Toc21448"/>
      <w:bookmarkStart w:id="200" w:name="_Toc12485"/>
    </w:p>
    <w:p w14:paraId="41EC66EE">
      <w:pPr>
        <w:rPr>
          <w:color w:val="auto"/>
          <w:sz w:val="28"/>
          <w:szCs w:val="28"/>
          <w:highlight w:val="none"/>
        </w:rPr>
      </w:pPr>
      <w:bookmarkStart w:id="201" w:name="_Toc17329"/>
      <w:r>
        <w:rPr>
          <w:rFonts w:hint="eastAsia"/>
          <w:color w:val="auto"/>
          <w:sz w:val="28"/>
          <w:szCs w:val="28"/>
          <w:highlight w:val="none"/>
        </w:rPr>
        <w:br w:type="page"/>
      </w:r>
    </w:p>
    <w:p w14:paraId="2E80E3A9">
      <w:pPr>
        <w:pStyle w:val="3"/>
        <w:spacing w:before="0" w:after="0" w:line="240" w:lineRule="auto"/>
        <w:rPr>
          <w:color w:val="auto"/>
          <w:sz w:val="28"/>
          <w:szCs w:val="28"/>
          <w:highlight w:val="none"/>
        </w:rPr>
      </w:pPr>
      <w:r>
        <w:rPr>
          <w:rFonts w:hint="eastAsia"/>
          <w:color w:val="auto"/>
          <w:sz w:val="28"/>
          <w:szCs w:val="28"/>
          <w:highlight w:val="none"/>
        </w:rPr>
        <w:t>第六部分 合同格式（仅供参考）</w:t>
      </w:r>
      <w:bookmarkEnd w:id="199"/>
      <w:bookmarkEnd w:id="200"/>
      <w:bookmarkEnd w:id="201"/>
      <w:bookmarkStart w:id="202" w:name="_Toc21155"/>
      <w:bookmarkStart w:id="203" w:name="_Toc13430"/>
      <w:bookmarkStart w:id="204" w:name="_Toc1534"/>
    </w:p>
    <w:p w14:paraId="4BF2C574">
      <w:pPr>
        <w:pStyle w:val="4"/>
        <w:spacing w:line="240" w:lineRule="auto"/>
        <w:jc w:val="center"/>
        <w:rPr>
          <w:rFonts w:ascii="宋体" w:hAnsi="宋体" w:cs="宋体"/>
          <w:color w:val="auto"/>
          <w:highlight w:val="none"/>
        </w:rPr>
      </w:pPr>
      <w:bookmarkStart w:id="205" w:name="_Toc19575"/>
      <w:bookmarkStart w:id="206" w:name="_Toc29470"/>
      <w:bookmarkStart w:id="207" w:name="_Toc16730"/>
      <w:r>
        <w:rPr>
          <w:rFonts w:hint="eastAsia" w:ascii="宋体" w:hAnsi="宋体" w:cs="宋体"/>
          <w:color w:val="auto"/>
          <w:highlight w:val="none"/>
        </w:rPr>
        <w:t>合同格式</w:t>
      </w:r>
      <w:bookmarkEnd w:id="202"/>
      <w:bookmarkEnd w:id="203"/>
      <w:bookmarkEnd w:id="204"/>
      <w:bookmarkEnd w:id="205"/>
      <w:bookmarkEnd w:id="206"/>
      <w:bookmarkEnd w:id="207"/>
    </w:p>
    <w:p w14:paraId="3D6B62E9">
      <w:pPr>
        <w:spacing w:line="420" w:lineRule="atLeast"/>
        <w:ind w:right="560"/>
        <w:rPr>
          <w:rFonts w:ascii="宋体" w:hAnsi="宋体"/>
          <w:color w:val="auto"/>
          <w:szCs w:val="21"/>
          <w:highlight w:val="none"/>
        </w:rPr>
      </w:pPr>
      <w:r>
        <w:rPr>
          <w:rFonts w:hint="eastAsia" w:ascii="宋体" w:hAnsi="宋体"/>
          <w:color w:val="auto"/>
          <w:szCs w:val="21"/>
          <w:highlight w:val="none"/>
        </w:rPr>
        <w:t>合同编号：</w:t>
      </w:r>
    </w:p>
    <w:p w14:paraId="6D85BFA5">
      <w:pPr>
        <w:spacing w:line="420" w:lineRule="atLeast"/>
        <w:rPr>
          <w:rFonts w:ascii="宋体" w:hAnsi="宋体"/>
          <w:color w:val="auto"/>
          <w:szCs w:val="21"/>
          <w:highlight w:val="none"/>
        </w:rPr>
      </w:pPr>
      <w:r>
        <w:rPr>
          <w:rFonts w:hint="eastAsia" w:ascii="宋体" w:hAnsi="宋体"/>
          <w:color w:val="auto"/>
          <w:szCs w:val="21"/>
          <w:highlight w:val="none"/>
        </w:rPr>
        <w:t>甲方：</w:t>
      </w:r>
    </w:p>
    <w:p w14:paraId="1DE2703B">
      <w:pPr>
        <w:spacing w:line="420" w:lineRule="atLeast"/>
        <w:rPr>
          <w:rFonts w:ascii="宋体" w:hAnsi="宋体"/>
          <w:color w:val="auto"/>
          <w:szCs w:val="21"/>
          <w:highlight w:val="none"/>
        </w:rPr>
      </w:pPr>
      <w:r>
        <w:rPr>
          <w:rFonts w:hint="eastAsia" w:ascii="宋体" w:hAnsi="宋体"/>
          <w:color w:val="auto"/>
          <w:szCs w:val="21"/>
          <w:highlight w:val="none"/>
        </w:rPr>
        <w:t>乙方：“ ”为成交单位</w:t>
      </w:r>
    </w:p>
    <w:p w14:paraId="63CE5D1C">
      <w:pPr>
        <w:ind w:firstLine="420" w:firstLineChars="200"/>
        <w:rPr>
          <w:rFonts w:ascii="宋体" w:hAnsi="宋体"/>
          <w:color w:val="auto"/>
          <w:szCs w:val="21"/>
          <w:highlight w:val="none"/>
        </w:rPr>
      </w:pPr>
      <w:r>
        <w:rPr>
          <w:rFonts w:hint="eastAsia" w:ascii="宋体" w:hAnsi="宋体"/>
          <w:color w:val="auto"/>
          <w:szCs w:val="21"/>
          <w:highlight w:val="none"/>
        </w:rPr>
        <w:t>受甲方委托，</w:t>
      </w:r>
      <w:r>
        <w:rPr>
          <w:rFonts w:hint="eastAsia" w:ascii="宋体" w:hAnsi="宋体"/>
          <w:color w:val="auto"/>
          <w:szCs w:val="21"/>
          <w:highlight w:val="none"/>
          <w:u w:val="single"/>
        </w:rPr>
        <w:t xml:space="preserve">           (采购代理机构)</w:t>
      </w:r>
      <w:r>
        <w:rPr>
          <w:rFonts w:hint="eastAsia" w:ascii="宋体" w:hAnsi="宋体"/>
          <w:color w:val="auto"/>
          <w:szCs w:val="21"/>
          <w:highlight w:val="none"/>
        </w:rPr>
        <w:t>组织对</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采购项目（采购项目编号为）进行采购，于年月日通过竞争性磋商，经评标委员会评定乙方为成交单位。为了保护甲、乙双方合法权益，根据《中华人民共和国</w:t>
      </w:r>
      <w:r>
        <w:rPr>
          <w:rFonts w:hint="eastAsia"/>
          <w:color w:val="auto"/>
          <w:highlight w:val="none"/>
        </w:rPr>
        <w:t>民法典</w:t>
      </w:r>
      <w:r>
        <w:rPr>
          <w:rFonts w:hint="eastAsia" w:ascii="宋体" w:hAnsi="宋体"/>
          <w:color w:val="auto"/>
          <w:szCs w:val="21"/>
          <w:highlight w:val="none"/>
        </w:rPr>
        <w:t>》，在平等自愿的基础上，按照下面的条款和条件，签署本合同。</w:t>
      </w:r>
    </w:p>
    <w:p w14:paraId="02A627FC">
      <w:pPr>
        <w:ind w:firstLine="422" w:firstLineChars="200"/>
        <w:rPr>
          <w:rFonts w:ascii="宋体" w:hAnsi="宋体"/>
          <w:b/>
          <w:color w:val="auto"/>
          <w:szCs w:val="21"/>
          <w:highlight w:val="none"/>
        </w:rPr>
      </w:pPr>
      <w:r>
        <w:rPr>
          <w:rFonts w:hint="eastAsia" w:ascii="宋体" w:hAnsi="宋体"/>
          <w:b/>
          <w:color w:val="auto"/>
          <w:szCs w:val="21"/>
          <w:highlight w:val="none"/>
        </w:rPr>
        <w:t>第一条 合同项目</w:t>
      </w:r>
    </w:p>
    <w:p w14:paraId="5954FAA6">
      <w:pPr>
        <w:ind w:firstLine="420" w:firstLineChars="200"/>
        <w:rPr>
          <w:rFonts w:ascii="宋体" w:hAnsi="宋体"/>
          <w:color w:val="auto"/>
          <w:szCs w:val="21"/>
          <w:highlight w:val="none"/>
        </w:rPr>
      </w:pPr>
      <w:r>
        <w:rPr>
          <w:rFonts w:hint="eastAsia" w:ascii="宋体" w:hAnsi="宋体"/>
          <w:color w:val="auto"/>
          <w:szCs w:val="21"/>
          <w:highlight w:val="none"/>
        </w:rPr>
        <w:t>1、项目名称：                              ；</w:t>
      </w:r>
    </w:p>
    <w:p w14:paraId="3CD3F26E">
      <w:pPr>
        <w:ind w:firstLine="420" w:firstLineChars="200"/>
        <w:rPr>
          <w:rFonts w:ascii="宋体" w:hAnsi="宋体"/>
          <w:color w:val="auto"/>
          <w:szCs w:val="21"/>
          <w:highlight w:val="none"/>
        </w:rPr>
      </w:pPr>
      <w:r>
        <w:rPr>
          <w:rFonts w:hint="eastAsia" w:ascii="宋体" w:hAnsi="宋体"/>
          <w:color w:val="auto"/>
          <w:szCs w:val="21"/>
          <w:highlight w:val="none"/>
        </w:rPr>
        <w:t>2、采购项目编号：                   。</w:t>
      </w:r>
    </w:p>
    <w:p w14:paraId="32CAE9D7">
      <w:pPr>
        <w:ind w:firstLine="422" w:firstLineChars="200"/>
        <w:rPr>
          <w:rFonts w:ascii="宋体" w:hAnsi="宋体"/>
          <w:b/>
          <w:color w:val="auto"/>
          <w:szCs w:val="21"/>
          <w:highlight w:val="none"/>
        </w:rPr>
      </w:pPr>
      <w:r>
        <w:rPr>
          <w:rFonts w:hint="eastAsia" w:ascii="宋体" w:hAnsi="宋体"/>
          <w:b/>
          <w:color w:val="auto"/>
          <w:szCs w:val="21"/>
          <w:highlight w:val="none"/>
        </w:rPr>
        <w:t>第二条 合同组成</w:t>
      </w:r>
    </w:p>
    <w:p w14:paraId="19632084">
      <w:pPr>
        <w:ind w:firstLine="420" w:firstLineChars="200"/>
        <w:rPr>
          <w:rFonts w:ascii="宋体" w:hAnsi="宋体"/>
          <w:color w:val="auto"/>
          <w:szCs w:val="21"/>
          <w:highlight w:val="none"/>
        </w:rPr>
      </w:pPr>
      <w:r>
        <w:rPr>
          <w:rFonts w:hint="eastAsia" w:ascii="宋体" w:hAnsi="宋体"/>
          <w:color w:val="auto"/>
          <w:szCs w:val="21"/>
          <w:highlight w:val="none"/>
        </w:rPr>
        <w:t>1、合同文件组成内容包括：本合同书 、中标通知书、投标文件（含澄清内容）、磋商文件（含磋商文件澄清通知）等。</w:t>
      </w:r>
    </w:p>
    <w:p w14:paraId="0536064C">
      <w:pPr>
        <w:ind w:firstLine="422" w:firstLineChars="200"/>
        <w:rPr>
          <w:rFonts w:ascii="宋体" w:hAnsi="宋体"/>
          <w:b/>
          <w:color w:val="auto"/>
          <w:szCs w:val="21"/>
          <w:highlight w:val="none"/>
        </w:rPr>
      </w:pPr>
      <w:bookmarkStart w:id="208" w:name="_Toc86481558"/>
      <w:r>
        <w:rPr>
          <w:rFonts w:hint="eastAsia" w:ascii="宋体" w:hAnsi="宋体"/>
          <w:b/>
          <w:color w:val="auto"/>
          <w:szCs w:val="21"/>
          <w:highlight w:val="none"/>
        </w:rPr>
        <w:t>第三条 服务内容、标准及要求</w:t>
      </w:r>
    </w:p>
    <w:p w14:paraId="7B0C74DC">
      <w:pPr>
        <w:rPr>
          <w:rFonts w:ascii="宋体" w:hAnsi="宋体" w:cs="仿宋"/>
          <w:color w:val="auto"/>
          <w:szCs w:val="21"/>
          <w:highlight w:val="none"/>
          <w:u w:val="single"/>
          <w:shd w:val="clear" w:color="auto" w:fill="FFFFFF"/>
        </w:rPr>
      </w:pPr>
      <w:r>
        <w:rPr>
          <w:rFonts w:hint="eastAsia" w:ascii="宋体" w:hAnsi="宋体" w:cs="仿宋"/>
          <w:color w:val="auto"/>
          <w:szCs w:val="21"/>
          <w:highlight w:val="none"/>
          <w:shd w:val="clear" w:color="auto" w:fill="FFFFFF"/>
        </w:rPr>
        <w:t>1、采购内容：</w:t>
      </w:r>
      <w:r>
        <w:rPr>
          <w:rFonts w:hint="eastAsia" w:ascii="宋体" w:hAnsi="宋体" w:cs="仿宋"/>
          <w:color w:val="auto"/>
          <w:szCs w:val="21"/>
          <w:highlight w:val="none"/>
          <w:u w:val="single"/>
          <w:shd w:val="clear" w:color="auto" w:fill="FFFFFF"/>
        </w:rPr>
        <w:t xml:space="preserve">                                                              。</w:t>
      </w:r>
    </w:p>
    <w:p w14:paraId="1DE33288">
      <w:pPr>
        <w:rPr>
          <w:rFonts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2、采购标准：</w:t>
      </w:r>
      <w:r>
        <w:rPr>
          <w:rFonts w:hint="eastAsia" w:ascii="宋体" w:hAnsi="宋体" w:cs="仿宋"/>
          <w:color w:val="auto"/>
          <w:szCs w:val="21"/>
          <w:highlight w:val="none"/>
          <w:u w:val="single"/>
          <w:shd w:val="clear" w:color="auto" w:fill="FFFFFF"/>
        </w:rPr>
        <w:t xml:space="preserve">                                                              。</w:t>
      </w:r>
    </w:p>
    <w:p w14:paraId="51494EEA">
      <w:pPr>
        <w:rPr>
          <w:rFonts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3、采购要求：</w:t>
      </w:r>
      <w:r>
        <w:rPr>
          <w:rFonts w:hint="eastAsia" w:ascii="宋体" w:hAnsi="宋体" w:cs="仿宋"/>
          <w:color w:val="auto"/>
          <w:szCs w:val="21"/>
          <w:highlight w:val="none"/>
          <w:u w:val="single"/>
          <w:shd w:val="clear" w:color="auto" w:fill="FFFFFF"/>
        </w:rPr>
        <w:t xml:space="preserve">                                                              。</w:t>
      </w:r>
    </w:p>
    <w:p w14:paraId="7307E52B">
      <w:pPr>
        <w:rPr>
          <w:rFonts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4、具体采购内容采购标准及要求以磋商文件用户需求书及乙方投标文件承诺条款及方案为准。</w:t>
      </w:r>
    </w:p>
    <w:p w14:paraId="696F95CF">
      <w:pPr>
        <w:ind w:firstLine="422" w:firstLineChars="200"/>
        <w:rPr>
          <w:rFonts w:ascii="宋体" w:hAnsi="宋体"/>
          <w:b/>
          <w:color w:val="auto"/>
          <w:szCs w:val="21"/>
          <w:highlight w:val="none"/>
        </w:rPr>
      </w:pPr>
      <w:r>
        <w:rPr>
          <w:rFonts w:hint="eastAsia" w:ascii="宋体" w:hAnsi="宋体"/>
          <w:b/>
          <w:color w:val="auto"/>
          <w:szCs w:val="21"/>
          <w:highlight w:val="none"/>
        </w:rPr>
        <w:t>第四条 价格</w:t>
      </w:r>
    </w:p>
    <w:p w14:paraId="6E2FEFAB">
      <w:pPr>
        <w:ind w:firstLine="420" w:firstLineChars="200"/>
        <w:rPr>
          <w:rFonts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1、合同总价包含：人工费、材料费、设备使用费、各种税费、保险费及合同实施过程中的不可预见费用等全部费用，按本次采购范围及中标价一次包干，结算时不作调整。</w:t>
      </w:r>
    </w:p>
    <w:p w14:paraId="17B7A90D">
      <w:pPr>
        <w:ind w:firstLine="399" w:firstLineChars="190"/>
        <w:rPr>
          <w:rFonts w:ascii="宋体" w:hAnsi="宋体"/>
          <w:color w:val="auto"/>
          <w:szCs w:val="21"/>
          <w:highlight w:val="none"/>
        </w:rPr>
      </w:pPr>
      <w:r>
        <w:rPr>
          <w:rFonts w:hint="eastAsia" w:ascii="宋体" w:hAnsi="宋体"/>
          <w:color w:val="auto"/>
          <w:szCs w:val="21"/>
          <w:highlight w:val="none"/>
        </w:rPr>
        <w:t>2、合同总价：（人民币）大写 （¥）</w:t>
      </w:r>
    </w:p>
    <w:p w14:paraId="71F037ED">
      <w:pPr>
        <w:ind w:firstLine="399" w:firstLineChars="190"/>
        <w:rPr>
          <w:rFonts w:ascii="宋体" w:hAnsi="宋体"/>
          <w:color w:val="auto"/>
          <w:szCs w:val="21"/>
          <w:highlight w:val="none"/>
        </w:rPr>
      </w:pPr>
      <w:r>
        <w:rPr>
          <w:rFonts w:hint="eastAsia" w:ascii="宋体" w:hAnsi="宋体"/>
          <w:color w:val="auto"/>
          <w:szCs w:val="21"/>
          <w:highlight w:val="none"/>
        </w:rPr>
        <w:t>3、本合同价为固定不变价。</w:t>
      </w:r>
    </w:p>
    <w:p w14:paraId="5206B4A6">
      <w:pPr>
        <w:ind w:firstLine="422" w:firstLineChars="200"/>
        <w:rPr>
          <w:rFonts w:ascii="宋体" w:hAnsi="宋体"/>
          <w:b/>
          <w:color w:val="auto"/>
          <w:szCs w:val="21"/>
          <w:highlight w:val="none"/>
        </w:rPr>
      </w:pPr>
      <w:r>
        <w:rPr>
          <w:rFonts w:hint="eastAsia" w:ascii="宋体" w:hAnsi="宋体"/>
          <w:b/>
          <w:color w:val="auto"/>
          <w:szCs w:val="21"/>
          <w:highlight w:val="none"/>
        </w:rPr>
        <w:t>第五条 服务期限及地点</w:t>
      </w:r>
    </w:p>
    <w:p w14:paraId="776971AE">
      <w:pPr>
        <w:ind w:firstLine="495" w:firstLineChars="236"/>
        <w:rPr>
          <w:rFonts w:ascii="宋体" w:hAnsi="宋体"/>
          <w:color w:val="auto"/>
          <w:szCs w:val="21"/>
          <w:highlight w:val="none"/>
        </w:rPr>
      </w:pPr>
      <w:r>
        <w:rPr>
          <w:rFonts w:hint="eastAsia" w:ascii="宋体" w:hAnsi="宋体"/>
          <w:color w:val="auto"/>
          <w:szCs w:val="21"/>
          <w:highlight w:val="none"/>
        </w:rPr>
        <w:t>1、服务期：  年，合同生效之日自       年  月  日至     年  月  日止。</w:t>
      </w:r>
    </w:p>
    <w:p w14:paraId="644FDA06">
      <w:pPr>
        <w:ind w:firstLine="495" w:firstLineChars="236"/>
        <w:rPr>
          <w:rFonts w:ascii="宋体" w:hAnsi="宋体"/>
          <w:color w:val="auto"/>
          <w:szCs w:val="21"/>
          <w:highlight w:val="none"/>
        </w:rPr>
      </w:pPr>
      <w:r>
        <w:rPr>
          <w:rFonts w:hint="eastAsia" w:ascii="宋体" w:hAnsi="宋体"/>
          <w:color w:val="auto"/>
          <w:szCs w:val="21"/>
          <w:highlight w:val="none"/>
        </w:rPr>
        <w:t>2、服务地点：              或甲方指定地点。</w:t>
      </w:r>
    </w:p>
    <w:p w14:paraId="208EE7A5">
      <w:pPr>
        <w:ind w:firstLine="422" w:firstLineChars="200"/>
        <w:rPr>
          <w:rFonts w:ascii="宋体" w:hAnsi="宋体"/>
          <w:b/>
          <w:color w:val="auto"/>
          <w:szCs w:val="21"/>
          <w:highlight w:val="none"/>
        </w:rPr>
      </w:pPr>
      <w:r>
        <w:rPr>
          <w:rFonts w:hint="eastAsia" w:ascii="宋体" w:hAnsi="宋体"/>
          <w:b/>
          <w:color w:val="auto"/>
          <w:szCs w:val="21"/>
          <w:highlight w:val="none"/>
        </w:rPr>
        <w:t>第六条 付款方式</w:t>
      </w:r>
    </w:p>
    <w:p w14:paraId="740CBBEB">
      <w:pPr>
        <w:pStyle w:val="22"/>
        <w:ind w:firstLine="420" w:firstLineChars="200"/>
        <w:rPr>
          <w:rFonts w:ascii="宋体" w:hAnsi="宋体"/>
          <w:color w:val="auto"/>
          <w:sz w:val="21"/>
          <w:szCs w:val="21"/>
          <w:highlight w:val="none"/>
        </w:rPr>
      </w:pPr>
      <w:r>
        <w:rPr>
          <w:rFonts w:hint="eastAsia" w:ascii="宋体" w:hAnsi="宋体"/>
          <w:color w:val="auto"/>
          <w:sz w:val="21"/>
          <w:szCs w:val="21"/>
          <w:highlight w:val="none"/>
        </w:rPr>
        <w:t>1、本合同的付款方式为：。</w:t>
      </w:r>
    </w:p>
    <w:p w14:paraId="789A0F77">
      <w:pPr>
        <w:pStyle w:val="22"/>
        <w:ind w:firstLine="420" w:firstLineChars="200"/>
        <w:rPr>
          <w:rFonts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6869265B">
      <w:pPr>
        <w:ind w:firstLine="422" w:firstLineChars="200"/>
        <w:rPr>
          <w:rFonts w:ascii="宋体" w:hAnsi="宋体"/>
          <w:b/>
          <w:color w:val="auto"/>
          <w:szCs w:val="21"/>
          <w:highlight w:val="none"/>
        </w:rPr>
      </w:pPr>
      <w:r>
        <w:rPr>
          <w:rFonts w:hint="eastAsia" w:ascii="宋体" w:hAnsi="宋体"/>
          <w:b/>
          <w:color w:val="auto"/>
          <w:szCs w:val="21"/>
          <w:highlight w:val="none"/>
        </w:rPr>
        <w:t>第七条 验收方式</w:t>
      </w:r>
    </w:p>
    <w:p w14:paraId="777C7D0E">
      <w:pPr>
        <w:pStyle w:val="22"/>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1、验收应在甲乙双方共同参加下进行，依据磋商文件及本合同的有关规定制定的方案进行验收，并按国家有关规定、规范进行。</w:t>
      </w:r>
    </w:p>
    <w:p w14:paraId="0BC81B4C">
      <w:pPr>
        <w:pStyle w:val="22"/>
        <w:ind w:firstLine="480"/>
        <w:rPr>
          <w:rFonts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14:paraId="0E733CA0">
      <w:pPr>
        <w:pStyle w:val="22"/>
        <w:ind w:firstLine="480"/>
        <w:rPr>
          <w:rFonts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14:paraId="554BDDD5">
      <w:pPr>
        <w:ind w:firstLine="422" w:firstLineChars="200"/>
        <w:rPr>
          <w:rFonts w:ascii="宋体" w:hAnsi="宋体"/>
          <w:b/>
          <w:color w:val="auto"/>
          <w:szCs w:val="21"/>
          <w:highlight w:val="none"/>
        </w:rPr>
      </w:pPr>
      <w:r>
        <w:rPr>
          <w:rFonts w:hint="eastAsia" w:ascii="宋体" w:hAnsi="宋体"/>
          <w:b/>
          <w:color w:val="auto"/>
          <w:szCs w:val="21"/>
          <w:highlight w:val="none"/>
        </w:rPr>
        <w:t>第八条 税和关税</w:t>
      </w:r>
    </w:p>
    <w:p w14:paraId="057251CC">
      <w:pPr>
        <w:pStyle w:val="22"/>
        <w:ind w:firstLine="482"/>
        <w:rPr>
          <w:rFonts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14:paraId="59F569B0">
      <w:pPr>
        <w:pStyle w:val="22"/>
        <w:ind w:firstLine="482"/>
        <w:rPr>
          <w:rFonts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14:paraId="5BC3D079">
      <w:pPr>
        <w:pStyle w:val="22"/>
        <w:ind w:firstLine="482"/>
        <w:rPr>
          <w:rFonts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14:paraId="22688038">
      <w:pPr>
        <w:ind w:firstLine="422" w:firstLineChars="200"/>
        <w:rPr>
          <w:rFonts w:ascii="宋体" w:hAnsi="宋体"/>
          <w:b/>
          <w:color w:val="auto"/>
          <w:szCs w:val="21"/>
          <w:highlight w:val="none"/>
        </w:rPr>
      </w:pPr>
      <w:r>
        <w:rPr>
          <w:rFonts w:hint="eastAsia" w:ascii="宋体" w:hAnsi="宋体"/>
          <w:b/>
          <w:color w:val="auto"/>
          <w:szCs w:val="21"/>
          <w:highlight w:val="none"/>
        </w:rPr>
        <w:t>第九条 其它约定</w:t>
      </w:r>
    </w:p>
    <w:p w14:paraId="5D423785">
      <w:pPr>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、严禁转包，未经甲方书面同意不得分包。</w:t>
      </w:r>
    </w:p>
    <w:p w14:paraId="49EC288A">
      <w:pPr>
        <w:ind w:firstLine="420" w:firstLineChars="200"/>
        <w:rPr>
          <w:rFonts w:ascii="宋体" w:hAnsi="宋体"/>
          <w:color w:val="auto"/>
          <w:szCs w:val="21"/>
          <w:highlight w:val="none"/>
        </w:rPr>
      </w:pPr>
      <w:r>
        <w:rPr>
          <w:rFonts w:hint="eastAsia" w:ascii="宋体" w:hAnsi="宋体"/>
          <w:color w:val="auto"/>
          <w:szCs w:val="21"/>
          <w:highlight w:val="none"/>
        </w:rPr>
        <w:t>2、乙方全部工作人员，须符合东莞市政府用工标准要求。</w:t>
      </w:r>
    </w:p>
    <w:p w14:paraId="79A49CAC">
      <w:pPr>
        <w:ind w:firstLine="420" w:firstLineChars="200"/>
        <w:rPr>
          <w:rFonts w:ascii="宋体" w:hAnsi="宋体"/>
          <w:color w:val="auto"/>
          <w:szCs w:val="21"/>
          <w:highlight w:val="none"/>
        </w:rPr>
      </w:pPr>
      <w:r>
        <w:rPr>
          <w:rFonts w:hint="eastAsia" w:ascii="宋体" w:hAnsi="宋体"/>
          <w:color w:val="auto"/>
          <w:szCs w:val="21"/>
          <w:highlight w:val="none"/>
        </w:rPr>
        <w:t>3、乙方服务人员进行服务期间的过失或故意行为，造成甲方经济损失的，由乙方负责赔偿。</w:t>
      </w:r>
    </w:p>
    <w:p w14:paraId="53E71C80">
      <w:pPr>
        <w:ind w:firstLine="420" w:firstLineChars="200"/>
        <w:rPr>
          <w:rFonts w:ascii="宋体" w:hAnsi="宋体"/>
          <w:color w:val="auto"/>
          <w:szCs w:val="21"/>
          <w:highlight w:val="none"/>
        </w:rPr>
      </w:pPr>
      <w:r>
        <w:rPr>
          <w:rFonts w:hint="eastAsia" w:ascii="宋体" w:hAnsi="宋体"/>
          <w:color w:val="auto"/>
          <w:szCs w:val="21"/>
          <w:highlight w:val="none"/>
        </w:rPr>
        <w:t>4、服务人员的劳动关系隶属乙方，乙方负责服务人员的工资、节假日和超时加班补助费、社会保险、住宿、伙食等。</w:t>
      </w:r>
    </w:p>
    <w:p w14:paraId="16BE1B44">
      <w:pPr>
        <w:ind w:firstLine="420" w:firstLineChars="200"/>
        <w:rPr>
          <w:rFonts w:ascii="宋体" w:hAnsi="宋体"/>
          <w:color w:val="auto"/>
          <w:szCs w:val="21"/>
          <w:highlight w:val="none"/>
        </w:rPr>
      </w:pPr>
      <w:r>
        <w:rPr>
          <w:rFonts w:hint="eastAsia" w:ascii="宋体" w:hAnsi="宋体"/>
          <w:color w:val="auto"/>
          <w:szCs w:val="21"/>
          <w:highlight w:val="none"/>
        </w:rPr>
        <w:t>5、乙方负责本项目服务人员购买因意外身故或伤残和因意外事故住院治疗保险，并负责办理一切保险赔偿手续。</w:t>
      </w:r>
    </w:p>
    <w:p w14:paraId="01C31342">
      <w:pPr>
        <w:ind w:firstLine="422" w:firstLineChars="200"/>
        <w:rPr>
          <w:rFonts w:ascii="宋体" w:hAnsi="宋体"/>
          <w:b/>
          <w:color w:val="auto"/>
          <w:szCs w:val="21"/>
          <w:highlight w:val="none"/>
        </w:rPr>
      </w:pPr>
      <w:r>
        <w:rPr>
          <w:rFonts w:hint="eastAsia" w:ascii="宋体" w:hAnsi="宋体"/>
          <w:b/>
          <w:color w:val="auto"/>
          <w:szCs w:val="21"/>
          <w:highlight w:val="none"/>
        </w:rPr>
        <w:t>第十条 违约责任</w:t>
      </w:r>
    </w:p>
    <w:p w14:paraId="04B51A11">
      <w:pPr>
        <w:ind w:firstLine="420" w:firstLineChars="200"/>
        <w:rPr>
          <w:rFonts w:ascii="宋体" w:hAnsi="宋体"/>
          <w:color w:val="auto"/>
          <w:szCs w:val="21"/>
          <w:highlight w:val="none"/>
        </w:rPr>
      </w:pPr>
      <w:r>
        <w:rPr>
          <w:rFonts w:hint="eastAsia" w:ascii="宋体" w:hAnsi="宋体"/>
          <w:color w:val="auto"/>
          <w:szCs w:val="21"/>
          <w:highlight w:val="none"/>
        </w:rPr>
        <w:t>1、合同双方任何一方不履行合同条款或不按合同约定履行条款的其它情况，均属违约，由违约方承担违约责任，赔偿因其违约造成的损失，并支付合同价款总额%的违约金。</w:t>
      </w:r>
    </w:p>
    <w:p w14:paraId="3934328B">
      <w:pPr>
        <w:ind w:firstLine="420" w:firstLineChars="200"/>
        <w:rPr>
          <w:rFonts w:ascii="宋体" w:hAnsi="宋体"/>
          <w:color w:val="auto"/>
          <w:szCs w:val="21"/>
          <w:highlight w:val="none"/>
        </w:rPr>
      </w:pPr>
      <w:r>
        <w:rPr>
          <w:rFonts w:hint="eastAsia" w:ascii="宋体" w:hAnsi="宋体"/>
          <w:color w:val="auto"/>
          <w:szCs w:val="21"/>
          <w:highlight w:val="none"/>
        </w:rPr>
        <w:t>2、由于乙方的原因，导致双方签订的合同终止，乙方因此而遭受的损失，将由乙方独立承担，甲方对此不负任何责任，也不作任何赔偿。</w:t>
      </w:r>
    </w:p>
    <w:bookmarkEnd w:id="208"/>
    <w:p w14:paraId="642765C2">
      <w:pPr>
        <w:ind w:firstLine="422" w:firstLineChars="200"/>
        <w:rPr>
          <w:rFonts w:ascii="宋体" w:hAnsi="宋体"/>
          <w:b/>
          <w:color w:val="auto"/>
          <w:szCs w:val="21"/>
          <w:highlight w:val="none"/>
        </w:rPr>
      </w:pPr>
      <w:bookmarkStart w:id="209" w:name="_Toc86481570"/>
      <w:r>
        <w:rPr>
          <w:rFonts w:hint="eastAsia" w:ascii="宋体" w:hAnsi="宋体"/>
          <w:b/>
          <w:color w:val="auto"/>
          <w:szCs w:val="21"/>
          <w:highlight w:val="none"/>
        </w:rPr>
        <w:t>第十一条 争议的解决</w:t>
      </w:r>
    </w:p>
    <w:p w14:paraId="14C3D303">
      <w:pPr>
        <w:ind w:firstLine="420" w:firstLineChars="200"/>
        <w:rPr>
          <w:rFonts w:ascii="宋体" w:hAnsi="宋体" w:cs="宋体"/>
          <w:color w:val="auto"/>
          <w:szCs w:val="21"/>
          <w:highlight w:val="none"/>
        </w:rPr>
      </w:pPr>
      <w:r>
        <w:rPr>
          <w:rFonts w:hint="eastAsia" w:ascii="宋体" w:hAnsi="宋体" w:cs="宋体"/>
          <w:color w:val="auto"/>
          <w:szCs w:val="21"/>
          <w:highlight w:val="none"/>
        </w:rPr>
        <w:t>1、凡与本合同有关而引起的一切争议，甲乙双方应首先通过友好协商解决，如经协商后仍不能达成协议时，任何一方可以向法院提出诉讼。</w:t>
      </w:r>
    </w:p>
    <w:p w14:paraId="614AE3A9">
      <w:pPr>
        <w:ind w:firstLine="420" w:firstLineChars="200"/>
        <w:rPr>
          <w:rFonts w:ascii="宋体" w:hAnsi="宋体" w:cs="宋体"/>
          <w:color w:val="auto"/>
          <w:szCs w:val="21"/>
          <w:highlight w:val="none"/>
        </w:rPr>
      </w:pPr>
      <w:r>
        <w:rPr>
          <w:rFonts w:hint="eastAsia" w:ascii="宋体" w:hAnsi="宋体" w:cs="宋体"/>
          <w:color w:val="auto"/>
          <w:szCs w:val="21"/>
          <w:highlight w:val="none"/>
        </w:rPr>
        <w:t>2、本合同发生的诉讼管辖地为东莞市有管辖权的法院。</w:t>
      </w:r>
    </w:p>
    <w:p w14:paraId="29D0C434">
      <w:pPr>
        <w:ind w:firstLine="420" w:firstLineChars="200"/>
        <w:rPr>
          <w:rFonts w:ascii="宋体" w:hAnsi="宋体" w:cs="宋体"/>
          <w:color w:val="auto"/>
          <w:szCs w:val="21"/>
          <w:highlight w:val="none"/>
        </w:rPr>
      </w:pPr>
      <w:r>
        <w:rPr>
          <w:rFonts w:hint="eastAsia" w:ascii="宋体" w:hAnsi="宋体" w:cs="宋体"/>
          <w:color w:val="auto"/>
          <w:szCs w:val="21"/>
          <w:highlight w:val="none"/>
        </w:rPr>
        <w:t>3、在进行法院审理期间，除提交法院审理的事项外，合同其他部分仍继续履行。</w:t>
      </w:r>
    </w:p>
    <w:p w14:paraId="26CEC07E">
      <w:pPr>
        <w:ind w:firstLine="420" w:firstLineChars="200"/>
        <w:rPr>
          <w:rFonts w:ascii="宋体" w:hAnsi="宋体" w:cs="仿宋"/>
          <w:color w:val="auto"/>
          <w:szCs w:val="21"/>
          <w:highlight w:val="none"/>
          <w:shd w:val="clear" w:color="auto" w:fill="FFFFFF"/>
        </w:rPr>
      </w:pPr>
      <w:r>
        <w:rPr>
          <w:rFonts w:hint="eastAsia" w:ascii="宋体" w:hAnsi="宋体" w:cs="宋体"/>
          <w:color w:val="auto"/>
          <w:szCs w:val="21"/>
          <w:highlight w:val="none"/>
        </w:rPr>
        <w:t>4、本合同按照中华人民共和国的法律进行解释</w:t>
      </w:r>
      <w:r>
        <w:rPr>
          <w:rFonts w:hint="eastAsia" w:ascii="宋体" w:hAnsi="宋体" w:cs="仿宋"/>
          <w:color w:val="auto"/>
          <w:szCs w:val="21"/>
          <w:highlight w:val="none"/>
          <w:shd w:val="clear" w:color="auto" w:fill="FFFFFF"/>
        </w:rPr>
        <w:t>。</w:t>
      </w:r>
    </w:p>
    <w:p w14:paraId="377DB403">
      <w:pPr>
        <w:ind w:firstLine="422" w:firstLineChars="200"/>
        <w:rPr>
          <w:rFonts w:ascii="宋体" w:hAnsi="宋体"/>
          <w:b/>
          <w:color w:val="auto"/>
          <w:szCs w:val="21"/>
          <w:highlight w:val="none"/>
        </w:rPr>
      </w:pPr>
      <w:bookmarkStart w:id="210" w:name="_Toc86481569"/>
      <w:r>
        <w:rPr>
          <w:rFonts w:hint="eastAsia" w:ascii="宋体" w:hAnsi="宋体"/>
          <w:b/>
          <w:color w:val="auto"/>
          <w:szCs w:val="21"/>
          <w:highlight w:val="none"/>
        </w:rPr>
        <w:t>第十二条 合同生效</w:t>
      </w:r>
      <w:bookmarkEnd w:id="210"/>
    </w:p>
    <w:p w14:paraId="56A8A97D">
      <w:pPr>
        <w:ind w:firstLine="420" w:firstLineChars="200"/>
        <w:rPr>
          <w:rFonts w:ascii="宋体" w:hAnsi="宋体"/>
          <w:color w:val="auto"/>
          <w:szCs w:val="21"/>
          <w:highlight w:val="none"/>
        </w:rPr>
      </w:pPr>
      <w:r>
        <w:rPr>
          <w:rFonts w:hint="eastAsia" w:ascii="宋体" w:hAnsi="宋体"/>
          <w:color w:val="auto"/>
          <w:szCs w:val="21"/>
          <w:highlight w:val="none"/>
        </w:rPr>
        <w:t>1、本合同由双方法定代表人或委托代理人签字盖章后立即生效，具有同等法律效力，合同有效期随服务期结束而自然终止。</w:t>
      </w:r>
    </w:p>
    <w:p w14:paraId="261569D9">
      <w:pPr>
        <w:ind w:firstLine="420" w:firstLineChars="200"/>
        <w:rPr>
          <w:rFonts w:ascii="宋体" w:hAnsi="宋体"/>
          <w:color w:val="auto"/>
          <w:szCs w:val="21"/>
          <w:highlight w:val="none"/>
        </w:rPr>
      </w:pPr>
      <w:r>
        <w:rPr>
          <w:rFonts w:hint="eastAsia" w:ascii="宋体" w:hAnsi="宋体"/>
          <w:color w:val="auto"/>
          <w:szCs w:val="21"/>
          <w:highlight w:val="none"/>
        </w:rPr>
        <w:t>2、本合同一式    份，其中甲方    份、乙方    份，采购代理机构 壹 份（须在合同签订之日起7个工作日内递交）。</w:t>
      </w:r>
    </w:p>
    <w:p w14:paraId="4FF5769B">
      <w:pPr>
        <w:ind w:firstLine="422" w:firstLineChars="200"/>
        <w:rPr>
          <w:rFonts w:ascii="宋体" w:hAnsi="宋体"/>
          <w:b/>
          <w:color w:val="auto"/>
          <w:szCs w:val="21"/>
          <w:highlight w:val="none"/>
        </w:rPr>
      </w:pPr>
      <w:r>
        <w:rPr>
          <w:rFonts w:hint="eastAsia" w:ascii="宋体" w:hAnsi="宋体"/>
          <w:b/>
          <w:color w:val="auto"/>
          <w:szCs w:val="21"/>
          <w:highlight w:val="none"/>
        </w:rPr>
        <w:t>第十三条 其它</w:t>
      </w:r>
      <w:bookmarkEnd w:id="209"/>
    </w:p>
    <w:p w14:paraId="71BD0F3D">
      <w:pPr>
        <w:ind w:firstLine="399" w:firstLineChars="190"/>
        <w:rPr>
          <w:rFonts w:ascii="宋体" w:hAnsi="宋体"/>
          <w:color w:val="auto"/>
          <w:szCs w:val="21"/>
          <w:highlight w:val="none"/>
        </w:rPr>
      </w:pPr>
      <w:r>
        <w:rPr>
          <w:rFonts w:hint="eastAsia" w:ascii="宋体" w:hAnsi="宋体"/>
          <w:color w:val="auto"/>
          <w:szCs w:val="21"/>
          <w:highlight w:val="none"/>
        </w:rPr>
        <w:t>1、本合同未尽事宜，双方可签订补充合同，补充合同与所有附件均为合同的有效组成部分，与本合同具有同等法律效力。</w:t>
      </w:r>
    </w:p>
    <w:p w14:paraId="1A747A0B">
      <w:pPr>
        <w:ind w:firstLine="399" w:firstLineChars="190"/>
        <w:rPr>
          <w:rFonts w:ascii="宋体" w:hAnsi="宋体"/>
          <w:color w:val="auto"/>
          <w:szCs w:val="21"/>
          <w:highlight w:val="none"/>
        </w:rPr>
      </w:pPr>
      <w:r>
        <w:rPr>
          <w:rFonts w:hint="eastAsia" w:ascii="宋体" w:hAnsi="宋体"/>
          <w:color w:val="auto"/>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07FC286F">
      <w:pPr>
        <w:ind w:firstLine="420" w:firstLineChars="200"/>
        <w:rPr>
          <w:rFonts w:ascii="宋体" w:hAnsi="宋体"/>
          <w:color w:val="auto"/>
          <w:szCs w:val="21"/>
          <w:highlight w:val="none"/>
        </w:rPr>
      </w:pPr>
      <w:r>
        <w:rPr>
          <w:rFonts w:hint="eastAsia" w:ascii="宋体" w:hAnsi="宋体"/>
          <w:color w:val="auto"/>
          <w:szCs w:val="21"/>
          <w:highlight w:val="none"/>
        </w:rPr>
        <w:t>本合同合计   页A4纸张，缺页之合同为无效合同。</w:t>
      </w:r>
    </w:p>
    <w:p w14:paraId="22CAD083">
      <w:pPr>
        <w:rPr>
          <w:rFonts w:ascii="宋体" w:hAnsi="宋体"/>
          <w:color w:val="auto"/>
          <w:szCs w:val="21"/>
          <w:highlight w:val="none"/>
        </w:rPr>
      </w:pPr>
      <w:r>
        <w:rPr>
          <w:rFonts w:hint="eastAsia" w:ascii="宋体" w:hAnsi="宋体"/>
          <w:color w:val="auto"/>
          <w:szCs w:val="21"/>
          <w:highlight w:val="none"/>
        </w:rPr>
        <w:t>甲方（盖章）：                      乙方（盖章）：</w:t>
      </w:r>
    </w:p>
    <w:p w14:paraId="7C8E9759">
      <w:pPr>
        <w:rPr>
          <w:rFonts w:ascii="宋体" w:hAnsi="宋体"/>
          <w:color w:val="auto"/>
          <w:szCs w:val="21"/>
          <w:highlight w:val="none"/>
        </w:rPr>
      </w:pPr>
      <w:r>
        <w:rPr>
          <w:rFonts w:hint="eastAsia" w:ascii="宋体" w:hAnsi="宋体"/>
          <w:color w:val="auto"/>
          <w:szCs w:val="21"/>
          <w:highlight w:val="none"/>
        </w:rPr>
        <w:t>法定代表(签字)：                   法定代表(签字)：</w:t>
      </w:r>
    </w:p>
    <w:p w14:paraId="4C7CB7E1">
      <w:pPr>
        <w:rPr>
          <w:rFonts w:ascii="宋体" w:hAnsi="宋体"/>
          <w:color w:val="auto"/>
          <w:szCs w:val="21"/>
          <w:highlight w:val="none"/>
        </w:rPr>
      </w:pPr>
      <w:r>
        <w:rPr>
          <w:rFonts w:hint="eastAsia" w:ascii="宋体" w:hAnsi="宋体"/>
          <w:color w:val="auto"/>
          <w:szCs w:val="21"/>
          <w:highlight w:val="none"/>
        </w:rPr>
        <w:t xml:space="preserve">地址：                             地址： </w:t>
      </w:r>
    </w:p>
    <w:p w14:paraId="0A3D296E">
      <w:pPr>
        <w:rPr>
          <w:rFonts w:ascii="宋体" w:hAnsi="宋体"/>
          <w:color w:val="auto"/>
          <w:szCs w:val="21"/>
          <w:highlight w:val="none"/>
        </w:rPr>
      </w:pPr>
      <w:r>
        <w:rPr>
          <w:rFonts w:hint="eastAsia" w:ascii="宋体" w:hAnsi="宋体"/>
          <w:color w:val="auto"/>
          <w:szCs w:val="21"/>
          <w:highlight w:val="none"/>
        </w:rPr>
        <w:t>电话：                             电话：</w:t>
      </w:r>
    </w:p>
    <w:p w14:paraId="39C40C0B">
      <w:pPr>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传真：</w:t>
      </w:r>
    </w:p>
    <w:p w14:paraId="13FB2B04">
      <w:pPr>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rPr>
        <w:tab/>
      </w:r>
      <w:r>
        <w:rPr>
          <w:rFonts w:hint="eastAsia" w:ascii="宋体" w:hAnsi="宋体"/>
          <w:color w:val="auto"/>
          <w:szCs w:val="21"/>
          <w:highlight w:val="none"/>
        </w:rPr>
        <w:t xml:space="preserve">                     开户银行：</w:t>
      </w:r>
    </w:p>
    <w:p w14:paraId="2FABB45C">
      <w:pPr>
        <w:rPr>
          <w:rFonts w:ascii="宋体" w:hAnsi="宋体"/>
          <w:color w:val="auto"/>
          <w:szCs w:val="21"/>
          <w:highlight w:val="none"/>
        </w:rPr>
      </w:pPr>
      <w:r>
        <w:rPr>
          <w:rFonts w:hint="eastAsia" w:ascii="宋体" w:hAnsi="宋体"/>
          <w:color w:val="auto"/>
          <w:szCs w:val="21"/>
          <w:highlight w:val="none"/>
        </w:rPr>
        <w:t>账号：                             账号：</w:t>
      </w:r>
    </w:p>
    <w:p w14:paraId="270385FC">
      <w:pPr>
        <w:rPr>
          <w:rFonts w:ascii="宋体" w:hAnsi="宋体"/>
          <w:color w:val="auto"/>
          <w:szCs w:val="21"/>
          <w:highlight w:val="none"/>
        </w:rPr>
      </w:pPr>
      <w:r>
        <w:rPr>
          <w:rFonts w:hint="eastAsia" w:ascii="宋体" w:hAnsi="宋体"/>
          <w:color w:val="auto"/>
          <w:szCs w:val="21"/>
          <w:highlight w:val="none"/>
        </w:rPr>
        <w:t>签约时间：</w:t>
      </w:r>
    </w:p>
    <w:p w14:paraId="2ADF9FA0">
      <w:pPr>
        <w:rPr>
          <w:rFonts w:ascii="宋体" w:hAnsi="宋体" w:cs="宋体"/>
          <w:color w:val="auto"/>
          <w:szCs w:val="21"/>
          <w:highlight w:val="none"/>
        </w:rPr>
      </w:pPr>
      <w:r>
        <w:rPr>
          <w:rFonts w:hint="eastAsia" w:ascii="宋体" w:hAnsi="宋体"/>
          <w:color w:val="auto"/>
          <w:szCs w:val="21"/>
          <w:highlight w:val="none"/>
        </w:rPr>
        <w:t>签约地点：</w:t>
      </w:r>
    </w:p>
    <w:p w14:paraId="7954312D">
      <w:pPr>
        <w:rPr>
          <w:rFonts w:ascii="宋体" w:hAnsi="宋体"/>
          <w:b/>
          <w:color w:val="auto"/>
          <w:szCs w:val="21"/>
          <w:highlight w:val="none"/>
        </w:rPr>
      </w:pPr>
    </w:p>
    <w:p w14:paraId="088D8806">
      <w:pPr>
        <w:rPr>
          <w:rFonts w:ascii="宋体" w:hAnsi="宋体"/>
          <w:b/>
          <w:color w:val="auto"/>
          <w:szCs w:val="21"/>
          <w:highlight w:val="none"/>
        </w:rPr>
      </w:pPr>
      <w:r>
        <w:rPr>
          <w:rFonts w:hint="eastAsia" w:ascii="宋体" w:hAnsi="宋体"/>
          <w:b/>
          <w:color w:val="auto"/>
          <w:szCs w:val="21"/>
          <w:highlight w:val="none"/>
        </w:rPr>
        <w:t>此仅为合同书样本，成交供应商需根据实际情况和甲方签订相应的合同！</w:t>
      </w:r>
    </w:p>
    <w:p w14:paraId="279539D7">
      <w:pPr>
        <w:rPr>
          <w:rFonts w:ascii="宋体" w:hAnsi="宋体"/>
          <w:b/>
          <w:color w:val="auto"/>
          <w:szCs w:val="21"/>
          <w:highlight w:val="none"/>
        </w:rPr>
      </w:pPr>
      <w:r>
        <w:rPr>
          <w:rFonts w:hint="eastAsia" w:ascii="宋体" w:hAnsi="宋体"/>
          <w:b/>
          <w:color w:val="auto"/>
          <w:szCs w:val="21"/>
          <w:highlight w:val="none"/>
        </w:rPr>
        <w:br w:type="page"/>
      </w:r>
    </w:p>
    <w:p w14:paraId="67552B01">
      <w:pPr>
        <w:pStyle w:val="3"/>
        <w:spacing w:before="0" w:after="0" w:line="240" w:lineRule="auto"/>
        <w:rPr>
          <w:color w:val="auto"/>
          <w:sz w:val="28"/>
          <w:szCs w:val="28"/>
          <w:highlight w:val="none"/>
        </w:rPr>
      </w:pPr>
      <w:bookmarkStart w:id="211" w:name="_Toc15158"/>
      <w:bookmarkStart w:id="212" w:name="_Toc31587"/>
      <w:bookmarkStart w:id="213" w:name="_Toc23749"/>
      <w:r>
        <w:rPr>
          <w:rFonts w:hint="eastAsia"/>
          <w:color w:val="auto"/>
          <w:sz w:val="28"/>
          <w:szCs w:val="28"/>
          <w:highlight w:val="none"/>
        </w:rPr>
        <w:t>第七部分  响应文件格式</w:t>
      </w:r>
      <w:bookmarkEnd w:id="211"/>
      <w:bookmarkEnd w:id="212"/>
      <w:bookmarkEnd w:id="213"/>
    </w:p>
    <w:p w14:paraId="25E7FD30">
      <w:pPr>
        <w:rPr>
          <w:color w:val="auto"/>
          <w:highlight w:val="none"/>
        </w:rPr>
      </w:pPr>
    </w:p>
    <w:p w14:paraId="512F0010">
      <w:pPr>
        <w:pStyle w:val="4"/>
        <w:rPr>
          <w:color w:val="auto"/>
          <w:highlight w:val="none"/>
        </w:rPr>
      </w:pPr>
      <w:bookmarkStart w:id="214" w:name="_Toc6790"/>
      <w:bookmarkStart w:id="215" w:name="_Toc26830"/>
      <w:bookmarkStart w:id="216" w:name="_Toc2434"/>
      <w:r>
        <w:rPr>
          <w:rFonts w:hint="eastAsia"/>
          <w:color w:val="auto"/>
          <w:highlight w:val="none"/>
        </w:rPr>
        <w:t>响应文件目录</w:t>
      </w:r>
      <w:bookmarkEnd w:id="214"/>
      <w:bookmarkEnd w:id="215"/>
      <w:bookmarkEnd w:id="216"/>
    </w:p>
    <w:p w14:paraId="3D640607">
      <w:pPr>
        <w:jc w:val="center"/>
        <w:rPr>
          <w:rFonts w:ascii="黑体" w:eastAsia="黑体"/>
          <w:color w:val="auto"/>
          <w:sz w:val="32"/>
          <w:szCs w:val="32"/>
          <w:highlight w:val="none"/>
        </w:rPr>
      </w:pPr>
    </w:p>
    <w:p w14:paraId="6CCE4533">
      <w:pPr>
        <w:jc w:val="center"/>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6403B3F8">
      <w:pPr>
        <w:adjustRightInd/>
        <w:snapToGrid/>
        <w:spacing w:line="276" w:lineRule="auto"/>
        <w:rPr>
          <w:rFonts w:ascii="宋体" w:hAnsi="宋体"/>
          <w:color w:val="auto"/>
          <w:szCs w:val="21"/>
          <w:highlight w:val="none"/>
        </w:rPr>
      </w:pPr>
      <w:r>
        <w:rPr>
          <w:rFonts w:hint="eastAsia" w:ascii="宋体" w:hAnsi="宋体"/>
          <w:color w:val="auto"/>
          <w:szCs w:val="21"/>
          <w:highlight w:val="none"/>
        </w:rPr>
        <w:t>格式自理。</w:t>
      </w:r>
    </w:p>
    <w:p w14:paraId="292CCD7D">
      <w:pPr>
        <w:adjustRightInd/>
        <w:snapToGrid/>
        <w:spacing w:line="276" w:lineRule="auto"/>
        <w:rPr>
          <w:rFonts w:ascii="宋体" w:hAnsi="宋体"/>
          <w:color w:val="auto"/>
          <w:szCs w:val="21"/>
          <w:highlight w:val="none"/>
        </w:rPr>
      </w:pPr>
    </w:p>
    <w:p w14:paraId="3E48F465">
      <w:pPr>
        <w:adjustRightInd/>
        <w:snapToGrid/>
        <w:spacing w:line="276" w:lineRule="auto"/>
        <w:rPr>
          <w:rFonts w:ascii="宋体" w:hAnsi="宋体"/>
          <w:color w:val="auto"/>
          <w:szCs w:val="21"/>
          <w:highlight w:val="none"/>
        </w:rPr>
      </w:pPr>
    </w:p>
    <w:p w14:paraId="5DEBB7D1">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7512EC68">
      <w:pPr>
        <w:pStyle w:val="4"/>
        <w:rPr>
          <w:color w:val="auto"/>
          <w:highlight w:val="none"/>
        </w:rPr>
      </w:pPr>
      <w:bookmarkStart w:id="217" w:name="_Toc28116"/>
      <w:bookmarkStart w:id="218" w:name="_Toc25502"/>
      <w:bookmarkStart w:id="219" w:name="_Toc18893"/>
      <w:r>
        <w:rPr>
          <w:rFonts w:hint="eastAsia"/>
          <w:color w:val="auto"/>
          <w:highlight w:val="none"/>
        </w:rPr>
        <w:t>评分标准索引表</w:t>
      </w:r>
      <w:bookmarkEnd w:id="217"/>
      <w:bookmarkEnd w:id="218"/>
      <w:bookmarkEnd w:id="219"/>
    </w:p>
    <w:p w14:paraId="73658076">
      <w:pPr>
        <w:adjustRightInd/>
        <w:snapToGrid/>
        <w:spacing w:line="276" w:lineRule="auto"/>
        <w:rPr>
          <w:rFonts w:ascii="宋体" w:hAnsi="宋体"/>
          <w:color w:val="auto"/>
          <w:szCs w:val="21"/>
          <w:highlight w:val="none"/>
        </w:rPr>
      </w:pPr>
    </w:p>
    <w:p w14:paraId="2EEB9CF0">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3"/>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29D4F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548" w:type="dxa"/>
            <w:vAlign w:val="center"/>
          </w:tcPr>
          <w:p w14:paraId="42B61E97">
            <w:pPr>
              <w:pStyle w:val="55"/>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555D6ABC">
            <w:pPr>
              <w:pStyle w:val="55"/>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2DCEE053">
            <w:pPr>
              <w:pStyle w:val="55"/>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5FBBF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10653AC8">
            <w:pPr>
              <w:pStyle w:val="32"/>
              <w:jc w:val="center"/>
              <w:rPr>
                <w:rFonts w:ascii="宋体" w:hAnsi="宋体" w:cs="宋体"/>
                <w:b/>
                <w:color w:val="auto"/>
                <w:szCs w:val="21"/>
                <w:highlight w:val="none"/>
              </w:rPr>
            </w:pPr>
            <w:r>
              <w:rPr>
                <w:rFonts w:hint="eastAsia" w:ascii="宋体" w:hAnsi="宋体" w:cs="宋体"/>
                <w:b/>
                <w:color w:val="auto"/>
                <w:szCs w:val="21"/>
                <w:highlight w:val="none"/>
              </w:rPr>
              <w:t>商务部分</w:t>
            </w:r>
          </w:p>
        </w:tc>
      </w:tr>
      <w:tr w14:paraId="19BF7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6F3E0408">
            <w:pPr>
              <w:pStyle w:val="32"/>
              <w:jc w:val="both"/>
              <w:rPr>
                <w:rFonts w:ascii="宋体" w:hAnsi="宋体" w:cs="宋体"/>
                <w:color w:val="auto"/>
                <w:szCs w:val="21"/>
                <w:highlight w:val="none"/>
              </w:rPr>
            </w:pPr>
          </w:p>
        </w:tc>
        <w:tc>
          <w:tcPr>
            <w:tcW w:w="5028" w:type="dxa"/>
            <w:vAlign w:val="center"/>
          </w:tcPr>
          <w:p w14:paraId="58223017">
            <w:pPr>
              <w:pStyle w:val="32"/>
              <w:jc w:val="both"/>
              <w:rPr>
                <w:rFonts w:ascii="宋体" w:hAnsi="宋体" w:cs="宋体"/>
                <w:color w:val="auto"/>
                <w:szCs w:val="21"/>
                <w:highlight w:val="none"/>
              </w:rPr>
            </w:pPr>
          </w:p>
        </w:tc>
        <w:tc>
          <w:tcPr>
            <w:tcW w:w="2126" w:type="dxa"/>
            <w:vAlign w:val="center"/>
          </w:tcPr>
          <w:p w14:paraId="43CECB06">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0C387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9C24D5D">
            <w:pPr>
              <w:pStyle w:val="32"/>
              <w:jc w:val="both"/>
              <w:rPr>
                <w:rFonts w:ascii="宋体" w:hAnsi="宋体" w:cs="宋体"/>
                <w:color w:val="auto"/>
                <w:szCs w:val="21"/>
                <w:highlight w:val="none"/>
              </w:rPr>
            </w:pPr>
          </w:p>
        </w:tc>
        <w:tc>
          <w:tcPr>
            <w:tcW w:w="5028" w:type="dxa"/>
            <w:vAlign w:val="center"/>
          </w:tcPr>
          <w:p w14:paraId="31BD44E0">
            <w:pPr>
              <w:pStyle w:val="32"/>
              <w:jc w:val="both"/>
              <w:rPr>
                <w:rFonts w:ascii="宋体" w:hAnsi="宋体" w:cs="宋体"/>
                <w:color w:val="auto"/>
                <w:szCs w:val="21"/>
                <w:highlight w:val="none"/>
              </w:rPr>
            </w:pPr>
          </w:p>
        </w:tc>
        <w:tc>
          <w:tcPr>
            <w:tcW w:w="2126" w:type="dxa"/>
            <w:vAlign w:val="center"/>
          </w:tcPr>
          <w:p w14:paraId="215CA993">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0D499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2906217">
            <w:pPr>
              <w:pStyle w:val="32"/>
              <w:jc w:val="both"/>
              <w:rPr>
                <w:rFonts w:ascii="宋体" w:hAnsi="宋体" w:cs="宋体"/>
                <w:color w:val="auto"/>
                <w:szCs w:val="21"/>
                <w:highlight w:val="none"/>
              </w:rPr>
            </w:pPr>
          </w:p>
        </w:tc>
        <w:tc>
          <w:tcPr>
            <w:tcW w:w="5028" w:type="dxa"/>
            <w:vAlign w:val="center"/>
          </w:tcPr>
          <w:p w14:paraId="29A92AEB">
            <w:pPr>
              <w:pStyle w:val="32"/>
              <w:jc w:val="both"/>
              <w:rPr>
                <w:rFonts w:ascii="宋体" w:hAnsi="宋体" w:cs="宋体"/>
                <w:color w:val="auto"/>
                <w:szCs w:val="21"/>
                <w:highlight w:val="none"/>
              </w:rPr>
            </w:pPr>
          </w:p>
        </w:tc>
        <w:tc>
          <w:tcPr>
            <w:tcW w:w="2126" w:type="dxa"/>
            <w:vAlign w:val="center"/>
          </w:tcPr>
          <w:p w14:paraId="72901BDF">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0B656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5CF1A7D">
            <w:pPr>
              <w:pStyle w:val="32"/>
              <w:jc w:val="both"/>
              <w:rPr>
                <w:rFonts w:ascii="宋体" w:hAnsi="宋体" w:cs="宋体"/>
                <w:color w:val="auto"/>
                <w:szCs w:val="21"/>
                <w:highlight w:val="none"/>
              </w:rPr>
            </w:pPr>
          </w:p>
        </w:tc>
        <w:tc>
          <w:tcPr>
            <w:tcW w:w="5028" w:type="dxa"/>
            <w:vAlign w:val="center"/>
          </w:tcPr>
          <w:p w14:paraId="00E119FE">
            <w:pPr>
              <w:pStyle w:val="32"/>
              <w:jc w:val="both"/>
              <w:rPr>
                <w:rFonts w:ascii="宋体" w:hAnsi="宋体" w:cs="宋体"/>
                <w:color w:val="auto"/>
                <w:szCs w:val="21"/>
                <w:highlight w:val="none"/>
              </w:rPr>
            </w:pPr>
          </w:p>
        </w:tc>
        <w:tc>
          <w:tcPr>
            <w:tcW w:w="2126" w:type="dxa"/>
            <w:vAlign w:val="center"/>
          </w:tcPr>
          <w:p w14:paraId="7825D096">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13523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1D9D79FE">
            <w:pPr>
              <w:pStyle w:val="32"/>
              <w:jc w:val="both"/>
              <w:rPr>
                <w:rFonts w:ascii="宋体" w:hAnsi="宋体" w:cs="宋体"/>
                <w:color w:val="auto"/>
                <w:szCs w:val="21"/>
                <w:highlight w:val="none"/>
              </w:rPr>
            </w:pPr>
          </w:p>
        </w:tc>
        <w:tc>
          <w:tcPr>
            <w:tcW w:w="5028" w:type="dxa"/>
            <w:vAlign w:val="center"/>
          </w:tcPr>
          <w:p w14:paraId="25FF5402">
            <w:pPr>
              <w:pStyle w:val="32"/>
              <w:jc w:val="both"/>
              <w:rPr>
                <w:rFonts w:ascii="宋体" w:hAnsi="宋体" w:cs="宋体"/>
                <w:color w:val="auto"/>
                <w:szCs w:val="21"/>
                <w:highlight w:val="none"/>
              </w:rPr>
            </w:pPr>
          </w:p>
        </w:tc>
        <w:tc>
          <w:tcPr>
            <w:tcW w:w="2126" w:type="dxa"/>
            <w:vAlign w:val="center"/>
          </w:tcPr>
          <w:p w14:paraId="34012AFD">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61411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5EE6D691">
            <w:pPr>
              <w:pStyle w:val="17"/>
              <w:jc w:val="center"/>
              <w:rPr>
                <w:rFonts w:ascii="宋体" w:hAnsi="宋体" w:cs="宋体"/>
                <w:b/>
                <w:color w:val="auto"/>
                <w:szCs w:val="21"/>
                <w:highlight w:val="none"/>
              </w:rPr>
            </w:pPr>
            <w:r>
              <w:rPr>
                <w:rFonts w:hint="eastAsia" w:ascii="宋体" w:hAnsi="宋体" w:cs="宋体"/>
                <w:b/>
                <w:color w:val="auto"/>
                <w:szCs w:val="21"/>
                <w:highlight w:val="none"/>
              </w:rPr>
              <w:t>技术部分</w:t>
            </w:r>
          </w:p>
        </w:tc>
      </w:tr>
      <w:tr w14:paraId="77E99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665ABA18">
            <w:pPr>
              <w:pStyle w:val="32"/>
              <w:jc w:val="both"/>
              <w:rPr>
                <w:rFonts w:ascii="宋体" w:hAnsi="宋体" w:cs="宋体"/>
                <w:color w:val="auto"/>
                <w:szCs w:val="21"/>
                <w:highlight w:val="none"/>
              </w:rPr>
            </w:pPr>
          </w:p>
        </w:tc>
        <w:tc>
          <w:tcPr>
            <w:tcW w:w="5028" w:type="dxa"/>
            <w:vAlign w:val="center"/>
          </w:tcPr>
          <w:p w14:paraId="51AFFF77">
            <w:pPr>
              <w:pStyle w:val="32"/>
              <w:jc w:val="both"/>
              <w:rPr>
                <w:rFonts w:ascii="宋体" w:hAnsi="宋体" w:cs="宋体"/>
                <w:color w:val="auto"/>
                <w:szCs w:val="21"/>
                <w:highlight w:val="none"/>
              </w:rPr>
            </w:pPr>
          </w:p>
        </w:tc>
        <w:tc>
          <w:tcPr>
            <w:tcW w:w="2126" w:type="dxa"/>
            <w:vAlign w:val="center"/>
          </w:tcPr>
          <w:p w14:paraId="3B2E19E0">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7E868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69AD0F0C">
            <w:pPr>
              <w:pStyle w:val="32"/>
              <w:jc w:val="both"/>
              <w:rPr>
                <w:rFonts w:ascii="宋体" w:hAnsi="宋体" w:cs="宋体"/>
                <w:color w:val="auto"/>
                <w:szCs w:val="21"/>
                <w:highlight w:val="none"/>
              </w:rPr>
            </w:pPr>
          </w:p>
        </w:tc>
        <w:tc>
          <w:tcPr>
            <w:tcW w:w="5028" w:type="dxa"/>
            <w:vAlign w:val="center"/>
          </w:tcPr>
          <w:p w14:paraId="2FF286D2">
            <w:pPr>
              <w:pStyle w:val="32"/>
              <w:jc w:val="both"/>
              <w:rPr>
                <w:rFonts w:ascii="宋体" w:hAnsi="宋体" w:cs="宋体"/>
                <w:color w:val="auto"/>
                <w:szCs w:val="21"/>
                <w:highlight w:val="none"/>
              </w:rPr>
            </w:pPr>
          </w:p>
        </w:tc>
        <w:tc>
          <w:tcPr>
            <w:tcW w:w="2126" w:type="dxa"/>
            <w:vAlign w:val="center"/>
          </w:tcPr>
          <w:p w14:paraId="645673A3">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2BB8B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DB27545">
            <w:pPr>
              <w:pStyle w:val="32"/>
              <w:jc w:val="both"/>
              <w:rPr>
                <w:rFonts w:ascii="宋体" w:hAnsi="宋体" w:cs="宋体"/>
                <w:color w:val="auto"/>
                <w:szCs w:val="21"/>
                <w:highlight w:val="none"/>
              </w:rPr>
            </w:pPr>
          </w:p>
        </w:tc>
        <w:tc>
          <w:tcPr>
            <w:tcW w:w="5028" w:type="dxa"/>
            <w:vAlign w:val="center"/>
          </w:tcPr>
          <w:p w14:paraId="4238362A">
            <w:pPr>
              <w:pStyle w:val="32"/>
              <w:jc w:val="both"/>
              <w:rPr>
                <w:rFonts w:ascii="宋体" w:hAnsi="宋体" w:cs="宋体"/>
                <w:color w:val="auto"/>
                <w:szCs w:val="21"/>
                <w:highlight w:val="none"/>
              </w:rPr>
            </w:pPr>
          </w:p>
        </w:tc>
        <w:tc>
          <w:tcPr>
            <w:tcW w:w="2126" w:type="dxa"/>
            <w:vAlign w:val="center"/>
          </w:tcPr>
          <w:p w14:paraId="2F1BAE78">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615E2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E6535F3">
            <w:pPr>
              <w:pStyle w:val="32"/>
              <w:jc w:val="both"/>
              <w:rPr>
                <w:rFonts w:ascii="宋体" w:hAnsi="宋体" w:cs="宋体"/>
                <w:color w:val="auto"/>
                <w:szCs w:val="21"/>
                <w:highlight w:val="none"/>
              </w:rPr>
            </w:pPr>
          </w:p>
        </w:tc>
        <w:tc>
          <w:tcPr>
            <w:tcW w:w="5028" w:type="dxa"/>
            <w:vAlign w:val="center"/>
          </w:tcPr>
          <w:p w14:paraId="768C0A8A">
            <w:pPr>
              <w:pStyle w:val="32"/>
              <w:jc w:val="both"/>
              <w:rPr>
                <w:rFonts w:ascii="宋体" w:hAnsi="宋体" w:cs="宋体"/>
                <w:color w:val="auto"/>
                <w:szCs w:val="21"/>
                <w:highlight w:val="none"/>
              </w:rPr>
            </w:pPr>
          </w:p>
        </w:tc>
        <w:tc>
          <w:tcPr>
            <w:tcW w:w="2126" w:type="dxa"/>
            <w:vAlign w:val="center"/>
          </w:tcPr>
          <w:p w14:paraId="38D71341">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7D1B1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91C16AB">
            <w:pPr>
              <w:pStyle w:val="32"/>
              <w:jc w:val="both"/>
              <w:rPr>
                <w:rFonts w:ascii="宋体" w:hAnsi="宋体" w:cs="宋体"/>
                <w:color w:val="auto"/>
                <w:szCs w:val="21"/>
                <w:highlight w:val="none"/>
              </w:rPr>
            </w:pPr>
          </w:p>
        </w:tc>
        <w:tc>
          <w:tcPr>
            <w:tcW w:w="5028" w:type="dxa"/>
            <w:vAlign w:val="center"/>
          </w:tcPr>
          <w:p w14:paraId="0542E007">
            <w:pPr>
              <w:pStyle w:val="32"/>
              <w:jc w:val="both"/>
              <w:rPr>
                <w:rFonts w:ascii="宋体" w:hAnsi="宋体" w:cs="宋体"/>
                <w:color w:val="auto"/>
                <w:szCs w:val="21"/>
                <w:highlight w:val="none"/>
              </w:rPr>
            </w:pPr>
          </w:p>
        </w:tc>
        <w:tc>
          <w:tcPr>
            <w:tcW w:w="2126" w:type="dxa"/>
            <w:vAlign w:val="center"/>
          </w:tcPr>
          <w:p w14:paraId="4F1ED994">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r w14:paraId="49B24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CF5AA9B">
            <w:pPr>
              <w:pStyle w:val="32"/>
              <w:jc w:val="both"/>
              <w:rPr>
                <w:rFonts w:ascii="宋体" w:hAnsi="宋体" w:cs="宋体"/>
                <w:color w:val="auto"/>
                <w:szCs w:val="21"/>
                <w:highlight w:val="none"/>
              </w:rPr>
            </w:pPr>
          </w:p>
        </w:tc>
        <w:tc>
          <w:tcPr>
            <w:tcW w:w="5028" w:type="dxa"/>
            <w:vAlign w:val="center"/>
          </w:tcPr>
          <w:p w14:paraId="73C22385">
            <w:pPr>
              <w:pStyle w:val="32"/>
              <w:jc w:val="both"/>
              <w:rPr>
                <w:rFonts w:ascii="宋体" w:hAnsi="宋体" w:cs="宋体"/>
                <w:color w:val="auto"/>
                <w:szCs w:val="21"/>
                <w:highlight w:val="none"/>
              </w:rPr>
            </w:pPr>
          </w:p>
        </w:tc>
        <w:tc>
          <w:tcPr>
            <w:tcW w:w="2126" w:type="dxa"/>
            <w:vAlign w:val="center"/>
          </w:tcPr>
          <w:p w14:paraId="57EB215D">
            <w:pPr>
              <w:pStyle w:val="17"/>
              <w:rPr>
                <w:rFonts w:ascii="宋体" w:hAnsi="宋体" w:cs="宋体"/>
                <w:color w:val="auto"/>
                <w:szCs w:val="21"/>
                <w:highlight w:val="none"/>
              </w:rPr>
            </w:pPr>
            <w:r>
              <w:rPr>
                <w:rFonts w:hint="eastAsia" w:ascii="宋体" w:hAnsi="宋体" w:cs="宋体"/>
                <w:color w:val="auto"/>
                <w:szCs w:val="21"/>
                <w:highlight w:val="none"/>
              </w:rPr>
              <w:t>响应文件第（）页</w:t>
            </w:r>
          </w:p>
        </w:tc>
      </w:tr>
    </w:tbl>
    <w:p w14:paraId="1B37FC70">
      <w:pPr>
        <w:rPr>
          <w:rFonts w:ascii="宋体" w:hAnsi="宋体"/>
          <w:color w:val="auto"/>
          <w:szCs w:val="21"/>
          <w:highlight w:val="none"/>
        </w:rPr>
      </w:pPr>
    </w:p>
    <w:p w14:paraId="7A763BE8">
      <w:pPr>
        <w:rPr>
          <w:rFonts w:ascii="宋体" w:hAnsi="宋体"/>
          <w:color w:val="auto"/>
          <w:szCs w:val="21"/>
          <w:highlight w:val="none"/>
        </w:rPr>
      </w:pPr>
      <w:r>
        <w:rPr>
          <w:rFonts w:hint="eastAsia" w:ascii="宋体" w:hAnsi="宋体"/>
          <w:color w:val="auto"/>
          <w:szCs w:val="21"/>
          <w:highlight w:val="none"/>
        </w:rPr>
        <w:t>注：</w:t>
      </w:r>
    </w:p>
    <w:p w14:paraId="685B2A18">
      <w:pPr>
        <w:numPr>
          <w:ilvl w:val="0"/>
          <w:numId w:val="20"/>
        </w:numPr>
        <w:rPr>
          <w:rFonts w:ascii="宋体" w:hAnsi="宋体"/>
          <w:color w:val="auto"/>
          <w:szCs w:val="21"/>
          <w:highlight w:val="none"/>
        </w:rPr>
      </w:pPr>
      <w:r>
        <w:rPr>
          <w:rFonts w:hint="eastAsia" w:ascii="宋体" w:hAnsi="宋体"/>
          <w:color w:val="auto"/>
          <w:szCs w:val="21"/>
          <w:highlight w:val="none"/>
        </w:rPr>
        <w:t>该表格为参考格式，供应商可按实际情况自行制订评分标准索引表。</w:t>
      </w:r>
    </w:p>
    <w:p w14:paraId="2521FCA1">
      <w:pPr>
        <w:pStyle w:val="7"/>
        <w:spacing w:before="0"/>
        <w:ind w:left="0"/>
        <w:rPr>
          <w:color w:val="auto"/>
          <w:highlight w:val="none"/>
        </w:rPr>
      </w:pPr>
    </w:p>
    <w:p w14:paraId="30FE855F">
      <w:pPr>
        <w:adjustRightInd/>
        <w:snapToGrid/>
        <w:spacing w:line="276" w:lineRule="auto"/>
        <w:rPr>
          <w:rFonts w:ascii="宋体" w:hAnsi="宋体"/>
          <w:color w:val="auto"/>
          <w:szCs w:val="21"/>
          <w:highlight w:val="none"/>
        </w:rPr>
      </w:pPr>
    </w:p>
    <w:p w14:paraId="20924829">
      <w:pPr>
        <w:adjustRightInd/>
        <w:snapToGrid/>
        <w:spacing w:line="276" w:lineRule="auto"/>
        <w:rPr>
          <w:rFonts w:ascii="宋体" w:hAnsi="宋体"/>
          <w:color w:val="auto"/>
          <w:szCs w:val="21"/>
          <w:highlight w:val="none"/>
        </w:rPr>
      </w:pPr>
    </w:p>
    <w:p w14:paraId="7ED1BCFF">
      <w:pPr>
        <w:adjustRightInd/>
        <w:snapToGrid/>
        <w:spacing w:line="276" w:lineRule="auto"/>
        <w:rPr>
          <w:rFonts w:ascii="宋体" w:hAnsi="宋体"/>
          <w:color w:val="auto"/>
          <w:szCs w:val="21"/>
          <w:highlight w:val="none"/>
        </w:rPr>
      </w:pPr>
    </w:p>
    <w:p w14:paraId="22330D36">
      <w:pPr>
        <w:adjustRightInd/>
        <w:snapToGrid/>
        <w:spacing w:line="276" w:lineRule="auto"/>
        <w:rPr>
          <w:rFonts w:ascii="宋体" w:hAnsi="宋体"/>
          <w:color w:val="auto"/>
          <w:szCs w:val="21"/>
          <w:highlight w:val="none"/>
        </w:rPr>
      </w:pPr>
    </w:p>
    <w:p w14:paraId="0F5E476F">
      <w:pPr>
        <w:adjustRightInd/>
        <w:snapToGrid/>
        <w:spacing w:line="276" w:lineRule="auto"/>
        <w:rPr>
          <w:rFonts w:ascii="宋体" w:hAnsi="宋体"/>
          <w:color w:val="auto"/>
          <w:szCs w:val="21"/>
          <w:highlight w:val="none"/>
        </w:rPr>
      </w:pPr>
    </w:p>
    <w:p w14:paraId="571FFCB4">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0F861B08">
      <w:pPr>
        <w:pStyle w:val="4"/>
        <w:jc w:val="center"/>
        <w:rPr>
          <w:color w:val="auto"/>
          <w:highlight w:val="none"/>
        </w:rPr>
      </w:pPr>
      <w:bookmarkStart w:id="220" w:name="_Toc19057"/>
      <w:bookmarkStart w:id="221" w:name="_Toc22080"/>
      <w:bookmarkStart w:id="222" w:name="_Toc30640"/>
      <w:r>
        <w:rPr>
          <w:rFonts w:hint="eastAsia"/>
          <w:color w:val="auto"/>
          <w:highlight w:val="none"/>
        </w:rPr>
        <w:t>第一章价格文件</w:t>
      </w:r>
      <w:bookmarkEnd w:id="220"/>
      <w:bookmarkEnd w:id="221"/>
    </w:p>
    <w:p w14:paraId="5C9DF4A0">
      <w:pPr>
        <w:pStyle w:val="4"/>
        <w:jc w:val="center"/>
        <w:rPr>
          <w:color w:val="auto"/>
          <w:highlight w:val="none"/>
        </w:rPr>
      </w:pPr>
      <w:bookmarkStart w:id="223" w:name="_Toc29262"/>
      <w:bookmarkStart w:id="224" w:name="_Toc4168"/>
      <w:r>
        <w:rPr>
          <w:rFonts w:hint="eastAsia"/>
          <w:color w:val="auto"/>
          <w:highlight w:val="none"/>
        </w:rPr>
        <w:t>一、报价一览表</w:t>
      </w:r>
      <w:bookmarkEnd w:id="223"/>
      <w:bookmarkEnd w:id="224"/>
    </w:p>
    <w:p w14:paraId="05064A9F">
      <w:pPr>
        <w:rPr>
          <w:color w:val="auto"/>
          <w:highlight w:val="none"/>
        </w:rPr>
      </w:pPr>
    </w:p>
    <w:tbl>
      <w:tblPr>
        <w:tblStyle w:val="23"/>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23117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26763A8E">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6D58A3A0">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响应下浮率报价</w:t>
            </w:r>
          </w:p>
        </w:tc>
        <w:tc>
          <w:tcPr>
            <w:tcW w:w="3262" w:type="dxa"/>
            <w:tcBorders>
              <w:tl2br w:val="nil"/>
              <w:tr2bl w:val="nil"/>
            </w:tcBorders>
            <w:vAlign w:val="center"/>
          </w:tcPr>
          <w:p w14:paraId="02D2B5B7">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备注</w:t>
            </w:r>
          </w:p>
        </w:tc>
      </w:tr>
      <w:tr w14:paraId="0A4A0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2" w:hRule="atLeast"/>
          <w:jc w:val="center"/>
        </w:trPr>
        <w:tc>
          <w:tcPr>
            <w:tcW w:w="2714" w:type="dxa"/>
            <w:tcBorders>
              <w:tl2br w:val="nil"/>
              <w:tr2bl w:val="nil"/>
            </w:tcBorders>
            <w:vAlign w:val="center"/>
          </w:tcPr>
          <w:p w14:paraId="1781E2BA">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p>
        </w:tc>
        <w:tc>
          <w:tcPr>
            <w:tcW w:w="3085" w:type="dxa"/>
            <w:tcBorders>
              <w:tl2br w:val="nil"/>
              <w:tr2bl w:val="nil"/>
            </w:tcBorders>
            <w:vAlign w:val="center"/>
          </w:tcPr>
          <w:p w14:paraId="3B877F54">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p>
        </w:tc>
        <w:tc>
          <w:tcPr>
            <w:tcW w:w="3262" w:type="dxa"/>
            <w:tcBorders>
              <w:tl2br w:val="nil"/>
              <w:tr2bl w:val="nil"/>
            </w:tcBorders>
            <w:vAlign w:val="center"/>
          </w:tcPr>
          <w:p w14:paraId="634B5248">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p>
        </w:tc>
      </w:tr>
    </w:tbl>
    <w:p w14:paraId="751C1DC0">
      <w:pPr>
        <w:rPr>
          <w:rFonts w:ascii="宋体" w:hAnsi="宋体"/>
          <w:color w:val="auto"/>
          <w:szCs w:val="21"/>
          <w:highlight w:val="none"/>
        </w:rPr>
      </w:pPr>
    </w:p>
    <w:p w14:paraId="4671DB40">
      <w:pPr>
        <w:ind w:firstLine="359" w:firstLineChars="171"/>
        <w:rPr>
          <w:rFonts w:ascii="宋体" w:hAnsi="宋体"/>
          <w:color w:val="auto"/>
          <w:szCs w:val="21"/>
          <w:highlight w:val="none"/>
        </w:rPr>
      </w:pPr>
    </w:p>
    <w:p w14:paraId="6D39C7CC">
      <w:pPr>
        <w:ind w:firstLine="359" w:firstLineChars="171"/>
        <w:rPr>
          <w:rFonts w:ascii="宋体" w:hAnsi="宋体"/>
          <w:color w:val="auto"/>
          <w:szCs w:val="21"/>
          <w:highlight w:val="none"/>
        </w:rPr>
      </w:pPr>
      <w:r>
        <w:rPr>
          <w:rFonts w:hint="eastAsia" w:ascii="宋体" w:hAnsi="宋体"/>
          <w:color w:val="auto"/>
          <w:szCs w:val="21"/>
          <w:highlight w:val="none"/>
        </w:rPr>
        <w:t>供应商代表签字：</w:t>
      </w:r>
    </w:p>
    <w:p w14:paraId="0C49FC26">
      <w:pPr>
        <w:ind w:firstLine="359" w:firstLineChars="171"/>
        <w:rPr>
          <w:rFonts w:ascii="宋体" w:hAnsi="宋体"/>
          <w:color w:val="auto"/>
          <w:szCs w:val="21"/>
          <w:highlight w:val="none"/>
        </w:rPr>
      </w:pPr>
      <w:r>
        <w:rPr>
          <w:rFonts w:hint="eastAsia" w:ascii="宋体" w:hAnsi="宋体"/>
          <w:color w:val="auto"/>
          <w:szCs w:val="21"/>
          <w:highlight w:val="none"/>
        </w:rPr>
        <w:t>供应商盖章：</w:t>
      </w:r>
    </w:p>
    <w:p w14:paraId="78A0E712">
      <w:pPr>
        <w:ind w:firstLine="359" w:firstLineChars="171"/>
        <w:rPr>
          <w:rFonts w:ascii="宋体" w:hAnsi="宋体"/>
          <w:color w:val="auto"/>
          <w:szCs w:val="21"/>
          <w:highlight w:val="none"/>
        </w:rPr>
      </w:pPr>
      <w:r>
        <w:rPr>
          <w:rFonts w:hint="eastAsia" w:ascii="宋体" w:hAnsi="宋体"/>
          <w:color w:val="auto"/>
          <w:szCs w:val="21"/>
          <w:highlight w:val="none"/>
        </w:rPr>
        <w:t>日期：</w:t>
      </w:r>
    </w:p>
    <w:p w14:paraId="3869BE9D">
      <w:pPr>
        <w:ind w:firstLine="359" w:firstLineChars="171"/>
        <w:rPr>
          <w:rFonts w:ascii="宋体" w:hAnsi="宋体"/>
          <w:color w:val="auto"/>
          <w:szCs w:val="21"/>
          <w:highlight w:val="none"/>
        </w:rPr>
      </w:pPr>
    </w:p>
    <w:p w14:paraId="1498F72E">
      <w:pPr>
        <w:ind w:left="357" w:leftChars="170" w:firstLine="359" w:firstLineChars="171"/>
        <w:rPr>
          <w:rFonts w:ascii="宋体" w:hAnsi="宋体"/>
          <w:color w:val="auto"/>
          <w:szCs w:val="21"/>
          <w:highlight w:val="none"/>
        </w:rPr>
      </w:pPr>
      <w:r>
        <w:rPr>
          <w:rFonts w:hint="eastAsia" w:ascii="宋体" w:hAnsi="宋体"/>
          <w:color w:val="auto"/>
          <w:szCs w:val="21"/>
          <w:highlight w:val="none"/>
        </w:rPr>
        <w:t>注：</w:t>
      </w:r>
      <w:r>
        <w:rPr>
          <w:rFonts w:hint="eastAsia" w:ascii="宋体" w:hAnsi="宋体" w:cs="宋体"/>
          <w:color w:val="auto"/>
          <w:szCs w:val="21"/>
          <w:highlight w:val="none"/>
        </w:rPr>
        <w:t>1.报价一览表内容与响应文件中相应内容不一致的，以报价一览表为准。</w:t>
      </w:r>
    </w:p>
    <w:p w14:paraId="32D882D2">
      <w:pPr>
        <w:pStyle w:val="7"/>
        <w:rPr>
          <w:color w:val="auto"/>
          <w:highlight w:val="none"/>
        </w:rPr>
      </w:pPr>
    </w:p>
    <w:p w14:paraId="6ADCB167">
      <w:pPr>
        <w:rPr>
          <w:color w:val="auto"/>
          <w:highlight w:val="none"/>
        </w:rPr>
      </w:pPr>
    </w:p>
    <w:p w14:paraId="01EF435A">
      <w:pPr>
        <w:rPr>
          <w:color w:val="auto"/>
          <w:highlight w:val="none"/>
        </w:rPr>
      </w:pPr>
    </w:p>
    <w:p w14:paraId="5CFC0594">
      <w:pPr>
        <w:rPr>
          <w:color w:val="auto"/>
          <w:highlight w:val="none"/>
        </w:rPr>
      </w:pPr>
    </w:p>
    <w:p w14:paraId="4CB5EB92">
      <w:pPr>
        <w:rPr>
          <w:color w:val="auto"/>
          <w:highlight w:val="none"/>
        </w:rPr>
      </w:pPr>
    </w:p>
    <w:p w14:paraId="2379E20F">
      <w:pPr>
        <w:rPr>
          <w:color w:val="auto"/>
          <w:highlight w:val="none"/>
        </w:rPr>
      </w:pPr>
    </w:p>
    <w:p w14:paraId="08DFA5AE">
      <w:pPr>
        <w:rPr>
          <w:color w:val="auto"/>
          <w:highlight w:val="none"/>
        </w:rPr>
      </w:pPr>
    </w:p>
    <w:p w14:paraId="2C23D016">
      <w:pPr>
        <w:rPr>
          <w:color w:val="auto"/>
          <w:highlight w:val="none"/>
        </w:rPr>
      </w:pPr>
    </w:p>
    <w:p w14:paraId="6E93F081">
      <w:pPr>
        <w:rPr>
          <w:color w:val="auto"/>
          <w:highlight w:val="none"/>
        </w:rPr>
      </w:pPr>
    </w:p>
    <w:p w14:paraId="50E260CC">
      <w:pPr>
        <w:rPr>
          <w:color w:val="auto"/>
          <w:highlight w:val="none"/>
        </w:rPr>
      </w:pPr>
    </w:p>
    <w:p w14:paraId="58E0FCA2">
      <w:pPr>
        <w:rPr>
          <w:color w:val="auto"/>
          <w:highlight w:val="none"/>
        </w:rPr>
      </w:pPr>
    </w:p>
    <w:p w14:paraId="51E9B18E">
      <w:pPr>
        <w:pStyle w:val="7"/>
        <w:rPr>
          <w:color w:val="auto"/>
          <w:highlight w:val="none"/>
        </w:rPr>
      </w:pPr>
    </w:p>
    <w:p w14:paraId="170D2512">
      <w:pPr>
        <w:pStyle w:val="8"/>
        <w:ind w:firstLine="240"/>
        <w:rPr>
          <w:color w:val="auto"/>
          <w:highlight w:val="none"/>
        </w:rPr>
      </w:pPr>
    </w:p>
    <w:p w14:paraId="776869FD">
      <w:pPr>
        <w:rPr>
          <w:color w:val="auto"/>
          <w:highlight w:val="none"/>
        </w:rPr>
      </w:pPr>
      <w:r>
        <w:rPr>
          <w:color w:val="auto"/>
          <w:highlight w:val="none"/>
        </w:rPr>
        <w:br w:type="page"/>
      </w:r>
    </w:p>
    <w:p w14:paraId="733535DA">
      <w:pPr>
        <w:pStyle w:val="4"/>
        <w:jc w:val="center"/>
        <w:rPr>
          <w:color w:val="auto"/>
          <w:highlight w:val="none"/>
        </w:rPr>
      </w:pPr>
      <w:bookmarkStart w:id="225" w:name="_Toc31062"/>
      <w:bookmarkStart w:id="226" w:name="_Toc29258"/>
      <w:r>
        <w:rPr>
          <w:rFonts w:hint="eastAsia"/>
          <w:color w:val="auto"/>
          <w:highlight w:val="none"/>
        </w:rPr>
        <w:t>二、报价明细表</w:t>
      </w:r>
      <w:bookmarkEnd w:id="225"/>
      <w:bookmarkEnd w:id="226"/>
    </w:p>
    <w:p w14:paraId="0A995B24">
      <w:pPr>
        <w:pStyle w:val="32"/>
        <w:spacing w:before="0" w:after="0"/>
        <w:jc w:val="right"/>
        <w:rPr>
          <w:rFonts w:ascii="宋体" w:hAnsi="宋体" w:cs="宋体"/>
          <w:color w:val="auto"/>
          <w:szCs w:val="21"/>
          <w:highlight w:val="none"/>
        </w:rPr>
      </w:pPr>
      <w:r>
        <w:rPr>
          <w:rFonts w:hint="eastAsia" w:ascii="宋体" w:hAnsi="宋体" w:cs="宋体"/>
          <w:color w:val="auto"/>
          <w:szCs w:val="21"/>
          <w:highlight w:val="none"/>
        </w:rPr>
        <w:t>单位：元</w:t>
      </w:r>
    </w:p>
    <w:tbl>
      <w:tblPr>
        <w:tblStyle w:val="23"/>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1EA79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61648AE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1775F662">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553A154B">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0C8A7D5B">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1666030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025E5F9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1E2A3263">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备注</w:t>
            </w:r>
          </w:p>
        </w:tc>
      </w:tr>
      <w:tr w14:paraId="6F1E0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7811F79">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6D2AD8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3F60E7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5F9E2D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2331D67">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20A008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8234456">
            <w:pPr>
              <w:spacing w:before="100" w:beforeAutospacing="1" w:after="100" w:afterAutospacing="1"/>
              <w:jc w:val="center"/>
              <w:rPr>
                <w:rFonts w:ascii="宋体" w:hAnsi="宋体"/>
                <w:color w:val="auto"/>
                <w:szCs w:val="21"/>
                <w:highlight w:val="none"/>
              </w:rPr>
            </w:pPr>
          </w:p>
        </w:tc>
      </w:tr>
      <w:tr w14:paraId="6544D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AB96571">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53DE1A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1895562A">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513313F">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8DAB3F8">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161B85E">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E90848B">
            <w:pPr>
              <w:spacing w:before="100" w:beforeAutospacing="1" w:after="100" w:afterAutospacing="1"/>
              <w:jc w:val="center"/>
              <w:rPr>
                <w:rFonts w:ascii="宋体" w:hAnsi="宋体"/>
                <w:color w:val="auto"/>
                <w:szCs w:val="21"/>
                <w:highlight w:val="none"/>
              </w:rPr>
            </w:pPr>
          </w:p>
        </w:tc>
      </w:tr>
      <w:tr w14:paraId="595462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5FF21F">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1799668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348C3D7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CDA6E29">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8E21AFA">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352D81F">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7F3F250">
            <w:pPr>
              <w:spacing w:before="100" w:beforeAutospacing="1" w:after="100" w:afterAutospacing="1"/>
              <w:jc w:val="center"/>
              <w:rPr>
                <w:rFonts w:ascii="宋体" w:hAnsi="宋体"/>
                <w:color w:val="auto"/>
                <w:szCs w:val="21"/>
                <w:highlight w:val="none"/>
              </w:rPr>
            </w:pPr>
          </w:p>
        </w:tc>
      </w:tr>
      <w:tr w14:paraId="79A2F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B40E282">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EE0BD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645D608">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A121E6F">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324F428">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B86F24B">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3F2D81F">
            <w:pPr>
              <w:spacing w:before="100" w:beforeAutospacing="1" w:after="100" w:afterAutospacing="1"/>
              <w:jc w:val="center"/>
              <w:rPr>
                <w:rFonts w:ascii="宋体" w:hAnsi="宋体"/>
                <w:color w:val="auto"/>
                <w:szCs w:val="21"/>
                <w:highlight w:val="none"/>
              </w:rPr>
            </w:pPr>
          </w:p>
        </w:tc>
      </w:tr>
      <w:tr w14:paraId="366DE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2738526">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1F69E36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622E9C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F70E2E8">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585AAD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14602F8">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422468F">
            <w:pPr>
              <w:spacing w:before="100" w:beforeAutospacing="1" w:after="100" w:afterAutospacing="1"/>
              <w:jc w:val="center"/>
              <w:rPr>
                <w:rFonts w:ascii="宋体" w:hAnsi="宋体"/>
                <w:color w:val="auto"/>
                <w:szCs w:val="21"/>
                <w:highlight w:val="none"/>
              </w:rPr>
            </w:pPr>
          </w:p>
        </w:tc>
      </w:tr>
      <w:tr w14:paraId="50F70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F2DFD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3C0BE8A">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41D052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436FA5E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35776D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3892C9D">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56524A04">
            <w:pPr>
              <w:spacing w:before="100" w:beforeAutospacing="1" w:after="100" w:afterAutospacing="1"/>
              <w:jc w:val="center"/>
              <w:rPr>
                <w:rFonts w:ascii="宋体" w:hAnsi="宋体"/>
                <w:color w:val="auto"/>
                <w:szCs w:val="21"/>
                <w:highlight w:val="none"/>
              </w:rPr>
            </w:pPr>
          </w:p>
        </w:tc>
      </w:tr>
      <w:tr w14:paraId="374D7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269BEA3">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1579599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065F362">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D5A6524">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003774D3">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867D3C9">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C222A40">
            <w:pPr>
              <w:spacing w:before="100" w:beforeAutospacing="1" w:after="100" w:afterAutospacing="1"/>
              <w:jc w:val="center"/>
              <w:rPr>
                <w:rFonts w:ascii="宋体" w:hAnsi="宋体"/>
                <w:color w:val="auto"/>
                <w:szCs w:val="21"/>
                <w:highlight w:val="none"/>
              </w:rPr>
            </w:pPr>
          </w:p>
        </w:tc>
      </w:tr>
      <w:tr w14:paraId="1A848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A66E873">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DB27724">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C81137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D6375F0">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BA62F70">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924292A">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787F04A">
            <w:pPr>
              <w:spacing w:before="100" w:beforeAutospacing="1" w:after="100" w:afterAutospacing="1"/>
              <w:jc w:val="center"/>
              <w:rPr>
                <w:rFonts w:ascii="宋体" w:hAnsi="宋体"/>
                <w:color w:val="auto"/>
                <w:szCs w:val="21"/>
                <w:highlight w:val="none"/>
              </w:rPr>
            </w:pPr>
          </w:p>
        </w:tc>
      </w:tr>
      <w:tr w14:paraId="441EE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C18022C">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39D6787C">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172ADCD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2895A9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7F0DD4D">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F43EAE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7AE3DA18">
            <w:pPr>
              <w:spacing w:before="100" w:beforeAutospacing="1" w:after="100" w:afterAutospacing="1"/>
              <w:jc w:val="center"/>
              <w:rPr>
                <w:rFonts w:ascii="宋体" w:hAnsi="宋体"/>
                <w:color w:val="auto"/>
                <w:szCs w:val="21"/>
                <w:highlight w:val="none"/>
              </w:rPr>
            </w:pPr>
          </w:p>
        </w:tc>
      </w:tr>
      <w:tr w14:paraId="0DAA8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D4DB9C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56862085">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058056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B4EDA7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07626A4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C6E94C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73F870E">
            <w:pPr>
              <w:spacing w:before="100" w:beforeAutospacing="1" w:after="100" w:afterAutospacing="1"/>
              <w:jc w:val="center"/>
              <w:rPr>
                <w:rFonts w:ascii="宋体" w:hAnsi="宋体"/>
                <w:color w:val="auto"/>
                <w:szCs w:val="21"/>
                <w:highlight w:val="none"/>
              </w:rPr>
            </w:pPr>
          </w:p>
        </w:tc>
      </w:tr>
      <w:tr w14:paraId="3C460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5D79F1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6EEDEBF">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D50D6A4">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3F38BE2">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0C8BB9D2">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18933D9">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73B1DAC">
            <w:pPr>
              <w:spacing w:before="100" w:beforeAutospacing="1" w:after="100" w:afterAutospacing="1"/>
              <w:jc w:val="center"/>
              <w:rPr>
                <w:rFonts w:ascii="宋体" w:hAnsi="宋体"/>
                <w:color w:val="auto"/>
                <w:szCs w:val="21"/>
                <w:highlight w:val="none"/>
              </w:rPr>
            </w:pPr>
          </w:p>
        </w:tc>
      </w:tr>
      <w:tr w14:paraId="2A27C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7B8E9C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565A32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06B7F0F">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692FB7A4">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478914E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F01F982">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C02D135">
            <w:pPr>
              <w:spacing w:before="100" w:beforeAutospacing="1" w:after="100" w:afterAutospacing="1"/>
              <w:jc w:val="center"/>
              <w:rPr>
                <w:rFonts w:ascii="宋体" w:hAnsi="宋体"/>
                <w:color w:val="auto"/>
                <w:szCs w:val="21"/>
                <w:highlight w:val="none"/>
              </w:rPr>
            </w:pPr>
          </w:p>
        </w:tc>
      </w:tr>
      <w:tr w14:paraId="4D0C6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7BDA1E8B">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1378A9E5">
            <w:pPr>
              <w:spacing w:before="100" w:beforeAutospacing="1" w:after="100" w:afterAutospacing="1"/>
              <w:jc w:val="center"/>
              <w:rPr>
                <w:rFonts w:ascii="宋体" w:hAnsi="宋体"/>
                <w:color w:val="auto"/>
                <w:szCs w:val="21"/>
                <w:highlight w:val="none"/>
              </w:rPr>
            </w:pPr>
          </w:p>
        </w:tc>
      </w:tr>
    </w:tbl>
    <w:p w14:paraId="57DE64B3">
      <w:pPr>
        <w:rPr>
          <w:rFonts w:ascii="宋体" w:hAnsi="宋体" w:cs="宋体"/>
          <w:b/>
          <w:color w:val="auto"/>
          <w:szCs w:val="21"/>
          <w:highlight w:val="none"/>
        </w:rPr>
      </w:pPr>
    </w:p>
    <w:p w14:paraId="1623CB93">
      <w:pPr>
        <w:rPr>
          <w:color w:val="auto"/>
          <w:highlight w:val="none"/>
        </w:rPr>
      </w:pPr>
    </w:p>
    <w:p w14:paraId="5F016222">
      <w:pPr>
        <w:rPr>
          <w:rFonts w:ascii="宋体" w:hAnsi="宋体"/>
          <w:color w:val="auto"/>
          <w:szCs w:val="21"/>
          <w:highlight w:val="none"/>
        </w:rPr>
      </w:pPr>
      <w:r>
        <w:rPr>
          <w:rFonts w:hint="eastAsia" w:ascii="宋体" w:hAnsi="宋体"/>
          <w:color w:val="auto"/>
          <w:szCs w:val="21"/>
          <w:highlight w:val="none"/>
        </w:rPr>
        <w:t>供应商代表签字：</w:t>
      </w:r>
    </w:p>
    <w:p w14:paraId="16731B03">
      <w:pPr>
        <w:rPr>
          <w:rFonts w:ascii="宋体" w:hAnsi="宋体"/>
          <w:color w:val="auto"/>
          <w:szCs w:val="21"/>
          <w:highlight w:val="none"/>
        </w:rPr>
      </w:pPr>
      <w:r>
        <w:rPr>
          <w:rFonts w:hint="eastAsia" w:ascii="宋体" w:hAnsi="宋体"/>
          <w:color w:val="auto"/>
          <w:szCs w:val="21"/>
          <w:highlight w:val="none"/>
        </w:rPr>
        <w:t>供应商盖章：</w:t>
      </w:r>
    </w:p>
    <w:p w14:paraId="1127A920">
      <w:pPr>
        <w:rPr>
          <w:rFonts w:ascii="宋体" w:hAnsi="宋体" w:cs="宋体"/>
          <w:b/>
          <w:color w:val="auto"/>
          <w:szCs w:val="21"/>
          <w:highlight w:val="none"/>
        </w:rPr>
      </w:pPr>
      <w:r>
        <w:rPr>
          <w:rFonts w:hint="eastAsia" w:ascii="宋体" w:hAnsi="宋体"/>
          <w:color w:val="auto"/>
          <w:szCs w:val="21"/>
          <w:highlight w:val="none"/>
        </w:rPr>
        <w:t>日期：</w:t>
      </w:r>
    </w:p>
    <w:p w14:paraId="51C68BD6">
      <w:pPr>
        <w:pStyle w:val="32"/>
        <w:rPr>
          <w:rFonts w:ascii="黑体" w:eastAsia="黑体"/>
          <w:color w:val="auto"/>
          <w:sz w:val="32"/>
          <w:szCs w:val="32"/>
          <w:highlight w:val="none"/>
        </w:rPr>
      </w:pPr>
    </w:p>
    <w:p w14:paraId="55B674E1">
      <w:pPr>
        <w:pStyle w:val="32"/>
        <w:rPr>
          <w:rFonts w:ascii="黑体" w:eastAsia="黑体"/>
          <w:color w:val="auto"/>
          <w:sz w:val="32"/>
          <w:szCs w:val="32"/>
          <w:highlight w:val="none"/>
        </w:rPr>
      </w:pPr>
    </w:p>
    <w:p w14:paraId="52DB60DD">
      <w:pPr>
        <w:pStyle w:val="4"/>
        <w:jc w:val="center"/>
        <w:rPr>
          <w:color w:val="auto"/>
          <w:highlight w:val="none"/>
        </w:rPr>
      </w:pPr>
      <w:bookmarkStart w:id="227" w:name="_Toc14734"/>
      <w:bookmarkStart w:id="228" w:name="_Toc20974"/>
      <w:r>
        <w:rPr>
          <w:rFonts w:hint="eastAsia"/>
          <w:color w:val="auto"/>
          <w:highlight w:val="none"/>
        </w:rPr>
        <w:t>三、小型或微型企业（货物/服务/承担的工程）明细表</w:t>
      </w:r>
      <w:bookmarkEnd w:id="227"/>
      <w:bookmarkEnd w:id="228"/>
    </w:p>
    <w:tbl>
      <w:tblPr>
        <w:tblStyle w:val="23"/>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3F42D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2D4DF84A">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4714C6EB">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6F6EA260">
            <w:pPr>
              <w:ind w:hanging="148"/>
              <w:jc w:val="center"/>
              <w:textAlignment w:val="bottom"/>
              <w:rPr>
                <w:rFonts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7F766BA8">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03B46677">
            <w:pPr>
              <w:jc w:val="center"/>
              <w:textAlignment w:val="bottom"/>
              <w:rPr>
                <w:rFonts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1D3AC77F">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4FD41822">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0C8F6F32">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50187FCD">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r>
      <w:tr w14:paraId="61BB9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03589CD">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2FB5F76C">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BE327D4">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7457B4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A57CD8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78B660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17B1B2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A489F74">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5258587">
            <w:pPr>
              <w:jc w:val="center"/>
              <w:textAlignment w:val="bottom"/>
              <w:rPr>
                <w:rFonts w:ascii="宋体" w:hAnsi="宋体" w:cs="宋体"/>
                <w:color w:val="auto"/>
                <w:szCs w:val="21"/>
                <w:highlight w:val="none"/>
              </w:rPr>
            </w:pPr>
          </w:p>
        </w:tc>
      </w:tr>
      <w:tr w14:paraId="189DB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79C6BE3">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E0B5A9B">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C91DE7">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5AE93D0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2951E6DF">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4B6B81">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880F452">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F32BECD">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8D71C08">
            <w:pPr>
              <w:jc w:val="center"/>
              <w:textAlignment w:val="bottom"/>
              <w:rPr>
                <w:rFonts w:ascii="宋体" w:hAnsi="宋体" w:cs="宋体"/>
                <w:color w:val="auto"/>
                <w:szCs w:val="21"/>
                <w:highlight w:val="none"/>
              </w:rPr>
            </w:pPr>
          </w:p>
        </w:tc>
      </w:tr>
      <w:tr w14:paraId="5D98D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1FE3E41">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1A704CD8">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C74215B">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9F80E2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2ED9046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D786E7B">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88B7A5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B6EAB0B">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058DE345">
            <w:pPr>
              <w:jc w:val="center"/>
              <w:textAlignment w:val="bottom"/>
              <w:rPr>
                <w:rFonts w:ascii="宋体" w:hAnsi="宋体" w:cs="宋体"/>
                <w:color w:val="auto"/>
                <w:szCs w:val="21"/>
                <w:highlight w:val="none"/>
              </w:rPr>
            </w:pPr>
          </w:p>
        </w:tc>
      </w:tr>
      <w:tr w14:paraId="694FC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A9FCE6D">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0B20D382">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7D4904B">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7CF2FF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1B14E72">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622935F">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8DE14C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2DE7A7B">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5F9DD03">
            <w:pPr>
              <w:jc w:val="center"/>
              <w:textAlignment w:val="bottom"/>
              <w:rPr>
                <w:rFonts w:ascii="宋体" w:hAnsi="宋体" w:cs="宋体"/>
                <w:color w:val="auto"/>
                <w:szCs w:val="21"/>
                <w:highlight w:val="none"/>
              </w:rPr>
            </w:pPr>
          </w:p>
        </w:tc>
      </w:tr>
      <w:tr w14:paraId="7075D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286EEDA">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80667F4">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31D426C1">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09EBC262">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71CEFD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73F6B6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8E058F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282BA3A">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E9D644B">
            <w:pPr>
              <w:jc w:val="center"/>
              <w:textAlignment w:val="bottom"/>
              <w:rPr>
                <w:rFonts w:ascii="宋体" w:hAnsi="宋体" w:cs="宋体"/>
                <w:color w:val="auto"/>
                <w:szCs w:val="21"/>
                <w:highlight w:val="none"/>
              </w:rPr>
            </w:pPr>
          </w:p>
        </w:tc>
      </w:tr>
      <w:tr w14:paraId="48D35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3A36EC4">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785C760A">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61189BD5">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ED4865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2924DC9">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2B43264">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2BFAD90">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E197042">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694F25F">
            <w:pPr>
              <w:jc w:val="center"/>
              <w:textAlignment w:val="bottom"/>
              <w:rPr>
                <w:rFonts w:ascii="宋体" w:hAnsi="宋体" w:cs="宋体"/>
                <w:color w:val="auto"/>
                <w:szCs w:val="21"/>
                <w:highlight w:val="none"/>
              </w:rPr>
            </w:pPr>
          </w:p>
        </w:tc>
      </w:tr>
      <w:tr w14:paraId="508A7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B11EDF4">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5BA705C4">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316EC189">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246CF0BE">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F18DB01">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647FF5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6C56D9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EE7B8AC">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01389AC">
            <w:pPr>
              <w:jc w:val="center"/>
              <w:textAlignment w:val="bottom"/>
              <w:rPr>
                <w:rFonts w:ascii="宋体" w:hAnsi="宋体" w:cs="宋体"/>
                <w:color w:val="auto"/>
                <w:szCs w:val="21"/>
                <w:highlight w:val="none"/>
              </w:rPr>
            </w:pPr>
          </w:p>
        </w:tc>
      </w:tr>
      <w:tr w14:paraId="4519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0FE1BB5">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30E27197">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0777A2C">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25BB89E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8322B92">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AD4D1AF">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1CD8BC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5DE5B95">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42EACDE1">
            <w:pPr>
              <w:jc w:val="center"/>
              <w:textAlignment w:val="bottom"/>
              <w:rPr>
                <w:rFonts w:ascii="宋体" w:hAnsi="宋体" w:cs="宋体"/>
                <w:color w:val="auto"/>
                <w:szCs w:val="21"/>
                <w:highlight w:val="none"/>
              </w:rPr>
            </w:pPr>
          </w:p>
        </w:tc>
      </w:tr>
      <w:tr w14:paraId="6BF042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7AE4427">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4B79B836">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6A4C7AB4">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E6E8340">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99DF1B9">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269FEE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A6055EE">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45E036C">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0A7634E1">
            <w:pPr>
              <w:jc w:val="center"/>
              <w:textAlignment w:val="bottom"/>
              <w:rPr>
                <w:rFonts w:ascii="宋体" w:hAnsi="宋体" w:cs="宋体"/>
                <w:color w:val="auto"/>
                <w:szCs w:val="21"/>
                <w:highlight w:val="none"/>
              </w:rPr>
            </w:pPr>
          </w:p>
        </w:tc>
      </w:tr>
      <w:tr w14:paraId="28B57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5D506FC1">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07671D61">
            <w:pPr>
              <w:rPr>
                <w:rFonts w:ascii="宋体" w:hAnsi="宋体" w:cs="宋体"/>
                <w:color w:val="auto"/>
                <w:szCs w:val="21"/>
                <w:highlight w:val="none"/>
              </w:rPr>
            </w:pPr>
          </w:p>
        </w:tc>
      </w:tr>
    </w:tbl>
    <w:p w14:paraId="3F736EA2">
      <w:pPr>
        <w:rPr>
          <w:rFonts w:ascii="宋体" w:hAnsi="宋体"/>
          <w:color w:val="auto"/>
          <w:szCs w:val="21"/>
          <w:highlight w:val="none"/>
        </w:rPr>
      </w:pPr>
    </w:p>
    <w:p w14:paraId="05DFB787">
      <w:pPr>
        <w:rPr>
          <w:rFonts w:ascii="宋体" w:hAnsi="宋体"/>
          <w:color w:val="auto"/>
          <w:szCs w:val="21"/>
          <w:highlight w:val="none"/>
        </w:rPr>
      </w:pPr>
    </w:p>
    <w:p w14:paraId="00299133">
      <w:pPr>
        <w:rPr>
          <w:rFonts w:ascii="宋体" w:hAnsi="宋体"/>
          <w:color w:val="auto"/>
          <w:szCs w:val="21"/>
          <w:highlight w:val="none"/>
        </w:rPr>
      </w:pPr>
      <w:r>
        <w:rPr>
          <w:rFonts w:hint="eastAsia" w:ascii="宋体" w:hAnsi="宋体"/>
          <w:color w:val="auto"/>
          <w:szCs w:val="21"/>
          <w:highlight w:val="none"/>
        </w:rPr>
        <w:t>供应商代表签字：</w:t>
      </w:r>
    </w:p>
    <w:p w14:paraId="455CBF7D">
      <w:pPr>
        <w:rPr>
          <w:rFonts w:ascii="宋体" w:hAnsi="宋体"/>
          <w:color w:val="auto"/>
          <w:szCs w:val="21"/>
          <w:highlight w:val="none"/>
        </w:rPr>
      </w:pPr>
      <w:r>
        <w:rPr>
          <w:rFonts w:hint="eastAsia" w:ascii="宋体" w:hAnsi="宋体"/>
          <w:color w:val="auto"/>
          <w:szCs w:val="21"/>
          <w:highlight w:val="none"/>
        </w:rPr>
        <w:t>供应商盖章：</w:t>
      </w:r>
    </w:p>
    <w:p w14:paraId="5B939CD6">
      <w:pPr>
        <w:pStyle w:val="35"/>
        <w:ind w:firstLine="0" w:firstLineChars="0"/>
        <w:rPr>
          <w:rFonts w:ascii="宋体" w:hAnsi="宋体"/>
          <w:color w:val="auto"/>
          <w:szCs w:val="21"/>
          <w:highlight w:val="none"/>
        </w:rPr>
      </w:pPr>
      <w:r>
        <w:rPr>
          <w:rFonts w:hint="eastAsia" w:ascii="宋体" w:hAnsi="宋体"/>
          <w:color w:val="auto"/>
          <w:szCs w:val="21"/>
          <w:highlight w:val="none"/>
        </w:rPr>
        <w:t>日期：</w:t>
      </w:r>
    </w:p>
    <w:p w14:paraId="5F00AE4D">
      <w:pPr>
        <w:rPr>
          <w:color w:val="auto"/>
          <w:highlight w:val="none"/>
        </w:rPr>
      </w:pPr>
    </w:p>
    <w:p w14:paraId="54E83E16">
      <w:pPr>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注：</w:t>
      </w:r>
    </w:p>
    <w:p w14:paraId="7B77E77E">
      <w:pPr>
        <w:pStyle w:val="35"/>
        <w:ind w:firstLine="422"/>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1、供应商在“货物/服务报价明细表”中的报价内容中，如有属于小型或微型企业产品（货物/服务/承担的工程）的，必须在此表单独列明，否则在计算价格得分时不予以相应的扣除；</w:t>
      </w:r>
    </w:p>
    <w:p w14:paraId="7DCF1189">
      <w:pPr>
        <w:pStyle w:val="35"/>
        <w:ind w:firstLine="422"/>
        <w:rPr>
          <w:rFonts w:ascii="黑体" w:eastAsia="黑体"/>
          <w:color w:val="auto"/>
          <w:sz w:val="32"/>
          <w:szCs w:val="32"/>
          <w:highlight w:val="none"/>
        </w:rPr>
      </w:pPr>
      <w:r>
        <w:rPr>
          <w:rStyle w:val="45"/>
          <w:rFonts w:hint="eastAsia" w:ascii="宋体" w:hAnsi="宋体" w:eastAsia="宋体" w:cs="宋体"/>
          <w:b/>
          <w:color w:val="auto"/>
          <w:sz w:val="21"/>
          <w:szCs w:val="21"/>
          <w:highlight w:val="none"/>
        </w:rPr>
        <w:t>2、供应商应该如实填写，如</w:t>
      </w:r>
      <w:r>
        <w:rPr>
          <w:rStyle w:val="45"/>
          <w:rFonts w:hint="eastAsia" w:ascii="宋体" w:hAnsi="宋体" w:cs="宋体"/>
          <w:b/>
          <w:color w:val="auto"/>
          <w:sz w:val="21"/>
          <w:szCs w:val="21"/>
          <w:highlight w:val="none"/>
        </w:rPr>
        <w:t>供应商</w:t>
      </w:r>
      <w:r>
        <w:rPr>
          <w:rStyle w:val="45"/>
          <w:rFonts w:hint="eastAsia" w:ascii="宋体" w:hAnsi="宋体" w:eastAsia="宋体" w:cs="宋体"/>
          <w:b/>
          <w:color w:val="auto"/>
          <w:sz w:val="21"/>
          <w:szCs w:val="21"/>
          <w:highlight w:val="none"/>
        </w:rPr>
        <w:t>所投产品中无小型或微型企业产品的，请留空或删除此表！</w:t>
      </w:r>
      <w:r>
        <w:rPr>
          <w:rFonts w:hint="eastAsia" w:ascii="宋体" w:hAnsi="宋体"/>
          <w:color w:val="auto"/>
          <w:szCs w:val="21"/>
          <w:highlight w:val="none"/>
        </w:rPr>
        <w:br w:type="page"/>
      </w:r>
    </w:p>
    <w:p w14:paraId="79448660">
      <w:pPr>
        <w:pStyle w:val="4"/>
        <w:jc w:val="center"/>
        <w:rPr>
          <w:color w:val="auto"/>
          <w:highlight w:val="none"/>
        </w:rPr>
      </w:pPr>
      <w:bookmarkStart w:id="229" w:name="_Toc17483"/>
      <w:bookmarkStart w:id="230" w:name="_Toc16718"/>
      <w:r>
        <w:rPr>
          <w:rFonts w:hint="eastAsia"/>
          <w:color w:val="auto"/>
          <w:highlight w:val="none"/>
        </w:rPr>
        <w:t>四、节能产品或环境标志产品明细表</w:t>
      </w:r>
      <w:bookmarkEnd w:id="229"/>
      <w:bookmarkEnd w:id="230"/>
    </w:p>
    <w:tbl>
      <w:tblPr>
        <w:tblStyle w:val="23"/>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3E1AA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462A105B">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548BF4F9">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1D8972A2">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05D2FA32">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785B2C45">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2C1AC906">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7B076683">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670D4EFA">
            <w:pPr>
              <w:jc w:val="center"/>
              <w:textAlignment w:val="bottom"/>
              <w:rPr>
                <w:rFonts w:ascii="宋体" w:hAnsi="宋体" w:cs="宋体"/>
                <w:color w:val="auto"/>
                <w:szCs w:val="21"/>
                <w:highlight w:val="none"/>
              </w:rPr>
            </w:pPr>
            <w:r>
              <w:rPr>
                <w:rFonts w:hint="eastAsia" w:ascii="宋体" w:hAnsi="宋体" w:cs="宋体"/>
                <w:color w:val="auto"/>
                <w:szCs w:val="21"/>
                <w:highlight w:val="none"/>
              </w:rPr>
              <w:t>认证机构</w:t>
            </w:r>
          </w:p>
        </w:tc>
      </w:tr>
      <w:tr w14:paraId="35FFF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44DF804">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4575E3E3">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44A2B442">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72A1C9C">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E356FD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8FF507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5B2CBB01">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67565167">
            <w:pPr>
              <w:jc w:val="center"/>
              <w:textAlignment w:val="bottom"/>
              <w:rPr>
                <w:rFonts w:ascii="宋体" w:hAnsi="宋体" w:cs="宋体"/>
                <w:color w:val="auto"/>
                <w:szCs w:val="21"/>
                <w:highlight w:val="none"/>
              </w:rPr>
            </w:pPr>
          </w:p>
        </w:tc>
      </w:tr>
      <w:tr w14:paraId="621F4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A9B57E0">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33E8954C">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1D645856">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16C28FFA">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54196E6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F2DA2A2">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2D8494CC">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23CC2E1">
            <w:pPr>
              <w:jc w:val="center"/>
              <w:textAlignment w:val="bottom"/>
              <w:rPr>
                <w:rFonts w:ascii="宋体" w:hAnsi="宋体" w:cs="宋体"/>
                <w:color w:val="auto"/>
                <w:szCs w:val="21"/>
                <w:highlight w:val="none"/>
              </w:rPr>
            </w:pPr>
          </w:p>
        </w:tc>
      </w:tr>
      <w:tr w14:paraId="3E5DA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E7D2D9A">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4C0ED655">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29322C18">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24CF05C3">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291A2F89">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0AAB65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0E2296F6">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46C35629">
            <w:pPr>
              <w:jc w:val="center"/>
              <w:textAlignment w:val="bottom"/>
              <w:rPr>
                <w:rFonts w:ascii="宋体" w:hAnsi="宋体" w:cs="宋体"/>
                <w:color w:val="auto"/>
                <w:szCs w:val="21"/>
                <w:highlight w:val="none"/>
              </w:rPr>
            </w:pPr>
          </w:p>
        </w:tc>
      </w:tr>
      <w:tr w14:paraId="16A17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6F5167E">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55D65B4">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42A881B7">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D49B86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4A39DAA4">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1AF9B2F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4248428D">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4FC8CD85">
            <w:pPr>
              <w:jc w:val="center"/>
              <w:textAlignment w:val="bottom"/>
              <w:rPr>
                <w:rFonts w:ascii="宋体" w:hAnsi="宋体" w:cs="宋体"/>
                <w:color w:val="auto"/>
                <w:szCs w:val="21"/>
                <w:highlight w:val="none"/>
              </w:rPr>
            </w:pPr>
          </w:p>
        </w:tc>
      </w:tr>
      <w:tr w14:paraId="5F774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01C6026">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48FF1D6A">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4A34292">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BE464C6">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A6E122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0E9E1F7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557F9D2B">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2AADEA2">
            <w:pPr>
              <w:jc w:val="center"/>
              <w:textAlignment w:val="bottom"/>
              <w:rPr>
                <w:rFonts w:ascii="宋体" w:hAnsi="宋体" w:cs="宋体"/>
                <w:color w:val="auto"/>
                <w:szCs w:val="21"/>
                <w:highlight w:val="none"/>
              </w:rPr>
            </w:pPr>
          </w:p>
        </w:tc>
      </w:tr>
      <w:tr w14:paraId="73E35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8E90174">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19E115F5">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2D8D1955">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E7F9E64">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9227609">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F1A8AC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A7D74FB">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6EDA6A8F">
            <w:pPr>
              <w:jc w:val="center"/>
              <w:textAlignment w:val="bottom"/>
              <w:rPr>
                <w:rFonts w:ascii="宋体" w:hAnsi="宋体" w:cs="宋体"/>
                <w:color w:val="auto"/>
                <w:szCs w:val="21"/>
                <w:highlight w:val="none"/>
              </w:rPr>
            </w:pPr>
          </w:p>
        </w:tc>
      </w:tr>
      <w:tr w14:paraId="5E358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1493A63">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16E452FD">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16777F41">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71C00862">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4B7F9452">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3B9E55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83902EE">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C716627">
            <w:pPr>
              <w:jc w:val="center"/>
              <w:textAlignment w:val="bottom"/>
              <w:rPr>
                <w:rFonts w:ascii="宋体" w:hAnsi="宋体" w:cs="宋体"/>
                <w:color w:val="auto"/>
                <w:szCs w:val="21"/>
                <w:highlight w:val="none"/>
              </w:rPr>
            </w:pPr>
          </w:p>
        </w:tc>
      </w:tr>
      <w:tr w14:paraId="39983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417B4C42">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482692B">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3D35570A">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55DC68A7">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496C60A0">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DB1EBB7">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079EF50E">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5D36D131">
            <w:pPr>
              <w:jc w:val="center"/>
              <w:textAlignment w:val="bottom"/>
              <w:rPr>
                <w:rFonts w:ascii="宋体" w:hAnsi="宋体" w:cs="宋体"/>
                <w:color w:val="auto"/>
                <w:szCs w:val="21"/>
                <w:highlight w:val="none"/>
              </w:rPr>
            </w:pPr>
          </w:p>
        </w:tc>
      </w:tr>
      <w:tr w14:paraId="5B486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7FF3E3B">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EC7A8CE">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31E28E81">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2E5E6D29">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5617C74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39B0BD6">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26B4743A">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6492CD49">
            <w:pPr>
              <w:jc w:val="center"/>
              <w:textAlignment w:val="bottom"/>
              <w:rPr>
                <w:rFonts w:ascii="宋体" w:hAnsi="宋体" w:cs="宋体"/>
                <w:color w:val="auto"/>
                <w:szCs w:val="21"/>
                <w:highlight w:val="none"/>
              </w:rPr>
            </w:pPr>
          </w:p>
        </w:tc>
      </w:tr>
      <w:tr w14:paraId="42F57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44CA8D3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5709AE71">
            <w:pPr>
              <w:rPr>
                <w:rFonts w:ascii="宋体" w:hAnsi="宋体" w:cs="宋体"/>
                <w:color w:val="auto"/>
                <w:szCs w:val="21"/>
                <w:highlight w:val="none"/>
              </w:rPr>
            </w:pPr>
          </w:p>
        </w:tc>
      </w:tr>
    </w:tbl>
    <w:p w14:paraId="737BD122">
      <w:pPr>
        <w:rPr>
          <w:rFonts w:ascii="宋体" w:hAnsi="宋体"/>
          <w:color w:val="auto"/>
          <w:szCs w:val="21"/>
          <w:highlight w:val="none"/>
        </w:rPr>
      </w:pPr>
    </w:p>
    <w:p w14:paraId="5CA6BDA7">
      <w:pPr>
        <w:rPr>
          <w:rFonts w:ascii="宋体" w:hAnsi="宋体"/>
          <w:color w:val="auto"/>
          <w:szCs w:val="21"/>
          <w:highlight w:val="none"/>
        </w:rPr>
      </w:pPr>
    </w:p>
    <w:p w14:paraId="2C61F81C">
      <w:pPr>
        <w:rPr>
          <w:rFonts w:ascii="宋体" w:hAnsi="宋体"/>
          <w:color w:val="auto"/>
          <w:szCs w:val="21"/>
          <w:highlight w:val="none"/>
        </w:rPr>
      </w:pPr>
      <w:r>
        <w:rPr>
          <w:rFonts w:hint="eastAsia" w:ascii="宋体" w:hAnsi="宋体"/>
          <w:color w:val="auto"/>
          <w:szCs w:val="21"/>
          <w:highlight w:val="none"/>
        </w:rPr>
        <w:t>供应商代表签字：</w:t>
      </w:r>
    </w:p>
    <w:p w14:paraId="35B6FC8E">
      <w:pPr>
        <w:rPr>
          <w:rFonts w:ascii="宋体" w:hAnsi="宋体"/>
          <w:color w:val="auto"/>
          <w:szCs w:val="21"/>
          <w:highlight w:val="none"/>
        </w:rPr>
      </w:pPr>
      <w:r>
        <w:rPr>
          <w:rFonts w:hint="eastAsia" w:ascii="宋体" w:hAnsi="宋体"/>
          <w:color w:val="auto"/>
          <w:szCs w:val="21"/>
          <w:highlight w:val="none"/>
        </w:rPr>
        <w:t>供应商盖章：</w:t>
      </w:r>
    </w:p>
    <w:p w14:paraId="71FE0151">
      <w:pPr>
        <w:jc w:val="both"/>
        <w:rPr>
          <w:rFonts w:ascii="宋体" w:hAnsi="宋体"/>
          <w:color w:val="auto"/>
          <w:szCs w:val="21"/>
          <w:highlight w:val="none"/>
        </w:rPr>
      </w:pPr>
      <w:r>
        <w:rPr>
          <w:rFonts w:hint="eastAsia" w:ascii="宋体" w:hAnsi="宋体"/>
          <w:color w:val="auto"/>
          <w:szCs w:val="21"/>
          <w:highlight w:val="none"/>
        </w:rPr>
        <w:t>日期：</w:t>
      </w:r>
    </w:p>
    <w:p w14:paraId="5E57155C">
      <w:pPr>
        <w:pStyle w:val="32"/>
        <w:rPr>
          <w:color w:val="auto"/>
          <w:highlight w:val="none"/>
        </w:rPr>
      </w:pPr>
    </w:p>
    <w:p w14:paraId="66AB7E77">
      <w:pPr>
        <w:tabs>
          <w:tab w:val="left" w:pos="284"/>
        </w:tabs>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注：</w:t>
      </w:r>
    </w:p>
    <w:p w14:paraId="39D579AD">
      <w:pPr>
        <w:ind w:firstLine="422" w:firstLineChars="200"/>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1、供应商在“货物/服务报价明细表”中的报价内容中，如有属于节能产品或环境标志产的，必须在此表单独列明且提供相应的证明材料，否则在计算价格得分时不予以相应的扣除；</w:t>
      </w:r>
    </w:p>
    <w:p w14:paraId="042CA278">
      <w:pPr>
        <w:ind w:firstLine="422" w:firstLineChars="200"/>
        <w:rPr>
          <w:rStyle w:val="45"/>
          <w:rFonts w:ascii="宋体" w:hAnsi="宋体" w:eastAsia="宋体" w:cs="宋体"/>
          <w:b/>
          <w:color w:val="auto"/>
          <w:sz w:val="21"/>
          <w:szCs w:val="21"/>
          <w:highlight w:val="none"/>
        </w:rPr>
      </w:pPr>
      <w:r>
        <w:rPr>
          <w:rStyle w:val="45"/>
          <w:rFonts w:hint="eastAsia" w:ascii="宋体" w:hAnsi="宋体" w:eastAsia="宋体" w:cs="宋体"/>
          <w:b/>
          <w:color w:val="auto"/>
          <w:sz w:val="21"/>
          <w:szCs w:val="21"/>
          <w:highlight w:val="none"/>
        </w:rPr>
        <w:t>2、供应商应该如实填写，如供应商所投产品中无节能或环保产品的，请留空或删除此表！</w:t>
      </w:r>
    </w:p>
    <w:p w14:paraId="0C2318BB">
      <w:pPr>
        <w:pStyle w:val="4"/>
        <w:jc w:val="center"/>
        <w:rPr>
          <w:color w:val="auto"/>
          <w:highlight w:val="none"/>
        </w:rPr>
      </w:pPr>
      <w:bookmarkStart w:id="231" w:name="_Toc8170"/>
      <w:bookmarkStart w:id="232" w:name="_Toc10853"/>
      <w:r>
        <w:rPr>
          <w:rFonts w:hint="eastAsia"/>
          <w:color w:val="auto"/>
          <w:highlight w:val="none"/>
        </w:rPr>
        <w:t>五、中小企业声明函</w:t>
      </w:r>
      <w:bookmarkEnd w:id="231"/>
      <w:bookmarkEnd w:id="232"/>
    </w:p>
    <w:p w14:paraId="74982E68">
      <w:pPr>
        <w:jc w:val="center"/>
        <w:rPr>
          <w:rFonts w:ascii="宋体" w:hAnsi="宋体" w:cs="宋体"/>
          <w:b/>
          <w:bCs/>
          <w:color w:val="auto"/>
          <w:szCs w:val="21"/>
          <w:highlight w:val="none"/>
        </w:rPr>
      </w:pPr>
      <w:r>
        <w:rPr>
          <w:rFonts w:hint="eastAsia" w:ascii="宋体" w:hAnsi="宋体" w:cs="宋体"/>
          <w:b/>
          <w:bCs/>
          <w:color w:val="auto"/>
          <w:szCs w:val="21"/>
          <w:highlight w:val="none"/>
        </w:rPr>
        <w:t>中小企业声明函（货物）</w:t>
      </w:r>
    </w:p>
    <w:p w14:paraId="2EC21027">
      <w:pPr>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4E6656DF">
      <w:pPr>
        <w:pStyle w:val="7"/>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0"/>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49C88123">
      <w:pPr>
        <w:pStyle w:val="7"/>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08BBDAF8">
      <w:pPr>
        <w:pStyle w:val="7"/>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61CD277C">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7E2D7208">
      <w:pPr>
        <w:ind w:firstLine="420" w:firstLineChars="200"/>
        <w:rPr>
          <w:color w:val="auto"/>
          <w:highlight w:val="none"/>
        </w:rPr>
      </w:pPr>
      <w:r>
        <w:rPr>
          <w:rFonts w:hint="eastAsia"/>
          <w:color w:val="auto"/>
          <w:highlight w:val="none"/>
        </w:rPr>
        <w:t>本企业对上诉声明内容的真实性负责。如有虚假，将依法承担相应责任。</w:t>
      </w:r>
    </w:p>
    <w:p w14:paraId="16EA3E5D">
      <w:pPr>
        <w:pStyle w:val="7"/>
        <w:wordWrap w:val="0"/>
        <w:ind w:left="0" w:firstLine="480"/>
        <w:jc w:val="right"/>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B3C46AE">
      <w:pPr>
        <w:pStyle w:val="7"/>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5E79AB30">
      <w:pPr>
        <w:pStyle w:val="7"/>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7DFA76CE">
      <w:pPr>
        <w:rPr>
          <w:rFonts w:ascii="宋体" w:hAnsi="宋体"/>
          <w:b/>
          <w:bCs/>
          <w:color w:val="auto"/>
          <w:szCs w:val="21"/>
          <w:highlight w:val="none"/>
        </w:rPr>
      </w:pPr>
    </w:p>
    <w:p w14:paraId="77ABAA4F">
      <w:pPr>
        <w:ind w:firstLine="422" w:firstLineChars="200"/>
        <w:rPr>
          <w:rFonts w:ascii="宋体" w:hAnsi="宋体"/>
          <w:b/>
          <w:bCs/>
          <w:color w:val="auto"/>
          <w:szCs w:val="21"/>
          <w:highlight w:val="none"/>
        </w:rPr>
      </w:pPr>
    </w:p>
    <w:p w14:paraId="1E0E7BD1">
      <w:pPr>
        <w:ind w:firstLine="422" w:firstLineChars="200"/>
        <w:rPr>
          <w:rFonts w:ascii="宋体" w:hAnsi="宋体"/>
          <w:b/>
          <w:bCs/>
          <w:color w:val="auto"/>
          <w:szCs w:val="21"/>
          <w:highlight w:val="none"/>
        </w:rPr>
      </w:pPr>
    </w:p>
    <w:p w14:paraId="5C7B2990">
      <w:pPr>
        <w:ind w:firstLine="422" w:firstLineChars="200"/>
        <w:rPr>
          <w:rFonts w:ascii="宋体" w:hAnsi="宋体"/>
          <w:color w:val="auto"/>
          <w:szCs w:val="21"/>
          <w:highlight w:val="none"/>
        </w:rPr>
      </w:pPr>
      <w:r>
        <w:rPr>
          <w:rFonts w:hint="eastAsia" w:ascii="宋体" w:hAnsi="宋体"/>
          <w:b/>
          <w:bCs/>
          <w:color w:val="auto"/>
          <w:szCs w:val="21"/>
          <w:highlight w:val="none"/>
        </w:rPr>
        <w:t>注：若供应商不属于规定的中小企业范围，或提供的产品不是中小企业制造的，则无需提供此表。</w:t>
      </w:r>
      <w:r>
        <w:rPr>
          <w:rFonts w:hint="eastAsia" w:ascii="宋体" w:hAnsi="宋体"/>
          <w:color w:val="auto"/>
          <w:szCs w:val="21"/>
          <w:highlight w:val="none"/>
        </w:rPr>
        <w:br w:type="page"/>
      </w:r>
    </w:p>
    <w:p w14:paraId="20AC505C">
      <w:pPr>
        <w:spacing w:line="480" w:lineRule="auto"/>
        <w:jc w:val="center"/>
        <w:rPr>
          <w:rFonts w:ascii="宋体" w:hAnsi="宋体" w:cs="宋体"/>
          <w:b/>
          <w:bCs/>
          <w:color w:val="auto"/>
          <w:szCs w:val="21"/>
          <w:highlight w:val="none"/>
        </w:rPr>
      </w:pPr>
      <w:r>
        <w:rPr>
          <w:rFonts w:hint="eastAsia" w:ascii="宋体" w:hAnsi="宋体" w:cs="宋体"/>
          <w:b/>
          <w:bCs/>
          <w:color w:val="auto"/>
          <w:szCs w:val="21"/>
          <w:highlight w:val="none"/>
        </w:rPr>
        <w:t>中小企业声明函（工程、服务）</w:t>
      </w:r>
    </w:p>
    <w:p w14:paraId="27E8F62C">
      <w:pPr>
        <w:ind w:firstLine="210" w:firstLineChars="100"/>
        <w:rPr>
          <w:rFonts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7A62905">
      <w:pPr>
        <w:pStyle w:val="7"/>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0"/>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AF849FD">
      <w:pPr>
        <w:pStyle w:val="7"/>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4BAA43BC">
      <w:pPr>
        <w:pStyle w:val="7"/>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6E525B4D">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2D34B720">
      <w:pPr>
        <w:ind w:firstLine="420" w:firstLineChars="200"/>
        <w:rPr>
          <w:color w:val="auto"/>
          <w:highlight w:val="none"/>
        </w:rPr>
      </w:pPr>
      <w:r>
        <w:rPr>
          <w:rFonts w:hint="eastAsia"/>
          <w:color w:val="auto"/>
          <w:highlight w:val="none"/>
        </w:rPr>
        <w:t>本企业对上诉声明内容的真实性负责。如有虚假，将依法承担相应责任。</w:t>
      </w:r>
    </w:p>
    <w:p w14:paraId="5FBF0728">
      <w:pPr>
        <w:pStyle w:val="7"/>
        <w:ind w:left="0" w:firstLine="48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DA0BFAC">
      <w:pPr>
        <w:pStyle w:val="7"/>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4BCDA054">
      <w:pPr>
        <w:pStyle w:val="7"/>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26902309">
      <w:pPr>
        <w:rPr>
          <w:rFonts w:ascii="宋体" w:hAnsi="宋体"/>
          <w:b/>
          <w:bCs/>
          <w:color w:val="auto"/>
          <w:szCs w:val="21"/>
          <w:highlight w:val="none"/>
        </w:rPr>
      </w:pPr>
    </w:p>
    <w:p w14:paraId="62D4DF43">
      <w:pPr>
        <w:rPr>
          <w:rFonts w:ascii="宋体" w:hAnsi="宋体"/>
          <w:b/>
          <w:bCs/>
          <w:color w:val="auto"/>
          <w:szCs w:val="21"/>
          <w:highlight w:val="none"/>
        </w:rPr>
      </w:pPr>
    </w:p>
    <w:p w14:paraId="0407E3EF">
      <w:pPr>
        <w:rPr>
          <w:rFonts w:ascii="宋体" w:hAnsi="宋体"/>
          <w:b/>
          <w:bCs/>
          <w:color w:val="auto"/>
          <w:szCs w:val="21"/>
          <w:highlight w:val="none"/>
        </w:rPr>
      </w:pPr>
    </w:p>
    <w:p w14:paraId="1FF815E0">
      <w:pPr>
        <w:ind w:firstLine="422" w:firstLineChars="200"/>
        <w:rPr>
          <w:rFonts w:ascii="宋体" w:hAnsi="宋体"/>
          <w:color w:val="auto"/>
          <w:szCs w:val="21"/>
          <w:highlight w:val="none"/>
        </w:rPr>
      </w:pPr>
      <w:r>
        <w:rPr>
          <w:rFonts w:hint="eastAsia" w:ascii="宋体" w:hAnsi="宋体"/>
          <w:b/>
          <w:bCs/>
          <w:color w:val="auto"/>
          <w:szCs w:val="21"/>
          <w:highlight w:val="none"/>
        </w:rPr>
        <w:t>注：若供应商不属于规定的中小企业范围，或提供的产品不是中小企业制造的，则无需提供此表。</w:t>
      </w:r>
      <w:r>
        <w:rPr>
          <w:rFonts w:hint="eastAsia" w:ascii="宋体" w:hAnsi="宋体"/>
          <w:color w:val="auto"/>
          <w:szCs w:val="21"/>
          <w:highlight w:val="none"/>
        </w:rPr>
        <w:br w:type="page"/>
      </w:r>
    </w:p>
    <w:p w14:paraId="23CC6660">
      <w:pPr>
        <w:rPr>
          <w:rFonts w:ascii="宋体" w:hAnsi="宋体"/>
          <w:b/>
          <w:bCs/>
          <w:color w:val="auto"/>
          <w:szCs w:val="21"/>
          <w:highlight w:val="none"/>
        </w:rPr>
      </w:pPr>
      <w:r>
        <w:rPr>
          <w:rFonts w:hint="eastAsia" w:ascii="宋体" w:hAnsi="宋体"/>
          <w:b/>
          <w:bCs/>
          <w:color w:val="auto"/>
          <w:szCs w:val="21"/>
          <w:highlight w:val="none"/>
        </w:rPr>
        <w:t>说明：</w:t>
      </w:r>
    </w:p>
    <w:p w14:paraId="1A52DBD2">
      <w:pPr>
        <w:spacing w:line="48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供应商应根据《政府采购促进中小企业发展管理办法》的通知（财库〔2020〕46号）的有关规定如实填写此表。（监狱企业视同小型、微型企业，监狱企业参加项目采购活动时，应当提供由省级以上监狱管理局、戒毒管理局(含新疆生产建设兵团)出具的属于监狱企业的证明文件）</w:t>
      </w:r>
    </w:p>
    <w:p w14:paraId="6F494B5D">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供应商应该在《报价明细表》中单独列明属于小型和微型企业产品（货物、承担的工程或者服务）的报价，若供应商只提供《中小企业声明函》但未列明小型或微型企业产品的，在计算价格得分时不予以相应的扣除。</w:t>
      </w:r>
    </w:p>
    <w:p w14:paraId="445372E6">
      <w:pPr>
        <w:rPr>
          <w:rFonts w:ascii="楷体_GB2312" w:eastAsia="楷体_GB2312"/>
          <w:color w:val="auto"/>
          <w:sz w:val="24"/>
          <w:highlight w:val="none"/>
        </w:rPr>
      </w:pPr>
    </w:p>
    <w:p w14:paraId="7BE5F7B2">
      <w:pPr>
        <w:adjustRightInd/>
        <w:snapToGrid/>
        <w:spacing w:line="276" w:lineRule="auto"/>
        <w:rPr>
          <w:color w:val="auto"/>
          <w:highlight w:val="none"/>
        </w:rPr>
      </w:pPr>
      <w:r>
        <w:rPr>
          <w:rFonts w:ascii="楷体_GB2312" w:eastAsia="楷体_GB2312"/>
          <w:color w:val="auto"/>
          <w:sz w:val="24"/>
          <w:highlight w:val="none"/>
        </w:rPr>
        <w:br w:type="page"/>
      </w:r>
    </w:p>
    <w:p w14:paraId="335A86B9">
      <w:pPr>
        <w:pStyle w:val="4"/>
        <w:jc w:val="center"/>
        <w:rPr>
          <w:color w:val="auto"/>
          <w:highlight w:val="none"/>
        </w:rPr>
      </w:pPr>
      <w:bookmarkStart w:id="233" w:name="_Toc312"/>
      <w:bookmarkStart w:id="234" w:name="_Toc8560"/>
      <w:r>
        <w:rPr>
          <w:rFonts w:hint="eastAsia"/>
          <w:color w:val="auto"/>
          <w:highlight w:val="none"/>
        </w:rPr>
        <w:t>六、残疾人福利性单位声明函</w:t>
      </w:r>
      <w:bookmarkEnd w:id="233"/>
      <w:bookmarkEnd w:id="234"/>
    </w:p>
    <w:p w14:paraId="27085483">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73B7444">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7F053A58">
      <w:pPr>
        <w:spacing w:line="480" w:lineRule="auto"/>
        <w:jc w:val="right"/>
        <w:rPr>
          <w:rFonts w:ascii="宋体" w:hAnsi="宋体"/>
          <w:color w:val="auto"/>
          <w:szCs w:val="21"/>
          <w:highlight w:val="none"/>
        </w:rPr>
      </w:pPr>
    </w:p>
    <w:p w14:paraId="490FA0F7">
      <w:pPr>
        <w:jc w:val="center"/>
        <w:rPr>
          <w:rFonts w:ascii="宋体" w:hAnsi="宋体"/>
          <w:color w:val="auto"/>
          <w:szCs w:val="21"/>
          <w:highlight w:val="none"/>
        </w:rPr>
      </w:pPr>
      <w:r>
        <w:rPr>
          <w:rFonts w:hint="eastAsia" w:ascii="宋体" w:hAnsi="宋体"/>
          <w:color w:val="auto"/>
          <w:szCs w:val="21"/>
          <w:highlight w:val="none"/>
        </w:rPr>
        <w:t xml:space="preserve">                              单位名称（盖章）：</w:t>
      </w:r>
      <w:bookmarkStart w:id="235" w:name="_Toc508960153"/>
      <w:bookmarkStart w:id="236" w:name="_Toc508898066"/>
      <w:bookmarkStart w:id="237" w:name="_Toc509479530"/>
      <w:bookmarkStart w:id="238" w:name="_Toc17761"/>
      <w:bookmarkStart w:id="239" w:name="_Toc20910"/>
      <w:bookmarkStart w:id="240" w:name="_Toc509927455"/>
      <w:bookmarkStart w:id="241" w:name="_Toc508958703"/>
      <w:bookmarkStart w:id="242" w:name="_Toc510171693"/>
      <w:bookmarkStart w:id="243" w:name="_Toc509844825"/>
      <w:bookmarkStart w:id="244" w:name="_Toc30277"/>
      <w:bookmarkStart w:id="245" w:name="_Toc22970"/>
      <w:bookmarkStart w:id="246" w:name="_Toc30247"/>
    </w:p>
    <w:p w14:paraId="7B6E7A27">
      <w:pPr>
        <w:jc w:val="center"/>
        <w:rPr>
          <w:rFonts w:ascii="宋体" w:hAnsi="宋体"/>
          <w:color w:val="auto"/>
          <w:szCs w:val="21"/>
          <w:highlight w:val="none"/>
        </w:rPr>
      </w:pPr>
      <w:r>
        <w:rPr>
          <w:rFonts w:hint="eastAsia" w:ascii="宋体" w:hAnsi="宋体"/>
          <w:color w:val="auto"/>
          <w:szCs w:val="21"/>
          <w:highlight w:val="none"/>
        </w:rPr>
        <w:t xml:space="preserve">                   日  期：</w:t>
      </w:r>
      <w:bookmarkEnd w:id="235"/>
      <w:bookmarkEnd w:id="236"/>
      <w:bookmarkEnd w:id="237"/>
      <w:bookmarkEnd w:id="238"/>
      <w:bookmarkEnd w:id="239"/>
      <w:bookmarkEnd w:id="240"/>
      <w:bookmarkEnd w:id="241"/>
      <w:bookmarkEnd w:id="242"/>
      <w:bookmarkEnd w:id="243"/>
      <w:bookmarkEnd w:id="244"/>
      <w:bookmarkEnd w:id="245"/>
      <w:bookmarkEnd w:id="246"/>
    </w:p>
    <w:p w14:paraId="6FC45E8D">
      <w:pPr>
        <w:pStyle w:val="7"/>
        <w:rPr>
          <w:color w:val="auto"/>
          <w:highlight w:val="none"/>
        </w:rPr>
      </w:pPr>
    </w:p>
    <w:p w14:paraId="35180F15">
      <w:pPr>
        <w:ind w:firstLine="420" w:firstLineChars="200"/>
        <w:rPr>
          <w:rFonts w:ascii="宋体" w:hAnsi="宋体"/>
          <w:color w:val="auto"/>
          <w:szCs w:val="21"/>
          <w:highlight w:val="none"/>
        </w:rPr>
      </w:pPr>
      <w:bookmarkStart w:id="247" w:name="_Toc21053"/>
      <w:bookmarkStart w:id="248" w:name="_Toc509927456"/>
      <w:bookmarkStart w:id="249" w:name="_Toc31520"/>
      <w:bookmarkStart w:id="250" w:name="_Toc510171694"/>
      <w:bookmarkStart w:id="251" w:name="_Toc508960154"/>
      <w:bookmarkStart w:id="252" w:name="_Toc28527"/>
      <w:bookmarkStart w:id="253" w:name="_Toc5447"/>
      <w:bookmarkStart w:id="254" w:name="_Toc508898067"/>
      <w:bookmarkStart w:id="255" w:name="_Toc509844826"/>
      <w:bookmarkStart w:id="256" w:name="_Toc508958704"/>
      <w:bookmarkStart w:id="257" w:name="_Toc509479531"/>
      <w:bookmarkStart w:id="258" w:name="_Toc26216"/>
      <w:r>
        <w:rPr>
          <w:rFonts w:hint="eastAsia" w:ascii="宋体" w:hAnsi="宋体"/>
          <w:color w:val="auto"/>
          <w:szCs w:val="21"/>
          <w:highlight w:val="none"/>
        </w:rPr>
        <w:t>注：</w:t>
      </w:r>
    </w:p>
    <w:p w14:paraId="168A14A0">
      <w:pPr>
        <w:ind w:firstLine="420" w:firstLineChars="200"/>
        <w:rPr>
          <w:rFonts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47"/>
      <w:bookmarkEnd w:id="248"/>
      <w:bookmarkEnd w:id="249"/>
      <w:bookmarkEnd w:id="250"/>
      <w:bookmarkEnd w:id="251"/>
      <w:bookmarkEnd w:id="252"/>
      <w:bookmarkEnd w:id="253"/>
      <w:bookmarkEnd w:id="254"/>
      <w:bookmarkEnd w:id="255"/>
      <w:bookmarkEnd w:id="256"/>
      <w:bookmarkEnd w:id="257"/>
      <w:bookmarkEnd w:id="258"/>
    </w:p>
    <w:p w14:paraId="389D8005">
      <w:pPr>
        <w:ind w:firstLine="420" w:firstLineChars="200"/>
        <w:rPr>
          <w:rFonts w:ascii="宋体" w:hAnsi="宋体"/>
          <w:color w:val="auto"/>
          <w:szCs w:val="21"/>
          <w:highlight w:val="none"/>
        </w:rPr>
      </w:pPr>
      <w:bookmarkStart w:id="259" w:name="_Toc508958705"/>
      <w:bookmarkStart w:id="260" w:name="_Toc28126"/>
      <w:bookmarkStart w:id="261" w:name="_Toc508898068"/>
      <w:bookmarkStart w:id="262" w:name="_Toc510171695"/>
      <w:bookmarkStart w:id="263" w:name="_Toc24848"/>
      <w:bookmarkStart w:id="264" w:name="_Toc509844827"/>
      <w:bookmarkStart w:id="265" w:name="_Toc509479532"/>
      <w:bookmarkStart w:id="266" w:name="_Toc14653"/>
      <w:bookmarkStart w:id="267" w:name="_Toc508960155"/>
      <w:bookmarkStart w:id="268" w:name="_Toc509927457"/>
      <w:bookmarkStart w:id="269" w:name="_Toc9148"/>
      <w:bookmarkStart w:id="270" w:name="_Toc28626"/>
      <w:r>
        <w:rPr>
          <w:rFonts w:hint="eastAsia" w:ascii="宋体" w:hAnsi="宋体"/>
          <w:color w:val="auto"/>
          <w:szCs w:val="21"/>
          <w:highlight w:val="none"/>
        </w:rPr>
        <w:t>（2）成交人为残疾人福利性单位的，采购代理机构将随中标结果同时公告其《残疾人福利性单位声明函》，接受社会监督。</w:t>
      </w:r>
      <w:bookmarkEnd w:id="259"/>
      <w:bookmarkEnd w:id="260"/>
      <w:bookmarkEnd w:id="261"/>
      <w:bookmarkEnd w:id="262"/>
      <w:bookmarkEnd w:id="263"/>
      <w:bookmarkEnd w:id="264"/>
      <w:bookmarkEnd w:id="265"/>
      <w:bookmarkEnd w:id="266"/>
      <w:bookmarkEnd w:id="267"/>
      <w:bookmarkEnd w:id="268"/>
      <w:bookmarkEnd w:id="269"/>
      <w:bookmarkEnd w:id="270"/>
    </w:p>
    <w:p w14:paraId="076FF0AC">
      <w:pPr>
        <w:ind w:firstLine="420" w:firstLineChars="200"/>
        <w:rPr>
          <w:rFonts w:ascii="宋体" w:hAnsi="宋体"/>
          <w:color w:val="auto"/>
          <w:szCs w:val="21"/>
          <w:highlight w:val="none"/>
        </w:rPr>
      </w:pPr>
      <w:bookmarkStart w:id="271" w:name="_Toc22981"/>
      <w:bookmarkStart w:id="272" w:name="_Toc508960156"/>
      <w:bookmarkStart w:id="273" w:name="_Toc508898069"/>
      <w:bookmarkStart w:id="274" w:name="_Toc508958706"/>
      <w:bookmarkStart w:id="275" w:name="_Toc509479533"/>
      <w:bookmarkStart w:id="276" w:name="_Toc9837"/>
      <w:bookmarkStart w:id="277" w:name="_Toc509844828"/>
      <w:bookmarkStart w:id="278" w:name="_Toc28044"/>
      <w:bookmarkStart w:id="279" w:name="_Toc28686"/>
      <w:bookmarkStart w:id="280" w:name="_Toc509927458"/>
      <w:bookmarkStart w:id="281" w:name="_Toc510171696"/>
      <w:bookmarkStart w:id="282" w:name="_Toc7858"/>
      <w:r>
        <w:rPr>
          <w:rFonts w:hint="eastAsia" w:ascii="宋体" w:hAnsi="宋体"/>
          <w:color w:val="auto"/>
          <w:szCs w:val="21"/>
          <w:highlight w:val="none"/>
        </w:rPr>
        <w:t>（3）供应商提供的《残疾人福利性单位声明函》与事实不符的，依照《政府采购法》第七十七条第一款的规定追究法律责任。</w:t>
      </w:r>
      <w:bookmarkEnd w:id="271"/>
      <w:bookmarkEnd w:id="272"/>
      <w:bookmarkEnd w:id="273"/>
      <w:bookmarkEnd w:id="274"/>
      <w:bookmarkEnd w:id="275"/>
      <w:bookmarkEnd w:id="276"/>
      <w:bookmarkEnd w:id="277"/>
      <w:bookmarkEnd w:id="278"/>
      <w:bookmarkEnd w:id="279"/>
      <w:bookmarkEnd w:id="280"/>
      <w:bookmarkEnd w:id="281"/>
      <w:bookmarkEnd w:id="282"/>
    </w:p>
    <w:p w14:paraId="7835D900">
      <w:pPr>
        <w:ind w:firstLine="420" w:firstLineChars="200"/>
        <w:rPr>
          <w:rFonts w:ascii="宋体" w:hAnsi="宋体"/>
          <w:color w:val="auto"/>
          <w:szCs w:val="21"/>
          <w:highlight w:val="none"/>
        </w:rPr>
      </w:pPr>
      <w:bookmarkStart w:id="283" w:name="_Toc509479534"/>
      <w:bookmarkStart w:id="284" w:name="_Toc509844829"/>
      <w:bookmarkStart w:id="285" w:name="_Toc509927459"/>
      <w:bookmarkStart w:id="286" w:name="_Toc510171697"/>
      <w:bookmarkStart w:id="287" w:name="_Toc508958707"/>
      <w:bookmarkStart w:id="288" w:name="_Toc5289"/>
      <w:bookmarkStart w:id="289" w:name="_Toc508960157"/>
      <w:bookmarkStart w:id="290" w:name="_Toc18843"/>
      <w:bookmarkStart w:id="291" w:name="_Toc508898070"/>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83"/>
      <w:bookmarkEnd w:id="284"/>
      <w:bookmarkEnd w:id="285"/>
      <w:bookmarkEnd w:id="286"/>
      <w:bookmarkEnd w:id="287"/>
      <w:bookmarkEnd w:id="288"/>
      <w:bookmarkEnd w:id="289"/>
      <w:bookmarkEnd w:id="290"/>
      <w:bookmarkEnd w:id="291"/>
    </w:p>
    <w:p w14:paraId="53D13633">
      <w:pPr>
        <w:ind w:firstLine="422" w:firstLineChars="200"/>
        <w:rPr>
          <w:rFonts w:ascii="宋体" w:hAnsi="宋体"/>
          <w:b/>
          <w:bCs/>
          <w:color w:val="auto"/>
          <w:szCs w:val="21"/>
          <w:highlight w:val="none"/>
        </w:rPr>
      </w:pPr>
      <w:r>
        <w:rPr>
          <w:rFonts w:hint="eastAsia" w:ascii="宋体" w:hAnsi="宋体"/>
          <w:b/>
          <w:bCs/>
          <w:color w:val="auto"/>
          <w:szCs w:val="21"/>
          <w:highlight w:val="none"/>
        </w:rPr>
        <w:t>（5）若供应商不属于规定的残疾人福利性单位，或提供的产品不是残疾人福利单位制造的，则无需提供此表。</w:t>
      </w:r>
    </w:p>
    <w:p w14:paraId="0B88004C">
      <w:pPr>
        <w:adjustRightInd/>
        <w:snapToGrid/>
        <w:spacing w:line="276" w:lineRule="auto"/>
        <w:rPr>
          <w:color w:val="auto"/>
          <w:highlight w:val="none"/>
        </w:rPr>
      </w:pPr>
      <w:r>
        <w:rPr>
          <w:rFonts w:hint="eastAsia" w:ascii="宋体" w:hAnsi="宋体"/>
          <w:bCs/>
          <w:color w:val="auto"/>
          <w:szCs w:val="21"/>
          <w:highlight w:val="none"/>
        </w:rPr>
        <w:br w:type="page"/>
      </w:r>
    </w:p>
    <w:p w14:paraId="0DA7859D">
      <w:pPr>
        <w:pStyle w:val="4"/>
        <w:jc w:val="center"/>
        <w:rPr>
          <w:color w:val="auto"/>
          <w:highlight w:val="none"/>
        </w:rPr>
      </w:pPr>
      <w:bookmarkStart w:id="292" w:name="_Toc2486"/>
      <w:bookmarkStart w:id="293" w:name="_Toc23948"/>
      <w:r>
        <w:rPr>
          <w:rFonts w:hint="eastAsia"/>
          <w:color w:val="auto"/>
          <w:highlight w:val="none"/>
        </w:rPr>
        <w:t>第二章商务文件</w:t>
      </w:r>
      <w:bookmarkEnd w:id="292"/>
      <w:bookmarkEnd w:id="293"/>
    </w:p>
    <w:bookmarkEnd w:id="222"/>
    <w:p w14:paraId="11CAF27B">
      <w:pPr>
        <w:pStyle w:val="4"/>
        <w:jc w:val="center"/>
        <w:rPr>
          <w:color w:val="auto"/>
          <w:highlight w:val="none"/>
        </w:rPr>
      </w:pPr>
      <w:bookmarkStart w:id="294" w:name="_Toc23787"/>
      <w:bookmarkStart w:id="295" w:name="_Toc4151"/>
      <w:r>
        <w:rPr>
          <w:rFonts w:hint="eastAsia"/>
          <w:color w:val="auto"/>
          <w:highlight w:val="none"/>
        </w:rPr>
        <w:t>一、响应函</w:t>
      </w:r>
      <w:bookmarkEnd w:id="294"/>
      <w:bookmarkEnd w:id="295"/>
    </w:p>
    <w:p w14:paraId="22C32791">
      <w:pPr>
        <w:rPr>
          <w:rFonts w:ascii="宋体" w:hAnsi="宋体"/>
          <w:color w:val="auto"/>
          <w:szCs w:val="21"/>
          <w:highlight w:val="none"/>
        </w:rPr>
      </w:pPr>
      <w:r>
        <w:rPr>
          <w:rFonts w:hint="eastAsia" w:ascii="宋体" w:hAnsi="宋体"/>
          <w:color w:val="auto"/>
          <w:szCs w:val="21"/>
          <w:highlight w:val="none"/>
        </w:rPr>
        <w:t>致广东政通招标有限公司：</w:t>
      </w:r>
    </w:p>
    <w:p w14:paraId="17054731">
      <w:pPr>
        <w:rPr>
          <w:rFonts w:ascii="宋体" w:hAnsi="宋体"/>
          <w:color w:val="auto"/>
          <w:szCs w:val="21"/>
          <w:highlight w:val="none"/>
        </w:rPr>
      </w:pPr>
    </w:p>
    <w:p w14:paraId="2E0A05D0">
      <w:pPr>
        <w:ind w:firstLine="420" w:firstLineChars="200"/>
        <w:rPr>
          <w:rFonts w:ascii="宋体" w:cs="宋体"/>
          <w:color w:val="auto"/>
          <w:sz w:val="22"/>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（供应商名称、地址）</w:t>
      </w:r>
      <w:r>
        <w:rPr>
          <w:rFonts w:hint="eastAsia" w:ascii="宋体" w:cs="宋体"/>
          <w:color w:val="auto"/>
          <w:sz w:val="22"/>
          <w:highlight w:val="none"/>
        </w:rPr>
        <w:t>进行有关本次磋商的一切事宜。</w:t>
      </w:r>
    </w:p>
    <w:p w14:paraId="5211F4E7">
      <w:pPr>
        <w:ind w:firstLine="440" w:firstLineChars="200"/>
        <w:rPr>
          <w:rFonts w:ascii="宋体" w:hAnsi="宋体"/>
          <w:color w:val="auto"/>
          <w:szCs w:val="21"/>
          <w:highlight w:val="none"/>
        </w:rPr>
      </w:pPr>
      <w:r>
        <w:rPr>
          <w:rFonts w:hint="eastAsia" w:ascii="宋体" w:cs="宋体"/>
          <w:color w:val="auto"/>
          <w:sz w:val="22"/>
          <w:highlight w:val="none"/>
        </w:rPr>
        <w:t>在此提交的响应文件，正本</w:t>
      </w:r>
      <w:r>
        <w:rPr>
          <w:rFonts w:hint="eastAsia" w:ascii="宋体" w:cs="宋体"/>
          <w:color w:val="auto"/>
          <w:sz w:val="22"/>
          <w:highlight w:val="none"/>
          <w:u w:val="single"/>
        </w:rPr>
        <w:t xml:space="preserve">   </w:t>
      </w:r>
      <w:r>
        <w:rPr>
          <w:rFonts w:hint="eastAsia" w:ascii="宋体" w:cs="宋体"/>
          <w:color w:val="auto"/>
          <w:sz w:val="22"/>
          <w:highlight w:val="none"/>
        </w:rPr>
        <w:t>套，副本</w:t>
      </w:r>
      <w:r>
        <w:rPr>
          <w:rFonts w:hint="eastAsia" w:ascii="宋体" w:cs="宋体"/>
          <w:color w:val="auto"/>
          <w:sz w:val="22"/>
          <w:highlight w:val="none"/>
          <w:u w:val="single"/>
        </w:rPr>
        <w:t xml:space="preserve">   </w:t>
      </w:r>
      <w:r>
        <w:rPr>
          <w:rFonts w:hint="eastAsia" w:ascii="宋体" w:cs="宋体"/>
          <w:color w:val="auto"/>
          <w:sz w:val="22"/>
          <w:highlight w:val="none"/>
        </w:rPr>
        <w:t>套，报价信封及电子文件各1份。</w:t>
      </w:r>
    </w:p>
    <w:p w14:paraId="6329153E">
      <w:pPr>
        <w:ind w:firstLine="440" w:firstLineChars="200"/>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rPr>
        <w:t>已</w:t>
      </w:r>
      <w:r>
        <w:rPr>
          <w:rFonts w:hint="eastAsia" w:ascii="新宋体" w:hAnsi="新宋体" w:eastAsia="新宋体"/>
          <w:color w:val="auto"/>
          <w:sz w:val="22"/>
          <w:highlight w:val="none"/>
          <w:lang w:val="zh-CN"/>
        </w:rPr>
        <w:t>完全明白磋商文件的所有条款要求，并重申以下几点：</w:t>
      </w:r>
    </w:p>
    <w:p w14:paraId="027F0F4D">
      <w:pPr>
        <w:widowControl w:val="0"/>
        <w:numPr>
          <w:ilvl w:val="0"/>
          <w:numId w:val="2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我方将按磋商文件的规定履行合同责任和义务。 </w:t>
      </w:r>
    </w:p>
    <w:p w14:paraId="18BC5DA4">
      <w:pPr>
        <w:widowControl w:val="0"/>
        <w:numPr>
          <w:ilvl w:val="0"/>
          <w:numId w:val="2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本响应有效期为自开标日起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77D7C734">
      <w:pPr>
        <w:widowControl w:val="0"/>
        <w:numPr>
          <w:ilvl w:val="0"/>
          <w:numId w:val="2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本公司同意按照贵公司可能提出的要求而提供与磋商有关的任何其它数据、信息或资料。</w:t>
      </w:r>
    </w:p>
    <w:p w14:paraId="044A4F5A">
      <w:pPr>
        <w:widowControl w:val="0"/>
        <w:numPr>
          <w:ilvl w:val="0"/>
          <w:numId w:val="2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0EC209E0">
      <w:pPr>
        <w:widowControl w:val="0"/>
        <w:numPr>
          <w:ilvl w:val="0"/>
          <w:numId w:val="2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本公司如果中标，将保证履行磋商文件及其澄清、修改文件（如果有）中的全部责任和义务，按质、按量、按期完成《采购需求书》及《合同书》中的全部任务。</w:t>
      </w:r>
    </w:p>
    <w:p w14:paraId="0DE5E161">
      <w:pPr>
        <w:widowControl w:val="0"/>
        <w:numPr>
          <w:ilvl w:val="0"/>
          <w:numId w:val="2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与本磋商有关的一切正式信函请寄：</w:t>
      </w:r>
    </w:p>
    <w:p w14:paraId="399A14DE">
      <w:pPr>
        <w:rPr>
          <w:rFonts w:ascii="宋体" w:hAnsi="宋体"/>
          <w:color w:val="auto"/>
          <w:szCs w:val="21"/>
          <w:highlight w:val="none"/>
        </w:rPr>
      </w:pPr>
    </w:p>
    <w:p w14:paraId="56B9024A">
      <w:pPr>
        <w:rPr>
          <w:rFonts w:ascii="宋体" w:hAnsi="宋体"/>
          <w:color w:val="auto"/>
          <w:szCs w:val="21"/>
          <w:highlight w:val="none"/>
        </w:rPr>
      </w:pPr>
      <w:r>
        <w:rPr>
          <w:rFonts w:hint="eastAsia" w:ascii="宋体" w:hAnsi="宋体"/>
          <w:color w:val="auto"/>
          <w:szCs w:val="21"/>
          <w:highlight w:val="none"/>
        </w:rPr>
        <w:t>地址：　　　　　　　　　　　　　　　</w:t>
      </w:r>
    </w:p>
    <w:p w14:paraId="04F52237">
      <w:pPr>
        <w:rPr>
          <w:rFonts w:ascii="宋体" w:hAnsi="宋体"/>
          <w:color w:val="auto"/>
          <w:szCs w:val="21"/>
          <w:highlight w:val="none"/>
        </w:rPr>
      </w:pPr>
      <w:r>
        <w:rPr>
          <w:rFonts w:hint="eastAsia" w:ascii="宋体" w:hAnsi="宋体"/>
          <w:color w:val="auto"/>
          <w:szCs w:val="21"/>
          <w:highlight w:val="none"/>
        </w:rPr>
        <w:t>邮箱：　　　</w:t>
      </w:r>
    </w:p>
    <w:p w14:paraId="140BA8E1">
      <w:pPr>
        <w:rPr>
          <w:rFonts w:ascii="宋体" w:hAnsi="宋体"/>
          <w:color w:val="auto"/>
          <w:szCs w:val="21"/>
          <w:highlight w:val="none"/>
        </w:rPr>
      </w:pPr>
      <w:r>
        <w:rPr>
          <w:rFonts w:hint="eastAsia" w:ascii="宋体" w:hAnsi="宋体"/>
          <w:color w:val="auto"/>
          <w:szCs w:val="21"/>
          <w:highlight w:val="none"/>
        </w:rPr>
        <w:t>电话/移动电话：　　　　　　　　　　　　　　　</w:t>
      </w:r>
    </w:p>
    <w:p w14:paraId="693A2770">
      <w:pPr>
        <w:rPr>
          <w:rFonts w:ascii="宋体" w:hAnsi="宋体"/>
          <w:color w:val="auto"/>
          <w:szCs w:val="21"/>
          <w:highlight w:val="none"/>
        </w:rPr>
      </w:pPr>
      <w:r>
        <w:rPr>
          <w:rFonts w:hint="eastAsia" w:ascii="宋体" w:hAnsi="宋体"/>
          <w:color w:val="auto"/>
          <w:szCs w:val="21"/>
          <w:highlight w:val="none"/>
        </w:rPr>
        <w:t xml:space="preserve">供应商代表签字：                    </w:t>
      </w:r>
    </w:p>
    <w:p w14:paraId="1BBE4279">
      <w:pPr>
        <w:rPr>
          <w:rFonts w:ascii="宋体" w:hAnsi="宋体"/>
          <w:color w:val="auto"/>
          <w:szCs w:val="21"/>
          <w:highlight w:val="none"/>
        </w:rPr>
      </w:pPr>
      <w:r>
        <w:rPr>
          <w:rFonts w:hint="eastAsia" w:ascii="宋体" w:hAnsi="宋体"/>
          <w:color w:val="auto"/>
          <w:szCs w:val="21"/>
          <w:highlight w:val="none"/>
        </w:rPr>
        <w:t xml:space="preserve">供应商名称（加盖公章）： </w:t>
      </w:r>
    </w:p>
    <w:p w14:paraId="26B37F2F">
      <w:pPr>
        <w:rPr>
          <w:rFonts w:ascii="宋体" w:hAnsi="宋体"/>
          <w:color w:val="auto"/>
          <w:szCs w:val="21"/>
          <w:highlight w:val="none"/>
        </w:rPr>
      </w:pPr>
      <w:r>
        <w:rPr>
          <w:rFonts w:hint="eastAsia" w:ascii="宋体" w:hAnsi="宋体"/>
          <w:color w:val="auto"/>
          <w:szCs w:val="21"/>
          <w:highlight w:val="none"/>
        </w:rPr>
        <w:t>日期：</w:t>
      </w:r>
    </w:p>
    <w:p w14:paraId="77A336C0">
      <w:pPr>
        <w:adjustRightInd/>
        <w:snapToGrid/>
        <w:spacing w:line="276" w:lineRule="auto"/>
        <w:rPr>
          <w:color w:val="auto"/>
          <w:highlight w:val="none"/>
        </w:rPr>
      </w:pPr>
      <w:r>
        <w:rPr>
          <w:color w:val="auto"/>
          <w:highlight w:val="none"/>
        </w:rPr>
        <w:br w:type="page"/>
      </w:r>
    </w:p>
    <w:p w14:paraId="4E4A64B2">
      <w:pPr>
        <w:pStyle w:val="4"/>
        <w:jc w:val="center"/>
        <w:rPr>
          <w:color w:val="auto"/>
          <w:highlight w:val="none"/>
        </w:rPr>
      </w:pPr>
      <w:bookmarkStart w:id="296" w:name="_Toc15719"/>
      <w:bookmarkStart w:id="297" w:name="_Toc27961"/>
      <w:r>
        <w:rPr>
          <w:rFonts w:hint="eastAsia"/>
          <w:color w:val="auto"/>
          <w:highlight w:val="none"/>
        </w:rPr>
        <w:t>二、资格申明函</w:t>
      </w:r>
      <w:bookmarkEnd w:id="296"/>
      <w:bookmarkEnd w:id="297"/>
    </w:p>
    <w:p w14:paraId="6A29EC0C">
      <w:pPr>
        <w:pStyle w:val="38"/>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299326D9">
      <w:pPr>
        <w:ind w:firstLine="420" w:firstLineChars="200"/>
        <w:rPr>
          <w:rFonts w:ascii="宋体" w:hAnsi="宋体"/>
          <w:color w:val="auto"/>
          <w:szCs w:val="21"/>
          <w:highlight w:val="none"/>
        </w:rPr>
      </w:pPr>
    </w:p>
    <w:p w14:paraId="00A1319A">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的磋商</w:t>
      </w:r>
      <w:r>
        <w:rPr>
          <w:rFonts w:ascii="宋体" w:hAnsi="宋体"/>
          <w:color w:val="auto"/>
          <w:szCs w:val="21"/>
          <w:highlight w:val="none"/>
        </w:rPr>
        <w:t>邀请，参与</w:t>
      </w:r>
      <w:r>
        <w:rPr>
          <w:rFonts w:hint="eastAsia" w:ascii="宋体" w:hAnsi="宋体"/>
          <w:color w:val="auto"/>
          <w:szCs w:val="21"/>
          <w:highlight w:val="none"/>
        </w:rPr>
        <w:t>报价</w:t>
      </w:r>
      <w:r>
        <w:rPr>
          <w:rFonts w:ascii="宋体" w:hAnsi="宋体"/>
          <w:color w:val="auto"/>
          <w:szCs w:val="21"/>
          <w:highlight w:val="none"/>
        </w:rPr>
        <w:t>，提供用户需求书中规定的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w:t>
      </w:r>
      <w:r>
        <w:rPr>
          <w:rFonts w:hint="eastAsia" w:ascii="宋体" w:hAnsi="宋体"/>
          <w:color w:val="auto"/>
          <w:szCs w:val="21"/>
          <w:highlight w:val="none"/>
        </w:rPr>
        <w:t>磋商文件</w:t>
      </w:r>
      <w:r>
        <w:rPr>
          <w:rFonts w:ascii="宋体" w:hAnsi="宋体"/>
          <w:color w:val="auto"/>
          <w:szCs w:val="21"/>
          <w:highlight w:val="none"/>
        </w:rPr>
        <w:t>要求提交所附资格文件且声明和保证如下：</w:t>
      </w:r>
    </w:p>
    <w:p w14:paraId="6144F04F">
      <w:pPr>
        <w:ind w:firstLine="420" w:firstLineChars="200"/>
        <w:rPr>
          <w:rFonts w:ascii="宋体" w:hAnsi="宋体"/>
          <w:color w:val="auto"/>
          <w:szCs w:val="21"/>
          <w:highlight w:val="none"/>
        </w:rPr>
      </w:pPr>
      <w:r>
        <w:rPr>
          <w:rFonts w:hint="eastAsia" w:ascii="宋体" w:hAnsi="宋体"/>
          <w:color w:val="auto"/>
          <w:szCs w:val="21"/>
          <w:highlight w:val="none"/>
        </w:rPr>
        <w:t>1、我方具备</w:t>
      </w:r>
      <w:r>
        <w:rPr>
          <w:rFonts w:hint="eastAsia"/>
          <w:color w:val="auto"/>
          <w:szCs w:val="21"/>
          <w:highlight w:val="none"/>
        </w:rPr>
        <w:t>以下资格的条件</w:t>
      </w:r>
      <w:r>
        <w:rPr>
          <w:rFonts w:hint="eastAsia" w:ascii="宋体" w:hAnsi="宋体"/>
          <w:color w:val="auto"/>
          <w:szCs w:val="21"/>
          <w:highlight w:val="none"/>
        </w:rPr>
        <w:t>：</w:t>
      </w:r>
    </w:p>
    <w:p w14:paraId="01893C2A">
      <w:pPr>
        <w:ind w:firstLine="420" w:firstLineChars="200"/>
        <w:rPr>
          <w:rFonts w:ascii="宋体" w:hAnsi="宋体"/>
          <w:color w:val="auto"/>
          <w:szCs w:val="21"/>
          <w:highlight w:val="none"/>
        </w:rPr>
      </w:pPr>
      <w:r>
        <w:rPr>
          <w:rFonts w:hint="eastAsia" w:ascii="宋体" w:hAnsi="宋体"/>
          <w:color w:val="auto"/>
          <w:szCs w:val="21"/>
          <w:highlight w:val="none"/>
        </w:rPr>
        <w:t xml:space="preserve">（一）具有独立承担民事责任的能力； </w:t>
      </w:r>
    </w:p>
    <w:p w14:paraId="33C7BA53">
      <w:pPr>
        <w:ind w:firstLine="420" w:firstLineChars="200"/>
        <w:rPr>
          <w:rFonts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22AC99A4">
      <w:pPr>
        <w:ind w:firstLine="420" w:firstLineChars="200"/>
        <w:rPr>
          <w:rFonts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460100EB">
      <w:pPr>
        <w:ind w:firstLine="420" w:firstLineChars="200"/>
        <w:rPr>
          <w:rFonts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25E18D66">
      <w:pPr>
        <w:ind w:firstLine="420" w:firstLineChars="200"/>
        <w:rPr>
          <w:rFonts w:ascii="宋体" w:hAnsi="宋体"/>
          <w:color w:val="auto"/>
          <w:szCs w:val="21"/>
          <w:highlight w:val="none"/>
        </w:rPr>
      </w:pPr>
      <w:r>
        <w:rPr>
          <w:rFonts w:hint="eastAsia" w:ascii="宋体" w:hAnsi="宋体"/>
          <w:color w:val="auto"/>
          <w:szCs w:val="21"/>
          <w:highlight w:val="none"/>
        </w:rPr>
        <w:t xml:space="preserve">（五）参加项目采购活动前三年内，在经营活动中没有重大违法记录； </w:t>
      </w:r>
    </w:p>
    <w:p w14:paraId="06923756">
      <w:pPr>
        <w:ind w:firstLine="420" w:firstLineChars="200"/>
        <w:rPr>
          <w:rFonts w:ascii="宋体" w:hAnsi="宋体"/>
          <w:color w:val="auto"/>
          <w:szCs w:val="21"/>
          <w:highlight w:val="none"/>
        </w:rPr>
      </w:pPr>
      <w:r>
        <w:rPr>
          <w:rFonts w:hint="eastAsia" w:ascii="宋体" w:hAnsi="宋体"/>
          <w:color w:val="auto"/>
          <w:szCs w:val="21"/>
          <w:highlight w:val="none"/>
        </w:rPr>
        <w:t xml:space="preserve">（六）法律、行政法规规定的其他条件。 </w:t>
      </w:r>
    </w:p>
    <w:p w14:paraId="2D8BB782">
      <w:pPr>
        <w:ind w:firstLine="420" w:firstLineChars="200"/>
        <w:rPr>
          <w:rFonts w:ascii="宋体" w:hAnsi="宋体"/>
          <w:color w:val="auto"/>
          <w:szCs w:val="21"/>
          <w:highlight w:val="none"/>
        </w:rPr>
      </w:pPr>
      <w:r>
        <w:rPr>
          <w:rFonts w:hint="eastAsia" w:ascii="宋体" w:hAnsi="宋体"/>
          <w:color w:val="auto"/>
          <w:szCs w:val="21"/>
          <w:highlight w:val="none"/>
        </w:rPr>
        <w:t>2、我方已清楚磋商文件所有要求及有关规定；并承诺参加本次项目采购活动中，如有违法、违规、弄虚作假行为，所造成的损失、不良后果及法律责任，一律由我方承担；</w:t>
      </w:r>
    </w:p>
    <w:p w14:paraId="54DD1244">
      <w:pPr>
        <w:pStyle w:val="38"/>
        <w:spacing w:line="500" w:lineRule="atLeast"/>
        <w:ind w:firstLine="3517" w:firstLineChars="1675"/>
        <w:rPr>
          <w:rFonts w:ascii="宋体" w:eastAsia="宋体"/>
          <w:color w:val="auto"/>
          <w:sz w:val="21"/>
          <w:szCs w:val="21"/>
          <w:highlight w:val="none"/>
        </w:rPr>
      </w:pPr>
    </w:p>
    <w:p w14:paraId="71EE3B3E">
      <w:pPr>
        <w:pStyle w:val="38"/>
        <w:spacing w:line="500" w:lineRule="atLeast"/>
        <w:ind w:firstLine="3517" w:firstLineChars="1675"/>
        <w:rPr>
          <w:rFonts w:ascii="宋体" w:eastAsia="宋体"/>
          <w:color w:val="auto"/>
          <w:sz w:val="21"/>
          <w:szCs w:val="21"/>
          <w:highlight w:val="none"/>
        </w:rPr>
      </w:pPr>
    </w:p>
    <w:p w14:paraId="5FE39A94">
      <w:pPr>
        <w:ind w:firstLine="420" w:firstLineChars="200"/>
        <w:rPr>
          <w:color w:val="auto"/>
          <w:highlight w:val="none"/>
        </w:rPr>
      </w:pPr>
      <w:r>
        <w:rPr>
          <w:rFonts w:hint="eastAsia"/>
          <w:color w:val="auto"/>
          <w:highlight w:val="none"/>
        </w:rPr>
        <w:t>供应商名称（加盖公章）：</w:t>
      </w:r>
    </w:p>
    <w:p w14:paraId="0A7CB524">
      <w:pPr>
        <w:ind w:firstLine="420" w:firstLineChars="200"/>
        <w:rPr>
          <w:color w:val="auto"/>
          <w:highlight w:val="none"/>
        </w:rPr>
      </w:pPr>
      <w:r>
        <w:rPr>
          <w:rFonts w:hint="eastAsia"/>
          <w:color w:val="auto"/>
          <w:highlight w:val="none"/>
        </w:rPr>
        <w:t>法定代表人签字（签名或盖私章）：</w:t>
      </w:r>
    </w:p>
    <w:p w14:paraId="223D42C5">
      <w:pPr>
        <w:ind w:firstLine="420" w:firstLineChars="200"/>
        <w:rPr>
          <w:color w:val="auto"/>
          <w:highlight w:val="none"/>
        </w:rPr>
      </w:pPr>
      <w:r>
        <w:rPr>
          <w:rFonts w:hint="eastAsia"/>
          <w:color w:val="auto"/>
          <w:highlight w:val="none"/>
        </w:rPr>
        <w:t>日     期：</w:t>
      </w:r>
    </w:p>
    <w:p w14:paraId="34AE6DC0">
      <w:pPr>
        <w:jc w:val="both"/>
        <w:rPr>
          <w:rFonts w:ascii="宋体" w:hAnsi="宋体"/>
          <w:color w:val="auto"/>
          <w:szCs w:val="21"/>
          <w:highlight w:val="none"/>
        </w:rPr>
      </w:pPr>
    </w:p>
    <w:p w14:paraId="6ED4FE13">
      <w:pPr>
        <w:pStyle w:val="7"/>
        <w:rPr>
          <w:color w:val="auto"/>
          <w:sz w:val="21"/>
          <w:szCs w:val="21"/>
          <w:highlight w:val="none"/>
        </w:rPr>
      </w:pPr>
    </w:p>
    <w:p w14:paraId="72654622">
      <w:pPr>
        <w:rPr>
          <w:rFonts w:ascii="宋体" w:hAnsi="宋体"/>
          <w:color w:val="auto"/>
          <w:szCs w:val="21"/>
          <w:highlight w:val="none"/>
        </w:rPr>
      </w:pPr>
    </w:p>
    <w:p w14:paraId="35061287">
      <w:pPr>
        <w:pStyle w:val="7"/>
        <w:rPr>
          <w:color w:val="auto"/>
          <w:sz w:val="21"/>
          <w:szCs w:val="21"/>
          <w:highlight w:val="none"/>
        </w:rPr>
      </w:pPr>
    </w:p>
    <w:p w14:paraId="3B3E4125">
      <w:pPr>
        <w:rPr>
          <w:rFonts w:ascii="宋体" w:hAnsi="宋体"/>
          <w:color w:val="auto"/>
          <w:szCs w:val="21"/>
          <w:highlight w:val="none"/>
        </w:rPr>
      </w:pPr>
    </w:p>
    <w:p w14:paraId="2A4C53DB">
      <w:pPr>
        <w:pStyle w:val="7"/>
        <w:rPr>
          <w:color w:val="auto"/>
          <w:sz w:val="21"/>
          <w:szCs w:val="21"/>
          <w:highlight w:val="none"/>
        </w:rPr>
      </w:pPr>
    </w:p>
    <w:p w14:paraId="2E09F9FC">
      <w:pPr>
        <w:rPr>
          <w:rFonts w:ascii="宋体" w:hAnsi="宋体"/>
          <w:color w:val="auto"/>
          <w:szCs w:val="21"/>
          <w:highlight w:val="none"/>
        </w:rPr>
      </w:pPr>
    </w:p>
    <w:p w14:paraId="362C1631">
      <w:pPr>
        <w:pStyle w:val="7"/>
        <w:rPr>
          <w:color w:val="auto"/>
          <w:highlight w:val="none"/>
        </w:rPr>
      </w:pPr>
    </w:p>
    <w:p w14:paraId="3FD79FE7">
      <w:pPr>
        <w:rPr>
          <w:color w:val="auto"/>
          <w:highlight w:val="none"/>
        </w:rPr>
      </w:pPr>
      <w:bookmarkStart w:id="298" w:name="_Toc16412"/>
    </w:p>
    <w:p w14:paraId="7872A9D4">
      <w:pPr>
        <w:pStyle w:val="4"/>
        <w:jc w:val="center"/>
        <w:rPr>
          <w:color w:val="auto"/>
          <w:highlight w:val="none"/>
        </w:rPr>
      </w:pPr>
      <w:bookmarkStart w:id="299" w:name="_Toc21335"/>
      <w:bookmarkStart w:id="300" w:name="_Toc21273"/>
      <w:r>
        <w:rPr>
          <w:rFonts w:hint="eastAsia"/>
          <w:color w:val="auto"/>
          <w:highlight w:val="none"/>
        </w:rPr>
        <w:t>三、在参与政府采购活动前三年未有重大违法记录、没有不良信用记录的声明函</w:t>
      </w:r>
      <w:bookmarkEnd w:id="299"/>
      <w:bookmarkEnd w:id="300"/>
    </w:p>
    <w:p w14:paraId="2C8D6060">
      <w:pPr>
        <w:ind w:firstLine="420" w:firstLineChars="200"/>
        <w:rPr>
          <w:rFonts w:ascii="宋体" w:hAnsi="宋体" w:cs="宋体"/>
          <w:color w:val="auto"/>
          <w:szCs w:val="21"/>
          <w:highlight w:val="none"/>
        </w:rPr>
      </w:pPr>
    </w:p>
    <w:p w14:paraId="361F2F37">
      <w:pPr>
        <w:spacing w:line="480" w:lineRule="auto"/>
        <w:rPr>
          <w:rFonts w:ascii="宋体" w:hAnsi="宋体" w:cs="宋体"/>
          <w:color w:val="auto"/>
          <w:szCs w:val="21"/>
          <w:highlight w:val="none"/>
        </w:rPr>
      </w:pPr>
      <w:r>
        <w:rPr>
          <w:rFonts w:hint="eastAsia" w:ascii="宋体" w:hAnsi="宋体" w:cs="宋体"/>
          <w:color w:val="auto"/>
          <w:szCs w:val="21"/>
          <w:highlight w:val="none"/>
        </w:rPr>
        <w:t>致广东政通招标有限公司：</w:t>
      </w:r>
    </w:p>
    <w:p w14:paraId="33611B56">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响应文件截止时间止未被列入“信用中国”网站及“中国政府采购网”失信被执行人、重大税收违法案件当事人名单、政府采购严重违法失信行为记录名单。</w:t>
      </w:r>
    </w:p>
    <w:p w14:paraId="639E3EA0">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77B6D0A5">
      <w:pPr>
        <w:ind w:firstLine="420" w:firstLineChars="200"/>
        <w:rPr>
          <w:rFonts w:ascii="宋体" w:hAnsi="宋体" w:cs="宋体"/>
          <w:color w:val="auto"/>
          <w:szCs w:val="21"/>
          <w:highlight w:val="none"/>
        </w:rPr>
      </w:pPr>
    </w:p>
    <w:p w14:paraId="46DC5B72">
      <w:pPr>
        <w:rPr>
          <w:rFonts w:ascii="宋体" w:hAnsi="宋体" w:cs="宋体"/>
          <w:color w:val="auto"/>
          <w:szCs w:val="21"/>
          <w:highlight w:val="none"/>
        </w:rPr>
      </w:pPr>
    </w:p>
    <w:p w14:paraId="4BC0A0D4">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供应商名称（加盖公章）：</w:t>
      </w:r>
    </w:p>
    <w:p w14:paraId="3954C496">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7A69625E">
      <w:pPr>
        <w:adjustRightInd/>
        <w:snapToGrid/>
        <w:spacing w:line="276" w:lineRule="auto"/>
        <w:rPr>
          <w:color w:val="auto"/>
          <w:highlight w:val="none"/>
        </w:rPr>
      </w:pPr>
      <w:r>
        <w:rPr>
          <w:rFonts w:ascii="楷体_GB2312" w:eastAsia="楷体_GB2312"/>
          <w:color w:val="auto"/>
          <w:sz w:val="24"/>
          <w:highlight w:val="none"/>
        </w:rPr>
        <w:br w:type="page"/>
      </w:r>
      <w:bookmarkEnd w:id="298"/>
    </w:p>
    <w:p w14:paraId="4A177685">
      <w:pPr>
        <w:pStyle w:val="4"/>
        <w:jc w:val="center"/>
        <w:rPr>
          <w:color w:val="auto"/>
          <w:highlight w:val="none"/>
        </w:rPr>
      </w:pPr>
      <w:bookmarkStart w:id="301" w:name="_Toc13243"/>
      <w:bookmarkStart w:id="302" w:name="_Toc32128"/>
      <w:r>
        <w:rPr>
          <w:rFonts w:hint="eastAsia"/>
          <w:color w:val="auto"/>
          <w:highlight w:val="none"/>
        </w:rPr>
        <w:t>四、法定代表人证明书</w:t>
      </w:r>
      <w:bookmarkEnd w:id="301"/>
      <w:bookmarkEnd w:id="302"/>
    </w:p>
    <w:p w14:paraId="038EB439">
      <w:pPr>
        <w:pStyle w:val="38"/>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0C571F3D">
      <w:pPr>
        <w:pStyle w:val="38"/>
        <w:spacing w:line="420" w:lineRule="atLeast"/>
        <w:ind w:firstLine="433"/>
        <w:rPr>
          <w:rFonts w:ascii="宋体" w:eastAsia="宋体"/>
          <w:color w:val="auto"/>
          <w:sz w:val="21"/>
          <w:szCs w:val="21"/>
          <w:highlight w:val="none"/>
        </w:rPr>
      </w:pPr>
    </w:p>
    <w:p w14:paraId="5BF77745">
      <w:pPr>
        <w:pStyle w:val="38"/>
        <w:spacing w:line="360" w:lineRule="auto"/>
        <w:ind w:firstLine="420" w:firstLineChars="200"/>
        <w:rPr>
          <w:rFonts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（供应商名称）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3307BD56">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03FC2C78">
      <w:pPr>
        <w:pStyle w:val="38"/>
        <w:spacing w:line="500" w:lineRule="atLeast"/>
        <w:ind w:firstLine="3517" w:firstLineChars="1675"/>
        <w:rPr>
          <w:rFonts w:ascii="宋体" w:eastAsia="宋体"/>
          <w:color w:val="auto"/>
          <w:sz w:val="21"/>
          <w:szCs w:val="21"/>
          <w:highlight w:val="none"/>
        </w:rPr>
      </w:pPr>
    </w:p>
    <w:p w14:paraId="3F0A10A3">
      <w:pPr>
        <w:ind w:firstLine="420" w:firstLineChars="200"/>
        <w:rPr>
          <w:color w:val="auto"/>
          <w:highlight w:val="none"/>
        </w:rPr>
      </w:pPr>
      <w:r>
        <w:rPr>
          <w:rFonts w:hint="eastAsia"/>
          <w:color w:val="auto"/>
          <w:highlight w:val="none"/>
        </w:rPr>
        <w:t>供应商名称（加盖公章）：</w:t>
      </w:r>
    </w:p>
    <w:p w14:paraId="4DCDA1F8">
      <w:pPr>
        <w:ind w:firstLine="420" w:firstLineChars="200"/>
        <w:rPr>
          <w:color w:val="auto"/>
          <w:highlight w:val="none"/>
        </w:rPr>
      </w:pPr>
      <w:r>
        <w:rPr>
          <w:rFonts w:hint="eastAsia"/>
          <w:color w:val="auto"/>
          <w:highlight w:val="none"/>
        </w:rPr>
        <w:t>法定代表人（签名或盖私章）：</w:t>
      </w:r>
    </w:p>
    <w:p w14:paraId="189F682B">
      <w:pPr>
        <w:ind w:firstLine="420" w:firstLineChars="200"/>
        <w:rPr>
          <w:color w:val="auto"/>
          <w:highlight w:val="none"/>
        </w:rPr>
      </w:pPr>
      <w:r>
        <w:rPr>
          <w:rFonts w:hint="eastAsia"/>
          <w:color w:val="auto"/>
          <w:highlight w:val="none"/>
        </w:rPr>
        <w:t>联系方式：</w:t>
      </w:r>
    </w:p>
    <w:p w14:paraId="33879C5A">
      <w:pPr>
        <w:ind w:firstLine="420" w:firstLineChars="200"/>
        <w:rPr>
          <w:color w:val="auto"/>
          <w:highlight w:val="none"/>
        </w:rPr>
      </w:pPr>
      <w:r>
        <w:rPr>
          <w:rFonts w:hint="eastAsia"/>
          <w:color w:val="auto"/>
          <w:highlight w:val="none"/>
        </w:rPr>
        <w:t>身份证号码：</w:t>
      </w:r>
    </w:p>
    <w:p w14:paraId="744F38CC">
      <w:pPr>
        <w:ind w:firstLine="420" w:firstLineChars="200"/>
        <w:rPr>
          <w:color w:val="auto"/>
          <w:highlight w:val="none"/>
        </w:rPr>
      </w:pPr>
      <w:r>
        <w:rPr>
          <w:rFonts w:hint="eastAsia"/>
          <w:color w:val="auto"/>
          <w:highlight w:val="none"/>
        </w:rPr>
        <w:t>日     期：</w:t>
      </w:r>
    </w:p>
    <w:p w14:paraId="72DEFC46">
      <w:pPr>
        <w:ind w:firstLine="420" w:firstLineChars="200"/>
        <w:rPr>
          <w:rFonts w:ascii="宋体" w:hAnsi="宋体"/>
          <w:color w:val="auto"/>
          <w:szCs w:val="21"/>
          <w:highlight w:val="none"/>
        </w:rPr>
      </w:pPr>
    </w:p>
    <w:p w14:paraId="61BD9751">
      <w:pPr>
        <w:ind w:firstLine="420" w:firstLineChars="200"/>
        <w:rPr>
          <w:rFonts w:ascii="宋体" w:hAnsi="宋体"/>
          <w:color w:val="auto"/>
          <w:szCs w:val="21"/>
          <w:highlight w:val="none"/>
        </w:rPr>
      </w:pPr>
      <w:r>
        <w:rPr>
          <w:rFonts w:hint="eastAsia" w:ascii="宋体" w:hAnsi="宋体"/>
          <w:color w:val="auto"/>
          <w:szCs w:val="21"/>
          <w:highlight w:val="none"/>
        </w:rPr>
        <w:t>注：须附法人代表身份证复印件。</w:t>
      </w:r>
    </w:p>
    <w:tbl>
      <w:tblPr>
        <w:tblStyle w:val="23"/>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375AE71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1CF08AF1">
            <w:pPr>
              <w:pStyle w:val="38"/>
              <w:spacing w:line="460" w:lineRule="exact"/>
              <w:ind w:firstLine="0" w:firstLineChars="0"/>
              <w:jc w:val="center"/>
              <w:rPr>
                <w:rFonts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1AAFBF03">
      <w:pPr>
        <w:rPr>
          <w:color w:val="auto"/>
          <w:highlight w:val="none"/>
        </w:rPr>
      </w:pPr>
    </w:p>
    <w:p w14:paraId="0395F696">
      <w:pPr>
        <w:adjustRightInd/>
        <w:snapToGrid/>
        <w:spacing w:line="276" w:lineRule="auto"/>
        <w:rPr>
          <w:color w:val="auto"/>
          <w:highlight w:val="none"/>
        </w:rPr>
      </w:pPr>
      <w:r>
        <w:rPr>
          <w:rFonts w:ascii="楷体_GB2312" w:eastAsia="楷体_GB2312"/>
          <w:color w:val="auto"/>
          <w:sz w:val="24"/>
          <w:highlight w:val="none"/>
        </w:rPr>
        <w:br w:type="page"/>
      </w:r>
    </w:p>
    <w:p w14:paraId="00AFED57">
      <w:pPr>
        <w:pStyle w:val="4"/>
        <w:jc w:val="center"/>
        <w:rPr>
          <w:color w:val="auto"/>
          <w:highlight w:val="none"/>
        </w:rPr>
      </w:pPr>
      <w:bookmarkStart w:id="303" w:name="_Toc5918"/>
      <w:bookmarkStart w:id="304" w:name="_Toc11689"/>
      <w:r>
        <w:rPr>
          <w:rFonts w:hint="eastAsia"/>
          <w:color w:val="auto"/>
          <w:highlight w:val="none"/>
        </w:rPr>
        <w:t>五、法定代表人授权书</w:t>
      </w:r>
      <w:bookmarkEnd w:id="303"/>
      <w:bookmarkEnd w:id="304"/>
    </w:p>
    <w:p w14:paraId="1A2411C0">
      <w:pPr>
        <w:pStyle w:val="38"/>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01455EC2">
      <w:pPr>
        <w:pStyle w:val="38"/>
        <w:spacing w:line="420" w:lineRule="atLeast"/>
        <w:ind w:firstLine="433"/>
        <w:rPr>
          <w:rFonts w:ascii="宋体" w:eastAsia="宋体"/>
          <w:color w:val="auto"/>
          <w:sz w:val="21"/>
          <w:szCs w:val="21"/>
          <w:highlight w:val="none"/>
        </w:rPr>
      </w:pPr>
    </w:p>
    <w:p w14:paraId="020F2440">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（供应商名称）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）响应文件、签订合同和处理有关事宜，其法律后果由我方承担。</w:t>
      </w:r>
    </w:p>
    <w:p w14:paraId="125E5F73">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34DD9472">
      <w:pPr>
        <w:pStyle w:val="38"/>
        <w:spacing w:line="500" w:lineRule="atLeast"/>
        <w:ind w:firstLine="3517" w:firstLineChars="1675"/>
        <w:rPr>
          <w:rFonts w:ascii="宋体" w:eastAsia="宋体"/>
          <w:color w:val="auto"/>
          <w:sz w:val="21"/>
          <w:szCs w:val="21"/>
          <w:highlight w:val="none"/>
        </w:rPr>
      </w:pPr>
    </w:p>
    <w:p w14:paraId="019E05BB">
      <w:pPr>
        <w:ind w:firstLine="420" w:firstLineChars="200"/>
        <w:rPr>
          <w:color w:val="auto"/>
          <w:highlight w:val="none"/>
        </w:rPr>
      </w:pPr>
      <w:r>
        <w:rPr>
          <w:rFonts w:hint="eastAsia"/>
          <w:color w:val="auto"/>
          <w:highlight w:val="none"/>
        </w:rPr>
        <w:t>供应商名称（加盖公章）：</w:t>
      </w:r>
    </w:p>
    <w:p w14:paraId="20FF16D0">
      <w:pPr>
        <w:ind w:firstLine="420" w:firstLineChars="200"/>
        <w:rPr>
          <w:color w:val="auto"/>
          <w:highlight w:val="none"/>
        </w:rPr>
      </w:pPr>
      <w:r>
        <w:rPr>
          <w:rFonts w:hint="eastAsia"/>
          <w:color w:val="auto"/>
          <w:highlight w:val="none"/>
        </w:rPr>
        <w:t>法定代表人签字（签名或盖私章）：</w:t>
      </w:r>
    </w:p>
    <w:p w14:paraId="026763C4">
      <w:pPr>
        <w:ind w:firstLine="420" w:firstLineChars="200"/>
        <w:rPr>
          <w:color w:val="auto"/>
          <w:highlight w:val="none"/>
        </w:rPr>
      </w:pPr>
      <w:r>
        <w:rPr>
          <w:rFonts w:hint="eastAsia"/>
          <w:color w:val="auto"/>
          <w:highlight w:val="none"/>
        </w:rPr>
        <w:t>被授权人签字：</w:t>
      </w:r>
    </w:p>
    <w:p w14:paraId="15AD27DF">
      <w:pPr>
        <w:ind w:firstLine="420" w:firstLineChars="200"/>
        <w:rPr>
          <w:color w:val="auto"/>
          <w:highlight w:val="none"/>
        </w:rPr>
      </w:pPr>
      <w:r>
        <w:rPr>
          <w:rFonts w:hint="eastAsia"/>
          <w:color w:val="auto"/>
          <w:highlight w:val="none"/>
        </w:rPr>
        <w:t xml:space="preserve">联系方式： </w:t>
      </w:r>
    </w:p>
    <w:p w14:paraId="17D090EE">
      <w:pPr>
        <w:ind w:firstLine="420" w:firstLineChars="200"/>
        <w:rPr>
          <w:color w:val="auto"/>
          <w:highlight w:val="none"/>
        </w:rPr>
      </w:pPr>
      <w:r>
        <w:rPr>
          <w:rFonts w:hint="eastAsia"/>
          <w:color w:val="auto"/>
          <w:highlight w:val="none"/>
        </w:rPr>
        <w:t xml:space="preserve">邮箱：                          </w:t>
      </w:r>
    </w:p>
    <w:p w14:paraId="11F80E6A">
      <w:pPr>
        <w:ind w:firstLine="420" w:firstLineChars="200"/>
        <w:rPr>
          <w:color w:val="auto"/>
          <w:highlight w:val="none"/>
        </w:rPr>
      </w:pPr>
      <w:r>
        <w:rPr>
          <w:rFonts w:hint="eastAsia"/>
          <w:color w:val="auto"/>
          <w:highlight w:val="none"/>
        </w:rPr>
        <w:t>日     期：</w:t>
      </w:r>
    </w:p>
    <w:p w14:paraId="4A1A7E7F">
      <w:pPr>
        <w:pStyle w:val="38"/>
        <w:spacing w:line="460" w:lineRule="exact"/>
        <w:ind w:firstLine="433"/>
        <w:rPr>
          <w:rFonts w:ascii="宋体" w:eastAsia="宋体"/>
          <w:color w:val="auto"/>
          <w:sz w:val="21"/>
          <w:szCs w:val="21"/>
          <w:highlight w:val="none"/>
        </w:rPr>
      </w:pPr>
    </w:p>
    <w:p w14:paraId="4E6F8C12">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23"/>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2A86BE1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1D94BA62">
            <w:pPr>
              <w:adjustRightInd/>
              <w:snapToGrid/>
              <w:spacing w:line="276" w:lineRule="auto"/>
              <w:rPr>
                <w:rFonts w:ascii="宋体"/>
                <w:color w:val="auto"/>
                <w:sz w:val="22"/>
                <w:highlight w:val="none"/>
              </w:rPr>
            </w:pPr>
            <w:bookmarkStart w:id="305"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43858A80">
      <w:pPr>
        <w:adjustRightInd/>
        <w:snapToGrid/>
        <w:spacing w:line="276" w:lineRule="auto"/>
        <w:rPr>
          <w:color w:val="auto"/>
          <w:highlight w:val="none"/>
        </w:rPr>
      </w:pPr>
    </w:p>
    <w:p w14:paraId="1AE61068">
      <w:pPr>
        <w:jc w:val="center"/>
        <w:rPr>
          <w:rFonts w:ascii="宋体"/>
          <w:color w:val="auto"/>
          <w:szCs w:val="21"/>
          <w:highlight w:val="none"/>
        </w:rPr>
      </w:pPr>
    </w:p>
    <w:p w14:paraId="48651370">
      <w:pPr>
        <w:jc w:val="center"/>
        <w:rPr>
          <w:rFonts w:ascii="宋体"/>
          <w:color w:val="auto"/>
          <w:szCs w:val="21"/>
          <w:highlight w:val="none"/>
        </w:rPr>
      </w:pPr>
      <w:r>
        <w:rPr>
          <w:rFonts w:hint="eastAsia" w:ascii="宋体"/>
          <w:color w:val="auto"/>
          <w:szCs w:val="21"/>
          <w:highlight w:val="none"/>
        </w:rPr>
        <w:br w:type="page"/>
      </w:r>
    </w:p>
    <w:p w14:paraId="4B704FAD">
      <w:pPr>
        <w:pStyle w:val="4"/>
        <w:jc w:val="center"/>
        <w:rPr>
          <w:color w:val="auto"/>
          <w:highlight w:val="none"/>
        </w:rPr>
      </w:pPr>
      <w:bookmarkStart w:id="306" w:name="_Toc1197"/>
      <w:bookmarkStart w:id="307" w:name="_Toc24013"/>
      <w:r>
        <w:rPr>
          <w:rFonts w:hint="eastAsia"/>
          <w:color w:val="auto"/>
          <w:highlight w:val="none"/>
        </w:rPr>
        <w:t>六、供应商基本情况说明</w:t>
      </w:r>
      <w:bookmarkEnd w:id="306"/>
      <w:bookmarkEnd w:id="307"/>
    </w:p>
    <w:p w14:paraId="273BAE95">
      <w:pPr>
        <w:rPr>
          <w:rFonts w:ascii="宋体" w:hAnsi="宋体" w:cs="宋体"/>
          <w:color w:val="auto"/>
          <w:szCs w:val="21"/>
          <w:highlight w:val="none"/>
        </w:rPr>
      </w:pPr>
      <w:r>
        <w:rPr>
          <w:rFonts w:hint="eastAsia" w:ascii="宋体" w:hAnsi="宋体" w:cs="宋体"/>
          <w:color w:val="auto"/>
          <w:szCs w:val="21"/>
          <w:highlight w:val="none"/>
        </w:rPr>
        <w:t>一、供应商基本情况</w:t>
      </w:r>
    </w:p>
    <w:p w14:paraId="5B4DDA0A">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1、供应商名称：                                                                   </w:t>
      </w:r>
    </w:p>
    <w:p w14:paraId="4BD17131">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48FF089F">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75E42841">
      <w:pPr>
        <w:rPr>
          <w:rFonts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7417EEE0">
      <w:pPr>
        <w:rPr>
          <w:rFonts w:ascii="宋体" w:hAnsi="宋体" w:cs="宋体"/>
          <w:color w:val="auto"/>
          <w:szCs w:val="21"/>
          <w:highlight w:val="none"/>
        </w:rPr>
      </w:pPr>
      <w:r>
        <w:rPr>
          <w:rFonts w:hint="eastAsia" w:ascii="宋体" w:hAnsi="宋体" w:cs="宋体"/>
          <w:color w:val="auto"/>
          <w:szCs w:val="21"/>
          <w:highlight w:val="none"/>
        </w:rPr>
        <w:t xml:space="preserve">5、供应商开户银行名称及账号：      </w:t>
      </w:r>
    </w:p>
    <w:p w14:paraId="0EEDEBB8">
      <w:pPr>
        <w:rPr>
          <w:rFonts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4A80BD48">
      <w:pPr>
        <w:rPr>
          <w:rFonts w:ascii="宋体" w:hAnsi="宋体" w:cs="宋体"/>
          <w:color w:val="auto"/>
          <w:szCs w:val="21"/>
          <w:highlight w:val="none"/>
        </w:rPr>
      </w:pPr>
      <w:r>
        <w:rPr>
          <w:rFonts w:hint="eastAsia" w:ascii="宋体" w:hAnsi="宋体" w:cs="宋体"/>
          <w:color w:val="auto"/>
          <w:szCs w:val="21"/>
          <w:highlight w:val="none"/>
        </w:rPr>
        <w:t>7、供应商简介:</w:t>
      </w:r>
    </w:p>
    <w:p w14:paraId="2D7AD68B">
      <w:pPr>
        <w:rPr>
          <w:rFonts w:ascii="宋体" w:hAnsi="宋体" w:cs="宋体"/>
          <w:b/>
          <w:color w:val="auto"/>
          <w:szCs w:val="21"/>
          <w:highlight w:val="none"/>
        </w:rPr>
      </w:pPr>
    </w:p>
    <w:p w14:paraId="40A94E20">
      <w:pPr>
        <w:rPr>
          <w:rFonts w:ascii="宋体" w:hAnsi="宋体" w:cs="宋体"/>
          <w:b/>
          <w:color w:val="auto"/>
          <w:szCs w:val="21"/>
          <w:highlight w:val="none"/>
        </w:rPr>
      </w:pPr>
    </w:p>
    <w:p w14:paraId="57091C86">
      <w:pPr>
        <w:rPr>
          <w:rFonts w:ascii="宋体" w:hAnsi="宋体" w:cs="宋体"/>
          <w:color w:val="auto"/>
          <w:szCs w:val="21"/>
          <w:highlight w:val="none"/>
        </w:rPr>
      </w:pPr>
      <w:r>
        <w:rPr>
          <w:rFonts w:hint="eastAsia" w:ascii="宋体" w:hAnsi="宋体" w:cs="宋体"/>
          <w:color w:val="auto"/>
          <w:szCs w:val="21"/>
          <w:highlight w:val="none"/>
        </w:rPr>
        <w:t>供应商名称（加盖公章）：</w:t>
      </w:r>
    </w:p>
    <w:p w14:paraId="5C39A423">
      <w:pPr>
        <w:rPr>
          <w:rFonts w:ascii="宋体" w:hAnsi="宋体" w:cs="宋体"/>
          <w:color w:val="auto"/>
          <w:szCs w:val="21"/>
          <w:highlight w:val="none"/>
        </w:rPr>
      </w:pPr>
      <w:r>
        <w:rPr>
          <w:rFonts w:hint="eastAsia" w:ascii="宋体" w:hAnsi="宋体" w:cs="宋体"/>
          <w:color w:val="auto"/>
          <w:szCs w:val="21"/>
          <w:highlight w:val="none"/>
        </w:rPr>
        <w:t>日      期：</w:t>
      </w:r>
    </w:p>
    <w:p w14:paraId="23AF751F">
      <w:pPr>
        <w:pStyle w:val="38"/>
        <w:spacing w:line="500" w:lineRule="atLeast"/>
        <w:ind w:firstLine="433"/>
        <w:rPr>
          <w:rFonts w:ascii="宋体" w:eastAsia="宋体"/>
          <w:color w:val="auto"/>
          <w:sz w:val="21"/>
          <w:szCs w:val="21"/>
          <w:highlight w:val="none"/>
        </w:rPr>
      </w:pPr>
    </w:p>
    <w:p w14:paraId="6B46133F">
      <w:pPr>
        <w:pStyle w:val="38"/>
        <w:spacing w:line="500" w:lineRule="atLeast"/>
        <w:ind w:firstLine="433"/>
        <w:rPr>
          <w:rFonts w:ascii="宋体" w:eastAsia="宋体"/>
          <w:color w:val="auto"/>
          <w:sz w:val="21"/>
          <w:szCs w:val="21"/>
          <w:highlight w:val="none"/>
        </w:rPr>
      </w:pPr>
    </w:p>
    <w:p w14:paraId="1D0C3F85">
      <w:pPr>
        <w:pStyle w:val="38"/>
        <w:spacing w:line="500" w:lineRule="atLeast"/>
        <w:ind w:firstLine="433"/>
        <w:rPr>
          <w:rFonts w:ascii="宋体" w:eastAsia="宋体"/>
          <w:color w:val="auto"/>
          <w:sz w:val="21"/>
          <w:szCs w:val="21"/>
          <w:highlight w:val="none"/>
        </w:rPr>
      </w:pPr>
    </w:p>
    <w:p w14:paraId="16C5F365">
      <w:pPr>
        <w:pStyle w:val="38"/>
        <w:spacing w:line="500" w:lineRule="atLeast"/>
        <w:ind w:firstLine="433"/>
        <w:rPr>
          <w:rFonts w:ascii="宋体" w:eastAsia="宋体"/>
          <w:color w:val="auto"/>
          <w:sz w:val="21"/>
          <w:szCs w:val="21"/>
          <w:highlight w:val="none"/>
        </w:rPr>
      </w:pPr>
    </w:p>
    <w:p w14:paraId="0EA22377">
      <w:pPr>
        <w:pStyle w:val="38"/>
        <w:spacing w:line="500" w:lineRule="atLeast"/>
        <w:ind w:firstLine="433"/>
        <w:rPr>
          <w:rFonts w:ascii="宋体" w:eastAsia="宋体"/>
          <w:color w:val="auto"/>
          <w:sz w:val="21"/>
          <w:szCs w:val="21"/>
          <w:highlight w:val="none"/>
        </w:rPr>
      </w:pPr>
    </w:p>
    <w:p w14:paraId="4B85F2A2">
      <w:pPr>
        <w:pStyle w:val="38"/>
        <w:spacing w:line="500" w:lineRule="atLeast"/>
        <w:ind w:firstLine="433"/>
        <w:rPr>
          <w:rFonts w:ascii="宋体" w:eastAsia="宋体"/>
          <w:color w:val="auto"/>
          <w:sz w:val="21"/>
          <w:szCs w:val="21"/>
          <w:highlight w:val="none"/>
        </w:rPr>
      </w:pPr>
    </w:p>
    <w:p w14:paraId="0C51CCC6">
      <w:pPr>
        <w:pStyle w:val="38"/>
        <w:spacing w:line="500" w:lineRule="atLeast"/>
        <w:ind w:firstLine="433"/>
        <w:rPr>
          <w:rFonts w:ascii="宋体" w:eastAsia="宋体"/>
          <w:color w:val="auto"/>
          <w:sz w:val="21"/>
          <w:szCs w:val="21"/>
          <w:highlight w:val="none"/>
        </w:rPr>
      </w:pPr>
    </w:p>
    <w:p w14:paraId="4C130DCA">
      <w:pPr>
        <w:pStyle w:val="38"/>
        <w:spacing w:line="500" w:lineRule="atLeast"/>
        <w:ind w:firstLine="433"/>
        <w:rPr>
          <w:rFonts w:ascii="宋体" w:eastAsia="宋体"/>
          <w:color w:val="auto"/>
          <w:sz w:val="21"/>
          <w:szCs w:val="21"/>
          <w:highlight w:val="none"/>
        </w:rPr>
      </w:pPr>
    </w:p>
    <w:p w14:paraId="64AEAA5E">
      <w:pPr>
        <w:pStyle w:val="38"/>
        <w:spacing w:line="500" w:lineRule="atLeast"/>
        <w:ind w:firstLine="433"/>
        <w:rPr>
          <w:rFonts w:ascii="宋体" w:eastAsia="宋体"/>
          <w:color w:val="auto"/>
          <w:sz w:val="21"/>
          <w:szCs w:val="21"/>
          <w:highlight w:val="none"/>
        </w:rPr>
      </w:pPr>
    </w:p>
    <w:p w14:paraId="5A96FAA0">
      <w:pPr>
        <w:pStyle w:val="38"/>
        <w:spacing w:line="500" w:lineRule="atLeast"/>
        <w:ind w:firstLine="433"/>
        <w:rPr>
          <w:rFonts w:ascii="宋体" w:eastAsia="宋体"/>
          <w:color w:val="auto"/>
          <w:sz w:val="21"/>
          <w:szCs w:val="21"/>
          <w:highlight w:val="none"/>
        </w:rPr>
      </w:pPr>
    </w:p>
    <w:p w14:paraId="5D3897E1">
      <w:pPr>
        <w:pStyle w:val="38"/>
        <w:spacing w:line="500" w:lineRule="atLeast"/>
        <w:ind w:firstLine="433"/>
        <w:rPr>
          <w:rFonts w:ascii="宋体" w:eastAsia="宋体"/>
          <w:color w:val="auto"/>
          <w:sz w:val="21"/>
          <w:szCs w:val="21"/>
          <w:highlight w:val="none"/>
        </w:rPr>
      </w:pPr>
    </w:p>
    <w:p w14:paraId="33BF4F99">
      <w:pPr>
        <w:pStyle w:val="38"/>
        <w:spacing w:line="500" w:lineRule="atLeast"/>
        <w:ind w:firstLine="433"/>
        <w:rPr>
          <w:rFonts w:ascii="宋体" w:eastAsia="宋体"/>
          <w:color w:val="auto"/>
          <w:sz w:val="21"/>
          <w:szCs w:val="21"/>
          <w:highlight w:val="none"/>
        </w:rPr>
      </w:pPr>
    </w:p>
    <w:p w14:paraId="4D062D82">
      <w:pPr>
        <w:pStyle w:val="38"/>
        <w:spacing w:line="500" w:lineRule="atLeast"/>
        <w:ind w:firstLine="433"/>
        <w:rPr>
          <w:rFonts w:ascii="宋体" w:eastAsia="宋体"/>
          <w:color w:val="auto"/>
          <w:sz w:val="21"/>
          <w:szCs w:val="21"/>
          <w:highlight w:val="none"/>
        </w:rPr>
      </w:pPr>
    </w:p>
    <w:p w14:paraId="349EE43B">
      <w:pPr>
        <w:pStyle w:val="38"/>
        <w:spacing w:line="500" w:lineRule="atLeast"/>
        <w:ind w:firstLine="433"/>
        <w:rPr>
          <w:rFonts w:ascii="宋体" w:eastAsia="宋体"/>
          <w:color w:val="auto"/>
          <w:sz w:val="21"/>
          <w:szCs w:val="21"/>
          <w:highlight w:val="none"/>
        </w:rPr>
      </w:pPr>
    </w:p>
    <w:p w14:paraId="2F7E4486">
      <w:pPr>
        <w:pStyle w:val="38"/>
        <w:spacing w:line="500" w:lineRule="atLeast"/>
        <w:ind w:firstLine="433"/>
        <w:rPr>
          <w:rFonts w:ascii="宋体" w:eastAsia="宋体"/>
          <w:color w:val="auto"/>
          <w:sz w:val="21"/>
          <w:szCs w:val="21"/>
          <w:highlight w:val="none"/>
        </w:rPr>
      </w:pPr>
    </w:p>
    <w:p w14:paraId="31D0EFBB">
      <w:pPr>
        <w:pStyle w:val="4"/>
        <w:jc w:val="center"/>
        <w:rPr>
          <w:color w:val="auto"/>
          <w:highlight w:val="none"/>
        </w:rPr>
      </w:pPr>
      <w:bookmarkStart w:id="308" w:name="_Toc11992"/>
      <w:bookmarkStart w:id="309" w:name="_Toc29995"/>
      <w:bookmarkStart w:id="310" w:name="_Toc17470"/>
      <w:bookmarkStart w:id="311" w:name="_Toc1511"/>
      <w:bookmarkStart w:id="312" w:name="_Toc24210"/>
      <w:bookmarkStart w:id="313" w:name="_Toc4926"/>
      <w:bookmarkStart w:id="314" w:name="_Toc5919"/>
      <w:r>
        <w:rPr>
          <w:rFonts w:hint="eastAsia"/>
          <w:color w:val="auto"/>
          <w:highlight w:val="none"/>
        </w:rPr>
        <w:t>七、营业执照</w:t>
      </w:r>
      <w:bookmarkEnd w:id="308"/>
      <w:bookmarkEnd w:id="309"/>
      <w:bookmarkEnd w:id="310"/>
      <w:bookmarkEnd w:id="311"/>
      <w:bookmarkEnd w:id="312"/>
      <w:bookmarkEnd w:id="313"/>
      <w:bookmarkEnd w:id="314"/>
    </w:p>
    <w:p w14:paraId="32B78054">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45E05147">
      <w:pPr>
        <w:ind w:firstLine="420" w:firstLineChars="200"/>
        <w:rPr>
          <w:color w:val="auto"/>
          <w:highlight w:val="none"/>
        </w:rPr>
      </w:pPr>
      <w:r>
        <w:rPr>
          <w:rFonts w:hint="eastAsia"/>
          <w:color w:val="auto"/>
          <w:highlight w:val="none"/>
        </w:rPr>
        <w:t>供应商应提供相关证明复印件盖公章。</w:t>
      </w:r>
    </w:p>
    <w:p w14:paraId="72366FBE">
      <w:pPr>
        <w:jc w:val="center"/>
        <w:rPr>
          <w:color w:val="auto"/>
          <w:highlight w:val="none"/>
        </w:rPr>
      </w:pPr>
      <w:r>
        <w:rPr>
          <w:rFonts w:hint="eastAsia" w:ascii="黑体" w:eastAsia="黑体"/>
          <w:color w:val="auto"/>
          <w:sz w:val="28"/>
          <w:szCs w:val="28"/>
          <w:highlight w:val="none"/>
        </w:rPr>
        <w:br w:type="page"/>
      </w:r>
    </w:p>
    <w:bookmarkEnd w:id="305"/>
    <w:p w14:paraId="1522D072">
      <w:pPr>
        <w:pStyle w:val="4"/>
        <w:jc w:val="center"/>
        <w:rPr>
          <w:color w:val="auto"/>
          <w:highlight w:val="none"/>
        </w:rPr>
      </w:pPr>
      <w:bookmarkStart w:id="315" w:name="_Toc12706"/>
      <w:bookmarkStart w:id="316" w:name="_Toc29439"/>
      <w:r>
        <w:rPr>
          <w:rFonts w:hint="eastAsia"/>
          <w:color w:val="auto"/>
          <w:highlight w:val="none"/>
        </w:rPr>
        <w:t>八、特殊资格要求证明文件</w:t>
      </w:r>
      <w:bookmarkEnd w:id="315"/>
      <w:bookmarkEnd w:id="316"/>
    </w:p>
    <w:p w14:paraId="2C1BFBC9">
      <w:pPr>
        <w:ind w:firstLine="420" w:firstLineChars="200"/>
        <w:rPr>
          <w:rFonts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5EDBEB14">
      <w:pPr>
        <w:pStyle w:val="7"/>
        <w:rPr>
          <w:color w:val="auto"/>
          <w:sz w:val="21"/>
          <w:szCs w:val="21"/>
          <w:highlight w:val="none"/>
        </w:rPr>
      </w:pPr>
    </w:p>
    <w:p w14:paraId="5B867330">
      <w:pPr>
        <w:rPr>
          <w:rFonts w:ascii="宋体" w:hAnsi="宋体" w:cs="宋体"/>
          <w:color w:val="auto"/>
          <w:szCs w:val="21"/>
          <w:highlight w:val="none"/>
        </w:rPr>
      </w:pPr>
    </w:p>
    <w:p w14:paraId="57C19345">
      <w:pPr>
        <w:pStyle w:val="7"/>
        <w:rPr>
          <w:color w:val="auto"/>
          <w:sz w:val="21"/>
          <w:szCs w:val="21"/>
          <w:highlight w:val="none"/>
        </w:rPr>
      </w:pPr>
    </w:p>
    <w:p w14:paraId="565CEFA0">
      <w:pPr>
        <w:rPr>
          <w:rFonts w:ascii="宋体" w:hAnsi="宋体" w:cs="宋体"/>
          <w:color w:val="auto"/>
          <w:szCs w:val="21"/>
          <w:highlight w:val="none"/>
        </w:rPr>
      </w:pPr>
    </w:p>
    <w:p w14:paraId="2902BA85">
      <w:pPr>
        <w:pStyle w:val="7"/>
        <w:rPr>
          <w:color w:val="auto"/>
          <w:sz w:val="21"/>
          <w:szCs w:val="21"/>
          <w:highlight w:val="none"/>
        </w:rPr>
      </w:pPr>
    </w:p>
    <w:p w14:paraId="67EDBD15">
      <w:pPr>
        <w:rPr>
          <w:rFonts w:ascii="宋体" w:hAnsi="宋体" w:cs="宋体"/>
          <w:color w:val="auto"/>
          <w:szCs w:val="21"/>
          <w:highlight w:val="none"/>
        </w:rPr>
      </w:pPr>
    </w:p>
    <w:p w14:paraId="09A1805A">
      <w:pPr>
        <w:pStyle w:val="7"/>
        <w:rPr>
          <w:color w:val="auto"/>
          <w:sz w:val="21"/>
          <w:szCs w:val="21"/>
          <w:highlight w:val="none"/>
        </w:rPr>
      </w:pPr>
    </w:p>
    <w:p w14:paraId="055A5359">
      <w:pPr>
        <w:rPr>
          <w:rFonts w:ascii="宋体" w:hAnsi="宋体" w:cs="宋体"/>
          <w:color w:val="auto"/>
          <w:szCs w:val="21"/>
          <w:highlight w:val="none"/>
        </w:rPr>
      </w:pPr>
    </w:p>
    <w:p w14:paraId="1AB60494">
      <w:pPr>
        <w:pStyle w:val="7"/>
        <w:rPr>
          <w:color w:val="auto"/>
          <w:sz w:val="21"/>
          <w:szCs w:val="21"/>
          <w:highlight w:val="none"/>
        </w:rPr>
      </w:pPr>
    </w:p>
    <w:p w14:paraId="03BE49B2">
      <w:pPr>
        <w:rPr>
          <w:rFonts w:ascii="宋体" w:hAnsi="宋体" w:cs="宋体"/>
          <w:color w:val="auto"/>
          <w:szCs w:val="21"/>
          <w:highlight w:val="none"/>
        </w:rPr>
      </w:pPr>
    </w:p>
    <w:p w14:paraId="655BF6A0">
      <w:pPr>
        <w:pStyle w:val="7"/>
        <w:rPr>
          <w:color w:val="auto"/>
          <w:sz w:val="21"/>
          <w:szCs w:val="21"/>
          <w:highlight w:val="none"/>
        </w:rPr>
      </w:pPr>
    </w:p>
    <w:p w14:paraId="05648666">
      <w:pPr>
        <w:rPr>
          <w:rFonts w:ascii="宋体" w:hAnsi="宋体" w:cs="宋体"/>
          <w:color w:val="auto"/>
          <w:szCs w:val="21"/>
          <w:highlight w:val="none"/>
        </w:rPr>
      </w:pPr>
    </w:p>
    <w:p w14:paraId="3E8CD7D4">
      <w:pPr>
        <w:pStyle w:val="7"/>
        <w:rPr>
          <w:color w:val="auto"/>
          <w:sz w:val="21"/>
          <w:szCs w:val="21"/>
          <w:highlight w:val="none"/>
        </w:rPr>
      </w:pPr>
    </w:p>
    <w:p w14:paraId="130E851A">
      <w:pPr>
        <w:rPr>
          <w:rFonts w:ascii="宋体" w:hAnsi="宋体" w:cs="宋体"/>
          <w:color w:val="auto"/>
          <w:szCs w:val="21"/>
          <w:highlight w:val="none"/>
        </w:rPr>
      </w:pPr>
    </w:p>
    <w:p w14:paraId="1FF698C8">
      <w:pPr>
        <w:pStyle w:val="7"/>
        <w:rPr>
          <w:color w:val="auto"/>
          <w:sz w:val="21"/>
          <w:szCs w:val="21"/>
          <w:highlight w:val="none"/>
        </w:rPr>
      </w:pPr>
    </w:p>
    <w:p w14:paraId="7562E1A9">
      <w:pPr>
        <w:rPr>
          <w:rFonts w:ascii="宋体" w:hAnsi="宋体" w:cs="宋体"/>
          <w:color w:val="auto"/>
          <w:szCs w:val="21"/>
          <w:highlight w:val="none"/>
        </w:rPr>
      </w:pPr>
    </w:p>
    <w:p w14:paraId="33926BF6">
      <w:pPr>
        <w:pStyle w:val="7"/>
        <w:rPr>
          <w:color w:val="auto"/>
          <w:sz w:val="21"/>
          <w:szCs w:val="21"/>
          <w:highlight w:val="none"/>
        </w:rPr>
      </w:pPr>
    </w:p>
    <w:p w14:paraId="5DCB4320">
      <w:pPr>
        <w:rPr>
          <w:rFonts w:ascii="宋体" w:hAnsi="宋体" w:cs="宋体"/>
          <w:color w:val="auto"/>
          <w:szCs w:val="21"/>
          <w:highlight w:val="none"/>
        </w:rPr>
      </w:pPr>
    </w:p>
    <w:p w14:paraId="153E6278">
      <w:pPr>
        <w:pStyle w:val="7"/>
        <w:rPr>
          <w:color w:val="auto"/>
          <w:sz w:val="21"/>
          <w:szCs w:val="21"/>
          <w:highlight w:val="none"/>
        </w:rPr>
      </w:pPr>
    </w:p>
    <w:p w14:paraId="2180A0BF">
      <w:pPr>
        <w:rPr>
          <w:rFonts w:ascii="宋体" w:hAnsi="宋体" w:cs="宋体"/>
          <w:color w:val="auto"/>
          <w:szCs w:val="21"/>
          <w:highlight w:val="none"/>
        </w:rPr>
      </w:pPr>
    </w:p>
    <w:p w14:paraId="0D5463FB">
      <w:pPr>
        <w:pStyle w:val="7"/>
        <w:rPr>
          <w:color w:val="auto"/>
          <w:sz w:val="21"/>
          <w:szCs w:val="21"/>
          <w:highlight w:val="none"/>
        </w:rPr>
      </w:pPr>
    </w:p>
    <w:p w14:paraId="337FDAE4">
      <w:pPr>
        <w:rPr>
          <w:rFonts w:ascii="宋体" w:hAnsi="宋体" w:cs="宋体"/>
          <w:color w:val="auto"/>
          <w:szCs w:val="21"/>
          <w:highlight w:val="none"/>
        </w:rPr>
      </w:pPr>
    </w:p>
    <w:p w14:paraId="01808DAD">
      <w:pPr>
        <w:pStyle w:val="7"/>
        <w:rPr>
          <w:color w:val="auto"/>
          <w:sz w:val="21"/>
          <w:szCs w:val="21"/>
          <w:highlight w:val="none"/>
        </w:rPr>
      </w:pPr>
    </w:p>
    <w:p w14:paraId="22A6BDCB">
      <w:pPr>
        <w:rPr>
          <w:rFonts w:ascii="宋体" w:hAnsi="宋体" w:cs="宋体"/>
          <w:color w:val="auto"/>
          <w:szCs w:val="21"/>
          <w:highlight w:val="none"/>
        </w:rPr>
      </w:pPr>
    </w:p>
    <w:p w14:paraId="4AD9FC5F">
      <w:pPr>
        <w:pStyle w:val="7"/>
        <w:rPr>
          <w:color w:val="auto"/>
          <w:highlight w:val="none"/>
        </w:rPr>
      </w:pPr>
    </w:p>
    <w:p w14:paraId="68D72B8F">
      <w:pPr>
        <w:pStyle w:val="4"/>
        <w:jc w:val="center"/>
        <w:rPr>
          <w:color w:val="auto"/>
          <w:highlight w:val="none"/>
        </w:rPr>
      </w:pPr>
      <w:bookmarkStart w:id="317" w:name="_Toc14482"/>
      <w:bookmarkStart w:id="318" w:name="_Toc23341"/>
      <w:r>
        <w:rPr>
          <w:rFonts w:hint="eastAsia"/>
          <w:color w:val="auto"/>
          <w:highlight w:val="none"/>
        </w:rPr>
        <w:t>九、承诺书</w:t>
      </w:r>
      <w:bookmarkEnd w:id="317"/>
      <w:bookmarkEnd w:id="318"/>
    </w:p>
    <w:p w14:paraId="4A173445">
      <w:pPr>
        <w:pStyle w:val="38"/>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1E5D3FFB">
      <w:pPr>
        <w:jc w:val="center"/>
        <w:rPr>
          <w:rFonts w:ascii="宋体" w:hAnsi="宋体" w:cs="宋体"/>
          <w:color w:val="auto"/>
          <w:szCs w:val="21"/>
          <w:highlight w:val="none"/>
        </w:rPr>
      </w:pPr>
    </w:p>
    <w:p w14:paraId="7AD08D1F">
      <w:pPr>
        <w:pStyle w:val="38"/>
        <w:spacing w:line="420" w:lineRule="exact"/>
        <w:ind w:firstLine="433"/>
        <w:rPr>
          <w:rFonts w:ascii="宋体" w:eastAsia="宋体" w:cs="宋体"/>
          <w:color w:val="auto"/>
          <w:sz w:val="21"/>
          <w:szCs w:val="21"/>
          <w:highlight w:val="none"/>
        </w:rPr>
      </w:pPr>
      <w:bookmarkStart w:id="319"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）磋商文件的所有内容（包括澄清，以及所有已提供的参考资料和有关附件），并完全理解上述文件所表达的意思，该项目递交响应文件时间截止后，我方承诺不再对上述文件内容进行询问或质疑。</w:t>
      </w:r>
      <w:bookmarkEnd w:id="319"/>
      <w:r>
        <w:rPr>
          <w:rFonts w:hint="eastAsia" w:ascii="宋体" w:eastAsia="宋体" w:cs="宋体"/>
          <w:color w:val="auto"/>
          <w:sz w:val="21"/>
          <w:szCs w:val="21"/>
          <w:highlight w:val="none"/>
        </w:rPr>
        <w:cr/>
      </w:r>
    </w:p>
    <w:p w14:paraId="2B83E612">
      <w:pPr>
        <w:pStyle w:val="38"/>
        <w:spacing w:line="420" w:lineRule="exact"/>
        <w:ind w:firstLine="433"/>
        <w:rPr>
          <w:rFonts w:ascii="宋体" w:eastAsia="宋体" w:cs="宋体"/>
          <w:color w:val="auto"/>
          <w:sz w:val="21"/>
          <w:szCs w:val="21"/>
          <w:highlight w:val="none"/>
        </w:rPr>
      </w:pPr>
    </w:p>
    <w:p w14:paraId="2BBDFC41">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供应商名称（加盖公章）：</w:t>
      </w:r>
    </w:p>
    <w:p w14:paraId="29437DE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3800437E">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5DA67EEB">
      <w:pPr>
        <w:pStyle w:val="7"/>
        <w:rPr>
          <w:color w:val="auto"/>
          <w:sz w:val="21"/>
          <w:szCs w:val="21"/>
          <w:highlight w:val="none"/>
        </w:rPr>
      </w:pPr>
    </w:p>
    <w:p w14:paraId="316B2FC8">
      <w:pPr>
        <w:rPr>
          <w:rFonts w:ascii="宋体" w:hAnsi="宋体" w:cs="宋体"/>
          <w:color w:val="auto"/>
          <w:szCs w:val="21"/>
          <w:highlight w:val="none"/>
        </w:rPr>
      </w:pPr>
    </w:p>
    <w:p w14:paraId="58A0B889">
      <w:pPr>
        <w:pStyle w:val="7"/>
        <w:rPr>
          <w:color w:val="auto"/>
          <w:sz w:val="21"/>
          <w:szCs w:val="21"/>
          <w:highlight w:val="none"/>
        </w:rPr>
      </w:pPr>
    </w:p>
    <w:p w14:paraId="53D6B4BA">
      <w:pPr>
        <w:rPr>
          <w:rFonts w:ascii="宋体" w:hAnsi="宋体" w:cs="宋体"/>
          <w:color w:val="auto"/>
          <w:szCs w:val="21"/>
          <w:highlight w:val="none"/>
        </w:rPr>
      </w:pPr>
    </w:p>
    <w:p w14:paraId="3E808A08">
      <w:pPr>
        <w:pStyle w:val="7"/>
        <w:rPr>
          <w:color w:val="auto"/>
          <w:sz w:val="21"/>
          <w:szCs w:val="21"/>
          <w:highlight w:val="none"/>
        </w:rPr>
      </w:pPr>
    </w:p>
    <w:p w14:paraId="329F0809">
      <w:pPr>
        <w:rPr>
          <w:rFonts w:ascii="宋体" w:hAnsi="宋体" w:cs="宋体"/>
          <w:color w:val="auto"/>
          <w:szCs w:val="21"/>
          <w:highlight w:val="none"/>
        </w:rPr>
      </w:pPr>
    </w:p>
    <w:p w14:paraId="3974308A">
      <w:pPr>
        <w:pStyle w:val="7"/>
        <w:rPr>
          <w:color w:val="auto"/>
          <w:sz w:val="21"/>
          <w:szCs w:val="21"/>
          <w:highlight w:val="none"/>
        </w:rPr>
      </w:pPr>
    </w:p>
    <w:p w14:paraId="31A290A9">
      <w:pPr>
        <w:rPr>
          <w:rFonts w:ascii="宋体" w:hAnsi="宋体" w:cs="宋体"/>
          <w:color w:val="auto"/>
          <w:szCs w:val="21"/>
          <w:highlight w:val="none"/>
        </w:rPr>
      </w:pPr>
    </w:p>
    <w:p w14:paraId="3B0B1C31">
      <w:pPr>
        <w:pStyle w:val="7"/>
        <w:rPr>
          <w:color w:val="auto"/>
          <w:sz w:val="21"/>
          <w:szCs w:val="21"/>
          <w:highlight w:val="none"/>
        </w:rPr>
      </w:pPr>
    </w:p>
    <w:p w14:paraId="15317013">
      <w:pPr>
        <w:rPr>
          <w:rFonts w:ascii="宋体" w:hAnsi="宋体" w:cs="宋体"/>
          <w:color w:val="auto"/>
          <w:szCs w:val="21"/>
          <w:highlight w:val="none"/>
        </w:rPr>
      </w:pPr>
    </w:p>
    <w:p w14:paraId="4C8ACC03">
      <w:pPr>
        <w:pStyle w:val="7"/>
        <w:rPr>
          <w:color w:val="auto"/>
          <w:sz w:val="21"/>
          <w:szCs w:val="21"/>
          <w:highlight w:val="none"/>
        </w:rPr>
      </w:pPr>
    </w:p>
    <w:p w14:paraId="2554A99E">
      <w:pPr>
        <w:rPr>
          <w:rFonts w:ascii="宋体" w:hAnsi="宋体" w:cs="宋体"/>
          <w:color w:val="auto"/>
          <w:szCs w:val="21"/>
          <w:highlight w:val="none"/>
        </w:rPr>
      </w:pPr>
    </w:p>
    <w:p w14:paraId="78125A8F">
      <w:pPr>
        <w:pStyle w:val="7"/>
        <w:rPr>
          <w:color w:val="auto"/>
          <w:sz w:val="21"/>
          <w:szCs w:val="21"/>
          <w:highlight w:val="none"/>
        </w:rPr>
      </w:pPr>
    </w:p>
    <w:p w14:paraId="4C387DE8">
      <w:pPr>
        <w:rPr>
          <w:rFonts w:ascii="宋体" w:hAnsi="宋体" w:cs="宋体"/>
          <w:color w:val="auto"/>
          <w:szCs w:val="21"/>
          <w:highlight w:val="none"/>
        </w:rPr>
      </w:pPr>
    </w:p>
    <w:p w14:paraId="50C8A7AA">
      <w:pPr>
        <w:pStyle w:val="7"/>
        <w:rPr>
          <w:color w:val="auto"/>
          <w:sz w:val="21"/>
          <w:szCs w:val="21"/>
          <w:highlight w:val="none"/>
        </w:rPr>
      </w:pPr>
    </w:p>
    <w:p w14:paraId="4D573D2F">
      <w:pPr>
        <w:rPr>
          <w:rFonts w:ascii="宋体" w:hAnsi="宋体" w:cs="宋体"/>
          <w:color w:val="auto"/>
          <w:szCs w:val="21"/>
          <w:highlight w:val="none"/>
        </w:rPr>
      </w:pPr>
    </w:p>
    <w:p w14:paraId="793EA08B">
      <w:pPr>
        <w:rPr>
          <w:color w:val="auto"/>
          <w:highlight w:val="none"/>
        </w:rPr>
      </w:pPr>
    </w:p>
    <w:p w14:paraId="280C0C09">
      <w:pPr>
        <w:pStyle w:val="4"/>
        <w:jc w:val="center"/>
        <w:rPr>
          <w:color w:val="auto"/>
          <w:highlight w:val="none"/>
        </w:rPr>
      </w:pPr>
      <w:bookmarkStart w:id="320" w:name="_Toc31815"/>
      <w:bookmarkStart w:id="321" w:name="_Toc13653"/>
      <w:r>
        <w:rPr>
          <w:rFonts w:hint="eastAsia"/>
          <w:color w:val="auto"/>
          <w:highlight w:val="none"/>
        </w:rPr>
        <w:t>十、招标代理服务费承诺书</w:t>
      </w:r>
      <w:bookmarkEnd w:id="320"/>
      <w:bookmarkEnd w:id="321"/>
    </w:p>
    <w:p w14:paraId="20EA9A88">
      <w:pPr>
        <w:pStyle w:val="38"/>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408A195F">
      <w:pPr>
        <w:pStyle w:val="10"/>
        <w:ind w:firstLine="420"/>
        <w:rPr>
          <w:rFonts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（供应商名称）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505370DF">
      <w:pPr>
        <w:ind w:firstLine="420" w:firstLineChars="200"/>
        <w:rPr>
          <w:color w:val="auto"/>
          <w:highlight w:val="none"/>
        </w:rPr>
      </w:pPr>
      <w:r>
        <w:rPr>
          <w:rFonts w:hint="eastAsia"/>
          <w:color w:val="auto"/>
          <w:highlight w:val="none"/>
        </w:rPr>
        <w:t>特此承诺。</w:t>
      </w:r>
    </w:p>
    <w:p w14:paraId="7D41C160">
      <w:pPr>
        <w:jc w:val="center"/>
        <w:rPr>
          <w:rFonts w:ascii="宋体" w:hAnsi="宋体" w:cs="宋体"/>
          <w:color w:val="auto"/>
          <w:szCs w:val="21"/>
          <w:highlight w:val="none"/>
        </w:rPr>
      </w:pPr>
    </w:p>
    <w:p w14:paraId="14B020A6">
      <w:pPr>
        <w:rPr>
          <w:color w:val="auto"/>
          <w:highlight w:val="none"/>
        </w:rPr>
      </w:pPr>
    </w:p>
    <w:p w14:paraId="4BD65133">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供应商名称（加盖公章）：</w:t>
      </w:r>
    </w:p>
    <w:p w14:paraId="764F7A69">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1707F9BD">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日      期：</w:t>
      </w:r>
    </w:p>
    <w:p w14:paraId="50E048B4">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0502F3CA">
      <w:pPr>
        <w:pStyle w:val="4"/>
        <w:jc w:val="center"/>
        <w:rPr>
          <w:color w:val="auto"/>
          <w:highlight w:val="none"/>
        </w:rPr>
      </w:pPr>
      <w:bookmarkStart w:id="322" w:name="_Toc21582"/>
      <w:bookmarkStart w:id="323" w:name="_Toc1975"/>
      <w:r>
        <w:rPr>
          <w:rFonts w:hint="eastAsia"/>
          <w:color w:val="auto"/>
          <w:highlight w:val="none"/>
        </w:rPr>
        <w:t>十一、商务条款偏离表</w:t>
      </w:r>
      <w:bookmarkEnd w:id="322"/>
      <w:bookmarkEnd w:id="323"/>
    </w:p>
    <w:tbl>
      <w:tblPr>
        <w:tblStyle w:val="23"/>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60CEC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2210794F">
            <w:pPr>
              <w:jc w:val="center"/>
              <w:rPr>
                <w:rFonts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02FFAC1A">
            <w:pPr>
              <w:jc w:val="center"/>
              <w:rPr>
                <w:rFonts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177204F6">
            <w:pPr>
              <w:jc w:val="center"/>
              <w:rPr>
                <w:rFonts w:ascii="宋体" w:hAnsi="宋体"/>
                <w:color w:val="auto"/>
                <w:szCs w:val="21"/>
                <w:highlight w:val="none"/>
              </w:rPr>
            </w:pPr>
            <w:r>
              <w:rPr>
                <w:rFonts w:hint="eastAsia" w:ascii="宋体" w:hAnsi="宋体"/>
                <w:color w:val="auto"/>
                <w:szCs w:val="21"/>
                <w:highlight w:val="none"/>
              </w:rPr>
              <w:t>磋商文件要求</w:t>
            </w:r>
          </w:p>
        </w:tc>
        <w:tc>
          <w:tcPr>
            <w:tcW w:w="1920" w:type="dxa"/>
            <w:tcBorders>
              <w:tl2br w:val="nil"/>
              <w:tr2bl w:val="nil"/>
            </w:tcBorders>
            <w:vAlign w:val="center"/>
          </w:tcPr>
          <w:p w14:paraId="2406AF2B">
            <w:pPr>
              <w:jc w:val="center"/>
              <w:rPr>
                <w:rFonts w:ascii="宋体" w:hAnsi="宋体"/>
                <w:color w:val="auto"/>
                <w:szCs w:val="21"/>
                <w:highlight w:val="none"/>
              </w:rPr>
            </w:pPr>
            <w:r>
              <w:rPr>
                <w:rFonts w:hint="eastAsia" w:ascii="宋体" w:hAnsi="宋体"/>
                <w:color w:val="auto"/>
                <w:szCs w:val="21"/>
                <w:highlight w:val="none"/>
              </w:rPr>
              <w:t>实际响应</w:t>
            </w:r>
          </w:p>
        </w:tc>
        <w:tc>
          <w:tcPr>
            <w:tcW w:w="1412" w:type="dxa"/>
            <w:tcBorders>
              <w:tl2br w:val="nil"/>
              <w:tr2bl w:val="nil"/>
            </w:tcBorders>
            <w:vAlign w:val="center"/>
          </w:tcPr>
          <w:p w14:paraId="1A5365E7">
            <w:pPr>
              <w:jc w:val="center"/>
              <w:rPr>
                <w:rFonts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62C59CA7">
            <w:pPr>
              <w:jc w:val="center"/>
              <w:rPr>
                <w:rFonts w:ascii="宋体" w:hAnsi="宋体"/>
                <w:color w:val="auto"/>
                <w:szCs w:val="21"/>
                <w:highlight w:val="none"/>
              </w:rPr>
            </w:pPr>
            <w:r>
              <w:rPr>
                <w:rFonts w:hint="eastAsia" w:ascii="宋体" w:hAnsi="宋体"/>
                <w:color w:val="auto"/>
                <w:szCs w:val="21"/>
                <w:highlight w:val="none"/>
              </w:rPr>
              <w:t>说明</w:t>
            </w:r>
          </w:p>
        </w:tc>
      </w:tr>
      <w:tr w14:paraId="74C17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AC37749">
            <w:pPr>
              <w:jc w:val="center"/>
              <w:rPr>
                <w:rFonts w:ascii="宋体" w:hAnsi="宋体"/>
                <w:color w:val="auto"/>
                <w:szCs w:val="21"/>
                <w:highlight w:val="none"/>
              </w:rPr>
            </w:pPr>
          </w:p>
        </w:tc>
        <w:tc>
          <w:tcPr>
            <w:tcW w:w="1590" w:type="dxa"/>
            <w:tcBorders>
              <w:tl2br w:val="nil"/>
              <w:tr2bl w:val="nil"/>
            </w:tcBorders>
            <w:vAlign w:val="center"/>
          </w:tcPr>
          <w:p w14:paraId="43C8C7AD">
            <w:pPr>
              <w:jc w:val="center"/>
              <w:rPr>
                <w:rFonts w:ascii="宋体" w:hAnsi="宋体"/>
                <w:color w:val="auto"/>
                <w:szCs w:val="21"/>
                <w:highlight w:val="none"/>
              </w:rPr>
            </w:pPr>
          </w:p>
        </w:tc>
        <w:tc>
          <w:tcPr>
            <w:tcW w:w="1755" w:type="dxa"/>
            <w:tcBorders>
              <w:tl2br w:val="nil"/>
              <w:tr2bl w:val="nil"/>
            </w:tcBorders>
            <w:vAlign w:val="center"/>
          </w:tcPr>
          <w:p w14:paraId="5F119386">
            <w:pPr>
              <w:jc w:val="center"/>
              <w:rPr>
                <w:rFonts w:ascii="宋体" w:hAnsi="宋体"/>
                <w:color w:val="auto"/>
                <w:szCs w:val="21"/>
                <w:highlight w:val="none"/>
              </w:rPr>
            </w:pPr>
          </w:p>
        </w:tc>
        <w:tc>
          <w:tcPr>
            <w:tcW w:w="1920" w:type="dxa"/>
            <w:tcBorders>
              <w:tl2br w:val="nil"/>
              <w:tr2bl w:val="nil"/>
            </w:tcBorders>
            <w:vAlign w:val="center"/>
          </w:tcPr>
          <w:p w14:paraId="10BB596D">
            <w:pPr>
              <w:jc w:val="center"/>
              <w:rPr>
                <w:rFonts w:ascii="宋体" w:hAnsi="宋体"/>
                <w:color w:val="auto"/>
                <w:szCs w:val="21"/>
                <w:highlight w:val="none"/>
              </w:rPr>
            </w:pPr>
          </w:p>
        </w:tc>
        <w:tc>
          <w:tcPr>
            <w:tcW w:w="1412" w:type="dxa"/>
            <w:tcBorders>
              <w:tl2br w:val="nil"/>
              <w:tr2bl w:val="nil"/>
            </w:tcBorders>
            <w:vAlign w:val="center"/>
          </w:tcPr>
          <w:p w14:paraId="2CB3DF45">
            <w:pPr>
              <w:jc w:val="center"/>
              <w:rPr>
                <w:rFonts w:ascii="宋体" w:hAnsi="宋体"/>
                <w:color w:val="auto"/>
                <w:szCs w:val="21"/>
                <w:highlight w:val="none"/>
              </w:rPr>
            </w:pPr>
          </w:p>
        </w:tc>
        <w:tc>
          <w:tcPr>
            <w:tcW w:w="867" w:type="dxa"/>
            <w:tcBorders>
              <w:tl2br w:val="nil"/>
              <w:tr2bl w:val="nil"/>
            </w:tcBorders>
            <w:vAlign w:val="center"/>
          </w:tcPr>
          <w:p w14:paraId="74A72075">
            <w:pPr>
              <w:jc w:val="center"/>
              <w:rPr>
                <w:rFonts w:ascii="宋体" w:hAnsi="宋体"/>
                <w:color w:val="auto"/>
                <w:szCs w:val="21"/>
                <w:highlight w:val="none"/>
              </w:rPr>
            </w:pPr>
          </w:p>
        </w:tc>
      </w:tr>
      <w:tr w14:paraId="2F03B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016D897">
            <w:pPr>
              <w:jc w:val="center"/>
              <w:rPr>
                <w:rFonts w:ascii="宋体" w:hAnsi="宋体"/>
                <w:color w:val="auto"/>
                <w:szCs w:val="21"/>
                <w:highlight w:val="none"/>
              </w:rPr>
            </w:pPr>
          </w:p>
        </w:tc>
        <w:tc>
          <w:tcPr>
            <w:tcW w:w="1590" w:type="dxa"/>
            <w:tcBorders>
              <w:tl2br w:val="nil"/>
              <w:tr2bl w:val="nil"/>
            </w:tcBorders>
            <w:vAlign w:val="center"/>
          </w:tcPr>
          <w:p w14:paraId="6224B03E">
            <w:pPr>
              <w:jc w:val="center"/>
              <w:rPr>
                <w:rFonts w:ascii="宋体" w:hAnsi="宋体"/>
                <w:color w:val="auto"/>
                <w:szCs w:val="21"/>
                <w:highlight w:val="none"/>
              </w:rPr>
            </w:pPr>
          </w:p>
        </w:tc>
        <w:tc>
          <w:tcPr>
            <w:tcW w:w="1755" w:type="dxa"/>
            <w:tcBorders>
              <w:tl2br w:val="nil"/>
              <w:tr2bl w:val="nil"/>
            </w:tcBorders>
            <w:vAlign w:val="center"/>
          </w:tcPr>
          <w:p w14:paraId="5BFF5392">
            <w:pPr>
              <w:jc w:val="center"/>
              <w:rPr>
                <w:rFonts w:ascii="宋体" w:hAnsi="宋体"/>
                <w:color w:val="auto"/>
                <w:szCs w:val="21"/>
                <w:highlight w:val="none"/>
              </w:rPr>
            </w:pPr>
          </w:p>
        </w:tc>
        <w:tc>
          <w:tcPr>
            <w:tcW w:w="1920" w:type="dxa"/>
            <w:tcBorders>
              <w:tl2br w:val="nil"/>
              <w:tr2bl w:val="nil"/>
            </w:tcBorders>
            <w:vAlign w:val="center"/>
          </w:tcPr>
          <w:p w14:paraId="1C6F4F5D">
            <w:pPr>
              <w:jc w:val="center"/>
              <w:rPr>
                <w:rFonts w:ascii="宋体" w:hAnsi="宋体"/>
                <w:color w:val="auto"/>
                <w:szCs w:val="21"/>
                <w:highlight w:val="none"/>
              </w:rPr>
            </w:pPr>
          </w:p>
        </w:tc>
        <w:tc>
          <w:tcPr>
            <w:tcW w:w="1412" w:type="dxa"/>
            <w:tcBorders>
              <w:tl2br w:val="nil"/>
              <w:tr2bl w:val="nil"/>
            </w:tcBorders>
            <w:vAlign w:val="center"/>
          </w:tcPr>
          <w:p w14:paraId="49707E07">
            <w:pPr>
              <w:jc w:val="center"/>
              <w:rPr>
                <w:rFonts w:ascii="宋体" w:hAnsi="宋体"/>
                <w:color w:val="auto"/>
                <w:szCs w:val="21"/>
                <w:highlight w:val="none"/>
              </w:rPr>
            </w:pPr>
          </w:p>
        </w:tc>
        <w:tc>
          <w:tcPr>
            <w:tcW w:w="867" w:type="dxa"/>
            <w:tcBorders>
              <w:tl2br w:val="nil"/>
              <w:tr2bl w:val="nil"/>
            </w:tcBorders>
            <w:vAlign w:val="center"/>
          </w:tcPr>
          <w:p w14:paraId="037D825D">
            <w:pPr>
              <w:jc w:val="center"/>
              <w:rPr>
                <w:rFonts w:ascii="宋体" w:hAnsi="宋体"/>
                <w:color w:val="auto"/>
                <w:szCs w:val="21"/>
                <w:highlight w:val="none"/>
              </w:rPr>
            </w:pPr>
          </w:p>
        </w:tc>
      </w:tr>
      <w:tr w14:paraId="27872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0EA7469">
            <w:pPr>
              <w:jc w:val="center"/>
              <w:rPr>
                <w:rFonts w:ascii="宋体" w:hAnsi="宋体"/>
                <w:color w:val="auto"/>
                <w:szCs w:val="21"/>
                <w:highlight w:val="none"/>
              </w:rPr>
            </w:pPr>
          </w:p>
        </w:tc>
        <w:tc>
          <w:tcPr>
            <w:tcW w:w="1590" w:type="dxa"/>
            <w:tcBorders>
              <w:tl2br w:val="nil"/>
              <w:tr2bl w:val="nil"/>
            </w:tcBorders>
            <w:vAlign w:val="center"/>
          </w:tcPr>
          <w:p w14:paraId="3BA8DE07">
            <w:pPr>
              <w:jc w:val="center"/>
              <w:rPr>
                <w:rFonts w:ascii="宋体" w:hAnsi="宋体"/>
                <w:color w:val="auto"/>
                <w:szCs w:val="21"/>
                <w:highlight w:val="none"/>
              </w:rPr>
            </w:pPr>
          </w:p>
        </w:tc>
        <w:tc>
          <w:tcPr>
            <w:tcW w:w="1755" w:type="dxa"/>
            <w:tcBorders>
              <w:tl2br w:val="nil"/>
              <w:tr2bl w:val="nil"/>
            </w:tcBorders>
            <w:vAlign w:val="center"/>
          </w:tcPr>
          <w:p w14:paraId="27F3C433">
            <w:pPr>
              <w:jc w:val="center"/>
              <w:rPr>
                <w:rFonts w:ascii="宋体" w:hAnsi="宋体"/>
                <w:color w:val="auto"/>
                <w:szCs w:val="21"/>
                <w:highlight w:val="none"/>
              </w:rPr>
            </w:pPr>
          </w:p>
        </w:tc>
        <w:tc>
          <w:tcPr>
            <w:tcW w:w="1920" w:type="dxa"/>
            <w:tcBorders>
              <w:tl2br w:val="nil"/>
              <w:tr2bl w:val="nil"/>
            </w:tcBorders>
            <w:vAlign w:val="center"/>
          </w:tcPr>
          <w:p w14:paraId="7BB35011">
            <w:pPr>
              <w:jc w:val="center"/>
              <w:rPr>
                <w:rFonts w:ascii="宋体" w:hAnsi="宋体"/>
                <w:color w:val="auto"/>
                <w:szCs w:val="21"/>
                <w:highlight w:val="none"/>
              </w:rPr>
            </w:pPr>
          </w:p>
        </w:tc>
        <w:tc>
          <w:tcPr>
            <w:tcW w:w="1412" w:type="dxa"/>
            <w:tcBorders>
              <w:tl2br w:val="nil"/>
              <w:tr2bl w:val="nil"/>
            </w:tcBorders>
            <w:vAlign w:val="center"/>
          </w:tcPr>
          <w:p w14:paraId="49467E6D">
            <w:pPr>
              <w:jc w:val="center"/>
              <w:rPr>
                <w:rFonts w:ascii="宋体" w:hAnsi="宋体"/>
                <w:color w:val="auto"/>
                <w:szCs w:val="21"/>
                <w:highlight w:val="none"/>
              </w:rPr>
            </w:pPr>
          </w:p>
        </w:tc>
        <w:tc>
          <w:tcPr>
            <w:tcW w:w="867" w:type="dxa"/>
            <w:tcBorders>
              <w:tl2br w:val="nil"/>
              <w:tr2bl w:val="nil"/>
            </w:tcBorders>
            <w:vAlign w:val="center"/>
          </w:tcPr>
          <w:p w14:paraId="73F0E0B4">
            <w:pPr>
              <w:jc w:val="center"/>
              <w:rPr>
                <w:rFonts w:ascii="宋体" w:hAnsi="宋体"/>
                <w:color w:val="auto"/>
                <w:szCs w:val="21"/>
                <w:highlight w:val="none"/>
              </w:rPr>
            </w:pPr>
          </w:p>
        </w:tc>
      </w:tr>
      <w:tr w14:paraId="2BF03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E53D74F">
            <w:pPr>
              <w:jc w:val="center"/>
              <w:rPr>
                <w:rFonts w:ascii="宋体" w:hAnsi="宋体"/>
                <w:color w:val="auto"/>
                <w:szCs w:val="21"/>
                <w:highlight w:val="none"/>
              </w:rPr>
            </w:pPr>
          </w:p>
        </w:tc>
        <w:tc>
          <w:tcPr>
            <w:tcW w:w="1590" w:type="dxa"/>
            <w:tcBorders>
              <w:tl2br w:val="nil"/>
              <w:tr2bl w:val="nil"/>
            </w:tcBorders>
            <w:vAlign w:val="center"/>
          </w:tcPr>
          <w:p w14:paraId="5A33EE72">
            <w:pPr>
              <w:jc w:val="center"/>
              <w:rPr>
                <w:rFonts w:ascii="宋体" w:hAnsi="宋体"/>
                <w:color w:val="auto"/>
                <w:szCs w:val="21"/>
                <w:highlight w:val="none"/>
              </w:rPr>
            </w:pPr>
          </w:p>
        </w:tc>
        <w:tc>
          <w:tcPr>
            <w:tcW w:w="1755" w:type="dxa"/>
            <w:tcBorders>
              <w:tl2br w:val="nil"/>
              <w:tr2bl w:val="nil"/>
            </w:tcBorders>
            <w:vAlign w:val="center"/>
          </w:tcPr>
          <w:p w14:paraId="7ACE968B">
            <w:pPr>
              <w:jc w:val="center"/>
              <w:rPr>
                <w:rFonts w:ascii="宋体" w:hAnsi="宋体"/>
                <w:color w:val="auto"/>
                <w:szCs w:val="21"/>
                <w:highlight w:val="none"/>
              </w:rPr>
            </w:pPr>
          </w:p>
        </w:tc>
        <w:tc>
          <w:tcPr>
            <w:tcW w:w="1920" w:type="dxa"/>
            <w:tcBorders>
              <w:tl2br w:val="nil"/>
              <w:tr2bl w:val="nil"/>
            </w:tcBorders>
            <w:vAlign w:val="center"/>
          </w:tcPr>
          <w:p w14:paraId="1D72138E">
            <w:pPr>
              <w:jc w:val="center"/>
              <w:rPr>
                <w:rFonts w:ascii="宋体" w:hAnsi="宋体"/>
                <w:color w:val="auto"/>
                <w:szCs w:val="21"/>
                <w:highlight w:val="none"/>
              </w:rPr>
            </w:pPr>
          </w:p>
        </w:tc>
        <w:tc>
          <w:tcPr>
            <w:tcW w:w="1412" w:type="dxa"/>
            <w:tcBorders>
              <w:tl2br w:val="nil"/>
              <w:tr2bl w:val="nil"/>
            </w:tcBorders>
            <w:vAlign w:val="center"/>
          </w:tcPr>
          <w:p w14:paraId="4FDC7ED5">
            <w:pPr>
              <w:jc w:val="center"/>
              <w:rPr>
                <w:rFonts w:ascii="宋体" w:hAnsi="宋体"/>
                <w:color w:val="auto"/>
                <w:szCs w:val="21"/>
                <w:highlight w:val="none"/>
              </w:rPr>
            </w:pPr>
          </w:p>
        </w:tc>
        <w:tc>
          <w:tcPr>
            <w:tcW w:w="867" w:type="dxa"/>
            <w:tcBorders>
              <w:tl2br w:val="nil"/>
              <w:tr2bl w:val="nil"/>
            </w:tcBorders>
            <w:vAlign w:val="center"/>
          </w:tcPr>
          <w:p w14:paraId="704DBA92">
            <w:pPr>
              <w:jc w:val="center"/>
              <w:rPr>
                <w:rFonts w:ascii="宋体" w:hAnsi="宋体"/>
                <w:color w:val="auto"/>
                <w:szCs w:val="21"/>
                <w:highlight w:val="none"/>
              </w:rPr>
            </w:pPr>
          </w:p>
        </w:tc>
      </w:tr>
      <w:tr w14:paraId="0EA89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E2451A0">
            <w:pPr>
              <w:jc w:val="center"/>
              <w:rPr>
                <w:rFonts w:ascii="宋体" w:hAnsi="宋体"/>
                <w:color w:val="auto"/>
                <w:szCs w:val="21"/>
                <w:highlight w:val="none"/>
              </w:rPr>
            </w:pPr>
          </w:p>
        </w:tc>
        <w:tc>
          <w:tcPr>
            <w:tcW w:w="1590" w:type="dxa"/>
            <w:tcBorders>
              <w:tl2br w:val="nil"/>
              <w:tr2bl w:val="nil"/>
            </w:tcBorders>
            <w:vAlign w:val="center"/>
          </w:tcPr>
          <w:p w14:paraId="1150BCAC">
            <w:pPr>
              <w:jc w:val="center"/>
              <w:rPr>
                <w:rFonts w:ascii="宋体" w:hAnsi="宋体"/>
                <w:color w:val="auto"/>
                <w:szCs w:val="21"/>
                <w:highlight w:val="none"/>
              </w:rPr>
            </w:pPr>
          </w:p>
        </w:tc>
        <w:tc>
          <w:tcPr>
            <w:tcW w:w="1755" w:type="dxa"/>
            <w:tcBorders>
              <w:tl2br w:val="nil"/>
              <w:tr2bl w:val="nil"/>
            </w:tcBorders>
            <w:vAlign w:val="center"/>
          </w:tcPr>
          <w:p w14:paraId="3FD12BAD">
            <w:pPr>
              <w:jc w:val="center"/>
              <w:rPr>
                <w:rFonts w:ascii="宋体" w:hAnsi="宋体"/>
                <w:color w:val="auto"/>
                <w:szCs w:val="21"/>
                <w:highlight w:val="none"/>
              </w:rPr>
            </w:pPr>
          </w:p>
        </w:tc>
        <w:tc>
          <w:tcPr>
            <w:tcW w:w="1920" w:type="dxa"/>
            <w:tcBorders>
              <w:tl2br w:val="nil"/>
              <w:tr2bl w:val="nil"/>
            </w:tcBorders>
            <w:vAlign w:val="center"/>
          </w:tcPr>
          <w:p w14:paraId="3454A305">
            <w:pPr>
              <w:jc w:val="center"/>
              <w:rPr>
                <w:rFonts w:ascii="宋体" w:hAnsi="宋体"/>
                <w:color w:val="auto"/>
                <w:szCs w:val="21"/>
                <w:highlight w:val="none"/>
              </w:rPr>
            </w:pPr>
          </w:p>
        </w:tc>
        <w:tc>
          <w:tcPr>
            <w:tcW w:w="1412" w:type="dxa"/>
            <w:tcBorders>
              <w:tl2br w:val="nil"/>
              <w:tr2bl w:val="nil"/>
            </w:tcBorders>
            <w:vAlign w:val="center"/>
          </w:tcPr>
          <w:p w14:paraId="2EBAA98F">
            <w:pPr>
              <w:jc w:val="center"/>
              <w:rPr>
                <w:rFonts w:ascii="宋体" w:hAnsi="宋体"/>
                <w:color w:val="auto"/>
                <w:szCs w:val="21"/>
                <w:highlight w:val="none"/>
              </w:rPr>
            </w:pPr>
          </w:p>
        </w:tc>
        <w:tc>
          <w:tcPr>
            <w:tcW w:w="867" w:type="dxa"/>
            <w:tcBorders>
              <w:tl2br w:val="nil"/>
              <w:tr2bl w:val="nil"/>
            </w:tcBorders>
            <w:vAlign w:val="center"/>
          </w:tcPr>
          <w:p w14:paraId="2B214FCC">
            <w:pPr>
              <w:jc w:val="center"/>
              <w:rPr>
                <w:rFonts w:ascii="宋体" w:hAnsi="宋体"/>
                <w:color w:val="auto"/>
                <w:szCs w:val="21"/>
                <w:highlight w:val="none"/>
              </w:rPr>
            </w:pPr>
          </w:p>
        </w:tc>
      </w:tr>
      <w:tr w14:paraId="2C2D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F261890">
            <w:pPr>
              <w:jc w:val="center"/>
              <w:rPr>
                <w:rFonts w:ascii="宋体" w:hAnsi="宋体"/>
                <w:color w:val="auto"/>
                <w:szCs w:val="21"/>
                <w:highlight w:val="none"/>
              </w:rPr>
            </w:pPr>
          </w:p>
        </w:tc>
        <w:tc>
          <w:tcPr>
            <w:tcW w:w="1590" w:type="dxa"/>
            <w:tcBorders>
              <w:tl2br w:val="nil"/>
              <w:tr2bl w:val="nil"/>
            </w:tcBorders>
            <w:vAlign w:val="center"/>
          </w:tcPr>
          <w:p w14:paraId="3CC2BBB0">
            <w:pPr>
              <w:jc w:val="center"/>
              <w:rPr>
                <w:rFonts w:ascii="宋体" w:hAnsi="宋体"/>
                <w:color w:val="auto"/>
                <w:szCs w:val="21"/>
                <w:highlight w:val="none"/>
              </w:rPr>
            </w:pPr>
          </w:p>
        </w:tc>
        <w:tc>
          <w:tcPr>
            <w:tcW w:w="1755" w:type="dxa"/>
            <w:tcBorders>
              <w:tl2br w:val="nil"/>
              <w:tr2bl w:val="nil"/>
            </w:tcBorders>
            <w:vAlign w:val="center"/>
          </w:tcPr>
          <w:p w14:paraId="14259271">
            <w:pPr>
              <w:jc w:val="center"/>
              <w:rPr>
                <w:rFonts w:ascii="宋体" w:hAnsi="宋体"/>
                <w:color w:val="auto"/>
                <w:szCs w:val="21"/>
                <w:highlight w:val="none"/>
              </w:rPr>
            </w:pPr>
          </w:p>
        </w:tc>
        <w:tc>
          <w:tcPr>
            <w:tcW w:w="1920" w:type="dxa"/>
            <w:tcBorders>
              <w:tl2br w:val="nil"/>
              <w:tr2bl w:val="nil"/>
            </w:tcBorders>
            <w:vAlign w:val="center"/>
          </w:tcPr>
          <w:p w14:paraId="4108BBD0">
            <w:pPr>
              <w:jc w:val="center"/>
              <w:rPr>
                <w:rFonts w:ascii="宋体" w:hAnsi="宋体"/>
                <w:color w:val="auto"/>
                <w:szCs w:val="21"/>
                <w:highlight w:val="none"/>
              </w:rPr>
            </w:pPr>
          </w:p>
        </w:tc>
        <w:tc>
          <w:tcPr>
            <w:tcW w:w="1412" w:type="dxa"/>
            <w:tcBorders>
              <w:tl2br w:val="nil"/>
              <w:tr2bl w:val="nil"/>
            </w:tcBorders>
            <w:vAlign w:val="center"/>
          </w:tcPr>
          <w:p w14:paraId="04C7B232">
            <w:pPr>
              <w:jc w:val="center"/>
              <w:rPr>
                <w:rFonts w:ascii="宋体" w:hAnsi="宋体"/>
                <w:color w:val="auto"/>
                <w:szCs w:val="21"/>
                <w:highlight w:val="none"/>
              </w:rPr>
            </w:pPr>
          </w:p>
        </w:tc>
        <w:tc>
          <w:tcPr>
            <w:tcW w:w="867" w:type="dxa"/>
            <w:tcBorders>
              <w:tl2br w:val="nil"/>
              <w:tr2bl w:val="nil"/>
            </w:tcBorders>
            <w:vAlign w:val="center"/>
          </w:tcPr>
          <w:p w14:paraId="2FA285A0">
            <w:pPr>
              <w:jc w:val="center"/>
              <w:rPr>
                <w:rFonts w:ascii="宋体" w:hAnsi="宋体"/>
                <w:color w:val="auto"/>
                <w:szCs w:val="21"/>
                <w:highlight w:val="none"/>
              </w:rPr>
            </w:pPr>
          </w:p>
        </w:tc>
      </w:tr>
      <w:tr w14:paraId="204BD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BBFD4EC">
            <w:pPr>
              <w:jc w:val="center"/>
              <w:rPr>
                <w:rFonts w:ascii="宋体" w:hAnsi="宋体"/>
                <w:color w:val="auto"/>
                <w:szCs w:val="21"/>
                <w:highlight w:val="none"/>
              </w:rPr>
            </w:pPr>
          </w:p>
        </w:tc>
        <w:tc>
          <w:tcPr>
            <w:tcW w:w="1590" w:type="dxa"/>
            <w:tcBorders>
              <w:tl2br w:val="nil"/>
              <w:tr2bl w:val="nil"/>
            </w:tcBorders>
            <w:vAlign w:val="center"/>
          </w:tcPr>
          <w:p w14:paraId="1285A883">
            <w:pPr>
              <w:jc w:val="center"/>
              <w:rPr>
                <w:rFonts w:ascii="宋体" w:hAnsi="宋体"/>
                <w:color w:val="auto"/>
                <w:szCs w:val="21"/>
                <w:highlight w:val="none"/>
              </w:rPr>
            </w:pPr>
          </w:p>
        </w:tc>
        <w:tc>
          <w:tcPr>
            <w:tcW w:w="1755" w:type="dxa"/>
            <w:tcBorders>
              <w:tl2br w:val="nil"/>
              <w:tr2bl w:val="nil"/>
            </w:tcBorders>
            <w:vAlign w:val="center"/>
          </w:tcPr>
          <w:p w14:paraId="7BE17D75">
            <w:pPr>
              <w:jc w:val="center"/>
              <w:rPr>
                <w:rFonts w:ascii="宋体" w:hAnsi="宋体"/>
                <w:color w:val="auto"/>
                <w:szCs w:val="21"/>
                <w:highlight w:val="none"/>
              </w:rPr>
            </w:pPr>
          </w:p>
        </w:tc>
        <w:tc>
          <w:tcPr>
            <w:tcW w:w="1920" w:type="dxa"/>
            <w:tcBorders>
              <w:tl2br w:val="nil"/>
              <w:tr2bl w:val="nil"/>
            </w:tcBorders>
            <w:vAlign w:val="center"/>
          </w:tcPr>
          <w:p w14:paraId="510AA155">
            <w:pPr>
              <w:jc w:val="center"/>
              <w:rPr>
                <w:rFonts w:ascii="宋体" w:hAnsi="宋体"/>
                <w:color w:val="auto"/>
                <w:szCs w:val="21"/>
                <w:highlight w:val="none"/>
              </w:rPr>
            </w:pPr>
          </w:p>
        </w:tc>
        <w:tc>
          <w:tcPr>
            <w:tcW w:w="1412" w:type="dxa"/>
            <w:tcBorders>
              <w:tl2br w:val="nil"/>
              <w:tr2bl w:val="nil"/>
            </w:tcBorders>
            <w:vAlign w:val="center"/>
          </w:tcPr>
          <w:p w14:paraId="6CDA7C28">
            <w:pPr>
              <w:jc w:val="center"/>
              <w:rPr>
                <w:rFonts w:ascii="宋体" w:hAnsi="宋体"/>
                <w:color w:val="auto"/>
                <w:szCs w:val="21"/>
                <w:highlight w:val="none"/>
              </w:rPr>
            </w:pPr>
          </w:p>
        </w:tc>
        <w:tc>
          <w:tcPr>
            <w:tcW w:w="867" w:type="dxa"/>
            <w:tcBorders>
              <w:tl2br w:val="nil"/>
              <w:tr2bl w:val="nil"/>
            </w:tcBorders>
            <w:vAlign w:val="center"/>
          </w:tcPr>
          <w:p w14:paraId="11133D9E">
            <w:pPr>
              <w:jc w:val="center"/>
              <w:rPr>
                <w:rFonts w:ascii="宋体" w:hAnsi="宋体"/>
                <w:color w:val="auto"/>
                <w:szCs w:val="21"/>
                <w:highlight w:val="none"/>
              </w:rPr>
            </w:pPr>
          </w:p>
        </w:tc>
      </w:tr>
      <w:tr w14:paraId="41666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33AC791">
            <w:pPr>
              <w:jc w:val="center"/>
              <w:rPr>
                <w:rFonts w:ascii="宋体" w:hAnsi="宋体"/>
                <w:color w:val="auto"/>
                <w:szCs w:val="21"/>
                <w:highlight w:val="none"/>
              </w:rPr>
            </w:pPr>
          </w:p>
        </w:tc>
        <w:tc>
          <w:tcPr>
            <w:tcW w:w="1590" w:type="dxa"/>
            <w:tcBorders>
              <w:tl2br w:val="nil"/>
              <w:tr2bl w:val="nil"/>
            </w:tcBorders>
            <w:vAlign w:val="center"/>
          </w:tcPr>
          <w:p w14:paraId="25A90FC7">
            <w:pPr>
              <w:jc w:val="center"/>
              <w:rPr>
                <w:rFonts w:ascii="宋体" w:hAnsi="宋体"/>
                <w:color w:val="auto"/>
                <w:szCs w:val="21"/>
                <w:highlight w:val="none"/>
              </w:rPr>
            </w:pPr>
          </w:p>
        </w:tc>
        <w:tc>
          <w:tcPr>
            <w:tcW w:w="1755" w:type="dxa"/>
            <w:tcBorders>
              <w:tl2br w:val="nil"/>
              <w:tr2bl w:val="nil"/>
            </w:tcBorders>
            <w:vAlign w:val="center"/>
          </w:tcPr>
          <w:p w14:paraId="12103DA2">
            <w:pPr>
              <w:jc w:val="center"/>
              <w:rPr>
                <w:rFonts w:ascii="宋体" w:hAnsi="宋体"/>
                <w:color w:val="auto"/>
                <w:szCs w:val="21"/>
                <w:highlight w:val="none"/>
              </w:rPr>
            </w:pPr>
          </w:p>
        </w:tc>
        <w:tc>
          <w:tcPr>
            <w:tcW w:w="1920" w:type="dxa"/>
            <w:tcBorders>
              <w:tl2br w:val="nil"/>
              <w:tr2bl w:val="nil"/>
            </w:tcBorders>
            <w:vAlign w:val="center"/>
          </w:tcPr>
          <w:p w14:paraId="365E9770">
            <w:pPr>
              <w:jc w:val="center"/>
              <w:rPr>
                <w:rFonts w:ascii="宋体" w:hAnsi="宋体"/>
                <w:color w:val="auto"/>
                <w:szCs w:val="21"/>
                <w:highlight w:val="none"/>
              </w:rPr>
            </w:pPr>
          </w:p>
        </w:tc>
        <w:tc>
          <w:tcPr>
            <w:tcW w:w="1412" w:type="dxa"/>
            <w:tcBorders>
              <w:tl2br w:val="nil"/>
              <w:tr2bl w:val="nil"/>
            </w:tcBorders>
            <w:vAlign w:val="center"/>
          </w:tcPr>
          <w:p w14:paraId="31329A13">
            <w:pPr>
              <w:jc w:val="center"/>
              <w:rPr>
                <w:rFonts w:ascii="宋体" w:hAnsi="宋体"/>
                <w:color w:val="auto"/>
                <w:szCs w:val="21"/>
                <w:highlight w:val="none"/>
              </w:rPr>
            </w:pPr>
          </w:p>
        </w:tc>
        <w:tc>
          <w:tcPr>
            <w:tcW w:w="867" w:type="dxa"/>
            <w:tcBorders>
              <w:tl2br w:val="nil"/>
              <w:tr2bl w:val="nil"/>
            </w:tcBorders>
            <w:vAlign w:val="center"/>
          </w:tcPr>
          <w:p w14:paraId="3D6DC749">
            <w:pPr>
              <w:jc w:val="center"/>
              <w:rPr>
                <w:rFonts w:ascii="宋体" w:hAnsi="宋体"/>
                <w:color w:val="auto"/>
                <w:szCs w:val="21"/>
                <w:highlight w:val="none"/>
              </w:rPr>
            </w:pPr>
          </w:p>
        </w:tc>
      </w:tr>
      <w:tr w14:paraId="510AEE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42BE386">
            <w:pPr>
              <w:jc w:val="center"/>
              <w:rPr>
                <w:rFonts w:ascii="宋体" w:hAnsi="宋体"/>
                <w:color w:val="auto"/>
                <w:szCs w:val="21"/>
                <w:highlight w:val="none"/>
              </w:rPr>
            </w:pPr>
          </w:p>
        </w:tc>
        <w:tc>
          <w:tcPr>
            <w:tcW w:w="1590" w:type="dxa"/>
            <w:tcBorders>
              <w:tl2br w:val="nil"/>
              <w:tr2bl w:val="nil"/>
            </w:tcBorders>
            <w:vAlign w:val="center"/>
          </w:tcPr>
          <w:p w14:paraId="5AC35134">
            <w:pPr>
              <w:jc w:val="center"/>
              <w:rPr>
                <w:rFonts w:ascii="宋体" w:hAnsi="宋体"/>
                <w:color w:val="auto"/>
                <w:szCs w:val="21"/>
                <w:highlight w:val="none"/>
              </w:rPr>
            </w:pPr>
          </w:p>
        </w:tc>
        <w:tc>
          <w:tcPr>
            <w:tcW w:w="1755" w:type="dxa"/>
            <w:tcBorders>
              <w:tl2br w:val="nil"/>
              <w:tr2bl w:val="nil"/>
            </w:tcBorders>
            <w:vAlign w:val="center"/>
          </w:tcPr>
          <w:p w14:paraId="6A26DAF3">
            <w:pPr>
              <w:jc w:val="center"/>
              <w:rPr>
                <w:rFonts w:ascii="宋体" w:hAnsi="宋体"/>
                <w:color w:val="auto"/>
                <w:szCs w:val="21"/>
                <w:highlight w:val="none"/>
              </w:rPr>
            </w:pPr>
          </w:p>
        </w:tc>
        <w:tc>
          <w:tcPr>
            <w:tcW w:w="1920" w:type="dxa"/>
            <w:tcBorders>
              <w:tl2br w:val="nil"/>
              <w:tr2bl w:val="nil"/>
            </w:tcBorders>
            <w:vAlign w:val="center"/>
          </w:tcPr>
          <w:p w14:paraId="6814B9B6">
            <w:pPr>
              <w:jc w:val="center"/>
              <w:rPr>
                <w:rFonts w:ascii="宋体" w:hAnsi="宋体"/>
                <w:color w:val="auto"/>
                <w:szCs w:val="21"/>
                <w:highlight w:val="none"/>
              </w:rPr>
            </w:pPr>
          </w:p>
        </w:tc>
        <w:tc>
          <w:tcPr>
            <w:tcW w:w="1412" w:type="dxa"/>
            <w:tcBorders>
              <w:tl2br w:val="nil"/>
              <w:tr2bl w:val="nil"/>
            </w:tcBorders>
            <w:vAlign w:val="center"/>
          </w:tcPr>
          <w:p w14:paraId="080511D4">
            <w:pPr>
              <w:jc w:val="center"/>
              <w:rPr>
                <w:rFonts w:ascii="宋体" w:hAnsi="宋体"/>
                <w:color w:val="auto"/>
                <w:szCs w:val="21"/>
                <w:highlight w:val="none"/>
              </w:rPr>
            </w:pPr>
          </w:p>
        </w:tc>
        <w:tc>
          <w:tcPr>
            <w:tcW w:w="867" w:type="dxa"/>
            <w:tcBorders>
              <w:tl2br w:val="nil"/>
              <w:tr2bl w:val="nil"/>
            </w:tcBorders>
            <w:vAlign w:val="center"/>
          </w:tcPr>
          <w:p w14:paraId="5A8D39C1">
            <w:pPr>
              <w:jc w:val="center"/>
              <w:rPr>
                <w:rFonts w:ascii="宋体" w:hAnsi="宋体"/>
                <w:color w:val="auto"/>
                <w:szCs w:val="21"/>
                <w:highlight w:val="none"/>
              </w:rPr>
            </w:pPr>
          </w:p>
        </w:tc>
      </w:tr>
      <w:tr w14:paraId="51405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F43063A">
            <w:pPr>
              <w:jc w:val="center"/>
              <w:rPr>
                <w:rFonts w:ascii="宋体" w:hAnsi="宋体"/>
                <w:color w:val="auto"/>
                <w:szCs w:val="21"/>
                <w:highlight w:val="none"/>
              </w:rPr>
            </w:pPr>
          </w:p>
        </w:tc>
        <w:tc>
          <w:tcPr>
            <w:tcW w:w="1590" w:type="dxa"/>
            <w:tcBorders>
              <w:tl2br w:val="nil"/>
              <w:tr2bl w:val="nil"/>
            </w:tcBorders>
            <w:vAlign w:val="center"/>
          </w:tcPr>
          <w:p w14:paraId="40686DCF">
            <w:pPr>
              <w:jc w:val="center"/>
              <w:rPr>
                <w:rFonts w:ascii="宋体" w:hAnsi="宋体"/>
                <w:color w:val="auto"/>
                <w:szCs w:val="21"/>
                <w:highlight w:val="none"/>
              </w:rPr>
            </w:pPr>
          </w:p>
        </w:tc>
        <w:tc>
          <w:tcPr>
            <w:tcW w:w="1755" w:type="dxa"/>
            <w:tcBorders>
              <w:tl2br w:val="nil"/>
              <w:tr2bl w:val="nil"/>
            </w:tcBorders>
            <w:vAlign w:val="center"/>
          </w:tcPr>
          <w:p w14:paraId="258CE16F">
            <w:pPr>
              <w:jc w:val="center"/>
              <w:rPr>
                <w:rFonts w:ascii="宋体" w:hAnsi="宋体"/>
                <w:color w:val="auto"/>
                <w:szCs w:val="21"/>
                <w:highlight w:val="none"/>
              </w:rPr>
            </w:pPr>
          </w:p>
        </w:tc>
        <w:tc>
          <w:tcPr>
            <w:tcW w:w="1920" w:type="dxa"/>
            <w:tcBorders>
              <w:tl2br w:val="nil"/>
              <w:tr2bl w:val="nil"/>
            </w:tcBorders>
            <w:vAlign w:val="center"/>
          </w:tcPr>
          <w:p w14:paraId="2821B7EA">
            <w:pPr>
              <w:jc w:val="center"/>
              <w:rPr>
                <w:rFonts w:ascii="宋体" w:hAnsi="宋体"/>
                <w:color w:val="auto"/>
                <w:szCs w:val="21"/>
                <w:highlight w:val="none"/>
              </w:rPr>
            </w:pPr>
          </w:p>
        </w:tc>
        <w:tc>
          <w:tcPr>
            <w:tcW w:w="1412" w:type="dxa"/>
            <w:tcBorders>
              <w:tl2br w:val="nil"/>
              <w:tr2bl w:val="nil"/>
            </w:tcBorders>
            <w:vAlign w:val="center"/>
          </w:tcPr>
          <w:p w14:paraId="0B135465">
            <w:pPr>
              <w:jc w:val="center"/>
              <w:rPr>
                <w:rFonts w:ascii="宋体" w:hAnsi="宋体"/>
                <w:color w:val="auto"/>
                <w:szCs w:val="21"/>
                <w:highlight w:val="none"/>
              </w:rPr>
            </w:pPr>
          </w:p>
        </w:tc>
        <w:tc>
          <w:tcPr>
            <w:tcW w:w="867" w:type="dxa"/>
            <w:tcBorders>
              <w:tl2br w:val="nil"/>
              <w:tr2bl w:val="nil"/>
            </w:tcBorders>
            <w:vAlign w:val="center"/>
          </w:tcPr>
          <w:p w14:paraId="359C3DE6">
            <w:pPr>
              <w:jc w:val="center"/>
              <w:rPr>
                <w:rFonts w:ascii="宋体" w:hAnsi="宋体"/>
                <w:color w:val="auto"/>
                <w:szCs w:val="21"/>
                <w:highlight w:val="none"/>
              </w:rPr>
            </w:pPr>
          </w:p>
        </w:tc>
      </w:tr>
      <w:tr w14:paraId="5507DC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730310A">
            <w:pPr>
              <w:jc w:val="center"/>
              <w:rPr>
                <w:rFonts w:ascii="宋体" w:hAnsi="宋体"/>
                <w:color w:val="auto"/>
                <w:szCs w:val="21"/>
                <w:highlight w:val="none"/>
              </w:rPr>
            </w:pPr>
          </w:p>
        </w:tc>
        <w:tc>
          <w:tcPr>
            <w:tcW w:w="1590" w:type="dxa"/>
            <w:tcBorders>
              <w:tl2br w:val="nil"/>
              <w:tr2bl w:val="nil"/>
            </w:tcBorders>
            <w:vAlign w:val="center"/>
          </w:tcPr>
          <w:p w14:paraId="121B9000">
            <w:pPr>
              <w:jc w:val="center"/>
              <w:rPr>
                <w:rFonts w:ascii="宋体" w:hAnsi="宋体"/>
                <w:color w:val="auto"/>
                <w:szCs w:val="21"/>
                <w:highlight w:val="none"/>
              </w:rPr>
            </w:pPr>
          </w:p>
        </w:tc>
        <w:tc>
          <w:tcPr>
            <w:tcW w:w="1755" w:type="dxa"/>
            <w:tcBorders>
              <w:tl2br w:val="nil"/>
              <w:tr2bl w:val="nil"/>
            </w:tcBorders>
            <w:vAlign w:val="center"/>
          </w:tcPr>
          <w:p w14:paraId="1C7C4079">
            <w:pPr>
              <w:jc w:val="center"/>
              <w:rPr>
                <w:rFonts w:ascii="宋体" w:hAnsi="宋体"/>
                <w:color w:val="auto"/>
                <w:szCs w:val="21"/>
                <w:highlight w:val="none"/>
              </w:rPr>
            </w:pPr>
          </w:p>
        </w:tc>
        <w:tc>
          <w:tcPr>
            <w:tcW w:w="1920" w:type="dxa"/>
            <w:tcBorders>
              <w:tl2br w:val="nil"/>
              <w:tr2bl w:val="nil"/>
            </w:tcBorders>
            <w:vAlign w:val="center"/>
          </w:tcPr>
          <w:p w14:paraId="1A3D7D8F">
            <w:pPr>
              <w:jc w:val="center"/>
              <w:rPr>
                <w:rFonts w:ascii="宋体" w:hAnsi="宋体"/>
                <w:color w:val="auto"/>
                <w:szCs w:val="21"/>
                <w:highlight w:val="none"/>
              </w:rPr>
            </w:pPr>
          </w:p>
        </w:tc>
        <w:tc>
          <w:tcPr>
            <w:tcW w:w="1412" w:type="dxa"/>
            <w:tcBorders>
              <w:tl2br w:val="nil"/>
              <w:tr2bl w:val="nil"/>
            </w:tcBorders>
            <w:vAlign w:val="center"/>
          </w:tcPr>
          <w:p w14:paraId="1BE7F89E">
            <w:pPr>
              <w:jc w:val="center"/>
              <w:rPr>
                <w:rFonts w:ascii="宋体" w:hAnsi="宋体"/>
                <w:color w:val="auto"/>
                <w:szCs w:val="21"/>
                <w:highlight w:val="none"/>
              </w:rPr>
            </w:pPr>
          </w:p>
        </w:tc>
        <w:tc>
          <w:tcPr>
            <w:tcW w:w="867" w:type="dxa"/>
            <w:tcBorders>
              <w:tl2br w:val="nil"/>
              <w:tr2bl w:val="nil"/>
            </w:tcBorders>
            <w:vAlign w:val="center"/>
          </w:tcPr>
          <w:p w14:paraId="09E8B49F">
            <w:pPr>
              <w:jc w:val="center"/>
              <w:rPr>
                <w:rFonts w:ascii="宋体" w:hAnsi="宋体"/>
                <w:color w:val="auto"/>
                <w:szCs w:val="21"/>
                <w:highlight w:val="none"/>
              </w:rPr>
            </w:pPr>
          </w:p>
        </w:tc>
      </w:tr>
      <w:tr w14:paraId="5ADAF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1C4ACDC">
            <w:pPr>
              <w:jc w:val="center"/>
              <w:rPr>
                <w:rFonts w:ascii="宋体" w:hAnsi="宋体"/>
                <w:color w:val="auto"/>
                <w:szCs w:val="21"/>
                <w:highlight w:val="none"/>
              </w:rPr>
            </w:pPr>
          </w:p>
        </w:tc>
        <w:tc>
          <w:tcPr>
            <w:tcW w:w="1590" w:type="dxa"/>
            <w:tcBorders>
              <w:tl2br w:val="nil"/>
              <w:tr2bl w:val="nil"/>
            </w:tcBorders>
            <w:vAlign w:val="center"/>
          </w:tcPr>
          <w:p w14:paraId="081E0686">
            <w:pPr>
              <w:jc w:val="center"/>
              <w:rPr>
                <w:rFonts w:ascii="宋体" w:hAnsi="宋体"/>
                <w:color w:val="auto"/>
                <w:szCs w:val="21"/>
                <w:highlight w:val="none"/>
              </w:rPr>
            </w:pPr>
          </w:p>
        </w:tc>
        <w:tc>
          <w:tcPr>
            <w:tcW w:w="1755" w:type="dxa"/>
            <w:tcBorders>
              <w:tl2br w:val="nil"/>
              <w:tr2bl w:val="nil"/>
            </w:tcBorders>
            <w:vAlign w:val="center"/>
          </w:tcPr>
          <w:p w14:paraId="47725750">
            <w:pPr>
              <w:jc w:val="center"/>
              <w:rPr>
                <w:rFonts w:ascii="宋体" w:hAnsi="宋体"/>
                <w:color w:val="auto"/>
                <w:szCs w:val="21"/>
                <w:highlight w:val="none"/>
              </w:rPr>
            </w:pPr>
          </w:p>
        </w:tc>
        <w:tc>
          <w:tcPr>
            <w:tcW w:w="1920" w:type="dxa"/>
            <w:tcBorders>
              <w:tl2br w:val="nil"/>
              <w:tr2bl w:val="nil"/>
            </w:tcBorders>
            <w:vAlign w:val="center"/>
          </w:tcPr>
          <w:p w14:paraId="0AAE699A">
            <w:pPr>
              <w:jc w:val="center"/>
              <w:rPr>
                <w:rFonts w:ascii="宋体" w:hAnsi="宋体"/>
                <w:color w:val="auto"/>
                <w:szCs w:val="21"/>
                <w:highlight w:val="none"/>
              </w:rPr>
            </w:pPr>
          </w:p>
        </w:tc>
        <w:tc>
          <w:tcPr>
            <w:tcW w:w="1412" w:type="dxa"/>
            <w:tcBorders>
              <w:tl2br w:val="nil"/>
              <w:tr2bl w:val="nil"/>
            </w:tcBorders>
            <w:vAlign w:val="center"/>
          </w:tcPr>
          <w:p w14:paraId="16EA7994">
            <w:pPr>
              <w:jc w:val="center"/>
              <w:rPr>
                <w:rFonts w:ascii="宋体" w:hAnsi="宋体"/>
                <w:color w:val="auto"/>
                <w:szCs w:val="21"/>
                <w:highlight w:val="none"/>
              </w:rPr>
            </w:pPr>
          </w:p>
        </w:tc>
        <w:tc>
          <w:tcPr>
            <w:tcW w:w="867" w:type="dxa"/>
            <w:tcBorders>
              <w:tl2br w:val="nil"/>
              <w:tr2bl w:val="nil"/>
            </w:tcBorders>
            <w:vAlign w:val="center"/>
          </w:tcPr>
          <w:p w14:paraId="041C02AC">
            <w:pPr>
              <w:jc w:val="center"/>
              <w:rPr>
                <w:rFonts w:ascii="宋体" w:hAnsi="宋体"/>
                <w:color w:val="auto"/>
                <w:szCs w:val="21"/>
                <w:highlight w:val="none"/>
              </w:rPr>
            </w:pPr>
          </w:p>
        </w:tc>
      </w:tr>
      <w:tr w14:paraId="3EAF0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5F1CB39">
            <w:pPr>
              <w:jc w:val="center"/>
              <w:rPr>
                <w:rFonts w:ascii="宋体" w:hAnsi="宋体"/>
                <w:color w:val="auto"/>
                <w:szCs w:val="21"/>
                <w:highlight w:val="none"/>
              </w:rPr>
            </w:pPr>
          </w:p>
        </w:tc>
        <w:tc>
          <w:tcPr>
            <w:tcW w:w="1590" w:type="dxa"/>
            <w:tcBorders>
              <w:tl2br w:val="nil"/>
              <w:tr2bl w:val="nil"/>
            </w:tcBorders>
            <w:vAlign w:val="center"/>
          </w:tcPr>
          <w:p w14:paraId="2BD45643">
            <w:pPr>
              <w:jc w:val="center"/>
              <w:rPr>
                <w:rFonts w:ascii="宋体" w:hAnsi="宋体"/>
                <w:color w:val="auto"/>
                <w:szCs w:val="21"/>
                <w:highlight w:val="none"/>
              </w:rPr>
            </w:pPr>
          </w:p>
        </w:tc>
        <w:tc>
          <w:tcPr>
            <w:tcW w:w="1755" w:type="dxa"/>
            <w:tcBorders>
              <w:tl2br w:val="nil"/>
              <w:tr2bl w:val="nil"/>
            </w:tcBorders>
            <w:vAlign w:val="center"/>
          </w:tcPr>
          <w:p w14:paraId="2A359715">
            <w:pPr>
              <w:jc w:val="center"/>
              <w:rPr>
                <w:rFonts w:ascii="宋体" w:hAnsi="宋体"/>
                <w:color w:val="auto"/>
                <w:szCs w:val="21"/>
                <w:highlight w:val="none"/>
              </w:rPr>
            </w:pPr>
          </w:p>
        </w:tc>
        <w:tc>
          <w:tcPr>
            <w:tcW w:w="1920" w:type="dxa"/>
            <w:tcBorders>
              <w:tl2br w:val="nil"/>
              <w:tr2bl w:val="nil"/>
            </w:tcBorders>
            <w:vAlign w:val="center"/>
          </w:tcPr>
          <w:p w14:paraId="108DEEFA">
            <w:pPr>
              <w:jc w:val="center"/>
              <w:rPr>
                <w:rFonts w:ascii="宋体" w:hAnsi="宋体"/>
                <w:color w:val="auto"/>
                <w:szCs w:val="21"/>
                <w:highlight w:val="none"/>
              </w:rPr>
            </w:pPr>
          </w:p>
        </w:tc>
        <w:tc>
          <w:tcPr>
            <w:tcW w:w="1412" w:type="dxa"/>
            <w:tcBorders>
              <w:tl2br w:val="nil"/>
              <w:tr2bl w:val="nil"/>
            </w:tcBorders>
            <w:vAlign w:val="center"/>
          </w:tcPr>
          <w:p w14:paraId="4DA9F5B6">
            <w:pPr>
              <w:jc w:val="center"/>
              <w:rPr>
                <w:rFonts w:ascii="宋体" w:hAnsi="宋体"/>
                <w:color w:val="auto"/>
                <w:szCs w:val="21"/>
                <w:highlight w:val="none"/>
              </w:rPr>
            </w:pPr>
          </w:p>
        </w:tc>
        <w:tc>
          <w:tcPr>
            <w:tcW w:w="867" w:type="dxa"/>
            <w:tcBorders>
              <w:tl2br w:val="nil"/>
              <w:tr2bl w:val="nil"/>
            </w:tcBorders>
            <w:vAlign w:val="center"/>
          </w:tcPr>
          <w:p w14:paraId="219D9D9F">
            <w:pPr>
              <w:jc w:val="center"/>
              <w:rPr>
                <w:rFonts w:ascii="宋体" w:hAnsi="宋体"/>
                <w:color w:val="auto"/>
                <w:szCs w:val="21"/>
                <w:highlight w:val="none"/>
              </w:rPr>
            </w:pPr>
          </w:p>
        </w:tc>
      </w:tr>
      <w:tr w14:paraId="2245E5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6491850">
            <w:pPr>
              <w:jc w:val="center"/>
              <w:rPr>
                <w:rFonts w:ascii="宋体" w:hAnsi="宋体"/>
                <w:color w:val="auto"/>
                <w:szCs w:val="21"/>
                <w:highlight w:val="none"/>
              </w:rPr>
            </w:pPr>
          </w:p>
        </w:tc>
        <w:tc>
          <w:tcPr>
            <w:tcW w:w="1590" w:type="dxa"/>
            <w:tcBorders>
              <w:tl2br w:val="nil"/>
              <w:tr2bl w:val="nil"/>
            </w:tcBorders>
            <w:vAlign w:val="center"/>
          </w:tcPr>
          <w:p w14:paraId="2020D975">
            <w:pPr>
              <w:jc w:val="center"/>
              <w:rPr>
                <w:rFonts w:ascii="宋体" w:hAnsi="宋体"/>
                <w:color w:val="auto"/>
                <w:szCs w:val="21"/>
                <w:highlight w:val="none"/>
              </w:rPr>
            </w:pPr>
          </w:p>
        </w:tc>
        <w:tc>
          <w:tcPr>
            <w:tcW w:w="1755" w:type="dxa"/>
            <w:tcBorders>
              <w:tl2br w:val="nil"/>
              <w:tr2bl w:val="nil"/>
            </w:tcBorders>
            <w:vAlign w:val="center"/>
          </w:tcPr>
          <w:p w14:paraId="7BC12072">
            <w:pPr>
              <w:jc w:val="center"/>
              <w:rPr>
                <w:rFonts w:ascii="宋体" w:hAnsi="宋体"/>
                <w:color w:val="auto"/>
                <w:szCs w:val="21"/>
                <w:highlight w:val="none"/>
              </w:rPr>
            </w:pPr>
          </w:p>
        </w:tc>
        <w:tc>
          <w:tcPr>
            <w:tcW w:w="1920" w:type="dxa"/>
            <w:tcBorders>
              <w:tl2br w:val="nil"/>
              <w:tr2bl w:val="nil"/>
            </w:tcBorders>
            <w:vAlign w:val="center"/>
          </w:tcPr>
          <w:p w14:paraId="09D1E73B">
            <w:pPr>
              <w:jc w:val="center"/>
              <w:rPr>
                <w:rFonts w:ascii="宋体" w:hAnsi="宋体"/>
                <w:color w:val="auto"/>
                <w:szCs w:val="21"/>
                <w:highlight w:val="none"/>
              </w:rPr>
            </w:pPr>
          </w:p>
        </w:tc>
        <w:tc>
          <w:tcPr>
            <w:tcW w:w="1412" w:type="dxa"/>
            <w:tcBorders>
              <w:tl2br w:val="nil"/>
              <w:tr2bl w:val="nil"/>
            </w:tcBorders>
            <w:vAlign w:val="center"/>
          </w:tcPr>
          <w:p w14:paraId="5952795C">
            <w:pPr>
              <w:jc w:val="center"/>
              <w:rPr>
                <w:rFonts w:ascii="宋体" w:hAnsi="宋体"/>
                <w:color w:val="auto"/>
                <w:szCs w:val="21"/>
                <w:highlight w:val="none"/>
              </w:rPr>
            </w:pPr>
          </w:p>
        </w:tc>
        <w:tc>
          <w:tcPr>
            <w:tcW w:w="867" w:type="dxa"/>
            <w:tcBorders>
              <w:tl2br w:val="nil"/>
              <w:tr2bl w:val="nil"/>
            </w:tcBorders>
            <w:vAlign w:val="center"/>
          </w:tcPr>
          <w:p w14:paraId="18041F08">
            <w:pPr>
              <w:jc w:val="center"/>
              <w:rPr>
                <w:rFonts w:ascii="宋体" w:hAnsi="宋体"/>
                <w:color w:val="auto"/>
                <w:szCs w:val="21"/>
                <w:highlight w:val="none"/>
              </w:rPr>
            </w:pPr>
          </w:p>
        </w:tc>
      </w:tr>
    </w:tbl>
    <w:p w14:paraId="660CB260">
      <w:pPr>
        <w:rPr>
          <w:rFonts w:ascii="宋体" w:hAnsi="宋体"/>
          <w:color w:val="auto"/>
          <w:szCs w:val="21"/>
          <w:highlight w:val="none"/>
        </w:rPr>
      </w:pPr>
    </w:p>
    <w:p w14:paraId="5193C2C6">
      <w:pPr>
        <w:rPr>
          <w:rFonts w:ascii="宋体" w:hAnsi="宋体"/>
          <w:color w:val="auto"/>
          <w:szCs w:val="21"/>
          <w:highlight w:val="none"/>
        </w:rPr>
      </w:pPr>
      <w:r>
        <w:rPr>
          <w:rFonts w:hint="eastAsia" w:ascii="宋体" w:hAnsi="宋体"/>
          <w:color w:val="auto"/>
          <w:szCs w:val="21"/>
          <w:highlight w:val="none"/>
        </w:rPr>
        <w:t>供应商代表签字：</w:t>
      </w:r>
    </w:p>
    <w:p w14:paraId="016CE7DE">
      <w:pPr>
        <w:rPr>
          <w:rFonts w:ascii="宋体" w:hAnsi="宋体"/>
          <w:color w:val="auto"/>
          <w:szCs w:val="21"/>
          <w:highlight w:val="none"/>
        </w:rPr>
      </w:pPr>
      <w:r>
        <w:rPr>
          <w:rFonts w:hint="eastAsia" w:ascii="宋体" w:hAnsi="宋体"/>
          <w:color w:val="auto"/>
          <w:szCs w:val="21"/>
          <w:highlight w:val="none"/>
        </w:rPr>
        <w:t>供应商盖章：</w:t>
      </w:r>
    </w:p>
    <w:p w14:paraId="61A9D9D7">
      <w:pPr>
        <w:rPr>
          <w:rFonts w:ascii="宋体" w:hAnsi="宋体"/>
          <w:color w:val="auto"/>
          <w:szCs w:val="21"/>
          <w:highlight w:val="none"/>
        </w:rPr>
      </w:pPr>
    </w:p>
    <w:p w14:paraId="682FD61C">
      <w:pPr>
        <w:rPr>
          <w:rFonts w:ascii="宋体" w:hAnsi="宋体"/>
          <w:color w:val="auto"/>
          <w:szCs w:val="21"/>
          <w:highlight w:val="none"/>
        </w:rPr>
      </w:pPr>
      <w:r>
        <w:rPr>
          <w:rFonts w:hint="eastAsia" w:ascii="宋体" w:hAnsi="宋体"/>
          <w:color w:val="auto"/>
          <w:szCs w:val="21"/>
          <w:highlight w:val="none"/>
        </w:rPr>
        <w:t>注：</w:t>
      </w:r>
    </w:p>
    <w:p w14:paraId="36F7F24E">
      <w:pPr>
        <w:ind w:firstLine="420" w:firstLineChars="200"/>
        <w:rPr>
          <w:rFonts w:ascii="宋体" w:hAnsi="宋体"/>
          <w:color w:val="auto"/>
          <w:szCs w:val="21"/>
          <w:highlight w:val="none"/>
        </w:rPr>
      </w:pPr>
      <w:r>
        <w:rPr>
          <w:rFonts w:hint="eastAsia" w:ascii="宋体" w:hAnsi="宋体"/>
          <w:color w:val="auto"/>
          <w:szCs w:val="21"/>
          <w:highlight w:val="none"/>
        </w:rPr>
        <w:t>1、供应商应对照磋商文件商务要求，在“偏离情况”项中填写“无偏离”、“正偏离”或“负偏离”，逐条说明已对磋商文件的商务内容做出了实质性的响应，并申明与磋商文件的偏差和例外。</w:t>
      </w:r>
    </w:p>
    <w:p w14:paraId="26A7B331">
      <w:pPr>
        <w:ind w:firstLine="420" w:firstLineChars="200"/>
        <w:rPr>
          <w:rFonts w:ascii="宋体" w:hAnsi="宋体"/>
          <w:color w:val="auto"/>
          <w:szCs w:val="21"/>
          <w:highlight w:val="none"/>
        </w:rPr>
      </w:pPr>
      <w:r>
        <w:rPr>
          <w:rFonts w:hint="eastAsia" w:ascii="宋体" w:hAnsi="宋体"/>
          <w:color w:val="auto"/>
          <w:szCs w:val="21"/>
          <w:highlight w:val="none"/>
        </w:rPr>
        <w:t>2、商务条款包括但不限于合格供应商资格、合同期限、付款方式、报价要求、履约保证金、售后服务、检验及验收等要求。</w:t>
      </w:r>
    </w:p>
    <w:p w14:paraId="21089E06">
      <w:pPr>
        <w:adjustRightInd/>
        <w:snapToGrid/>
        <w:spacing w:line="276" w:lineRule="auto"/>
        <w:rPr>
          <w:color w:val="auto"/>
          <w:highlight w:val="none"/>
        </w:rPr>
      </w:pPr>
    </w:p>
    <w:p w14:paraId="3F591A8E">
      <w:pPr>
        <w:adjustRightInd/>
        <w:snapToGrid/>
        <w:spacing w:line="276" w:lineRule="auto"/>
        <w:rPr>
          <w:color w:val="auto"/>
          <w:highlight w:val="none"/>
        </w:rPr>
      </w:pPr>
    </w:p>
    <w:p w14:paraId="4F99E768">
      <w:pPr>
        <w:adjustRightInd/>
        <w:snapToGrid/>
        <w:spacing w:line="276" w:lineRule="auto"/>
        <w:rPr>
          <w:color w:val="auto"/>
          <w:highlight w:val="none"/>
        </w:rPr>
      </w:pPr>
      <w:r>
        <w:rPr>
          <w:color w:val="auto"/>
          <w:highlight w:val="none"/>
        </w:rPr>
        <w:br w:type="page"/>
      </w:r>
      <w:bookmarkStart w:id="324" w:name="_Toc32183"/>
    </w:p>
    <w:p w14:paraId="0205E462">
      <w:pPr>
        <w:pStyle w:val="4"/>
        <w:jc w:val="center"/>
        <w:rPr>
          <w:color w:val="auto"/>
          <w:highlight w:val="none"/>
        </w:rPr>
      </w:pPr>
      <w:bookmarkStart w:id="325" w:name="_Toc25391"/>
      <w:bookmarkStart w:id="326" w:name="_Toc7350"/>
      <w:r>
        <w:rPr>
          <w:rFonts w:hint="eastAsia"/>
          <w:color w:val="auto"/>
          <w:highlight w:val="none"/>
        </w:rPr>
        <w:t>十二、业绩表</w:t>
      </w:r>
      <w:bookmarkEnd w:id="325"/>
      <w:bookmarkEnd w:id="326"/>
    </w:p>
    <w:tbl>
      <w:tblPr>
        <w:tblStyle w:val="23"/>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DD58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4844340">
            <w:pPr>
              <w:ind w:left="-178" w:leftChars="-85"/>
              <w:jc w:val="center"/>
              <w:rPr>
                <w:rFonts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50918EDB">
            <w:pPr>
              <w:jc w:val="center"/>
              <w:rPr>
                <w:rFonts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72764F23">
            <w:pPr>
              <w:jc w:val="center"/>
              <w:rPr>
                <w:rFonts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5FF9B011">
            <w:pPr>
              <w:jc w:val="center"/>
              <w:rPr>
                <w:rFonts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5703C379">
            <w:pPr>
              <w:jc w:val="center"/>
              <w:rPr>
                <w:rFonts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1624B6AE">
            <w:pPr>
              <w:jc w:val="center"/>
              <w:rPr>
                <w:rFonts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1CA4D48E">
            <w:pPr>
              <w:jc w:val="center"/>
              <w:rPr>
                <w:rFonts w:ascii="宋体" w:hAnsi="宋体" w:cs="宋体"/>
                <w:bCs/>
                <w:color w:val="auto"/>
                <w:szCs w:val="21"/>
                <w:highlight w:val="none"/>
              </w:rPr>
            </w:pPr>
            <w:r>
              <w:rPr>
                <w:rFonts w:hint="eastAsia" w:ascii="宋体" w:hAnsi="宋体" w:cs="宋体"/>
                <w:bCs/>
                <w:color w:val="auto"/>
                <w:szCs w:val="21"/>
                <w:highlight w:val="none"/>
              </w:rPr>
              <w:t>备注</w:t>
            </w:r>
          </w:p>
        </w:tc>
      </w:tr>
      <w:tr w14:paraId="025FA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6D3A663">
            <w:pPr>
              <w:jc w:val="center"/>
              <w:rPr>
                <w:rFonts w:ascii="宋体" w:hAnsi="宋体" w:cs="宋体"/>
                <w:bCs/>
                <w:color w:val="auto"/>
                <w:szCs w:val="21"/>
                <w:highlight w:val="none"/>
              </w:rPr>
            </w:pPr>
          </w:p>
        </w:tc>
        <w:tc>
          <w:tcPr>
            <w:tcW w:w="1140" w:type="dxa"/>
            <w:tcBorders>
              <w:tl2br w:val="nil"/>
              <w:tr2bl w:val="nil"/>
            </w:tcBorders>
            <w:vAlign w:val="center"/>
          </w:tcPr>
          <w:p w14:paraId="09580471">
            <w:pPr>
              <w:rPr>
                <w:rFonts w:ascii="宋体" w:hAnsi="宋体" w:cs="宋体"/>
                <w:bCs/>
                <w:color w:val="auto"/>
                <w:szCs w:val="21"/>
                <w:highlight w:val="none"/>
              </w:rPr>
            </w:pPr>
          </w:p>
        </w:tc>
        <w:tc>
          <w:tcPr>
            <w:tcW w:w="1178" w:type="dxa"/>
            <w:tcBorders>
              <w:tl2br w:val="nil"/>
              <w:tr2bl w:val="nil"/>
            </w:tcBorders>
            <w:vAlign w:val="center"/>
          </w:tcPr>
          <w:p w14:paraId="284ACB9A">
            <w:pPr>
              <w:rPr>
                <w:rFonts w:ascii="宋体" w:hAnsi="宋体" w:cs="宋体"/>
                <w:bCs/>
                <w:color w:val="auto"/>
                <w:szCs w:val="21"/>
                <w:highlight w:val="none"/>
              </w:rPr>
            </w:pPr>
          </w:p>
        </w:tc>
        <w:tc>
          <w:tcPr>
            <w:tcW w:w="1365" w:type="dxa"/>
            <w:tcBorders>
              <w:tl2br w:val="nil"/>
              <w:tr2bl w:val="nil"/>
            </w:tcBorders>
            <w:vAlign w:val="center"/>
          </w:tcPr>
          <w:p w14:paraId="5B8ABA13">
            <w:pPr>
              <w:rPr>
                <w:rFonts w:ascii="宋体" w:hAnsi="宋体" w:cs="宋体"/>
                <w:bCs/>
                <w:color w:val="auto"/>
                <w:szCs w:val="21"/>
                <w:highlight w:val="none"/>
              </w:rPr>
            </w:pPr>
          </w:p>
        </w:tc>
        <w:tc>
          <w:tcPr>
            <w:tcW w:w="1815" w:type="dxa"/>
            <w:tcBorders>
              <w:tl2br w:val="nil"/>
              <w:tr2bl w:val="nil"/>
            </w:tcBorders>
            <w:vAlign w:val="center"/>
          </w:tcPr>
          <w:p w14:paraId="2A7675DB">
            <w:pPr>
              <w:rPr>
                <w:rFonts w:ascii="宋体" w:hAnsi="宋体" w:cs="宋体"/>
                <w:bCs/>
                <w:color w:val="auto"/>
                <w:szCs w:val="21"/>
                <w:highlight w:val="none"/>
              </w:rPr>
            </w:pPr>
          </w:p>
        </w:tc>
        <w:tc>
          <w:tcPr>
            <w:tcW w:w="1207" w:type="dxa"/>
            <w:tcBorders>
              <w:tl2br w:val="nil"/>
              <w:tr2bl w:val="nil"/>
            </w:tcBorders>
            <w:vAlign w:val="center"/>
          </w:tcPr>
          <w:p w14:paraId="4AB23AF1">
            <w:pPr>
              <w:rPr>
                <w:rFonts w:ascii="宋体" w:hAnsi="宋体" w:cs="宋体"/>
                <w:bCs/>
                <w:color w:val="auto"/>
                <w:szCs w:val="21"/>
                <w:highlight w:val="none"/>
              </w:rPr>
            </w:pPr>
          </w:p>
        </w:tc>
        <w:tc>
          <w:tcPr>
            <w:tcW w:w="765" w:type="dxa"/>
            <w:tcBorders>
              <w:tl2br w:val="nil"/>
              <w:tr2bl w:val="nil"/>
            </w:tcBorders>
            <w:vAlign w:val="center"/>
          </w:tcPr>
          <w:p w14:paraId="2F69541F">
            <w:pPr>
              <w:rPr>
                <w:rFonts w:ascii="宋体" w:hAnsi="宋体" w:cs="宋体"/>
                <w:bCs/>
                <w:color w:val="auto"/>
                <w:szCs w:val="21"/>
                <w:highlight w:val="none"/>
              </w:rPr>
            </w:pPr>
          </w:p>
        </w:tc>
      </w:tr>
      <w:tr w14:paraId="6DDFF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85F6825">
            <w:pPr>
              <w:jc w:val="center"/>
              <w:rPr>
                <w:rFonts w:ascii="宋体" w:hAnsi="宋体" w:cs="宋体"/>
                <w:bCs/>
                <w:color w:val="auto"/>
                <w:szCs w:val="21"/>
                <w:highlight w:val="none"/>
              </w:rPr>
            </w:pPr>
          </w:p>
        </w:tc>
        <w:tc>
          <w:tcPr>
            <w:tcW w:w="1140" w:type="dxa"/>
            <w:tcBorders>
              <w:tl2br w:val="nil"/>
              <w:tr2bl w:val="nil"/>
            </w:tcBorders>
            <w:vAlign w:val="center"/>
          </w:tcPr>
          <w:p w14:paraId="52FCA333">
            <w:pPr>
              <w:rPr>
                <w:rFonts w:ascii="宋体" w:hAnsi="宋体" w:cs="宋体"/>
                <w:bCs/>
                <w:color w:val="auto"/>
                <w:szCs w:val="21"/>
                <w:highlight w:val="none"/>
              </w:rPr>
            </w:pPr>
          </w:p>
        </w:tc>
        <w:tc>
          <w:tcPr>
            <w:tcW w:w="1178" w:type="dxa"/>
            <w:tcBorders>
              <w:tl2br w:val="nil"/>
              <w:tr2bl w:val="nil"/>
            </w:tcBorders>
            <w:vAlign w:val="center"/>
          </w:tcPr>
          <w:p w14:paraId="060B0538">
            <w:pPr>
              <w:rPr>
                <w:rFonts w:ascii="宋体" w:hAnsi="宋体" w:cs="宋体"/>
                <w:bCs/>
                <w:color w:val="auto"/>
                <w:szCs w:val="21"/>
                <w:highlight w:val="none"/>
              </w:rPr>
            </w:pPr>
          </w:p>
        </w:tc>
        <w:tc>
          <w:tcPr>
            <w:tcW w:w="1365" w:type="dxa"/>
            <w:tcBorders>
              <w:tl2br w:val="nil"/>
              <w:tr2bl w:val="nil"/>
            </w:tcBorders>
            <w:vAlign w:val="center"/>
          </w:tcPr>
          <w:p w14:paraId="7C870163">
            <w:pPr>
              <w:rPr>
                <w:rFonts w:ascii="宋体" w:hAnsi="宋体" w:cs="宋体"/>
                <w:bCs/>
                <w:color w:val="auto"/>
                <w:szCs w:val="21"/>
                <w:highlight w:val="none"/>
              </w:rPr>
            </w:pPr>
          </w:p>
        </w:tc>
        <w:tc>
          <w:tcPr>
            <w:tcW w:w="1815" w:type="dxa"/>
            <w:tcBorders>
              <w:tl2br w:val="nil"/>
              <w:tr2bl w:val="nil"/>
            </w:tcBorders>
            <w:vAlign w:val="center"/>
          </w:tcPr>
          <w:p w14:paraId="4B8C9929">
            <w:pPr>
              <w:rPr>
                <w:rFonts w:ascii="宋体" w:hAnsi="宋体" w:cs="宋体"/>
                <w:bCs/>
                <w:color w:val="auto"/>
                <w:szCs w:val="21"/>
                <w:highlight w:val="none"/>
              </w:rPr>
            </w:pPr>
          </w:p>
        </w:tc>
        <w:tc>
          <w:tcPr>
            <w:tcW w:w="1207" w:type="dxa"/>
            <w:tcBorders>
              <w:tl2br w:val="nil"/>
              <w:tr2bl w:val="nil"/>
            </w:tcBorders>
            <w:vAlign w:val="center"/>
          </w:tcPr>
          <w:p w14:paraId="71DE384C">
            <w:pPr>
              <w:rPr>
                <w:rFonts w:ascii="宋体" w:hAnsi="宋体" w:cs="宋体"/>
                <w:bCs/>
                <w:color w:val="auto"/>
                <w:szCs w:val="21"/>
                <w:highlight w:val="none"/>
              </w:rPr>
            </w:pPr>
          </w:p>
        </w:tc>
        <w:tc>
          <w:tcPr>
            <w:tcW w:w="765" w:type="dxa"/>
            <w:tcBorders>
              <w:tl2br w:val="nil"/>
              <w:tr2bl w:val="nil"/>
            </w:tcBorders>
            <w:vAlign w:val="center"/>
          </w:tcPr>
          <w:p w14:paraId="0814DC52">
            <w:pPr>
              <w:rPr>
                <w:rFonts w:ascii="宋体" w:hAnsi="宋体" w:cs="宋体"/>
                <w:bCs/>
                <w:color w:val="auto"/>
                <w:szCs w:val="21"/>
                <w:highlight w:val="none"/>
              </w:rPr>
            </w:pPr>
          </w:p>
        </w:tc>
      </w:tr>
      <w:tr w14:paraId="35F28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7C356CA">
            <w:pPr>
              <w:jc w:val="center"/>
              <w:rPr>
                <w:rFonts w:ascii="宋体" w:hAnsi="宋体" w:cs="宋体"/>
                <w:bCs/>
                <w:color w:val="auto"/>
                <w:szCs w:val="21"/>
                <w:highlight w:val="none"/>
              </w:rPr>
            </w:pPr>
          </w:p>
        </w:tc>
        <w:tc>
          <w:tcPr>
            <w:tcW w:w="1140" w:type="dxa"/>
            <w:tcBorders>
              <w:tl2br w:val="nil"/>
              <w:tr2bl w:val="nil"/>
            </w:tcBorders>
            <w:vAlign w:val="center"/>
          </w:tcPr>
          <w:p w14:paraId="55AF06C7">
            <w:pPr>
              <w:rPr>
                <w:rFonts w:ascii="宋体" w:hAnsi="宋体" w:cs="宋体"/>
                <w:bCs/>
                <w:color w:val="auto"/>
                <w:szCs w:val="21"/>
                <w:highlight w:val="none"/>
              </w:rPr>
            </w:pPr>
          </w:p>
        </w:tc>
        <w:tc>
          <w:tcPr>
            <w:tcW w:w="1178" w:type="dxa"/>
            <w:tcBorders>
              <w:tl2br w:val="nil"/>
              <w:tr2bl w:val="nil"/>
            </w:tcBorders>
            <w:vAlign w:val="center"/>
          </w:tcPr>
          <w:p w14:paraId="7E705636">
            <w:pPr>
              <w:rPr>
                <w:rFonts w:ascii="宋体" w:hAnsi="宋体" w:cs="宋体"/>
                <w:bCs/>
                <w:color w:val="auto"/>
                <w:szCs w:val="21"/>
                <w:highlight w:val="none"/>
              </w:rPr>
            </w:pPr>
          </w:p>
        </w:tc>
        <w:tc>
          <w:tcPr>
            <w:tcW w:w="1365" w:type="dxa"/>
            <w:tcBorders>
              <w:tl2br w:val="nil"/>
              <w:tr2bl w:val="nil"/>
            </w:tcBorders>
            <w:vAlign w:val="center"/>
          </w:tcPr>
          <w:p w14:paraId="7F2C9013">
            <w:pPr>
              <w:rPr>
                <w:rFonts w:ascii="宋体" w:hAnsi="宋体" w:cs="宋体"/>
                <w:bCs/>
                <w:color w:val="auto"/>
                <w:szCs w:val="21"/>
                <w:highlight w:val="none"/>
              </w:rPr>
            </w:pPr>
          </w:p>
        </w:tc>
        <w:tc>
          <w:tcPr>
            <w:tcW w:w="1815" w:type="dxa"/>
            <w:tcBorders>
              <w:tl2br w:val="nil"/>
              <w:tr2bl w:val="nil"/>
            </w:tcBorders>
            <w:vAlign w:val="center"/>
          </w:tcPr>
          <w:p w14:paraId="7D016178">
            <w:pPr>
              <w:rPr>
                <w:rFonts w:ascii="宋体" w:hAnsi="宋体" w:cs="宋体"/>
                <w:bCs/>
                <w:color w:val="auto"/>
                <w:szCs w:val="21"/>
                <w:highlight w:val="none"/>
              </w:rPr>
            </w:pPr>
          </w:p>
        </w:tc>
        <w:tc>
          <w:tcPr>
            <w:tcW w:w="1207" w:type="dxa"/>
            <w:tcBorders>
              <w:tl2br w:val="nil"/>
              <w:tr2bl w:val="nil"/>
            </w:tcBorders>
            <w:vAlign w:val="center"/>
          </w:tcPr>
          <w:p w14:paraId="7586407F">
            <w:pPr>
              <w:rPr>
                <w:rFonts w:ascii="宋体" w:hAnsi="宋体" w:cs="宋体"/>
                <w:bCs/>
                <w:color w:val="auto"/>
                <w:szCs w:val="21"/>
                <w:highlight w:val="none"/>
              </w:rPr>
            </w:pPr>
          </w:p>
        </w:tc>
        <w:tc>
          <w:tcPr>
            <w:tcW w:w="765" w:type="dxa"/>
            <w:tcBorders>
              <w:tl2br w:val="nil"/>
              <w:tr2bl w:val="nil"/>
            </w:tcBorders>
            <w:vAlign w:val="center"/>
          </w:tcPr>
          <w:p w14:paraId="291390FF">
            <w:pPr>
              <w:rPr>
                <w:rFonts w:ascii="宋体" w:hAnsi="宋体" w:cs="宋体"/>
                <w:bCs/>
                <w:color w:val="auto"/>
                <w:szCs w:val="21"/>
                <w:highlight w:val="none"/>
              </w:rPr>
            </w:pPr>
          </w:p>
        </w:tc>
      </w:tr>
      <w:tr w14:paraId="5E21D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62DDEAB">
            <w:pPr>
              <w:jc w:val="center"/>
              <w:rPr>
                <w:rFonts w:ascii="宋体" w:hAnsi="宋体" w:cs="宋体"/>
                <w:bCs/>
                <w:color w:val="auto"/>
                <w:szCs w:val="21"/>
                <w:highlight w:val="none"/>
              </w:rPr>
            </w:pPr>
          </w:p>
        </w:tc>
        <w:tc>
          <w:tcPr>
            <w:tcW w:w="1140" w:type="dxa"/>
            <w:tcBorders>
              <w:tl2br w:val="nil"/>
              <w:tr2bl w:val="nil"/>
            </w:tcBorders>
            <w:vAlign w:val="center"/>
          </w:tcPr>
          <w:p w14:paraId="45879C0C">
            <w:pPr>
              <w:rPr>
                <w:rFonts w:ascii="宋体" w:hAnsi="宋体" w:cs="宋体"/>
                <w:bCs/>
                <w:color w:val="auto"/>
                <w:szCs w:val="21"/>
                <w:highlight w:val="none"/>
              </w:rPr>
            </w:pPr>
          </w:p>
        </w:tc>
        <w:tc>
          <w:tcPr>
            <w:tcW w:w="1178" w:type="dxa"/>
            <w:tcBorders>
              <w:tl2br w:val="nil"/>
              <w:tr2bl w:val="nil"/>
            </w:tcBorders>
            <w:vAlign w:val="center"/>
          </w:tcPr>
          <w:p w14:paraId="372F5EAE">
            <w:pPr>
              <w:rPr>
                <w:rFonts w:ascii="宋体" w:hAnsi="宋体" w:cs="宋体"/>
                <w:bCs/>
                <w:color w:val="auto"/>
                <w:szCs w:val="21"/>
                <w:highlight w:val="none"/>
              </w:rPr>
            </w:pPr>
          </w:p>
        </w:tc>
        <w:tc>
          <w:tcPr>
            <w:tcW w:w="1365" w:type="dxa"/>
            <w:tcBorders>
              <w:tl2br w:val="nil"/>
              <w:tr2bl w:val="nil"/>
            </w:tcBorders>
            <w:vAlign w:val="center"/>
          </w:tcPr>
          <w:p w14:paraId="363EA20F">
            <w:pPr>
              <w:rPr>
                <w:rFonts w:ascii="宋体" w:hAnsi="宋体" w:cs="宋体"/>
                <w:bCs/>
                <w:color w:val="auto"/>
                <w:szCs w:val="21"/>
                <w:highlight w:val="none"/>
              </w:rPr>
            </w:pPr>
          </w:p>
        </w:tc>
        <w:tc>
          <w:tcPr>
            <w:tcW w:w="1815" w:type="dxa"/>
            <w:tcBorders>
              <w:tl2br w:val="nil"/>
              <w:tr2bl w:val="nil"/>
            </w:tcBorders>
            <w:vAlign w:val="center"/>
          </w:tcPr>
          <w:p w14:paraId="38357481">
            <w:pPr>
              <w:rPr>
                <w:rFonts w:ascii="宋体" w:hAnsi="宋体" w:cs="宋体"/>
                <w:bCs/>
                <w:color w:val="auto"/>
                <w:szCs w:val="21"/>
                <w:highlight w:val="none"/>
              </w:rPr>
            </w:pPr>
          </w:p>
        </w:tc>
        <w:tc>
          <w:tcPr>
            <w:tcW w:w="1207" w:type="dxa"/>
            <w:tcBorders>
              <w:tl2br w:val="nil"/>
              <w:tr2bl w:val="nil"/>
            </w:tcBorders>
            <w:vAlign w:val="center"/>
          </w:tcPr>
          <w:p w14:paraId="60170768">
            <w:pPr>
              <w:rPr>
                <w:rFonts w:ascii="宋体" w:hAnsi="宋体" w:cs="宋体"/>
                <w:bCs/>
                <w:color w:val="auto"/>
                <w:szCs w:val="21"/>
                <w:highlight w:val="none"/>
              </w:rPr>
            </w:pPr>
          </w:p>
        </w:tc>
        <w:tc>
          <w:tcPr>
            <w:tcW w:w="765" w:type="dxa"/>
            <w:tcBorders>
              <w:tl2br w:val="nil"/>
              <w:tr2bl w:val="nil"/>
            </w:tcBorders>
            <w:vAlign w:val="center"/>
          </w:tcPr>
          <w:p w14:paraId="2122F13E">
            <w:pPr>
              <w:rPr>
                <w:rFonts w:ascii="宋体" w:hAnsi="宋体" w:cs="宋体"/>
                <w:bCs/>
                <w:color w:val="auto"/>
                <w:szCs w:val="21"/>
                <w:highlight w:val="none"/>
              </w:rPr>
            </w:pPr>
          </w:p>
        </w:tc>
      </w:tr>
      <w:tr w14:paraId="3F866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FDF8F81">
            <w:pPr>
              <w:jc w:val="center"/>
              <w:rPr>
                <w:rFonts w:ascii="宋体" w:hAnsi="宋体" w:cs="宋体"/>
                <w:bCs/>
                <w:color w:val="auto"/>
                <w:szCs w:val="21"/>
                <w:highlight w:val="none"/>
              </w:rPr>
            </w:pPr>
          </w:p>
        </w:tc>
        <w:tc>
          <w:tcPr>
            <w:tcW w:w="1140" w:type="dxa"/>
            <w:tcBorders>
              <w:tl2br w:val="nil"/>
              <w:tr2bl w:val="nil"/>
            </w:tcBorders>
            <w:vAlign w:val="center"/>
          </w:tcPr>
          <w:p w14:paraId="5B9C4DA2">
            <w:pPr>
              <w:rPr>
                <w:rFonts w:ascii="宋体" w:hAnsi="宋体" w:cs="宋体"/>
                <w:bCs/>
                <w:color w:val="auto"/>
                <w:szCs w:val="21"/>
                <w:highlight w:val="none"/>
              </w:rPr>
            </w:pPr>
          </w:p>
        </w:tc>
        <w:tc>
          <w:tcPr>
            <w:tcW w:w="1178" w:type="dxa"/>
            <w:tcBorders>
              <w:tl2br w:val="nil"/>
              <w:tr2bl w:val="nil"/>
            </w:tcBorders>
            <w:vAlign w:val="center"/>
          </w:tcPr>
          <w:p w14:paraId="6C2FD9D2">
            <w:pPr>
              <w:rPr>
                <w:rFonts w:ascii="宋体" w:hAnsi="宋体" w:cs="宋体"/>
                <w:bCs/>
                <w:color w:val="auto"/>
                <w:szCs w:val="21"/>
                <w:highlight w:val="none"/>
              </w:rPr>
            </w:pPr>
          </w:p>
        </w:tc>
        <w:tc>
          <w:tcPr>
            <w:tcW w:w="1365" w:type="dxa"/>
            <w:tcBorders>
              <w:tl2br w:val="nil"/>
              <w:tr2bl w:val="nil"/>
            </w:tcBorders>
            <w:vAlign w:val="center"/>
          </w:tcPr>
          <w:p w14:paraId="716D242A">
            <w:pPr>
              <w:rPr>
                <w:rFonts w:ascii="宋体" w:hAnsi="宋体" w:cs="宋体"/>
                <w:bCs/>
                <w:color w:val="auto"/>
                <w:szCs w:val="21"/>
                <w:highlight w:val="none"/>
              </w:rPr>
            </w:pPr>
          </w:p>
        </w:tc>
        <w:tc>
          <w:tcPr>
            <w:tcW w:w="1815" w:type="dxa"/>
            <w:tcBorders>
              <w:tl2br w:val="nil"/>
              <w:tr2bl w:val="nil"/>
            </w:tcBorders>
            <w:vAlign w:val="center"/>
          </w:tcPr>
          <w:p w14:paraId="64C0AEF7">
            <w:pPr>
              <w:rPr>
                <w:rFonts w:ascii="宋体" w:hAnsi="宋体" w:cs="宋体"/>
                <w:bCs/>
                <w:color w:val="auto"/>
                <w:szCs w:val="21"/>
                <w:highlight w:val="none"/>
              </w:rPr>
            </w:pPr>
          </w:p>
        </w:tc>
        <w:tc>
          <w:tcPr>
            <w:tcW w:w="1207" w:type="dxa"/>
            <w:tcBorders>
              <w:tl2br w:val="nil"/>
              <w:tr2bl w:val="nil"/>
            </w:tcBorders>
            <w:vAlign w:val="center"/>
          </w:tcPr>
          <w:p w14:paraId="6BD98BB4">
            <w:pPr>
              <w:rPr>
                <w:rFonts w:ascii="宋体" w:hAnsi="宋体" w:cs="宋体"/>
                <w:bCs/>
                <w:color w:val="auto"/>
                <w:szCs w:val="21"/>
                <w:highlight w:val="none"/>
              </w:rPr>
            </w:pPr>
          </w:p>
        </w:tc>
        <w:tc>
          <w:tcPr>
            <w:tcW w:w="765" w:type="dxa"/>
            <w:tcBorders>
              <w:tl2br w:val="nil"/>
              <w:tr2bl w:val="nil"/>
            </w:tcBorders>
            <w:vAlign w:val="center"/>
          </w:tcPr>
          <w:p w14:paraId="6A88241C">
            <w:pPr>
              <w:rPr>
                <w:rFonts w:ascii="宋体" w:hAnsi="宋体" w:cs="宋体"/>
                <w:bCs/>
                <w:color w:val="auto"/>
                <w:szCs w:val="21"/>
                <w:highlight w:val="none"/>
              </w:rPr>
            </w:pPr>
          </w:p>
        </w:tc>
      </w:tr>
      <w:tr w14:paraId="2FA48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85E5B7A">
            <w:pPr>
              <w:jc w:val="center"/>
              <w:rPr>
                <w:rFonts w:ascii="宋体" w:hAnsi="宋体" w:cs="宋体"/>
                <w:bCs/>
                <w:color w:val="auto"/>
                <w:szCs w:val="21"/>
                <w:highlight w:val="none"/>
              </w:rPr>
            </w:pPr>
          </w:p>
        </w:tc>
        <w:tc>
          <w:tcPr>
            <w:tcW w:w="1140" w:type="dxa"/>
            <w:tcBorders>
              <w:tl2br w:val="nil"/>
              <w:tr2bl w:val="nil"/>
            </w:tcBorders>
            <w:vAlign w:val="center"/>
          </w:tcPr>
          <w:p w14:paraId="18DCDE9A">
            <w:pPr>
              <w:rPr>
                <w:rFonts w:ascii="宋体" w:hAnsi="宋体" w:cs="宋体"/>
                <w:bCs/>
                <w:color w:val="auto"/>
                <w:szCs w:val="21"/>
                <w:highlight w:val="none"/>
              </w:rPr>
            </w:pPr>
          </w:p>
        </w:tc>
        <w:tc>
          <w:tcPr>
            <w:tcW w:w="1178" w:type="dxa"/>
            <w:tcBorders>
              <w:tl2br w:val="nil"/>
              <w:tr2bl w:val="nil"/>
            </w:tcBorders>
            <w:vAlign w:val="center"/>
          </w:tcPr>
          <w:p w14:paraId="1565A864">
            <w:pPr>
              <w:rPr>
                <w:rFonts w:ascii="宋体" w:hAnsi="宋体" w:cs="宋体"/>
                <w:bCs/>
                <w:color w:val="auto"/>
                <w:szCs w:val="21"/>
                <w:highlight w:val="none"/>
              </w:rPr>
            </w:pPr>
          </w:p>
        </w:tc>
        <w:tc>
          <w:tcPr>
            <w:tcW w:w="1365" w:type="dxa"/>
            <w:tcBorders>
              <w:tl2br w:val="nil"/>
              <w:tr2bl w:val="nil"/>
            </w:tcBorders>
            <w:vAlign w:val="center"/>
          </w:tcPr>
          <w:p w14:paraId="61EB81C6">
            <w:pPr>
              <w:rPr>
                <w:rFonts w:ascii="宋体" w:hAnsi="宋体" w:cs="宋体"/>
                <w:bCs/>
                <w:color w:val="auto"/>
                <w:szCs w:val="21"/>
                <w:highlight w:val="none"/>
              </w:rPr>
            </w:pPr>
          </w:p>
        </w:tc>
        <w:tc>
          <w:tcPr>
            <w:tcW w:w="1815" w:type="dxa"/>
            <w:tcBorders>
              <w:tl2br w:val="nil"/>
              <w:tr2bl w:val="nil"/>
            </w:tcBorders>
            <w:vAlign w:val="center"/>
          </w:tcPr>
          <w:p w14:paraId="1054EF3B">
            <w:pPr>
              <w:rPr>
                <w:rFonts w:ascii="宋体" w:hAnsi="宋体" w:cs="宋体"/>
                <w:bCs/>
                <w:color w:val="auto"/>
                <w:szCs w:val="21"/>
                <w:highlight w:val="none"/>
              </w:rPr>
            </w:pPr>
          </w:p>
        </w:tc>
        <w:tc>
          <w:tcPr>
            <w:tcW w:w="1207" w:type="dxa"/>
            <w:tcBorders>
              <w:tl2br w:val="nil"/>
              <w:tr2bl w:val="nil"/>
            </w:tcBorders>
            <w:vAlign w:val="center"/>
          </w:tcPr>
          <w:p w14:paraId="1007A432">
            <w:pPr>
              <w:rPr>
                <w:rFonts w:ascii="宋体" w:hAnsi="宋体" w:cs="宋体"/>
                <w:bCs/>
                <w:color w:val="auto"/>
                <w:szCs w:val="21"/>
                <w:highlight w:val="none"/>
              </w:rPr>
            </w:pPr>
          </w:p>
        </w:tc>
        <w:tc>
          <w:tcPr>
            <w:tcW w:w="765" w:type="dxa"/>
            <w:tcBorders>
              <w:tl2br w:val="nil"/>
              <w:tr2bl w:val="nil"/>
            </w:tcBorders>
            <w:vAlign w:val="center"/>
          </w:tcPr>
          <w:p w14:paraId="70BD900D">
            <w:pPr>
              <w:rPr>
                <w:rFonts w:ascii="宋体" w:hAnsi="宋体" w:cs="宋体"/>
                <w:bCs/>
                <w:color w:val="auto"/>
                <w:szCs w:val="21"/>
                <w:highlight w:val="none"/>
              </w:rPr>
            </w:pPr>
          </w:p>
        </w:tc>
      </w:tr>
      <w:tr w14:paraId="13BF26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BE72D0E">
            <w:pPr>
              <w:jc w:val="center"/>
              <w:rPr>
                <w:rFonts w:ascii="宋体" w:hAnsi="宋体" w:cs="宋体"/>
                <w:bCs/>
                <w:color w:val="auto"/>
                <w:szCs w:val="21"/>
                <w:highlight w:val="none"/>
              </w:rPr>
            </w:pPr>
          </w:p>
        </w:tc>
        <w:tc>
          <w:tcPr>
            <w:tcW w:w="1140" w:type="dxa"/>
            <w:tcBorders>
              <w:tl2br w:val="nil"/>
              <w:tr2bl w:val="nil"/>
            </w:tcBorders>
            <w:vAlign w:val="center"/>
          </w:tcPr>
          <w:p w14:paraId="5CF99A01">
            <w:pPr>
              <w:rPr>
                <w:rFonts w:ascii="宋体" w:hAnsi="宋体" w:cs="宋体"/>
                <w:bCs/>
                <w:color w:val="auto"/>
                <w:szCs w:val="21"/>
                <w:highlight w:val="none"/>
              </w:rPr>
            </w:pPr>
          </w:p>
        </w:tc>
        <w:tc>
          <w:tcPr>
            <w:tcW w:w="1178" w:type="dxa"/>
            <w:tcBorders>
              <w:tl2br w:val="nil"/>
              <w:tr2bl w:val="nil"/>
            </w:tcBorders>
            <w:vAlign w:val="center"/>
          </w:tcPr>
          <w:p w14:paraId="6D227A42">
            <w:pPr>
              <w:rPr>
                <w:rFonts w:ascii="宋体" w:hAnsi="宋体" w:cs="宋体"/>
                <w:bCs/>
                <w:color w:val="auto"/>
                <w:szCs w:val="21"/>
                <w:highlight w:val="none"/>
              </w:rPr>
            </w:pPr>
          </w:p>
        </w:tc>
        <w:tc>
          <w:tcPr>
            <w:tcW w:w="1365" w:type="dxa"/>
            <w:tcBorders>
              <w:tl2br w:val="nil"/>
              <w:tr2bl w:val="nil"/>
            </w:tcBorders>
            <w:vAlign w:val="center"/>
          </w:tcPr>
          <w:p w14:paraId="72787C09">
            <w:pPr>
              <w:rPr>
                <w:rFonts w:ascii="宋体" w:hAnsi="宋体" w:cs="宋体"/>
                <w:bCs/>
                <w:color w:val="auto"/>
                <w:szCs w:val="21"/>
                <w:highlight w:val="none"/>
              </w:rPr>
            </w:pPr>
          </w:p>
        </w:tc>
        <w:tc>
          <w:tcPr>
            <w:tcW w:w="1815" w:type="dxa"/>
            <w:tcBorders>
              <w:tl2br w:val="nil"/>
              <w:tr2bl w:val="nil"/>
            </w:tcBorders>
            <w:vAlign w:val="center"/>
          </w:tcPr>
          <w:p w14:paraId="1ABB0533">
            <w:pPr>
              <w:rPr>
                <w:rFonts w:ascii="宋体" w:hAnsi="宋体" w:cs="宋体"/>
                <w:bCs/>
                <w:color w:val="auto"/>
                <w:szCs w:val="21"/>
                <w:highlight w:val="none"/>
              </w:rPr>
            </w:pPr>
          </w:p>
        </w:tc>
        <w:tc>
          <w:tcPr>
            <w:tcW w:w="1207" w:type="dxa"/>
            <w:tcBorders>
              <w:tl2br w:val="nil"/>
              <w:tr2bl w:val="nil"/>
            </w:tcBorders>
            <w:vAlign w:val="center"/>
          </w:tcPr>
          <w:p w14:paraId="58980A96">
            <w:pPr>
              <w:rPr>
                <w:rFonts w:ascii="宋体" w:hAnsi="宋体" w:cs="宋体"/>
                <w:bCs/>
                <w:color w:val="auto"/>
                <w:szCs w:val="21"/>
                <w:highlight w:val="none"/>
              </w:rPr>
            </w:pPr>
          </w:p>
        </w:tc>
        <w:tc>
          <w:tcPr>
            <w:tcW w:w="765" w:type="dxa"/>
            <w:tcBorders>
              <w:tl2br w:val="nil"/>
              <w:tr2bl w:val="nil"/>
            </w:tcBorders>
            <w:vAlign w:val="center"/>
          </w:tcPr>
          <w:p w14:paraId="4108D3F0">
            <w:pPr>
              <w:rPr>
                <w:rFonts w:ascii="宋体" w:hAnsi="宋体" w:cs="宋体"/>
                <w:bCs/>
                <w:color w:val="auto"/>
                <w:szCs w:val="21"/>
                <w:highlight w:val="none"/>
              </w:rPr>
            </w:pPr>
          </w:p>
        </w:tc>
      </w:tr>
      <w:tr w14:paraId="31679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188CB20">
            <w:pPr>
              <w:jc w:val="center"/>
              <w:rPr>
                <w:rFonts w:ascii="宋体" w:hAnsi="宋体" w:cs="宋体"/>
                <w:bCs/>
                <w:color w:val="auto"/>
                <w:szCs w:val="21"/>
                <w:highlight w:val="none"/>
              </w:rPr>
            </w:pPr>
          </w:p>
        </w:tc>
        <w:tc>
          <w:tcPr>
            <w:tcW w:w="1140" w:type="dxa"/>
            <w:tcBorders>
              <w:tl2br w:val="nil"/>
              <w:tr2bl w:val="nil"/>
            </w:tcBorders>
            <w:vAlign w:val="center"/>
          </w:tcPr>
          <w:p w14:paraId="1116A33E">
            <w:pPr>
              <w:rPr>
                <w:rFonts w:ascii="宋体" w:hAnsi="宋体" w:cs="宋体"/>
                <w:bCs/>
                <w:color w:val="auto"/>
                <w:szCs w:val="21"/>
                <w:highlight w:val="none"/>
              </w:rPr>
            </w:pPr>
          </w:p>
        </w:tc>
        <w:tc>
          <w:tcPr>
            <w:tcW w:w="1178" w:type="dxa"/>
            <w:tcBorders>
              <w:tl2br w:val="nil"/>
              <w:tr2bl w:val="nil"/>
            </w:tcBorders>
            <w:vAlign w:val="center"/>
          </w:tcPr>
          <w:p w14:paraId="0099E26E">
            <w:pPr>
              <w:rPr>
                <w:rFonts w:ascii="宋体" w:hAnsi="宋体" w:cs="宋体"/>
                <w:bCs/>
                <w:color w:val="auto"/>
                <w:szCs w:val="21"/>
                <w:highlight w:val="none"/>
              </w:rPr>
            </w:pPr>
          </w:p>
        </w:tc>
        <w:tc>
          <w:tcPr>
            <w:tcW w:w="1365" w:type="dxa"/>
            <w:tcBorders>
              <w:tl2br w:val="nil"/>
              <w:tr2bl w:val="nil"/>
            </w:tcBorders>
            <w:vAlign w:val="center"/>
          </w:tcPr>
          <w:p w14:paraId="65F4A880">
            <w:pPr>
              <w:rPr>
                <w:rFonts w:ascii="宋体" w:hAnsi="宋体" w:cs="宋体"/>
                <w:bCs/>
                <w:color w:val="auto"/>
                <w:szCs w:val="21"/>
                <w:highlight w:val="none"/>
              </w:rPr>
            </w:pPr>
          </w:p>
        </w:tc>
        <w:tc>
          <w:tcPr>
            <w:tcW w:w="1815" w:type="dxa"/>
            <w:tcBorders>
              <w:tl2br w:val="nil"/>
              <w:tr2bl w:val="nil"/>
            </w:tcBorders>
            <w:vAlign w:val="center"/>
          </w:tcPr>
          <w:p w14:paraId="4BDD0C55">
            <w:pPr>
              <w:rPr>
                <w:rFonts w:ascii="宋体" w:hAnsi="宋体" w:cs="宋体"/>
                <w:bCs/>
                <w:color w:val="auto"/>
                <w:szCs w:val="21"/>
                <w:highlight w:val="none"/>
              </w:rPr>
            </w:pPr>
          </w:p>
        </w:tc>
        <w:tc>
          <w:tcPr>
            <w:tcW w:w="1207" w:type="dxa"/>
            <w:tcBorders>
              <w:tl2br w:val="nil"/>
              <w:tr2bl w:val="nil"/>
            </w:tcBorders>
            <w:vAlign w:val="center"/>
          </w:tcPr>
          <w:p w14:paraId="3222F969">
            <w:pPr>
              <w:rPr>
                <w:rFonts w:ascii="宋体" w:hAnsi="宋体" w:cs="宋体"/>
                <w:bCs/>
                <w:color w:val="auto"/>
                <w:szCs w:val="21"/>
                <w:highlight w:val="none"/>
              </w:rPr>
            </w:pPr>
          </w:p>
        </w:tc>
        <w:tc>
          <w:tcPr>
            <w:tcW w:w="765" w:type="dxa"/>
            <w:tcBorders>
              <w:tl2br w:val="nil"/>
              <w:tr2bl w:val="nil"/>
            </w:tcBorders>
            <w:vAlign w:val="center"/>
          </w:tcPr>
          <w:p w14:paraId="6E2A2B08">
            <w:pPr>
              <w:rPr>
                <w:rFonts w:ascii="宋体" w:hAnsi="宋体" w:cs="宋体"/>
                <w:bCs/>
                <w:color w:val="auto"/>
                <w:szCs w:val="21"/>
                <w:highlight w:val="none"/>
              </w:rPr>
            </w:pPr>
          </w:p>
        </w:tc>
      </w:tr>
      <w:tr w14:paraId="20E64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AF3BD96">
            <w:pPr>
              <w:jc w:val="center"/>
              <w:rPr>
                <w:rFonts w:ascii="宋体" w:hAnsi="宋体" w:cs="宋体"/>
                <w:bCs/>
                <w:color w:val="auto"/>
                <w:szCs w:val="21"/>
                <w:highlight w:val="none"/>
              </w:rPr>
            </w:pPr>
          </w:p>
        </w:tc>
        <w:tc>
          <w:tcPr>
            <w:tcW w:w="1140" w:type="dxa"/>
            <w:tcBorders>
              <w:tl2br w:val="nil"/>
              <w:tr2bl w:val="nil"/>
            </w:tcBorders>
            <w:vAlign w:val="center"/>
          </w:tcPr>
          <w:p w14:paraId="4E638F82">
            <w:pPr>
              <w:rPr>
                <w:rFonts w:ascii="宋体" w:hAnsi="宋体" w:cs="宋体"/>
                <w:bCs/>
                <w:color w:val="auto"/>
                <w:szCs w:val="21"/>
                <w:highlight w:val="none"/>
              </w:rPr>
            </w:pPr>
          </w:p>
        </w:tc>
        <w:tc>
          <w:tcPr>
            <w:tcW w:w="1178" w:type="dxa"/>
            <w:tcBorders>
              <w:tl2br w:val="nil"/>
              <w:tr2bl w:val="nil"/>
            </w:tcBorders>
            <w:vAlign w:val="center"/>
          </w:tcPr>
          <w:p w14:paraId="5A01CDF6">
            <w:pPr>
              <w:rPr>
                <w:rFonts w:ascii="宋体" w:hAnsi="宋体" w:cs="宋体"/>
                <w:bCs/>
                <w:color w:val="auto"/>
                <w:szCs w:val="21"/>
                <w:highlight w:val="none"/>
              </w:rPr>
            </w:pPr>
          </w:p>
        </w:tc>
        <w:tc>
          <w:tcPr>
            <w:tcW w:w="1365" w:type="dxa"/>
            <w:tcBorders>
              <w:tl2br w:val="nil"/>
              <w:tr2bl w:val="nil"/>
            </w:tcBorders>
            <w:vAlign w:val="center"/>
          </w:tcPr>
          <w:p w14:paraId="76A71735">
            <w:pPr>
              <w:rPr>
                <w:rFonts w:ascii="宋体" w:hAnsi="宋体" w:cs="宋体"/>
                <w:bCs/>
                <w:color w:val="auto"/>
                <w:szCs w:val="21"/>
                <w:highlight w:val="none"/>
              </w:rPr>
            </w:pPr>
          </w:p>
        </w:tc>
        <w:tc>
          <w:tcPr>
            <w:tcW w:w="1815" w:type="dxa"/>
            <w:tcBorders>
              <w:tl2br w:val="nil"/>
              <w:tr2bl w:val="nil"/>
            </w:tcBorders>
            <w:vAlign w:val="center"/>
          </w:tcPr>
          <w:p w14:paraId="3F48B71E">
            <w:pPr>
              <w:rPr>
                <w:rFonts w:ascii="宋体" w:hAnsi="宋体" w:cs="宋体"/>
                <w:bCs/>
                <w:color w:val="auto"/>
                <w:szCs w:val="21"/>
                <w:highlight w:val="none"/>
              </w:rPr>
            </w:pPr>
          </w:p>
        </w:tc>
        <w:tc>
          <w:tcPr>
            <w:tcW w:w="1207" w:type="dxa"/>
            <w:tcBorders>
              <w:tl2br w:val="nil"/>
              <w:tr2bl w:val="nil"/>
            </w:tcBorders>
            <w:vAlign w:val="center"/>
          </w:tcPr>
          <w:p w14:paraId="74D1485F">
            <w:pPr>
              <w:rPr>
                <w:rFonts w:ascii="宋体" w:hAnsi="宋体" w:cs="宋体"/>
                <w:bCs/>
                <w:color w:val="auto"/>
                <w:szCs w:val="21"/>
                <w:highlight w:val="none"/>
              </w:rPr>
            </w:pPr>
          </w:p>
        </w:tc>
        <w:tc>
          <w:tcPr>
            <w:tcW w:w="765" w:type="dxa"/>
            <w:tcBorders>
              <w:tl2br w:val="nil"/>
              <w:tr2bl w:val="nil"/>
            </w:tcBorders>
            <w:vAlign w:val="center"/>
          </w:tcPr>
          <w:p w14:paraId="4C3C2A1F">
            <w:pPr>
              <w:rPr>
                <w:rFonts w:ascii="宋体" w:hAnsi="宋体" w:cs="宋体"/>
                <w:bCs/>
                <w:color w:val="auto"/>
                <w:szCs w:val="21"/>
                <w:highlight w:val="none"/>
              </w:rPr>
            </w:pPr>
          </w:p>
        </w:tc>
      </w:tr>
      <w:tr w14:paraId="3BED1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0800435">
            <w:pPr>
              <w:jc w:val="center"/>
              <w:rPr>
                <w:rFonts w:ascii="宋体" w:hAnsi="宋体" w:cs="宋体"/>
                <w:bCs/>
                <w:color w:val="auto"/>
                <w:szCs w:val="21"/>
                <w:highlight w:val="none"/>
              </w:rPr>
            </w:pPr>
          </w:p>
        </w:tc>
        <w:tc>
          <w:tcPr>
            <w:tcW w:w="1140" w:type="dxa"/>
            <w:tcBorders>
              <w:tl2br w:val="nil"/>
              <w:tr2bl w:val="nil"/>
            </w:tcBorders>
            <w:vAlign w:val="center"/>
          </w:tcPr>
          <w:p w14:paraId="408B1A0B">
            <w:pPr>
              <w:rPr>
                <w:rFonts w:ascii="宋体" w:hAnsi="宋体" w:cs="宋体"/>
                <w:bCs/>
                <w:color w:val="auto"/>
                <w:szCs w:val="21"/>
                <w:highlight w:val="none"/>
              </w:rPr>
            </w:pPr>
          </w:p>
        </w:tc>
        <w:tc>
          <w:tcPr>
            <w:tcW w:w="1178" w:type="dxa"/>
            <w:tcBorders>
              <w:tl2br w:val="nil"/>
              <w:tr2bl w:val="nil"/>
            </w:tcBorders>
            <w:vAlign w:val="center"/>
          </w:tcPr>
          <w:p w14:paraId="1066CA92">
            <w:pPr>
              <w:rPr>
                <w:rFonts w:ascii="宋体" w:hAnsi="宋体" w:cs="宋体"/>
                <w:bCs/>
                <w:color w:val="auto"/>
                <w:szCs w:val="21"/>
                <w:highlight w:val="none"/>
              </w:rPr>
            </w:pPr>
          </w:p>
        </w:tc>
        <w:tc>
          <w:tcPr>
            <w:tcW w:w="1365" w:type="dxa"/>
            <w:tcBorders>
              <w:tl2br w:val="nil"/>
              <w:tr2bl w:val="nil"/>
            </w:tcBorders>
            <w:vAlign w:val="center"/>
          </w:tcPr>
          <w:p w14:paraId="5FEAF8BB">
            <w:pPr>
              <w:rPr>
                <w:rFonts w:ascii="宋体" w:hAnsi="宋体" w:cs="宋体"/>
                <w:bCs/>
                <w:color w:val="auto"/>
                <w:szCs w:val="21"/>
                <w:highlight w:val="none"/>
              </w:rPr>
            </w:pPr>
          </w:p>
        </w:tc>
        <w:tc>
          <w:tcPr>
            <w:tcW w:w="1815" w:type="dxa"/>
            <w:tcBorders>
              <w:tl2br w:val="nil"/>
              <w:tr2bl w:val="nil"/>
            </w:tcBorders>
            <w:vAlign w:val="center"/>
          </w:tcPr>
          <w:p w14:paraId="386E6B7F">
            <w:pPr>
              <w:rPr>
                <w:rFonts w:ascii="宋体" w:hAnsi="宋体" w:cs="宋体"/>
                <w:bCs/>
                <w:color w:val="auto"/>
                <w:szCs w:val="21"/>
                <w:highlight w:val="none"/>
              </w:rPr>
            </w:pPr>
          </w:p>
        </w:tc>
        <w:tc>
          <w:tcPr>
            <w:tcW w:w="1207" w:type="dxa"/>
            <w:tcBorders>
              <w:tl2br w:val="nil"/>
              <w:tr2bl w:val="nil"/>
            </w:tcBorders>
            <w:vAlign w:val="center"/>
          </w:tcPr>
          <w:p w14:paraId="406AC036">
            <w:pPr>
              <w:rPr>
                <w:rFonts w:ascii="宋体" w:hAnsi="宋体" w:cs="宋体"/>
                <w:bCs/>
                <w:color w:val="auto"/>
                <w:szCs w:val="21"/>
                <w:highlight w:val="none"/>
              </w:rPr>
            </w:pPr>
          </w:p>
        </w:tc>
        <w:tc>
          <w:tcPr>
            <w:tcW w:w="765" w:type="dxa"/>
            <w:tcBorders>
              <w:tl2br w:val="nil"/>
              <w:tr2bl w:val="nil"/>
            </w:tcBorders>
            <w:vAlign w:val="center"/>
          </w:tcPr>
          <w:p w14:paraId="71689755">
            <w:pPr>
              <w:rPr>
                <w:rFonts w:ascii="宋体" w:hAnsi="宋体" w:cs="宋体"/>
                <w:bCs/>
                <w:color w:val="auto"/>
                <w:szCs w:val="21"/>
                <w:highlight w:val="none"/>
              </w:rPr>
            </w:pPr>
          </w:p>
        </w:tc>
      </w:tr>
      <w:tr w14:paraId="655C2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636BE8D3">
            <w:pPr>
              <w:jc w:val="center"/>
              <w:rPr>
                <w:rFonts w:ascii="宋体" w:hAnsi="宋体" w:cs="宋体"/>
                <w:bCs/>
                <w:color w:val="auto"/>
                <w:szCs w:val="21"/>
                <w:highlight w:val="none"/>
              </w:rPr>
            </w:pPr>
          </w:p>
        </w:tc>
        <w:tc>
          <w:tcPr>
            <w:tcW w:w="1140" w:type="dxa"/>
            <w:tcBorders>
              <w:tl2br w:val="nil"/>
              <w:tr2bl w:val="nil"/>
            </w:tcBorders>
            <w:vAlign w:val="center"/>
          </w:tcPr>
          <w:p w14:paraId="2E302D6D">
            <w:pPr>
              <w:rPr>
                <w:rFonts w:ascii="宋体" w:hAnsi="宋体" w:cs="宋体"/>
                <w:bCs/>
                <w:color w:val="auto"/>
                <w:szCs w:val="21"/>
                <w:highlight w:val="none"/>
              </w:rPr>
            </w:pPr>
          </w:p>
        </w:tc>
        <w:tc>
          <w:tcPr>
            <w:tcW w:w="1178" w:type="dxa"/>
            <w:tcBorders>
              <w:tl2br w:val="nil"/>
              <w:tr2bl w:val="nil"/>
            </w:tcBorders>
            <w:vAlign w:val="center"/>
          </w:tcPr>
          <w:p w14:paraId="266329BB">
            <w:pPr>
              <w:rPr>
                <w:rFonts w:ascii="宋体" w:hAnsi="宋体" w:cs="宋体"/>
                <w:bCs/>
                <w:color w:val="auto"/>
                <w:szCs w:val="21"/>
                <w:highlight w:val="none"/>
              </w:rPr>
            </w:pPr>
          </w:p>
        </w:tc>
        <w:tc>
          <w:tcPr>
            <w:tcW w:w="1365" w:type="dxa"/>
            <w:tcBorders>
              <w:tl2br w:val="nil"/>
              <w:tr2bl w:val="nil"/>
            </w:tcBorders>
            <w:vAlign w:val="center"/>
          </w:tcPr>
          <w:p w14:paraId="637A1833">
            <w:pPr>
              <w:rPr>
                <w:rFonts w:ascii="宋体" w:hAnsi="宋体" w:cs="宋体"/>
                <w:bCs/>
                <w:color w:val="auto"/>
                <w:szCs w:val="21"/>
                <w:highlight w:val="none"/>
              </w:rPr>
            </w:pPr>
          </w:p>
        </w:tc>
        <w:tc>
          <w:tcPr>
            <w:tcW w:w="1815" w:type="dxa"/>
            <w:tcBorders>
              <w:tl2br w:val="nil"/>
              <w:tr2bl w:val="nil"/>
            </w:tcBorders>
            <w:vAlign w:val="center"/>
          </w:tcPr>
          <w:p w14:paraId="1843F9AE">
            <w:pPr>
              <w:rPr>
                <w:rFonts w:ascii="宋体" w:hAnsi="宋体" w:cs="宋体"/>
                <w:bCs/>
                <w:color w:val="auto"/>
                <w:szCs w:val="21"/>
                <w:highlight w:val="none"/>
              </w:rPr>
            </w:pPr>
          </w:p>
        </w:tc>
        <w:tc>
          <w:tcPr>
            <w:tcW w:w="1207" w:type="dxa"/>
            <w:tcBorders>
              <w:tl2br w:val="nil"/>
              <w:tr2bl w:val="nil"/>
            </w:tcBorders>
            <w:vAlign w:val="center"/>
          </w:tcPr>
          <w:p w14:paraId="2463A9EC">
            <w:pPr>
              <w:rPr>
                <w:rFonts w:ascii="宋体" w:hAnsi="宋体" w:cs="宋体"/>
                <w:bCs/>
                <w:color w:val="auto"/>
                <w:szCs w:val="21"/>
                <w:highlight w:val="none"/>
              </w:rPr>
            </w:pPr>
          </w:p>
        </w:tc>
        <w:tc>
          <w:tcPr>
            <w:tcW w:w="765" w:type="dxa"/>
            <w:tcBorders>
              <w:tl2br w:val="nil"/>
              <w:tr2bl w:val="nil"/>
            </w:tcBorders>
            <w:vAlign w:val="center"/>
          </w:tcPr>
          <w:p w14:paraId="739B0967">
            <w:pPr>
              <w:rPr>
                <w:rFonts w:ascii="宋体" w:hAnsi="宋体" w:cs="宋体"/>
                <w:bCs/>
                <w:color w:val="auto"/>
                <w:szCs w:val="21"/>
                <w:highlight w:val="none"/>
              </w:rPr>
            </w:pPr>
          </w:p>
        </w:tc>
      </w:tr>
    </w:tbl>
    <w:p w14:paraId="7C4AAA32">
      <w:pPr>
        <w:pStyle w:val="35"/>
        <w:rPr>
          <w:rFonts w:ascii="宋体" w:hAnsi="宋体"/>
          <w:color w:val="auto"/>
          <w:szCs w:val="21"/>
          <w:highlight w:val="none"/>
        </w:rPr>
      </w:pPr>
    </w:p>
    <w:p w14:paraId="3608A881">
      <w:pPr>
        <w:pStyle w:val="35"/>
        <w:rPr>
          <w:rFonts w:ascii="宋体" w:hAnsi="宋体"/>
          <w:color w:val="auto"/>
          <w:szCs w:val="21"/>
          <w:highlight w:val="none"/>
        </w:rPr>
      </w:pPr>
      <w:r>
        <w:rPr>
          <w:rFonts w:hint="eastAsia" w:ascii="宋体" w:hAnsi="宋体"/>
          <w:color w:val="auto"/>
          <w:szCs w:val="21"/>
          <w:highlight w:val="none"/>
        </w:rPr>
        <w:t>注：须提供须提供证明资料，业绩表所列出的材料应为真实准确的，并应提供相关证明材料复印件加盖公章。</w:t>
      </w:r>
    </w:p>
    <w:p w14:paraId="38E8C2EC">
      <w:pPr>
        <w:rPr>
          <w:color w:val="auto"/>
          <w:highlight w:val="none"/>
        </w:rPr>
      </w:pPr>
    </w:p>
    <w:p w14:paraId="17918543">
      <w:pPr>
        <w:rPr>
          <w:color w:val="auto"/>
          <w:highlight w:val="none"/>
        </w:rPr>
      </w:pPr>
    </w:p>
    <w:p w14:paraId="5822794A">
      <w:pPr>
        <w:rPr>
          <w:color w:val="auto"/>
          <w:highlight w:val="none"/>
        </w:rPr>
      </w:pPr>
    </w:p>
    <w:p w14:paraId="0461934E">
      <w:pPr>
        <w:rPr>
          <w:color w:val="auto"/>
          <w:highlight w:val="none"/>
        </w:rPr>
      </w:pPr>
    </w:p>
    <w:p w14:paraId="7D73DD3D">
      <w:pPr>
        <w:rPr>
          <w:color w:val="auto"/>
          <w:highlight w:val="none"/>
        </w:rPr>
      </w:pPr>
    </w:p>
    <w:p w14:paraId="0F4216E3">
      <w:pPr>
        <w:rPr>
          <w:color w:val="auto"/>
          <w:highlight w:val="none"/>
        </w:rPr>
      </w:pPr>
    </w:p>
    <w:p w14:paraId="2CF8FC28">
      <w:pPr>
        <w:rPr>
          <w:color w:val="auto"/>
          <w:highlight w:val="none"/>
        </w:rPr>
      </w:pPr>
    </w:p>
    <w:p w14:paraId="53C486B8">
      <w:pPr>
        <w:rPr>
          <w:color w:val="auto"/>
          <w:highlight w:val="none"/>
        </w:rPr>
      </w:pPr>
    </w:p>
    <w:p w14:paraId="6F83A25C">
      <w:pPr>
        <w:rPr>
          <w:color w:val="auto"/>
          <w:highlight w:val="none"/>
        </w:rPr>
      </w:pPr>
    </w:p>
    <w:p w14:paraId="2C8DF10D">
      <w:pPr>
        <w:rPr>
          <w:color w:val="auto"/>
          <w:highlight w:val="none"/>
        </w:rPr>
      </w:pPr>
    </w:p>
    <w:p w14:paraId="184DA698">
      <w:pPr>
        <w:rPr>
          <w:color w:val="auto"/>
          <w:highlight w:val="none"/>
        </w:rPr>
      </w:pPr>
    </w:p>
    <w:p w14:paraId="1AFFBF69">
      <w:pPr>
        <w:rPr>
          <w:color w:val="auto"/>
          <w:highlight w:val="none"/>
        </w:rPr>
      </w:pPr>
    </w:p>
    <w:p w14:paraId="759A7F84">
      <w:pPr>
        <w:rPr>
          <w:color w:val="auto"/>
          <w:highlight w:val="none"/>
        </w:rPr>
      </w:pPr>
    </w:p>
    <w:p w14:paraId="2FE9CFE6">
      <w:pPr>
        <w:rPr>
          <w:color w:val="auto"/>
          <w:highlight w:val="none"/>
        </w:rPr>
      </w:pPr>
    </w:p>
    <w:p w14:paraId="4F57AD99">
      <w:pPr>
        <w:pStyle w:val="7"/>
        <w:rPr>
          <w:color w:val="auto"/>
          <w:highlight w:val="none"/>
        </w:rPr>
      </w:pPr>
    </w:p>
    <w:p w14:paraId="2A6D198B">
      <w:pPr>
        <w:pStyle w:val="7"/>
        <w:ind w:left="0"/>
        <w:rPr>
          <w:color w:val="auto"/>
          <w:highlight w:val="none"/>
        </w:rPr>
      </w:pPr>
    </w:p>
    <w:p w14:paraId="3689E01B">
      <w:pPr>
        <w:pStyle w:val="4"/>
        <w:jc w:val="center"/>
        <w:rPr>
          <w:rFonts w:ascii="黑体" w:eastAsia="黑体"/>
          <w:color w:val="auto"/>
          <w:szCs w:val="28"/>
          <w:highlight w:val="none"/>
        </w:rPr>
      </w:pPr>
      <w:bookmarkStart w:id="327" w:name="_Toc14688"/>
      <w:bookmarkStart w:id="328" w:name="_Toc25650"/>
      <w:r>
        <w:rPr>
          <w:rFonts w:hint="eastAsia"/>
          <w:color w:val="auto"/>
          <w:highlight w:val="none"/>
        </w:rPr>
        <w:t>第三章技术文件</w:t>
      </w:r>
      <w:bookmarkEnd w:id="324"/>
      <w:bookmarkEnd w:id="327"/>
      <w:bookmarkEnd w:id="328"/>
    </w:p>
    <w:p w14:paraId="485BAA59">
      <w:pPr>
        <w:pStyle w:val="4"/>
        <w:jc w:val="center"/>
        <w:rPr>
          <w:color w:val="auto"/>
          <w:highlight w:val="none"/>
        </w:rPr>
      </w:pPr>
      <w:bookmarkStart w:id="329" w:name="_Toc7092"/>
      <w:bookmarkStart w:id="330" w:name="_Toc13588"/>
      <w:r>
        <w:rPr>
          <w:rFonts w:hint="eastAsia"/>
          <w:color w:val="auto"/>
          <w:highlight w:val="none"/>
        </w:rPr>
        <w:t>一、技术规格偏离表</w:t>
      </w:r>
      <w:bookmarkEnd w:id="329"/>
      <w:bookmarkEnd w:id="330"/>
    </w:p>
    <w:tbl>
      <w:tblPr>
        <w:tblStyle w:val="23"/>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2DEA7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3F750906">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4581462F">
            <w:pPr>
              <w:jc w:val="center"/>
              <w:rPr>
                <w:rFonts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41C65E89">
            <w:pPr>
              <w:jc w:val="center"/>
              <w:rPr>
                <w:rFonts w:ascii="宋体" w:hAnsi="宋体" w:cs="宋体"/>
                <w:color w:val="auto"/>
                <w:szCs w:val="21"/>
                <w:highlight w:val="none"/>
              </w:rPr>
            </w:pPr>
            <w:r>
              <w:rPr>
                <w:rFonts w:hint="eastAsia" w:ascii="宋体" w:hAnsi="宋体" w:cs="宋体"/>
                <w:color w:val="auto"/>
                <w:szCs w:val="21"/>
                <w:highlight w:val="none"/>
              </w:rPr>
              <w:t>磋商文件要求</w:t>
            </w:r>
          </w:p>
        </w:tc>
        <w:tc>
          <w:tcPr>
            <w:tcW w:w="1590" w:type="dxa"/>
            <w:tcBorders>
              <w:tl2br w:val="nil"/>
              <w:tr2bl w:val="nil"/>
            </w:tcBorders>
            <w:vAlign w:val="center"/>
          </w:tcPr>
          <w:p w14:paraId="16139F37">
            <w:pPr>
              <w:jc w:val="center"/>
              <w:rPr>
                <w:rFonts w:ascii="宋体" w:hAnsi="宋体" w:cs="宋体"/>
                <w:color w:val="auto"/>
                <w:szCs w:val="21"/>
                <w:highlight w:val="none"/>
              </w:rPr>
            </w:pPr>
            <w:r>
              <w:rPr>
                <w:rFonts w:hint="eastAsia" w:ascii="宋体" w:hAnsi="宋体" w:cs="宋体"/>
                <w:color w:val="auto"/>
                <w:szCs w:val="21"/>
                <w:highlight w:val="none"/>
              </w:rPr>
              <w:t>实际响应</w:t>
            </w:r>
          </w:p>
        </w:tc>
        <w:tc>
          <w:tcPr>
            <w:tcW w:w="1260" w:type="dxa"/>
            <w:tcBorders>
              <w:tl2br w:val="nil"/>
              <w:tr2bl w:val="nil"/>
            </w:tcBorders>
            <w:vAlign w:val="center"/>
          </w:tcPr>
          <w:p w14:paraId="64284992">
            <w:pPr>
              <w:jc w:val="center"/>
              <w:rPr>
                <w:rFonts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1A7BF630">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2F82B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72F877F">
            <w:pPr>
              <w:jc w:val="center"/>
              <w:rPr>
                <w:rFonts w:ascii="宋体" w:hAnsi="宋体" w:cs="宋体"/>
                <w:color w:val="auto"/>
                <w:szCs w:val="21"/>
                <w:highlight w:val="none"/>
              </w:rPr>
            </w:pPr>
          </w:p>
        </w:tc>
        <w:tc>
          <w:tcPr>
            <w:tcW w:w="1623" w:type="dxa"/>
            <w:tcBorders>
              <w:tl2br w:val="nil"/>
              <w:tr2bl w:val="nil"/>
            </w:tcBorders>
            <w:vAlign w:val="center"/>
          </w:tcPr>
          <w:p w14:paraId="0F912BC5">
            <w:pPr>
              <w:jc w:val="center"/>
              <w:rPr>
                <w:rFonts w:ascii="宋体" w:hAnsi="宋体" w:cs="宋体"/>
                <w:color w:val="auto"/>
                <w:szCs w:val="21"/>
                <w:highlight w:val="none"/>
              </w:rPr>
            </w:pPr>
          </w:p>
        </w:tc>
        <w:tc>
          <w:tcPr>
            <w:tcW w:w="1815" w:type="dxa"/>
            <w:tcBorders>
              <w:tl2br w:val="nil"/>
              <w:tr2bl w:val="nil"/>
            </w:tcBorders>
            <w:vAlign w:val="center"/>
          </w:tcPr>
          <w:p w14:paraId="361498EB">
            <w:pPr>
              <w:jc w:val="center"/>
              <w:rPr>
                <w:rFonts w:ascii="宋体" w:hAnsi="宋体" w:cs="宋体"/>
                <w:color w:val="auto"/>
                <w:szCs w:val="21"/>
                <w:highlight w:val="none"/>
              </w:rPr>
            </w:pPr>
          </w:p>
        </w:tc>
        <w:tc>
          <w:tcPr>
            <w:tcW w:w="1590" w:type="dxa"/>
            <w:tcBorders>
              <w:tl2br w:val="nil"/>
              <w:tr2bl w:val="nil"/>
            </w:tcBorders>
            <w:vAlign w:val="center"/>
          </w:tcPr>
          <w:p w14:paraId="04B6614E">
            <w:pPr>
              <w:jc w:val="center"/>
              <w:rPr>
                <w:rFonts w:ascii="宋体" w:hAnsi="宋体" w:cs="宋体"/>
                <w:color w:val="auto"/>
                <w:szCs w:val="21"/>
                <w:highlight w:val="none"/>
              </w:rPr>
            </w:pPr>
          </w:p>
        </w:tc>
        <w:tc>
          <w:tcPr>
            <w:tcW w:w="1260" w:type="dxa"/>
            <w:tcBorders>
              <w:tl2br w:val="nil"/>
              <w:tr2bl w:val="nil"/>
            </w:tcBorders>
            <w:vAlign w:val="center"/>
          </w:tcPr>
          <w:p w14:paraId="674AE363">
            <w:pPr>
              <w:jc w:val="center"/>
              <w:rPr>
                <w:rFonts w:ascii="宋体" w:hAnsi="宋体" w:cs="宋体"/>
                <w:color w:val="auto"/>
                <w:szCs w:val="21"/>
                <w:highlight w:val="none"/>
              </w:rPr>
            </w:pPr>
          </w:p>
        </w:tc>
        <w:tc>
          <w:tcPr>
            <w:tcW w:w="1200" w:type="dxa"/>
            <w:tcBorders>
              <w:tl2br w:val="nil"/>
              <w:tr2bl w:val="nil"/>
            </w:tcBorders>
            <w:vAlign w:val="center"/>
          </w:tcPr>
          <w:p w14:paraId="0BA3779C">
            <w:pPr>
              <w:jc w:val="center"/>
              <w:rPr>
                <w:rFonts w:ascii="宋体" w:hAnsi="宋体" w:cs="宋体"/>
                <w:color w:val="auto"/>
                <w:szCs w:val="21"/>
                <w:highlight w:val="none"/>
              </w:rPr>
            </w:pPr>
          </w:p>
        </w:tc>
      </w:tr>
      <w:tr w14:paraId="0CAA5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D138C4B">
            <w:pPr>
              <w:jc w:val="center"/>
              <w:rPr>
                <w:rFonts w:ascii="宋体" w:hAnsi="宋体" w:cs="宋体"/>
                <w:color w:val="auto"/>
                <w:szCs w:val="21"/>
                <w:highlight w:val="none"/>
              </w:rPr>
            </w:pPr>
          </w:p>
        </w:tc>
        <w:tc>
          <w:tcPr>
            <w:tcW w:w="1623" w:type="dxa"/>
            <w:tcBorders>
              <w:tl2br w:val="nil"/>
              <w:tr2bl w:val="nil"/>
            </w:tcBorders>
            <w:vAlign w:val="center"/>
          </w:tcPr>
          <w:p w14:paraId="6CC1B047">
            <w:pPr>
              <w:jc w:val="center"/>
              <w:rPr>
                <w:rFonts w:ascii="宋体" w:hAnsi="宋体" w:cs="宋体"/>
                <w:color w:val="auto"/>
                <w:szCs w:val="21"/>
                <w:highlight w:val="none"/>
              </w:rPr>
            </w:pPr>
          </w:p>
        </w:tc>
        <w:tc>
          <w:tcPr>
            <w:tcW w:w="1815" w:type="dxa"/>
            <w:tcBorders>
              <w:tl2br w:val="nil"/>
              <w:tr2bl w:val="nil"/>
            </w:tcBorders>
            <w:vAlign w:val="center"/>
          </w:tcPr>
          <w:p w14:paraId="40010617">
            <w:pPr>
              <w:jc w:val="center"/>
              <w:rPr>
                <w:rFonts w:ascii="宋体" w:hAnsi="宋体" w:cs="宋体"/>
                <w:color w:val="auto"/>
                <w:szCs w:val="21"/>
                <w:highlight w:val="none"/>
              </w:rPr>
            </w:pPr>
          </w:p>
        </w:tc>
        <w:tc>
          <w:tcPr>
            <w:tcW w:w="1590" w:type="dxa"/>
            <w:tcBorders>
              <w:tl2br w:val="nil"/>
              <w:tr2bl w:val="nil"/>
            </w:tcBorders>
            <w:vAlign w:val="center"/>
          </w:tcPr>
          <w:p w14:paraId="2FB81650">
            <w:pPr>
              <w:jc w:val="center"/>
              <w:rPr>
                <w:rFonts w:ascii="宋体" w:hAnsi="宋体" w:cs="宋体"/>
                <w:color w:val="auto"/>
                <w:szCs w:val="21"/>
                <w:highlight w:val="none"/>
              </w:rPr>
            </w:pPr>
          </w:p>
        </w:tc>
        <w:tc>
          <w:tcPr>
            <w:tcW w:w="1260" w:type="dxa"/>
            <w:tcBorders>
              <w:tl2br w:val="nil"/>
              <w:tr2bl w:val="nil"/>
            </w:tcBorders>
            <w:vAlign w:val="center"/>
          </w:tcPr>
          <w:p w14:paraId="594F974B">
            <w:pPr>
              <w:jc w:val="center"/>
              <w:rPr>
                <w:rFonts w:ascii="宋体" w:hAnsi="宋体" w:cs="宋体"/>
                <w:color w:val="auto"/>
                <w:szCs w:val="21"/>
                <w:highlight w:val="none"/>
              </w:rPr>
            </w:pPr>
          </w:p>
        </w:tc>
        <w:tc>
          <w:tcPr>
            <w:tcW w:w="1200" w:type="dxa"/>
            <w:tcBorders>
              <w:tl2br w:val="nil"/>
              <w:tr2bl w:val="nil"/>
            </w:tcBorders>
            <w:vAlign w:val="center"/>
          </w:tcPr>
          <w:p w14:paraId="082FD78F">
            <w:pPr>
              <w:jc w:val="center"/>
              <w:rPr>
                <w:rFonts w:ascii="宋体" w:hAnsi="宋体" w:cs="宋体"/>
                <w:color w:val="auto"/>
                <w:szCs w:val="21"/>
                <w:highlight w:val="none"/>
              </w:rPr>
            </w:pPr>
          </w:p>
        </w:tc>
      </w:tr>
      <w:tr w14:paraId="47292F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FA1FCBC">
            <w:pPr>
              <w:jc w:val="center"/>
              <w:rPr>
                <w:rFonts w:ascii="宋体" w:hAnsi="宋体" w:cs="宋体"/>
                <w:color w:val="auto"/>
                <w:szCs w:val="21"/>
                <w:highlight w:val="none"/>
              </w:rPr>
            </w:pPr>
          </w:p>
        </w:tc>
        <w:tc>
          <w:tcPr>
            <w:tcW w:w="1623" w:type="dxa"/>
            <w:tcBorders>
              <w:tl2br w:val="nil"/>
              <w:tr2bl w:val="nil"/>
            </w:tcBorders>
            <w:vAlign w:val="center"/>
          </w:tcPr>
          <w:p w14:paraId="24326C85">
            <w:pPr>
              <w:jc w:val="center"/>
              <w:rPr>
                <w:rFonts w:ascii="宋体" w:hAnsi="宋体" w:cs="宋体"/>
                <w:color w:val="auto"/>
                <w:szCs w:val="21"/>
                <w:highlight w:val="none"/>
              </w:rPr>
            </w:pPr>
          </w:p>
        </w:tc>
        <w:tc>
          <w:tcPr>
            <w:tcW w:w="1815" w:type="dxa"/>
            <w:tcBorders>
              <w:tl2br w:val="nil"/>
              <w:tr2bl w:val="nil"/>
            </w:tcBorders>
            <w:vAlign w:val="center"/>
          </w:tcPr>
          <w:p w14:paraId="4DB58528">
            <w:pPr>
              <w:jc w:val="center"/>
              <w:rPr>
                <w:rFonts w:ascii="宋体" w:hAnsi="宋体" w:cs="宋体"/>
                <w:color w:val="auto"/>
                <w:szCs w:val="21"/>
                <w:highlight w:val="none"/>
              </w:rPr>
            </w:pPr>
          </w:p>
        </w:tc>
        <w:tc>
          <w:tcPr>
            <w:tcW w:w="1590" w:type="dxa"/>
            <w:tcBorders>
              <w:tl2br w:val="nil"/>
              <w:tr2bl w:val="nil"/>
            </w:tcBorders>
            <w:vAlign w:val="center"/>
          </w:tcPr>
          <w:p w14:paraId="58F2847E">
            <w:pPr>
              <w:jc w:val="center"/>
              <w:rPr>
                <w:rFonts w:ascii="宋体" w:hAnsi="宋体" w:cs="宋体"/>
                <w:color w:val="auto"/>
                <w:szCs w:val="21"/>
                <w:highlight w:val="none"/>
              </w:rPr>
            </w:pPr>
          </w:p>
        </w:tc>
        <w:tc>
          <w:tcPr>
            <w:tcW w:w="1260" w:type="dxa"/>
            <w:tcBorders>
              <w:tl2br w:val="nil"/>
              <w:tr2bl w:val="nil"/>
            </w:tcBorders>
            <w:vAlign w:val="center"/>
          </w:tcPr>
          <w:p w14:paraId="179EAF64">
            <w:pPr>
              <w:jc w:val="center"/>
              <w:rPr>
                <w:rFonts w:ascii="宋体" w:hAnsi="宋体" w:cs="宋体"/>
                <w:color w:val="auto"/>
                <w:szCs w:val="21"/>
                <w:highlight w:val="none"/>
              </w:rPr>
            </w:pPr>
          </w:p>
        </w:tc>
        <w:tc>
          <w:tcPr>
            <w:tcW w:w="1200" w:type="dxa"/>
            <w:tcBorders>
              <w:tl2br w:val="nil"/>
              <w:tr2bl w:val="nil"/>
            </w:tcBorders>
            <w:vAlign w:val="center"/>
          </w:tcPr>
          <w:p w14:paraId="7088C93E">
            <w:pPr>
              <w:jc w:val="center"/>
              <w:rPr>
                <w:rFonts w:ascii="宋体" w:hAnsi="宋体" w:cs="宋体"/>
                <w:color w:val="auto"/>
                <w:szCs w:val="21"/>
                <w:highlight w:val="none"/>
              </w:rPr>
            </w:pPr>
          </w:p>
        </w:tc>
      </w:tr>
      <w:tr w14:paraId="10815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3B6057B">
            <w:pPr>
              <w:jc w:val="center"/>
              <w:rPr>
                <w:rFonts w:ascii="宋体" w:hAnsi="宋体" w:cs="宋体"/>
                <w:color w:val="auto"/>
                <w:szCs w:val="21"/>
                <w:highlight w:val="none"/>
              </w:rPr>
            </w:pPr>
          </w:p>
        </w:tc>
        <w:tc>
          <w:tcPr>
            <w:tcW w:w="1623" w:type="dxa"/>
            <w:tcBorders>
              <w:tl2br w:val="nil"/>
              <w:tr2bl w:val="nil"/>
            </w:tcBorders>
            <w:vAlign w:val="center"/>
          </w:tcPr>
          <w:p w14:paraId="652F1AB3">
            <w:pPr>
              <w:jc w:val="center"/>
              <w:rPr>
                <w:rFonts w:ascii="宋体" w:hAnsi="宋体" w:cs="宋体"/>
                <w:color w:val="auto"/>
                <w:szCs w:val="21"/>
                <w:highlight w:val="none"/>
              </w:rPr>
            </w:pPr>
          </w:p>
        </w:tc>
        <w:tc>
          <w:tcPr>
            <w:tcW w:w="1815" w:type="dxa"/>
            <w:tcBorders>
              <w:tl2br w:val="nil"/>
              <w:tr2bl w:val="nil"/>
            </w:tcBorders>
            <w:vAlign w:val="center"/>
          </w:tcPr>
          <w:p w14:paraId="0AC5D6D2">
            <w:pPr>
              <w:jc w:val="center"/>
              <w:rPr>
                <w:rFonts w:ascii="宋体" w:hAnsi="宋体" w:cs="宋体"/>
                <w:color w:val="auto"/>
                <w:szCs w:val="21"/>
                <w:highlight w:val="none"/>
              </w:rPr>
            </w:pPr>
          </w:p>
        </w:tc>
        <w:tc>
          <w:tcPr>
            <w:tcW w:w="1590" w:type="dxa"/>
            <w:tcBorders>
              <w:tl2br w:val="nil"/>
              <w:tr2bl w:val="nil"/>
            </w:tcBorders>
            <w:vAlign w:val="center"/>
          </w:tcPr>
          <w:p w14:paraId="5276D6BF">
            <w:pPr>
              <w:jc w:val="center"/>
              <w:rPr>
                <w:rFonts w:ascii="宋体" w:hAnsi="宋体" w:cs="宋体"/>
                <w:color w:val="auto"/>
                <w:szCs w:val="21"/>
                <w:highlight w:val="none"/>
              </w:rPr>
            </w:pPr>
          </w:p>
        </w:tc>
        <w:tc>
          <w:tcPr>
            <w:tcW w:w="1260" w:type="dxa"/>
            <w:tcBorders>
              <w:tl2br w:val="nil"/>
              <w:tr2bl w:val="nil"/>
            </w:tcBorders>
            <w:vAlign w:val="center"/>
          </w:tcPr>
          <w:p w14:paraId="40573C05">
            <w:pPr>
              <w:jc w:val="center"/>
              <w:rPr>
                <w:rFonts w:ascii="宋体" w:hAnsi="宋体" w:cs="宋体"/>
                <w:color w:val="auto"/>
                <w:szCs w:val="21"/>
                <w:highlight w:val="none"/>
              </w:rPr>
            </w:pPr>
          </w:p>
        </w:tc>
        <w:tc>
          <w:tcPr>
            <w:tcW w:w="1200" w:type="dxa"/>
            <w:tcBorders>
              <w:tl2br w:val="nil"/>
              <w:tr2bl w:val="nil"/>
            </w:tcBorders>
            <w:vAlign w:val="center"/>
          </w:tcPr>
          <w:p w14:paraId="7A38B49E">
            <w:pPr>
              <w:jc w:val="center"/>
              <w:rPr>
                <w:rFonts w:ascii="宋体" w:hAnsi="宋体" w:cs="宋体"/>
                <w:color w:val="auto"/>
                <w:szCs w:val="21"/>
                <w:highlight w:val="none"/>
              </w:rPr>
            </w:pPr>
          </w:p>
        </w:tc>
      </w:tr>
      <w:tr w14:paraId="24C8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193716D">
            <w:pPr>
              <w:jc w:val="center"/>
              <w:rPr>
                <w:rFonts w:ascii="宋体" w:hAnsi="宋体" w:cs="宋体"/>
                <w:color w:val="auto"/>
                <w:szCs w:val="21"/>
                <w:highlight w:val="none"/>
              </w:rPr>
            </w:pPr>
          </w:p>
        </w:tc>
        <w:tc>
          <w:tcPr>
            <w:tcW w:w="1623" w:type="dxa"/>
            <w:tcBorders>
              <w:tl2br w:val="nil"/>
              <w:tr2bl w:val="nil"/>
            </w:tcBorders>
            <w:vAlign w:val="center"/>
          </w:tcPr>
          <w:p w14:paraId="0592ADDB">
            <w:pPr>
              <w:jc w:val="center"/>
              <w:rPr>
                <w:rFonts w:ascii="宋体" w:hAnsi="宋体" w:cs="宋体"/>
                <w:color w:val="auto"/>
                <w:szCs w:val="21"/>
                <w:highlight w:val="none"/>
              </w:rPr>
            </w:pPr>
          </w:p>
        </w:tc>
        <w:tc>
          <w:tcPr>
            <w:tcW w:w="1815" w:type="dxa"/>
            <w:tcBorders>
              <w:tl2br w:val="nil"/>
              <w:tr2bl w:val="nil"/>
            </w:tcBorders>
            <w:vAlign w:val="center"/>
          </w:tcPr>
          <w:p w14:paraId="3473C3C9">
            <w:pPr>
              <w:jc w:val="center"/>
              <w:rPr>
                <w:rFonts w:ascii="宋体" w:hAnsi="宋体" w:cs="宋体"/>
                <w:color w:val="auto"/>
                <w:szCs w:val="21"/>
                <w:highlight w:val="none"/>
              </w:rPr>
            </w:pPr>
          </w:p>
        </w:tc>
        <w:tc>
          <w:tcPr>
            <w:tcW w:w="1590" w:type="dxa"/>
            <w:tcBorders>
              <w:tl2br w:val="nil"/>
              <w:tr2bl w:val="nil"/>
            </w:tcBorders>
            <w:vAlign w:val="center"/>
          </w:tcPr>
          <w:p w14:paraId="67159F55">
            <w:pPr>
              <w:jc w:val="center"/>
              <w:rPr>
                <w:rFonts w:ascii="宋体" w:hAnsi="宋体" w:cs="宋体"/>
                <w:color w:val="auto"/>
                <w:szCs w:val="21"/>
                <w:highlight w:val="none"/>
              </w:rPr>
            </w:pPr>
          </w:p>
        </w:tc>
        <w:tc>
          <w:tcPr>
            <w:tcW w:w="1260" w:type="dxa"/>
            <w:tcBorders>
              <w:tl2br w:val="nil"/>
              <w:tr2bl w:val="nil"/>
            </w:tcBorders>
            <w:vAlign w:val="center"/>
          </w:tcPr>
          <w:p w14:paraId="6E41EFF1">
            <w:pPr>
              <w:jc w:val="center"/>
              <w:rPr>
                <w:rFonts w:ascii="宋体" w:hAnsi="宋体" w:cs="宋体"/>
                <w:color w:val="auto"/>
                <w:szCs w:val="21"/>
                <w:highlight w:val="none"/>
              </w:rPr>
            </w:pPr>
          </w:p>
        </w:tc>
        <w:tc>
          <w:tcPr>
            <w:tcW w:w="1200" w:type="dxa"/>
            <w:tcBorders>
              <w:tl2br w:val="nil"/>
              <w:tr2bl w:val="nil"/>
            </w:tcBorders>
            <w:vAlign w:val="center"/>
          </w:tcPr>
          <w:p w14:paraId="0F74954E">
            <w:pPr>
              <w:jc w:val="center"/>
              <w:rPr>
                <w:rFonts w:ascii="宋体" w:hAnsi="宋体" w:cs="宋体"/>
                <w:color w:val="auto"/>
                <w:szCs w:val="21"/>
                <w:highlight w:val="none"/>
              </w:rPr>
            </w:pPr>
          </w:p>
        </w:tc>
      </w:tr>
      <w:tr w14:paraId="46ED1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ED3DE56">
            <w:pPr>
              <w:jc w:val="center"/>
              <w:rPr>
                <w:rFonts w:ascii="宋体" w:hAnsi="宋体" w:cs="宋体"/>
                <w:color w:val="auto"/>
                <w:szCs w:val="21"/>
                <w:highlight w:val="none"/>
              </w:rPr>
            </w:pPr>
          </w:p>
        </w:tc>
        <w:tc>
          <w:tcPr>
            <w:tcW w:w="1623" w:type="dxa"/>
            <w:tcBorders>
              <w:tl2br w:val="nil"/>
              <w:tr2bl w:val="nil"/>
            </w:tcBorders>
            <w:vAlign w:val="center"/>
          </w:tcPr>
          <w:p w14:paraId="4377C4B1">
            <w:pPr>
              <w:jc w:val="center"/>
              <w:rPr>
                <w:rFonts w:ascii="宋体" w:hAnsi="宋体" w:cs="宋体"/>
                <w:color w:val="auto"/>
                <w:szCs w:val="21"/>
                <w:highlight w:val="none"/>
              </w:rPr>
            </w:pPr>
          </w:p>
        </w:tc>
        <w:tc>
          <w:tcPr>
            <w:tcW w:w="1815" w:type="dxa"/>
            <w:tcBorders>
              <w:tl2br w:val="nil"/>
              <w:tr2bl w:val="nil"/>
            </w:tcBorders>
            <w:vAlign w:val="center"/>
          </w:tcPr>
          <w:p w14:paraId="4B2AEEE9">
            <w:pPr>
              <w:jc w:val="center"/>
              <w:rPr>
                <w:rFonts w:ascii="宋体" w:hAnsi="宋体" w:cs="宋体"/>
                <w:color w:val="auto"/>
                <w:szCs w:val="21"/>
                <w:highlight w:val="none"/>
              </w:rPr>
            </w:pPr>
          </w:p>
        </w:tc>
        <w:tc>
          <w:tcPr>
            <w:tcW w:w="1590" w:type="dxa"/>
            <w:tcBorders>
              <w:tl2br w:val="nil"/>
              <w:tr2bl w:val="nil"/>
            </w:tcBorders>
            <w:vAlign w:val="center"/>
          </w:tcPr>
          <w:p w14:paraId="5420C1B2">
            <w:pPr>
              <w:jc w:val="center"/>
              <w:rPr>
                <w:rFonts w:ascii="宋体" w:hAnsi="宋体" w:cs="宋体"/>
                <w:color w:val="auto"/>
                <w:szCs w:val="21"/>
                <w:highlight w:val="none"/>
              </w:rPr>
            </w:pPr>
          </w:p>
        </w:tc>
        <w:tc>
          <w:tcPr>
            <w:tcW w:w="1260" w:type="dxa"/>
            <w:tcBorders>
              <w:tl2br w:val="nil"/>
              <w:tr2bl w:val="nil"/>
            </w:tcBorders>
            <w:vAlign w:val="center"/>
          </w:tcPr>
          <w:p w14:paraId="3250EED1">
            <w:pPr>
              <w:jc w:val="center"/>
              <w:rPr>
                <w:rFonts w:ascii="宋体" w:hAnsi="宋体" w:cs="宋体"/>
                <w:color w:val="auto"/>
                <w:szCs w:val="21"/>
                <w:highlight w:val="none"/>
              </w:rPr>
            </w:pPr>
          </w:p>
        </w:tc>
        <w:tc>
          <w:tcPr>
            <w:tcW w:w="1200" w:type="dxa"/>
            <w:tcBorders>
              <w:tl2br w:val="nil"/>
              <w:tr2bl w:val="nil"/>
            </w:tcBorders>
            <w:vAlign w:val="center"/>
          </w:tcPr>
          <w:p w14:paraId="2A56D808">
            <w:pPr>
              <w:jc w:val="center"/>
              <w:rPr>
                <w:rFonts w:ascii="宋体" w:hAnsi="宋体" w:cs="宋体"/>
                <w:color w:val="auto"/>
                <w:szCs w:val="21"/>
                <w:highlight w:val="none"/>
              </w:rPr>
            </w:pPr>
          </w:p>
        </w:tc>
      </w:tr>
      <w:tr w14:paraId="4AF90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ACC02EF">
            <w:pPr>
              <w:jc w:val="center"/>
              <w:rPr>
                <w:rFonts w:ascii="宋体" w:hAnsi="宋体" w:cs="宋体"/>
                <w:color w:val="auto"/>
                <w:szCs w:val="21"/>
                <w:highlight w:val="none"/>
              </w:rPr>
            </w:pPr>
          </w:p>
        </w:tc>
        <w:tc>
          <w:tcPr>
            <w:tcW w:w="1623" w:type="dxa"/>
            <w:tcBorders>
              <w:tl2br w:val="nil"/>
              <w:tr2bl w:val="nil"/>
            </w:tcBorders>
            <w:vAlign w:val="center"/>
          </w:tcPr>
          <w:p w14:paraId="782EA85D">
            <w:pPr>
              <w:jc w:val="center"/>
              <w:rPr>
                <w:rFonts w:ascii="宋体" w:hAnsi="宋体" w:cs="宋体"/>
                <w:color w:val="auto"/>
                <w:szCs w:val="21"/>
                <w:highlight w:val="none"/>
              </w:rPr>
            </w:pPr>
          </w:p>
        </w:tc>
        <w:tc>
          <w:tcPr>
            <w:tcW w:w="1815" w:type="dxa"/>
            <w:tcBorders>
              <w:tl2br w:val="nil"/>
              <w:tr2bl w:val="nil"/>
            </w:tcBorders>
            <w:vAlign w:val="center"/>
          </w:tcPr>
          <w:p w14:paraId="17995E15">
            <w:pPr>
              <w:jc w:val="center"/>
              <w:rPr>
                <w:rFonts w:ascii="宋体" w:hAnsi="宋体" w:cs="宋体"/>
                <w:color w:val="auto"/>
                <w:szCs w:val="21"/>
                <w:highlight w:val="none"/>
              </w:rPr>
            </w:pPr>
          </w:p>
        </w:tc>
        <w:tc>
          <w:tcPr>
            <w:tcW w:w="1590" w:type="dxa"/>
            <w:tcBorders>
              <w:tl2br w:val="nil"/>
              <w:tr2bl w:val="nil"/>
            </w:tcBorders>
            <w:vAlign w:val="center"/>
          </w:tcPr>
          <w:p w14:paraId="5241194E">
            <w:pPr>
              <w:jc w:val="center"/>
              <w:rPr>
                <w:rFonts w:ascii="宋体" w:hAnsi="宋体" w:cs="宋体"/>
                <w:color w:val="auto"/>
                <w:szCs w:val="21"/>
                <w:highlight w:val="none"/>
              </w:rPr>
            </w:pPr>
          </w:p>
        </w:tc>
        <w:tc>
          <w:tcPr>
            <w:tcW w:w="1260" w:type="dxa"/>
            <w:tcBorders>
              <w:tl2br w:val="nil"/>
              <w:tr2bl w:val="nil"/>
            </w:tcBorders>
            <w:vAlign w:val="center"/>
          </w:tcPr>
          <w:p w14:paraId="0DA315B8">
            <w:pPr>
              <w:jc w:val="center"/>
              <w:rPr>
                <w:rFonts w:ascii="宋体" w:hAnsi="宋体" w:cs="宋体"/>
                <w:color w:val="auto"/>
                <w:szCs w:val="21"/>
                <w:highlight w:val="none"/>
              </w:rPr>
            </w:pPr>
          </w:p>
        </w:tc>
        <w:tc>
          <w:tcPr>
            <w:tcW w:w="1200" w:type="dxa"/>
            <w:tcBorders>
              <w:tl2br w:val="nil"/>
              <w:tr2bl w:val="nil"/>
            </w:tcBorders>
            <w:vAlign w:val="center"/>
          </w:tcPr>
          <w:p w14:paraId="25ACA7EB">
            <w:pPr>
              <w:jc w:val="center"/>
              <w:rPr>
                <w:rFonts w:ascii="宋体" w:hAnsi="宋体" w:cs="宋体"/>
                <w:color w:val="auto"/>
                <w:szCs w:val="21"/>
                <w:highlight w:val="none"/>
              </w:rPr>
            </w:pPr>
          </w:p>
        </w:tc>
      </w:tr>
      <w:tr w14:paraId="39B19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11314BC">
            <w:pPr>
              <w:jc w:val="center"/>
              <w:rPr>
                <w:rFonts w:ascii="宋体" w:hAnsi="宋体" w:cs="宋体"/>
                <w:color w:val="auto"/>
                <w:szCs w:val="21"/>
                <w:highlight w:val="none"/>
              </w:rPr>
            </w:pPr>
          </w:p>
        </w:tc>
        <w:tc>
          <w:tcPr>
            <w:tcW w:w="1623" w:type="dxa"/>
            <w:tcBorders>
              <w:tl2br w:val="nil"/>
              <w:tr2bl w:val="nil"/>
            </w:tcBorders>
            <w:vAlign w:val="center"/>
          </w:tcPr>
          <w:p w14:paraId="03D9AF50">
            <w:pPr>
              <w:jc w:val="center"/>
              <w:rPr>
                <w:rFonts w:ascii="宋体" w:hAnsi="宋体" w:cs="宋体"/>
                <w:color w:val="auto"/>
                <w:szCs w:val="21"/>
                <w:highlight w:val="none"/>
              </w:rPr>
            </w:pPr>
          </w:p>
        </w:tc>
        <w:tc>
          <w:tcPr>
            <w:tcW w:w="1815" w:type="dxa"/>
            <w:tcBorders>
              <w:tl2br w:val="nil"/>
              <w:tr2bl w:val="nil"/>
            </w:tcBorders>
            <w:vAlign w:val="center"/>
          </w:tcPr>
          <w:p w14:paraId="70717894">
            <w:pPr>
              <w:jc w:val="center"/>
              <w:rPr>
                <w:rFonts w:ascii="宋体" w:hAnsi="宋体" w:cs="宋体"/>
                <w:color w:val="auto"/>
                <w:szCs w:val="21"/>
                <w:highlight w:val="none"/>
              </w:rPr>
            </w:pPr>
          </w:p>
        </w:tc>
        <w:tc>
          <w:tcPr>
            <w:tcW w:w="1590" w:type="dxa"/>
            <w:tcBorders>
              <w:tl2br w:val="nil"/>
              <w:tr2bl w:val="nil"/>
            </w:tcBorders>
            <w:vAlign w:val="center"/>
          </w:tcPr>
          <w:p w14:paraId="05A77EE2">
            <w:pPr>
              <w:jc w:val="center"/>
              <w:rPr>
                <w:rFonts w:ascii="宋体" w:hAnsi="宋体" w:cs="宋体"/>
                <w:color w:val="auto"/>
                <w:szCs w:val="21"/>
                <w:highlight w:val="none"/>
              </w:rPr>
            </w:pPr>
          </w:p>
        </w:tc>
        <w:tc>
          <w:tcPr>
            <w:tcW w:w="1260" w:type="dxa"/>
            <w:tcBorders>
              <w:tl2br w:val="nil"/>
              <w:tr2bl w:val="nil"/>
            </w:tcBorders>
            <w:vAlign w:val="center"/>
          </w:tcPr>
          <w:p w14:paraId="75568665">
            <w:pPr>
              <w:jc w:val="center"/>
              <w:rPr>
                <w:rFonts w:ascii="宋体" w:hAnsi="宋体" w:cs="宋体"/>
                <w:color w:val="auto"/>
                <w:szCs w:val="21"/>
                <w:highlight w:val="none"/>
              </w:rPr>
            </w:pPr>
          </w:p>
        </w:tc>
        <w:tc>
          <w:tcPr>
            <w:tcW w:w="1200" w:type="dxa"/>
            <w:tcBorders>
              <w:tl2br w:val="nil"/>
              <w:tr2bl w:val="nil"/>
            </w:tcBorders>
            <w:vAlign w:val="center"/>
          </w:tcPr>
          <w:p w14:paraId="64F84D5C">
            <w:pPr>
              <w:jc w:val="center"/>
              <w:rPr>
                <w:rFonts w:ascii="宋体" w:hAnsi="宋体" w:cs="宋体"/>
                <w:color w:val="auto"/>
                <w:szCs w:val="21"/>
                <w:highlight w:val="none"/>
              </w:rPr>
            </w:pPr>
          </w:p>
        </w:tc>
      </w:tr>
      <w:tr w14:paraId="6E0D8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A1048C6">
            <w:pPr>
              <w:jc w:val="center"/>
              <w:rPr>
                <w:rFonts w:ascii="宋体" w:hAnsi="宋体" w:cs="宋体"/>
                <w:color w:val="auto"/>
                <w:szCs w:val="21"/>
                <w:highlight w:val="none"/>
              </w:rPr>
            </w:pPr>
          </w:p>
        </w:tc>
        <w:tc>
          <w:tcPr>
            <w:tcW w:w="1623" w:type="dxa"/>
            <w:tcBorders>
              <w:tl2br w:val="nil"/>
              <w:tr2bl w:val="nil"/>
            </w:tcBorders>
            <w:vAlign w:val="center"/>
          </w:tcPr>
          <w:p w14:paraId="44AC4A9B">
            <w:pPr>
              <w:jc w:val="center"/>
              <w:rPr>
                <w:rFonts w:ascii="宋体" w:hAnsi="宋体" w:cs="宋体"/>
                <w:color w:val="auto"/>
                <w:szCs w:val="21"/>
                <w:highlight w:val="none"/>
              </w:rPr>
            </w:pPr>
          </w:p>
        </w:tc>
        <w:tc>
          <w:tcPr>
            <w:tcW w:w="1815" w:type="dxa"/>
            <w:tcBorders>
              <w:tl2br w:val="nil"/>
              <w:tr2bl w:val="nil"/>
            </w:tcBorders>
            <w:vAlign w:val="center"/>
          </w:tcPr>
          <w:p w14:paraId="0CBF5FFF">
            <w:pPr>
              <w:jc w:val="center"/>
              <w:rPr>
                <w:rFonts w:ascii="宋体" w:hAnsi="宋体" w:cs="宋体"/>
                <w:color w:val="auto"/>
                <w:szCs w:val="21"/>
                <w:highlight w:val="none"/>
              </w:rPr>
            </w:pPr>
          </w:p>
        </w:tc>
        <w:tc>
          <w:tcPr>
            <w:tcW w:w="1590" w:type="dxa"/>
            <w:tcBorders>
              <w:tl2br w:val="nil"/>
              <w:tr2bl w:val="nil"/>
            </w:tcBorders>
            <w:vAlign w:val="center"/>
          </w:tcPr>
          <w:p w14:paraId="7692391E">
            <w:pPr>
              <w:jc w:val="center"/>
              <w:rPr>
                <w:rFonts w:ascii="宋体" w:hAnsi="宋体" w:cs="宋体"/>
                <w:color w:val="auto"/>
                <w:szCs w:val="21"/>
                <w:highlight w:val="none"/>
              </w:rPr>
            </w:pPr>
          </w:p>
        </w:tc>
        <w:tc>
          <w:tcPr>
            <w:tcW w:w="1260" w:type="dxa"/>
            <w:tcBorders>
              <w:tl2br w:val="nil"/>
              <w:tr2bl w:val="nil"/>
            </w:tcBorders>
            <w:vAlign w:val="center"/>
          </w:tcPr>
          <w:p w14:paraId="61A2604E">
            <w:pPr>
              <w:jc w:val="center"/>
              <w:rPr>
                <w:rFonts w:ascii="宋体" w:hAnsi="宋体" w:cs="宋体"/>
                <w:color w:val="auto"/>
                <w:szCs w:val="21"/>
                <w:highlight w:val="none"/>
              </w:rPr>
            </w:pPr>
          </w:p>
        </w:tc>
        <w:tc>
          <w:tcPr>
            <w:tcW w:w="1200" w:type="dxa"/>
            <w:tcBorders>
              <w:tl2br w:val="nil"/>
              <w:tr2bl w:val="nil"/>
            </w:tcBorders>
            <w:vAlign w:val="center"/>
          </w:tcPr>
          <w:p w14:paraId="2B9BAB44">
            <w:pPr>
              <w:jc w:val="center"/>
              <w:rPr>
                <w:rFonts w:ascii="宋体" w:hAnsi="宋体" w:cs="宋体"/>
                <w:color w:val="auto"/>
                <w:szCs w:val="21"/>
                <w:highlight w:val="none"/>
              </w:rPr>
            </w:pPr>
          </w:p>
        </w:tc>
      </w:tr>
      <w:tr w14:paraId="5C6CD9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84D8427">
            <w:pPr>
              <w:jc w:val="center"/>
              <w:rPr>
                <w:rFonts w:ascii="宋体" w:hAnsi="宋体" w:cs="宋体"/>
                <w:color w:val="auto"/>
                <w:szCs w:val="21"/>
                <w:highlight w:val="none"/>
              </w:rPr>
            </w:pPr>
          </w:p>
        </w:tc>
        <w:tc>
          <w:tcPr>
            <w:tcW w:w="1623" w:type="dxa"/>
            <w:tcBorders>
              <w:tl2br w:val="nil"/>
              <w:tr2bl w:val="nil"/>
            </w:tcBorders>
            <w:vAlign w:val="center"/>
          </w:tcPr>
          <w:p w14:paraId="6E8CDA61">
            <w:pPr>
              <w:jc w:val="center"/>
              <w:rPr>
                <w:rFonts w:ascii="宋体" w:hAnsi="宋体" w:cs="宋体"/>
                <w:color w:val="auto"/>
                <w:szCs w:val="21"/>
                <w:highlight w:val="none"/>
              </w:rPr>
            </w:pPr>
          </w:p>
        </w:tc>
        <w:tc>
          <w:tcPr>
            <w:tcW w:w="1815" w:type="dxa"/>
            <w:tcBorders>
              <w:tl2br w:val="nil"/>
              <w:tr2bl w:val="nil"/>
            </w:tcBorders>
            <w:vAlign w:val="center"/>
          </w:tcPr>
          <w:p w14:paraId="64F3BC87">
            <w:pPr>
              <w:jc w:val="center"/>
              <w:rPr>
                <w:rFonts w:ascii="宋体" w:hAnsi="宋体" w:cs="宋体"/>
                <w:color w:val="auto"/>
                <w:szCs w:val="21"/>
                <w:highlight w:val="none"/>
              </w:rPr>
            </w:pPr>
          </w:p>
        </w:tc>
        <w:tc>
          <w:tcPr>
            <w:tcW w:w="1590" w:type="dxa"/>
            <w:tcBorders>
              <w:tl2br w:val="nil"/>
              <w:tr2bl w:val="nil"/>
            </w:tcBorders>
            <w:vAlign w:val="center"/>
          </w:tcPr>
          <w:p w14:paraId="11B8E53D">
            <w:pPr>
              <w:jc w:val="center"/>
              <w:rPr>
                <w:rFonts w:ascii="宋体" w:hAnsi="宋体" w:cs="宋体"/>
                <w:color w:val="auto"/>
                <w:szCs w:val="21"/>
                <w:highlight w:val="none"/>
              </w:rPr>
            </w:pPr>
          </w:p>
        </w:tc>
        <w:tc>
          <w:tcPr>
            <w:tcW w:w="1260" w:type="dxa"/>
            <w:tcBorders>
              <w:tl2br w:val="nil"/>
              <w:tr2bl w:val="nil"/>
            </w:tcBorders>
            <w:vAlign w:val="center"/>
          </w:tcPr>
          <w:p w14:paraId="571D0FF7">
            <w:pPr>
              <w:jc w:val="center"/>
              <w:rPr>
                <w:rFonts w:ascii="宋体" w:hAnsi="宋体" w:cs="宋体"/>
                <w:color w:val="auto"/>
                <w:szCs w:val="21"/>
                <w:highlight w:val="none"/>
              </w:rPr>
            </w:pPr>
          </w:p>
        </w:tc>
        <w:tc>
          <w:tcPr>
            <w:tcW w:w="1200" w:type="dxa"/>
            <w:tcBorders>
              <w:tl2br w:val="nil"/>
              <w:tr2bl w:val="nil"/>
            </w:tcBorders>
            <w:vAlign w:val="center"/>
          </w:tcPr>
          <w:p w14:paraId="56CC273A">
            <w:pPr>
              <w:jc w:val="center"/>
              <w:rPr>
                <w:rFonts w:ascii="宋体" w:hAnsi="宋体" w:cs="宋体"/>
                <w:color w:val="auto"/>
                <w:szCs w:val="21"/>
                <w:highlight w:val="none"/>
              </w:rPr>
            </w:pPr>
          </w:p>
        </w:tc>
      </w:tr>
      <w:tr w14:paraId="49CF3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79D2F0F">
            <w:pPr>
              <w:jc w:val="center"/>
              <w:rPr>
                <w:rFonts w:ascii="宋体" w:hAnsi="宋体" w:cs="宋体"/>
                <w:color w:val="auto"/>
                <w:szCs w:val="21"/>
                <w:highlight w:val="none"/>
              </w:rPr>
            </w:pPr>
          </w:p>
        </w:tc>
        <w:tc>
          <w:tcPr>
            <w:tcW w:w="1623" w:type="dxa"/>
            <w:tcBorders>
              <w:tl2br w:val="nil"/>
              <w:tr2bl w:val="nil"/>
            </w:tcBorders>
            <w:vAlign w:val="center"/>
          </w:tcPr>
          <w:p w14:paraId="44530C99">
            <w:pPr>
              <w:jc w:val="center"/>
              <w:rPr>
                <w:rFonts w:ascii="宋体" w:hAnsi="宋体" w:cs="宋体"/>
                <w:color w:val="auto"/>
                <w:szCs w:val="21"/>
                <w:highlight w:val="none"/>
              </w:rPr>
            </w:pPr>
          </w:p>
        </w:tc>
        <w:tc>
          <w:tcPr>
            <w:tcW w:w="1815" w:type="dxa"/>
            <w:tcBorders>
              <w:tl2br w:val="nil"/>
              <w:tr2bl w:val="nil"/>
            </w:tcBorders>
            <w:vAlign w:val="center"/>
          </w:tcPr>
          <w:p w14:paraId="148240EE">
            <w:pPr>
              <w:jc w:val="center"/>
              <w:rPr>
                <w:rFonts w:ascii="宋体" w:hAnsi="宋体" w:cs="宋体"/>
                <w:color w:val="auto"/>
                <w:szCs w:val="21"/>
                <w:highlight w:val="none"/>
              </w:rPr>
            </w:pPr>
          </w:p>
        </w:tc>
        <w:tc>
          <w:tcPr>
            <w:tcW w:w="1590" w:type="dxa"/>
            <w:tcBorders>
              <w:tl2br w:val="nil"/>
              <w:tr2bl w:val="nil"/>
            </w:tcBorders>
            <w:vAlign w:val="center"/>
          </w:tcPr>
          <w:p w14:paraId="30947DEE">
            <w:pPr>
              <w:jc w:val="center"/>
              <w:rPr>
                <w:rFonts w:ascii="宋体" w:hAnsi="宋体" w:cs="宋体"/>
                <w:color w:val="auto"/>
                <w:szCs w:val="21"/>
                <w:highlight w:val="none"/>
              </w:rPr>
            </w:pPr>
          </w:p>
        </w:tc>
        <w:tc>
          <w:tcPr>
            <w:tcW w:w="1260" w:type="dxa"/>
            <w:tcBorders>
              <w:tl2br w:val="nil"/>
              <w:tr2bl w:val="nil"/>
            </w:tcBorders>
            <w:vAlign w:val="center"/>
          </w:tcPr>
          <w:p w14:paraId="3612BBBD">
            <w:pPr>
              <w:jc w:val="center"/>
              <w:rPr>
                <w:rFonts w:ascii="宋体" w:hAnsi="宋体" w:cs="宋体"/>
                <w:color w:val="auto"/>
                <w:szCs w:val="21"/>
                <w:highlight w:val="none"/>
              </w:rPr>
            </w:pPr>
          </w:p>
        </w:tc>
        <w:tc>
          <w:tcPr>
            <w:tcW w:w="1200" w:type="dxa"/>
            <w:tcBorders>
              <w:tl2br w:val="nil"/>
              <w:tr2bl w:val="nil"/>
            </w:tcBorders>
            <w:vAlign w:val="center"/>
          </w:tcPr>
          <w:p w14:paraId="05040312">
            <w:pPr>
              <w:jc w:val="center"/>
              <w:rPr>
                <w:rFonts w:ascii="宋体" w:hAnsi="宋体" w:cs="宋体"/>
                <w:color w:val="auto"/>
                <w:szCs w:val="21"/>
                <w:highlight w:val="none"/>
              </w:rPr>
            </w:pPr>
          </w:p>
        </w:tc>
      </w:tr>
      <w:tr w14:paraId="0BC0C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42D5111">
            <w:pPr>
              <w:jc w:val="center"/>
              <w:rPr>
                <w:rFonts w:ascii="宋体" w:hAnsi="宋体" w:cs="宋体"/>
                <w:color w:val="auto"/>
                <w:szCs w:val="21"/>
                <w:highlight w:val="none"/>
              </w:rPr>
            </w:pPr>
          </w:p>
        </w:tc>
        <w:tc>
          <w:tcPr>
            <w:tcW w:w="1623" w:type="dxa"/>
            <w:tcBorders>
              <w:tl2br w:val="nil"/>
              <w:tr2bl w:val="nil"/>
            </w:tcBorders>
            <w:vAlign w:val="center"/>
          </w:tcPr>
          <w:p w14:paraId="5A7DA0BC">
            <w:pPr>
              <w:jc w:val="center"/>
              <w:rPr>
                <w:rFonts w:ascii="宋体" w:hAnsi="宋体" w:cs="宋体"/>
                <w:color w:val="auto"/>
                <w:szCs w:val="21"/>
                <w:highlight w:val="none"/>
              </w:rPr>
            </w:pPr>
          </w:p>
        </w:tc>
        <w:tc>
          <w:tcPr>
            <w:tcW w:w="1815" w:type="dxa"/>
            <w:tcBorders>
              <w:tl2br w:val="nil"/>
              <w:tr2bl w:val="nil"/>
            </w:tcBorders>
            <w:vAlign w:val="center"/>
          </w:tcPr>
          <w:p w14:paraId="20FB644F">
            <w:pPr>
              <w:jc w:val="center"/>
              <w:rPr>
                <w:rFonts w:ascii="宋体" w:hAnsi="宋体" w:cs="宋体"/>
                <w:color w:val="auto"/>
                <w:szCs w:val="21"/>
                <w:highlight w:val="none"/>
              </w:rPr>
            </w:pPr>
          </w:p>
        </w:tc>
        <w:tc>
          <w:tcPr>
            <w:tcW w:w="1590" w:type="dxa"/>
            <w:tcBorders>
              <w:tl2br w:val="nil"/>
              <w:tr2bl w:val="nil"/>
            </w:tcBorders>
            <w:vAlign w:val="center"/>
          </w:tcPr>
          <w:p w14:paraId="70E124AF">
            <w:pPr>
              <w:jc w:val="center"/>
              <w:rPr>
                <w:rFonts w:ascii="宋体" w:hAnsi="宋体" w:cs="宋体"/>
                <w:color w:val="auto"/>
                <w:szCs w:val="21"/>
                <w:highlight w:val="none"/>
              </w:rPr>
            </w:pPr>
          </w:p>
        </w:tc>
        <w:tc>
          <w:tcPr>
            <w:tcW w:w="1260" w:type="dxa"/>
            <w:tcBorders>
              <w:tl2br w:val="nil"/>
              <w:tr2bl w:val="nil"/>
            </w:tcBorders>
            <w:vAlign w:val="center"/>
          </w:tcPr>
          <w:p w14:paraId="27EB3681">
            <w:pPr>
              <w:jc w:val="center"/>
              <w:rPr>
                <w:rFonts w:ascii="宋体" w:hAnsi="宋体" w:cs="宋体"/>
                <w:color w:val="auto"/>
                <w:szCs w:val="21"/>
                <w:highlight w:val="none"/>
              </w:rPr>
            </w:pPr>
          </w:p>
        </w:tc>
        <w:tc>
          <w:tcPr>
            <w:tcW w:w="1200" w:type="dxa"/>
            <w:tcBorders>
              <w:tl2br w:val="nil"/>
              <w:tr2bl w:val="nil"/>
            </w:tcBorders>
            <w:vAlign w:val="center"/>
          </w:tcPr>
          <w:p w14:paraId="14B41DF2">
            <w:pPr>
              <w:jc w:val="center"/>
              <w:rPr>
                <w:rFonts w:ascii="宋体" w:hAnsi="宋体" w:cs="宋体"/>
                <w:color w:val="auto"/>
                <w:szCs w:val="21"/>
                <w:highlight w:val="none"/>
              </w:rPr>
            </w:pPr>
          </w:p>
        </w:tc>
      </w:tr>
      <w:tr w14:paraId="10E9F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002E355">
            <w:pPr>
              <w:jc w:val="center"/>
              <w:rPr>
                <w:rFonts w:ascii="宋体" w:hAnsi="宋体" w:cs="宋体"/>
                <w:color w:val="auto"/>
                <w:szCs w:val="21"/>
                <w:highlight w:val="none"/>
              </w:rPr>
            </w:pPr>
          </w:p>
        </w:tc>
        <w:tc>
          <w:tcPr>
            <w:tcW w:w="1623" w:type="dxa"/>
            <w:tcBorders>
              <w:tl2br w:val="nil"/>
              <w:tr2bl w:val="nil"/>
            </w:tcBorders>
            <w:vAlign w:val="center"/>
          </w:tcPr>
          <w:p w14:paraId="4E3D82E4">
            <w:pPr>
              <w:jc w:val="center"/>
              <w:rPr>
                <w:rFonts w:ascii="宋体" w:hAnsi="宋体" w:cs="宋体"/>
                <w:color w:val="auto"/>
                <w:szCs w:val="21"/>
                <w:highlight w:val="none"/>
              </w:rPr>
            </w:pPr>
          </w:p>
        </w:tc>
        <w:tc>
          <w:tcPr>
            <w:tcW w:w="1815" w:type="dxa"/>
            <w:tcBorders>
              <w:tl2br w:val="nil"/>
              <w:tr2bl w:val="nil"/>
            </w:tcBorders>
            <w:vAlign w:val="center"/>
          </w:tcPr>
          <w:p w14:paraId="0062B179">
            <w:pPr>
              <w:jc w:val="center"/>
              <w:rPr>
                <w:rFonts w:ascii="宋体" w:hAnsi="宋体" w:cs="宋体"/>
                <w:color w:val="auto"/>
                <w:szCs w:val="21"/>
                <w:highlight w:val="none"/>
              </w:rPr>
            </w:pPr>
          </w:p>
        </w:tc>
        <w:tc>
          <w:tcPr>
            <w:tcW w:w="1590" w:type="dxa"/>
            <w:tcBorders>
              <w:tl2br w:val="nil"/>
              <w:tr2bl w:val="nil"/>
            </w:tcBorders>
            <w:vAlign w:val="center"/>
          </w:tcPr>
          <w:p w14:paraId="440E2A13">
            <w:pPr>
              <w:jc w:val="center"/>
              <w:rPr>
                <w:rFonts w:ascii="宋体" w:hAnsi="宋体" w:cs="宋体"/>
                <w:color w:val="auto"/>
                <w:szCs w:val="21"/>
                <w:highlight w:val="none"/>
              </w:rPr>
            </w:pPr>
          </w:p>
        </w:tc>
        <w:tc>
          <w:tcPr>
            <w:tcW w:w="1260" w:type="dxa"/>
            <w:tcBorders>
              <w:tl2br w:val="nil"/>
              <w:tr2bl w:val="nil"/>
            </w:tcBorders>
            <w:vAlign w:val="center"/>
          </w:tcPr>
          <w:p w14:paraId="43DEA353">
            <w:pPr>
              <w:jc w:val="center"/>
              <w:rPr>
                <w:rFonts w:ascii="宋体" w:hAnsi="宋体" w:cs="宋体"/>
                <w:color w:val="auto"/>
                <w:szCs w:val="21"/>
                <w:highlight w:val="none"/>
              </w:rPr>
            </w:pPr>
          </w:p>
        </w:tc>
        <w:tc>
          <w:tcPr>
            <w:tcW w:w="1200" w:type="dxa"/>
            <w:tcBorders>
              <w:tl2br w:val="nil"/>
              <w:tr2bl w:val="nil"/>
            </w:tcBorders>
            <w:vAlign w:val="center"/>
          </w:tcPr>
          <w:p w14:paraId="3936461D">
            <w:pPr>
              <w:jc w:val="center"/>
              <w:rPr>
                <w:rFonts w:ascii="宋体" w:hAnsi="宋体" w:cs="宋体"/>
                <w:color w:val="auto"/>
                <w:szCs w:val="21"/>
                <w:highlight w:val="none"/>
              </w:rPr>
            </w:pPr>
          </w:p>
        </w:tc>
      </w:tr>
      <w:tr w14:paraId="162A3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01ED109D">
            <w:pPr>
              <w:jc w:val="center"/>
              <w:rPr>
                <w:rFonts w:ascii="宋体" w:hAnsi="宋体" w:cs="宋体"/>
                <w:color w:val="auto"/>
                <w:szCs w:val="21"/>
                <w:highlight w:val="none"/>
              </w:rPr>
            </w:pPr>
          </w:p>
        </w:tc>
        <w:tc>
          <w:tcPr>
            <w:tcW w:w="1623" w:type="dxa"/>
            <w:tcBorders>
              <w:tl2br w:val="nil"/>
              <w:tr2bl w:val="nil"/>
            </w:tcBorders>
            <w:vAlign w:val="center"/>
          </w:tcPr>
          <w:p w14:paraId="003A1776">
            <w:pPr>
              <w:jc w:val="center"/>
              <w:rPr>
                <w:rFonts w:ascii="宋体" w:hAnsi="宋体" w:cs="宋体"/>
                <w:color w:val="auto"/>
                <w:szCs w:val="21"/>
                <w:highlight w:val="none"/>
              </w:rPr>
            </w:pPr>
          </w:p>
        </w:tc>
        <w:tc>
          <w:tcPr>
            <w:tcW w:w="1815" w:type="dxa"/>
            <w:tcBorders>
              <w:tl2br w:val="nil"/>
              <w:tr2bl w:val="nil"/>
            </w:tcBorders>
            <w:vAlign w:val="center"/>
          </w:tcPr>
          <w:p w14:paraId="704AA80F">
            <w:pPr>
              <w:jc w:val="center"/>
              <w:rPr>
                <w:rFonts w:ascii="宋体" w:hAnsi="宋体" w:cs="宋体"/>
                <w:color w:val="auto"/>
                <w:szCs w:val="21"/>
                <w:highlight w:val="none"/>
              </w:rPr>
            </w:pPr>
          </w:p>
        </w:tc>
        <w:tc>
          <w:tcPr>
            <w:tcW w:w="1590" w:type="dxa"/>
            <w:tcBorders>
              <w:tl2br w:val="nil"/>
              <w:tr2bl w:val="nil"/>
            </w:tcBorders>
            <w:vAlign w:val="center"/>
          </w:tcPr>
          <w:p w14:paraId="75572936">
            <w:pPr>
              <w:jc w:val="center"/>
              <w:rPr>
                <w:rFonts w:ascii="宋体" w:hAnsi="宋体" w:cs="宋体"/>
                <w:color w:val="auto"/>
                <w:szCs w:val="21"/>
                <w:highlight w:val="none"/>
              </w:rPr>
            </w:pPr>
          </w:p>
        </w:tc>
        <w:tc>
          <w:tcPr>
            <w:tcW w:w="1260" w:type="dxa"/>
            <w:tcBorders>
              <w:tl2br w:val="nil"/>
              <w:tr2bl w:val="nil"/>
            </w:tcBorders>
            <w:vAlign w:val="center"/>
          </w:tcPr>
          <w:p w14:paraId="6E03BA2C">
            <w:pPr>
              <w:jc w:val="center"/>
              <w:rPr>
                <w:rFonts w:ascii="宋体" w:hAnsi="宋体" w:cs="宋体"/>
                <w:color w:val="auto"/>
                <w:szCs w:val="21"/>
                <w:highlight w:val="none"/>
              </w:rPr>
            </w:pPr>
          </w:p>
        </w:tc>
        <w:tc>
          <w:tcPr>
            <w:tcW w:w="1200" w:type="dxa"/>
            <w:tcBorders>
              <w:tl2br w:val="nil"/>
              <w:tr2bl w:val="nil"/>
            </w:tcBorders>
            <w:vAlign w:val="center"/>
          </w:tcPr>
          <w:p w14:paraId="7B5E890A">
            <w:pPr>
              <w:jc w:val="center"/>
              <w:rPr>
                <w:rFonts w:ascii="宋体" w:hAnsi="宋体" w:cs="宋体"/>
                <w:color w:val="auto"/>
                <w:szCs w:val="21"/>
                <w:highlight w:val="none"/>
              </w:rPr>
            </w:pPr>
          </w:p>
        </w:tc>
      </w:tr>
    </w:tbl>
    <w:p w14:paraId="6E77938E">
      <w:pPr>
        <w:rPr>
          <w:rFonts w:ascii="宋体" w:hAnsi="宋体"/>
          <w:color w:val="auto"/>
          <w:szCs w:val="21"/>
          <w:highlight w:val="none"/>
        </w:rPr>
      </w:pPr>
    </w:p>
    <w:p w14:paraId="57D79179">
      <w:pPr>
        <w:rPr>
          <w:color w:val="auto"/>
          <w:highlight w:val="none"/>
        </w:rPr>
      </w:pPr>
    </w:p>
    <w:p w14:paraId="66DD67A1">
      <w:pPr>
        <w:rPr>
          <w:rFonts w:ascii="宋体" w:hAnsi="宋体"/>
          <w:color w:val="auto"/>
          <w:szCs w:val="21"/>
          <w:highlight w:val="none"/>
        </w:rPr>
      </w:pPr>
      <w:r>
        <w:rPr>
          <w:rFonts w:hint="eastAsia" w:ascii="宋体" w:hAnsi="宋体"/>
          <w:color w:val="auto"/>
          <w:szCs w:val="21"/>
          <w:highlight w:val="none"/>
        </w:rPr>
        <w:t>供应商代表签字：</w:t>
      </w:r>
    </w:p>
    <w:p w14:paraId="3E2D9A2A">
      <w:pPr>
        <w:rPr>
          <w:rFonts w:ascii="宋体" w:hAnsi="宋体"/>
          <w:color w:val="auto"/>
          <w:szCs w:val="21"/>
          <w:highlight w:val="none"/>
        </w:rPr>
      </w:pPr>
      <w:r>
        <w:rPr>
          <w:rFonts w:hint="eastAsia" w:ascii="宋体" w:hAnsi="宋体"/>
          <w:color w:val="auto"/>
          <w:szCs w:val="21"/>
          <w:highlight w:val="none"/>
        </w:rPr>
        <w:t>供应商盖章：</w:t>
      </w:r>
    </w:p>
    <w:p w14:paraId="4C226140">
      <w:pPr>
        <w:ind w:firstLine="178" w:firstLineChars="85"/>
        <w:rPr>
          <w:rFonts w:ascii="宋体" w:hAnsi="宋体"/>
          <w:color w:val="auto"/>
          <w:szCs w:val="21"/>
          <w:highlight w:val="none"/>
        </w:rPr>
      </w:pPr>
    </w:p>
    <w:p w14:paraId="049263D0">
      <w:pPr>
        <w:ind w:firstLine="420" w:firstLineChars="200"/>
        <w:rPr>
          <w:rFonts w:ascii="宋体" w:hAnsi="宋体"/>
          <w:color w:val="auto"/>
          <w:szCs w:val="21"/>
          <w:highlight w:val="none"/>
        </w:rPr>
      </w:pPr>
      <w:r>
        <w:rPr>
          <w:rFonts w:hint="eastAsia" w:ascii="宋体" w:hAnsi="宋体"/>
          <w:color w:val="auto"/>
          <w:szCs w:val="21"/>
          <w:highlight w:val="none"/>
        </w:rPr>
        <w:t>注：供应商应对照磋商文件技术要求，在“偏离情况”项中填写“无偏离”、“正偏离”或“负偏离”，逐条说明已对磋商文件的技术内容做出了实质性的响应，并申明与磋商文件的偏差和例外。</w:t>
      </w:r>
    </w:p>
    <w:p w14:paraId="1489B71D">
      <w:pPr>
        <w:rPr>
          <w:rFonts w:ascii="宋体" w:hAnsi="宋体"/>
          <w:color w:val="auto"/>
          <w:szCs w:val="21"/>
          <w:highlight w:val="none"/>
        </w:rPr>
      </w:pPr>
    </w:p>
    <w:p w14:paraId="4EDBB696">
      <w:pPr>
        <w:rPr>
          <w:rFonts w:ascii="宋体" w:hAnsi="宋体"/>
          <w:color w:val="auto"/>
          <w:szCs w:val="21"/>
          <w:highlight w:val="none"/>
        </w:rPr>
      </w:pPr>
    </w:p>
    <w:p w14:paraId="3A6DB1B3">
      <w:pPr>
        <w:rPr>
          <w:rFonts w:ascii="宋体" w:hAnsi="宋体"/>
          <w:color w:val="auto"/>
          <w:szCs w:val="21"/>
          <w:highlight w:val="none"/>
        </w:rPr>
      </w:pPr>
    </w:p>
    <w:p w14:paraId="1A2F9014">
      <w:pPr>
        <w:adjustRightInd/>
        <w:snapToGrid/>
        <w:spacing w:line="276" w:lineRule="auto"/>
        <w:rPr>
          <w:color w:val="auto"/>
          <w:highlight w:val="none"/>
        </w:rPr>
      </w:pPr>
    </w:p>
    <w:p w14:paraId="14A747AF">
      <w:pPr>
        <w:rPr>
          <w:rFonts w:ascii="黑体" w:eastAsia="黑体"/>
          <w:color w:val="auto"/>
          <w:sz w:val="28"/>
          <w:szCs w:val="28"/>
          <w:highlight w:val="none"/>
        </w:rPr>
      </w:pPr>
      <w:bookmarkStart w:id="331" w:name="_Toc17691"/>
      <w:r>
        <w:rPr>
          <w:rFonts w:hint="eastAsia" w:ascii="宋体" w:hAnsi="宋体"/>
          <w:color w:val="auto"/>
          <w:szCs w:val="21"/>
          <w:highlight w:val="none"/>
        </w:rPr>
        <w:br w:type="page"/>
      </w:r>
      <w:bookmarkEnd w:id="331"/>
      <w:bookmarkStart w:id="332" w:name="_Toc26078"/>
      <w:bookmarkStart w:id="333" w:name="_Toc6080"/>
      <w:bookmarkStart w:id="334" w:name="_Toc4464"/>
      <w:bookmarkStart w:id="335" w:name="_Toc4827"/>
      <w:bookmarkStart w:id="336" w:name="_Toc18668"/>
      <w:bookmarkStart w:id="337" w:name="_Toc1274"/>
    </w:p>
    <w:p w14:paraId="40616D3B">
      <w:pPr>
        <w:pStyle w:val="4"/>
        <w:jc w:val="center"/>
        <w:rPr>
          <w:color w:val="auto"/>
          <w:highlight w:val="none"/>
        </w:rPr>
      </w:pPr>
      <w:bookmarkStart w:id="338" w:name="_Toc28702"/>
      <w:bookmarkStart w:id="339" w:name="_Toc10734"/>
      <w:r>
        <w:rPr>
          <w:rFonts w:hint="eastAsia"/>
          <w:color w:val="auto"/>
          <w:highlight w:val="none"/>
        </w:rPr>
        <w:t>二、重要技术参数（▲）响应表</w:t>
      </w:r>
      <w:bookmarkEnd w:id="332"/>
      <w:bookmarkEnd w:id="333"/>
      <w:bookmarkEnd w:id="334"/>
      <w:bookmarkEnd w:id="335"/>
      <w:bookmarkEnd w:id="336"/>
      <w:bookmarkEnd w:id="337"/>
      <w:bookmarkEnd w:id="338"/>
      <w:bookmarkEnd w:id="339"/>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68C4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48F4926">
            <w:pPr>
              <w:pStyle w:val="5"/>
              <w:widowControl w:val="0"/>
              <w:overflowPunct w:val="0"/>
              <w:spacing w:line="240" w:lineRule="auto"/>
              <w:jc w:val="center"/>
              <w:rPr>
                <w:rFonts w:ascii="宋体" w:hAnsi="宋体" w:cs="宋体"/>
                <w:b w:val="0"/>
                <w:bCs w:val="0"/>
                <w:color w:val="auto"/>
                <w:sz w:val="21"/>
                <w:szCs w:val="21"/>
                <w:highlight w:val="none"/>
              </w:rPr>
            </w:pPr>
            <w:bookmarkStart w:id="340" w:name="_Toc29560"/>
            <w:bookmarkStart w:id="341" w:name="_Toc2784"/>
            <w:bookmarkStart w:id="342" w:name="_Toc29642"/>
            <w:bookmarkStart w:id="343" w:name="_Toc27079"/>
            <w:r>
              <w:rPr>
                <w:rFonts w:hint="eastAsia" w:ascii="宋体" w:hAnsi="宋体" w:cs="宋体"/>
                <w:b w:val="0"/>
                <w:bCs w:val="0"/>
                <w:color w:val="auto"/>
                <w:sz w:val="21"/>
                <w:szCs w:val="21"/>
                <w:highlight w:val="none"/>
              </w:rPr>
              <w:t>序号</w:t>
            </w:r>
            <w:bookmarkEnd w:id="340"/>
            <w:bookmarkEnd w:id="341"/>
            <w:bookmarkEnd w:id="342"/>
            <w:bookmarkEnd w:id="343"/>
          </w:p>
        </w:tc>
        <w:tc>
          <w:tcPr>
            <w:tcW w:w="2550" w:type="dxa"/>
            <w:tcBorders>
              <w:tl2br w:val="nil"/>
              <w:tr2bl w:val="nil"/>
            </w:tcBorders>
            <w:vAlign w:val="center"/>
          </w:tcPr>
          <w:p w14:paraId="0208B4C8">
            <w:pPr>
              <w:pStyle w:val="5"/>
              <w:widowControl w:val="0"/>
              <w:overflowPunct w:val="0"/>
              <w:spacing w:line="240" w:lineRule="auto"/>
              <w:jc w:val="center"/>
              <w:rPr>
                <w:rFonts w:ascii="宋体" w:hAnsi="宋体" w:cs="宋体"/>
                <w:b w:val="0"/>
                <w:bCs w:val="0"/>
                <w:color w:val="auto"/>
                <w:sz w:val="21"/>
                <w:szCs w:val="21"/>
                <w:highlight w:val="none"/>
              </w:rPr>
            </w:pPr>
            <w:bookmarkStart w:id="344" w:name="_Toc12049"/>
            <w:bookmarkStart w:id="345" w:name="_Toc22448"/>
            <w:bookmarkStart w:id="346" w:name="_Toc4304"/>
            <w:bookmarkStart w:id="347" w:name="_Toc27090"/>
            <w:bookmarkStart w:id="348" w:name="_Toc6189"/>
            <w:bookmarkStart w:id="349" w:name="_Toc10045"/>
            <w:bookmarkStart w:id="350" w:name="_Toc16872"/>
            <w:bookmarkStart w:id="351" w:name="_Toc1016"/>
            <w:bookmarkStart w:id="352" w:name="_Toc2700"/>
            <w:bookmarkStart w:id="353" w:name="_Toc21739"/>
            <w:bookmarkStart w:id="354" w:name="_Toc26124"/>
            <w:bookmarkStart w:id="355" w:name="_Toc15903"/>
            <w:bookmarkStart w:id="356" w:name="_Toc14815"/>
            <w:bookmarkStart w:id="357" w:name="_Toc15368"/>
            <w:bookmarkStart w:id="358" w:name="_Toc24662"/>
            <w:bookmarkStart w:id="359" w:name="_Toc8490"/>
            <w:bookmarkStart w:id="360" w:name="_Toc22879"/>
            <w:bookmarkStart w:id="361" w:name="_Toc32531"/>
            <w:bookmarkStart w:id="362" w:name="_Toc21809"/>
            <w:bookmarkStart w:id="363" w:name="_Toc27442"/>
            <w:bookmarkStart w:id="364" w:name="_Toc22917"/>
            <w:bookmarkStart w:id="365" w:name="_Toc7333"/>
            <w:bookmarkStart w:id="366" w:name="_Toc8312"/>
            <w:bookmarkStart w:id="367" w:name="_Toc19251"/>
            <w:r>
              <w:rPr>
                <w:rFonts w:hint="eastAsia" w:ascii="宋体" w:hAnsi="宋体" w:cs="宋体"/>
                <w:b w:val="0"/>
                <w:bCs w:val="0"/>
                <w:color w:val="auto"/>
                <w:sz w:val="21"/>
                <w:szCs w:val="21"/>
                <w:highlight w:val="none"/>
              </w:rPr>
              <w:t>重要技术参数评分条款（▲）</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bookmarkEnd w:id="358"/>
          <w:bookmarkEnd w:id="359"/>
          <w:bookmarkEnd w:id="360"/>
          <w:bookmarkEnd w:id="361"/>
          <w:bookmarkEnd w:id="362"/>
          <w:bookmarkEnd w:id="363"/>
          <w:bookmarkEnd w:id="364"/>
          <w:bookmarkEnd w:id="365"/>
          <w:bookmarkEnd w:id="366"/>
          <w:bookmarkEnd w:id="367"/>
        </w:tc>
        <w:tc>
          <w:tcPr>
            <w:tcW w:w="2280" w:type="dxa"/>
            <w:tcBorders>
              <w:tl2br w:val="nil"/>
              <w:tr2bl w:val="nil"/>
            </w:tcBorders>
            <w:vAlign w:val="center"/>
          </w:tcPr>
          <w:p w14:paraId="2E4DFC97">
            <w:pPr>
              <w:pStyle w:val="5"/>
              <w:widowControl w:val="0"/>
              <w:overflowPunct w:val="0"/>
              <w:spacing w:line="240" w:lineRule="auto"/>
              <w:jc w:val="center"/>
              <w:rPr>
                <w:rFonts w:ascii="宋体" w:hAnsi="宋体" w:cs="宋体"/>
                <w:b w:val="0"/>
                <w:bCs w:val="0"/>
                <w:color w:val="auto"/>
                <w:sz w:val="21"/>
                <w:szCs w:val="21"/>
                <w:highlight w:val="none"/>
              </w:rPr>
            </w:pPr>
            <w:bookmarkStart w:id="368" w:name="_Toc21496"/>
            <w:bookmarkStart w:id="369" w:name="_Toc10122"/>
            <w:bookmarkStart w:id="370" w:name="_Toc22153"/>
            <w:bookmarkStart w:id="371" w:name="_Toc2408"/>
            <w:r>
              <w:rPr>
                <w:rFonts w:hint="eastAsia" w:ascii="宋体" w:hAnsi="宋体" w:cs="宋体"/>
                <w:b w:val="0"/>
                <w:bCs w:val="0"/>
                <w:color w:val="auto"/>
                <w:sz w:val="21"/>
                <w:szCs w:val="21"/>
                <w:highlight w:val="none"/>
              </w:rPr>
              <w:t>响应文件响应内容</w:t>
            </w:r>
            <w:bookmarkEnd w:id="368"/>
            <w:bookmarkEnd w:id="369"/>
            <w:bookmarkEnd w:id="370"/>
            <w:bookmarkEnd w:id="371"/>
          </w:p>
        </w:tc>
        <w:tc>
          <w:tcPr>
            <w:tcW w:w="1109" w:type="dxa"/>
            <w:tcBorders>
              <w:tl2br w:val="nil"/>
              <w:tr2bl w:val="nil"/>
            </w:tcBorders>
            <w:vAlign w:val="center"/>
          </w:tcPr>
          <w:p w14:paraId="6CEC2604">
            <w:pPr>
              <w:pStyle w:val="5"/>
              <w:widowControl w:val="0"/>
              <w:overflowPunct w:val="0"/>
              <w:spacing w:line="240" w:lineRule="auto"/>
              <w:jc w:val="center"/>
              <w:rPr>
                <w:rFonts w:ascii="宋体" w:hAnsi="宋体" w:cs="宋体"/>
                <w:b w:val="0"/>
                <w:bCs w:val="0"/>
                <w:color w:val="auto"/>
                <w:sz w:val="21"/>
                <w:szCs w:val="21"/>
                <w:highlight w:val="none"/>
              </w:rPr>
            </w:pPr>
            <w:bookmarkStart w:id="372" w:name="_Toc29838"/>
            <w:bookmarkStart w:id="373" w:name="_Toc16003"/>
            <w:bookmarkStart w:id="374" w:name="_Toc16432"/>
            <w:bookmarkStart w:id="375" w:name="_Toc27285"/>
            <w:bookmarkStart w:id="376" w:name="_Toc20139"/>
            <w:bookmarkStart w:id="377" w:name="_Toc17642"/>
            <w:bookmarkStart w:id="378" w:name="_Toc20820"/>
            <w:bookmarkStart w:id="379" w:name="_Toc3701"/>
            <w:bookmarkStart w:id="380" w:name="_Toc1912"/>
            <w:bookmarkStart w:id="381" w:name="_Toc17296"/>
            <w:bookmarkStart w:id="382" w:name="_Toc1330"/>
            <w:bookmarkStart w:id="383" w:name="_Toc5992"/>
            <w:bookmarkStart w:id="384" w:name="_Toc5563"/>
            <w:bookmarkStart w:id="385" w:name="_Toc27185"/>
            <w:r>
              <w:rPr>
                <w:rFonts w:hint="eastAsia" w:ascii="宋体" w:hAnsi="宋体" w:cs="宋体"/>
                <w:b w:val="0"/>
                <w:bCs w:val="0"/>
                <w:color w:val="auto"/>
                <w:sz w:val="21"/>
                <w:szCs w:val="21"/>
                <w:highlight w:val="none"/>
              </w:rPr>
              <w:t>说明</w:t>
            </w:r>
            <w:bookmarkEnd w:id="372"/>
            <w:bookmarkEnd w:id="373"/>
            <w:bookmarkEnd w:id="374"/>
            <w:bookmarkEnd w:id="375"/>
          </w:p>
        </w:tc>
        <w:tc>
          <w:tcPr>
            <w:tcW w:w="1591" w:type="dxa"/>
            <w:tcBorders>
              <w:tl2br w:val="nil"/>
              <w:tr2bl w:val="nil"/>
            </w:tcBorders>
            <w:vAlign w:val="center"/>
          </w:tcPr>
          <w:p w14:paraId="484BEB50">
            <w:pPr>
              <w:pStyle w:val="5"/>
              <w:widowControl w:val="0"/>
              <w:overflowPunct w:val="0"/>
              <w:spacing w:line="240" w:lineRule="auto"/>
              <w:jc w:val="center"/>
              <w:rPr>
                <w:rFonts w:ascii="宋体" w:hAnsi="宋体" w:cs="宋体"/>
                <w:b w:val="0"/>
                <w:bCs w:val="0"/>
                <w:color w:val="auto"/>
                <w:sz w:val="21"/>
                <w:szCs w:val="21"/>
                <w:highlight w:val="none"/>
              </w:rPr>
            </w:pPr>
            <w:bookmarkStart w:id="386" w:name="_Toc19105"/>
            <w:bookmarkStart w:id="387" w:name="_Toc857"/>
            <w:bookmarkStart w:id="388" w:name="_Toc3520"/>
            <w:bookmarkStart w:id="389" w:name="_Toc31920"/>
            <w:r>
              <w:rPr>
                <w:rFonts w:hint="eastAsia" w:ascii="宋体" w:hAnsi="宋体" w:cs="宋体"/>
                <w:b w:val="0"/>
                <w:bCs w:val="0"/>
                <w:color w:val="auto"/>
                <w:sz w:val="21"/>
                <w:szCs w:val="21"/>
                <w:highlight w:val="none"/>
              </w:rPr>
              <w:t>页码范围</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tc>
      </w:tr>
      <w:tr w14:paraId="18FCC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54DAA61">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631D2D83">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543434A9">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45BC29FD">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67E2FA8">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19EB7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FC80BA7">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763E397">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AE04566">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0B94D38">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6AFAE2A9">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380D5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FAF2018">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ECEB610">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F9D7B94">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9920C41">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42147FCE">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32FD5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621E4D">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E6BC467">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78EA2B9A">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CE3C460">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6F364EA">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618DB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C68161B">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9F7DD87">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7E953DA">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27FEF737">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56FE0FC9">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71881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57125B6">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65A020A">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6DC5F76F">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12BBFCC">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4DFC4A80">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51689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963D013">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757F9D93">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CC892B4">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DEAF64C">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5BC7B14A">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5A45E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0894219">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997D5BC">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8930C56">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8EADEB8">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F20EB33">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16B47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F1253BB">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A6C4075">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685B153E">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57025E20">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394066CA">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6C08A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CBBA6C1">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16A163C5">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6E4727FB">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0D245813">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65650697">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r w14:paraId="1EE67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13CB309">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3E9BAAD">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34265A">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CA48A26">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341645F">
            <w:pPr>
              <w:jc w:val="center"/>
              <w:rPr>
                <w:rFonts w:ascii="宋体" w:hAnsi="宋体" w:cs="宋体"/>
                <w:color w:val="auto"/>
                <w:szCs w:val="21"/>
                <w:highlight w:val="none"/>
              </w:rPr>
            </w:pPr>
            <w:r>
              <w:rPr>
                <w:rFonts w:hint="eastAsia" w:ascii="宋体" w:hAnsi="宋体" w:cs="宋体"/>
                <w:color w:val="auto"/>
                <w:szCs w:val="21"/>
                <w:highlight w:val="none"/>
              </w:rPr>
              <w:t>详见响应文件第（）页</w:t>
            </w:r>
          </w:p>
        </w:tc>
      </w:tr>
    </w:tbl>
    <w:p w14:paraId="7878DA04">
      <w:pPr>
        <w:pStyle w:val="35"/>
        <w:rPr>
          <w:rFonts w:ascii="宋体" w:hAnsi="宋体"/>
          <w:color w:val="auto"/>
          <w:szCs w:val="21"/>
          <w:highlight w:val="none"/>
        </w:rPr>
      </w:pPr>
    </w:p>
    <w:p w14:paraId="5E6D6289">
      <w:pPr>
        <w:pStyle w:val="35"/>
        <w:rPr>
          <w:rFonts w:ascii="宋体" w:hAnsi="宋体"/>
          <w:color w:val="auto"/>
          <w:szCs w:val="21"/>
          <w:highlight w:val="none"/>
        </w:rPr>
      </w:pPr>
      <w:r>
        <w:rPr>
          <w:rFonts w:hint="eastAsia" w:ascii="宋体" w:hAnsi="宋体"/>
          <w:color w:val="auto"/>
          <w:szCs w:val="21"/>
          <w:highlight w:val="none"/>
        </w:rPr>
        <w:t>注：</w:t>
      </w:r>
    </w:p>
    <w:p w14:paraId="5593AAB2">
      <w:pPr>
        <w:pStyle w:val="35"/>
        <w:rPr>
          <w:rFonts w:ascii="宋体" w:hAnsi="宋体"/>
          <w:color w:val="auto"/>
          <w:szCs w:val="21"/>
          <w:highlight w:val="none"/>
        </w:rPr>
      </w:pPr>
      <w:r>
        <w:rPr>
          <w:rFonts w:hint="eastAsia" w:ascii="宋体" w:hAnsi="宋体"/>
          <w:color w:val="auto"/>
          <w:szCs w:val="21"/>
          <w:highlight w:val="none"/>
        </w:rPr>
        <w:t>1、供应商应逐条对照磋商文件重要评分条款，如实地说明响应情况。</w:t>
      </w:r>
    </w:p>
    <w:p w14:paraId="3B93BEC2">
      <w:pPr>
        <w:pStyle w:val="35"/>
        <w:rPr>
          <w:rFonts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569993A9">
      <w:pPr>
        <w:pStyle w:val="35"/>
        <w:ind w:firstLine="422"/>
        <w:rPr>
          <w:rFonts w:ascii="宋体" w:hAnsi="宋体"/>
          <w:b/>
          <w:bCs/>
          <w:color w:val="auto"/>
          <w:szCs w:val="21"/>
          <w:highlight w:val="none"/>
        </w:rPr>
      </w:pPr>
      <w:r>
        <w:rPr>
          <w:rFonts w:hint="eastAsia" w:ascii="宋体" w:hAnsi="宋体"/>
          <w:b/>
          <w:bCs/>
          <w:color w:val="auto"/>
          <w:szCs w:val="21"/>
          <w:highlight w:val="none"/>
        </w:rPr>
        <w:t>3、若磋商文件未设定重要技术参数（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03597654">
      <w:pPr>
        <w:pStyle w:val="35"/>
        <w:rPr>
          <w:rFonts w:ascii="宋体" w:hAnsi="宋体"/>
          <w:color w:val="auto"/>
          <w:szCs w:val="21"/>
          <w:highlight w:val="none"/>
        </w:rPr>
      </w:pPr>
    </w:p>
    <w:p w14:paraId="4A3BC15A">
      <w:pPr>
        <w:pStyle w:val="35"/>
        <w:numPr>
          <w:ilvl w:val="0"/>
          <w:numId w:val="22"/>
        </w:numPr>
        <w:rPr>
          <w:rFonts w:ascii="黑体" w:eastAsia="黑体"/>
          <w:color w:val="auto"/>
          <w:sz w:val="32"/>
          <w:szCs w:val="32"/>
          <w:highlight w:val="none"/>
        </w:rPr>
      </w:pPr>
      <w:r>
        <w:rPr>
          <w:rFonts w:hint="eastAsia" w:ascii="宋体" w:hAnsi="宋体"/>
          <w:color w:val="auto"/>
          <w:szCs w:val="21"/>
          <w:highlight w:val="none"/>
        </w:rPr>
        <w:br w:type="page"/>
      </w:r>
    </w:p>
    <w:p w14:paraId="44D73A25">
      <w:pPr>
        <w:pStyle w:val="4"/>
        <w:jc w:val="center"/>
        <w:rPr>
          <w:color w:val="auto"/>
          <w:highlight w:val="none"/>
        </w:rPr>
      </w:pPr>
      <w:bookmarkStart w:id="390" w:name="_Toc25570"/>
      <w:bookmarkStart w:id="391" w:name="_Toc19349"/>
      <w:r>
        <w:rPr>
          <w:rFonts w:hint="eastAsia"/>
          <w:color w:val="auto"/>
          <w:highlight w:val="none"/>
        </w:rPr>
        <w:t>三、实质性条款（标记★）响应表</w:t>
      </w:r>
      <w:bookmarkEnd w:id="390"/>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1E3CC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6E69F19">
            <w:pPr>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49B79B25">
            <w:pPr>
              <w:jc w:val="center"/>
              <w:rPr>
                <w:rFonts w:ascii="宋体" w:hAnsi="宋体" w:cs="宋体"/>
                <w:color w:val="auto"/>
                <w:sz w:val="24"/>
                <w:szCs w:val="24"/>
                <w:highlight w:val="none"/>
              </w:rPr>
            </w:pPr>
            <w:r>
              <w:rPr>
                <w:rFonts w:hint="eastAsia" w:ascii="宋体" w:hAnsi="宋体" w:cs="宋体"/>
                <w:color w:val="auto"/>
                <w:sz w:val="24"/>
                <w:szCs w:val="24"/>
                <w:highlight w:val="none"/>
              </w:rPr>
              <w:t>磋商文件实质性条款</w:t>
            </w:r>
          </w:p>
        </w:tc>
        <w:tc>
          <w:tcPr>
            <w:tcW w:w="2399" w:type="dxa"/>
            <w:tcBorders>
              <w:tl2br w:val="nil"/>
              <w:tr2bl w:val="nil"/>
            </w:tcBorders>
            <w:vAlign w:val="center"/>
          </w:tcPr>
          <w:p w14:paraId="6D00B6F7">
            <w:pPr>
              <w:jc w:val="center"/>
              <w:rPr>
                <w:rFonts w:ascii="宋体" w:hAnsi="宋体" w:cs="宋体"/>
                <w:color w:val="auto"/>
                <w:sz w:val="24"/>
                <w:szCs w:val="24"/>
                <w:highlight w:val="none"/>
              </w:rPr>
            </w:pPr>
            <w:r>
              <w:rPr>
                <w:rFonts w:hint="eastAsia" w:ascii="宋体" w:hAnsi="宋体" w:cs="宋体"/>
                <w:color w:val="auto"/>
                <w:sz w:val="24"/>
                <w:szCs w:val="24"/>
                <w:highlight w:val="none"/>
              </w:rPr>
              <w:t>响应文件响应内容</w:t>
            </w:r>
          </w:p>
        </w:tc>
        <w:tc>
          <w:tcPr>
            <w:tcW w:w="1180" w:type="dxa"/>
            <w:tcBorders>
              <w:tl2br w:val="nil"/>
              <w:tr2bl w:val="nil"/>
            </w:tcBorders>
            <w:vAlign w:val="center"/>
          </w:tcPr>
          <w:p w14:paraId="126E1127">
            <w:pPr>
              <w:jc w:val="center"/>
              <w:rPr>
                <w:rFonts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70736AC0">
            <w:pPr>
              <w:jc w:val="center"/>
              <w:rPr>
                <w:rFonts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3F7738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0F2DF17F">
            <w:pPr>
              <w:jc w:val="center"/>
              <w:rPr>
                <w:rFonts w:ascii="宋体" w:hAnsi="宋体" w:cs="宋体"/>
                <w:color w:val="auto"/>
                <w:sz w:val="24"/>
                <w:szCs w:val="24"/>
                <w:highlight w:val="none"/>
              </w:rPr>
            </w:pPr>
          </w:p>
        </w:tc>
        <w:tc>
          <w:tcPr>
            <w:tcW w:w="2398" w:type="dxa"/>
            <w:tcBorders>
              <w:tl2br w:val="nil"/>
              <w:tr2bl w:val="nil"/>
            </w:tcBorders>
            <w:vAlign w:val="center"/>
          </w:tcPr>
          <w:p w14:paraId="5B72E308">
            <w:pPr>
              <w:jc w:val="center"/>
              <w:rPr>
                <w:rFonts w:ascii="宋体" w:hAnsi="宋体" w:cs="宋体"/>
                <w:color w:val="auto"/>
                <w:sz w:val="24"/>
                <w:szCs w:val="24"/>
                <w:highlight w:val="none"/>
              </w:rPr>
            </w:pPr>
          </w:p>
        </w:tc>
        <w:tc>
          <w:tcPr>
            <w:tcW w:w="2399" w:type="dxa"/>
            <w:tcBorders>
              <w:tl2br w:val="nil"/>
              <w:tr2bl w:val="nil"/>
            </w:tcBorders>
            <w:vAlign w:val="center"/>
          </w:tcPr>
          <w:p w14:paraId="2BD1319F">
            <w:pPr>
              <w:jc w:val="center"/>
              <w:rPr>
                <w:rFonts w:ascii="宋体" w:hAnsi="宋体" w:cs="宋体"/>
                <w:color w:val="auto"/>
                <w:sz w:val="24"/>
                <w:szCs w:val="24"/>
                <w:highlight w:val="none"/>
              </w:rPr>
            </w:pPr>
          </w:p>
        </w:tc>
        <w:tc>
          <w:tcPr>
            <w:tcW w:w="1180" w:type="dxa"/>
            <w:tcBorders>
              <w:tl2br w:val="nil"/>
              <w:tr2bl w:val="nil"/>
            </w:tcBorders>
            <w:vAlign w:val="center"/>
          </w:tcPr>
          <w:p w14:paraId="1646C820">
            <w:pPr>
              <w:jc w:val="center"/>
              <w:rPr>
                <w:rFonts w:ascii="宋体" w:hAnsi="宋体"/>
                <w:color w:val="auto"/>
                <w:sz w:val="24"/>
                <w:highlight w:val="none"/>
              </w:rPr>
            </w:pPr>
          </w:p>
        </w:tc>
        <w:tc>
          <w:tcPr>
            <w:tcW w:w="1867" w:type="dxa"/>
            <w:tcBorders>
              <w:tl2br w:val="nil"/>
              <w:tr2bl w:val="nil"/>
            </w:tcBorders>
            <w:vAlign w:val="center"/>
          </w:tcPr>
          <w:p w14:paraId="08CB7773">
            <w:pPr>
              <w:jc w:val="center"/>
              <w:rPr>
                <w:rFonts w:ascii="宋体" w:hAnsi="宋体" w:cs="宋体"/>
                <w:color w:val="auto"/>
                <w:sz w:val="24"/>
                <w:szCs w:val="24"/>
                <w:highlight w:val="none"/>
              </w:rPr>
            </w:pPr>
            <w:r>
              <w:rPr>
                <w:rFonts w:hint="eastAsia" w:ascii="宋体" w:hAnsi="宋体"/>
                <w:color w:val="auto"/>
                <w:sz w:val="24"/>
                <w:highlight w:val="none"/>
              </w:rPr>
              <w:t>详见响应文件第（）页</w:t>
            </w:r>
          </w:p>
        </w:tc>
      </w:tr>
      <w:tr w14:paraId="07FB5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15DFA5B6">
            <w:pPr>
              <w:jc w:val="center"/>
              <w:rPr>
                <w:rFonts w:ascii="宋体" w:hAnsi="宋体" w:cs="宋体"/>
                <w:color w:val="auto"/>
                <w:sz w:val="24"/>
                <w:szCs w:val="24"/>
                <w:highlight w:val="none"/>
              </w:rPr>
            </w:pPr>
          </w:p>
        </w:tc>
        <w:tc>
          <w:tcPr>
            <w:tcW w:w="2398" w:type="dxa"/>
            <w:tcBorders>
              <w:tl2br w:val="nil"/>
              <w:tr2bl w:val="nil"/>
            </w:tcBorders>
            <w:vAlign w:val="center"/>
          </w:tcPr>
          <w:p w14:paraId="23C9596F">
            <w:pPr>
              <w:jc w:val="center"/>
              <w:rPr>
                <w:rFonts w:ascii="宋体" w:hAnsi="宋体" w:cs="宋体"/>
                <w:color w:val="auto"/>
                <w:sz w:val="24"/>
                <w:szCs w:val="24"/>
                <w:highlight w:val="none"/>
              </w:rPr>
            </w:pPr>
          </w:p>
        </w:tc>
        <w:tc>
          <w:tcPr>
            <w:tcW w:w="2399" w:type="dxa"/>
            <w:tcBorders>
              <w:tl2br w:val="nil"/>
              <w:tr2bl w:val="nil"/>
            </w:tcBorders>
            <w:vAlign w:val="center"/>
          </w:tcPr>
          <w:p w14:paraId="3C81AE85">
            <w:pPr>
              <w:jc w:val="center"/>
              <w:rPr>
                <w:rFonts w:ascii="宋体" w:hAnsi="宋体" w:cs="宋体"/>
                <w:color w:val="auto"/>
                <w:sz w:val="24"/>
                <w:szCs w:val="24"/>
                <w:highlight w:val="none"/>
              </w:rPr>
            </w:pPr>
          </w:p>
        </w:tc>
        <w:tc>
          <w:tcPr>
            <w:tcW w:w="1180" w:type="dxa"/>
            <w:tcBorders>
              <w:tl2br w:val="nil"/>
              <w:tr2bl w:val="nil"/>
            </w:tcBorders>
            <w:vAlign w:val="center"/>
          </w:tcPr>
          <w:p w14:paraId="2FC100EA">
            <w:pPr>
              <w:jc w:val="center"/>
              <w:rPr>
                <w:rFonts w:ascii="宋体" w:hAnsi="宋体"/>
                <w:color w:val="auto"/>
                <w:sz w:val="24"/>
                <w:highlight w:val="none"/>
              </w:rPr>
            </w:pPr>
          </w:p>
        </w:tc>
        <w:tc>
          <w:tcPr>
            <w:tcW w:w="1867" w:type="dxa"/>
            <w:tcBorders>
              <w:tl2br w:val="nil"/>
              <w:tr2bl w:val="nil"/>
            </w:tcBorders>
            <w:vAlign w:val="center"/>
          </w:tcPr>
          <w:p w14:paraId="5721C99F">
            <w:pPr>
              <w:jc w:val="center"/>
              <w:rPr>
                <w:rFonts w:ascii="宋体" w:hAnsi="宋体" w:cs="宋体"/>
                <w:color w:val="auto"/>
                <w:sz w:val="24"/>
                <w:szCs w:val="24"/>
                <w:highlight w:val="none"/>
              </w:rPr>
            </w:pPr>
            <w:r>
              <w:rPr>
                <w:rFonts w:hint="eastAsia" w:ascii="宋体" w:hAnsi="宋体"/>
                <w:color w:val="auto"/>
                <w:sz w:val="24"/>
                <w:highlight w:val="none"/>
              </w:rPr>
              <w:t>详见响应文件第（）页</w:t>
            </w:r>
          </w:p>
        </w:tc>
      </w:tr>
      <w:tr w14:paraId="7BE3F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366414F0">
            <w:pPr>
              <w:jc w:val="center"/>
              <w:rPr>
                <w:rFonts w:ascii="宋体" w:hAnsi="宋体" w:cs="宋体"/>
                <w:color w:val="auto"/>
                <w:sz w:val="24"/>
                <w:szCs w:val="24"/>
                <w:highlight w:val="none"/>
              </w:rPr>
            </w:pPr>
          </w:p>
        </w:tc>
        <w:tc>
          <w:tcPr>
            <w:tcW w:w="2398" w:type="dxa"/>
            <w:tcBorders>
              <w:tl2br w:val="nil"/>
              <w:tr2bl w:val="nil"/>
            </w:tcBorders>
            <w:vAlign w:val="center"/>
          </w:tcPr>
          <w:p w14:paraId="4A167F32">
            <w:pPr>
              <w:jc w:val="center"/>
              <w:rPr>
                <w:rFonts w:ascii="宋体" w:hAnsi="宋体" w:cs="宋体"/>
                <w:color w:val="auto"/>
                <w:sz w:val="24"/>
                <w:szCs w:val="24"/>
                <w:highlight w:val="none"/>
              </w:rPr>
            </w:pPr>
          </w:p>
        </w:tc>
        <w:tc>
          <w:tcPr>
            <w:tcW w:w="2399" w:type="dxa"/>
            <w:tcBorders>
              <w:tl2br w:val="nil"/>
              <w:tr2bl w:val="nil"/>
            </w:tcBorders>
            <w:vAlign w:val="center"/>
          </w:tcPr>
          <w:p w14:paraId="61E3EC2A">
            <w:pPr>
              <w:jc w:val="center"/>
              <w:rPr>
                <w:rFonts w:ascii="宋体" w:hAnsi="宋体" w:cs="宋体"/>
                <w:color w:val="auto"/>
                <w:sz w:val="24"/>
                <w:szCs w:val="24"/>
                <w:highlight w:val="none"/>
              </w:rPr>
            </w:pPr>
          </w:p>
        </w:tc>
        <w:tc>
          <w:tcPr>
            <w:tcW w:w="1180" w:type="dxa"/>
            <w:tcBorders>
              <w:tl2br w:val="nil"/>
              <w:tr2bl w:val="nil"/>
            </w:tcBorders>
            <w:vAlign w:val="center"/>
          </w:tcPr>
          <w:p w14:paraId="4AAB91A0">
            <w:pPr>
              <w:jc w:val="center"/>
              <w:rPr>
                <w:rFonts w:ascii="宋体" w:hAnsi="宋体"/>
                <w:color w:val="auto"/>
                <w:sz w:val="24"/>
                <w:highlight w:val="none"/>
              </w:rPr>
            </w:pPr>
          </w:p>
        </w:tc>
        <w:tc>
          <w:tcPr>
            <w:tcW w:w="1867" w:type="dxa"/>
            <w:tcBorders>
              <w:tl2br w:val="nil"/>
              <w:tr2bl w:val="nil"/>
            </w:tcBorders>
            <w:vAlign w:val="center"/>
          </w:tcPr>
          <w:p w14:paraId="333872F9">
            <w:pPr>
              <w:jc w:val="center"/>
              <w:rPr>
                <w:rFonts w:ascii="宋体" w:hAnsi="宋体" w:cs="宋体"/>
                <w:color w:val="auto"/>
                <w:sz w:val="24"/>
                <w:szCs w:val="24"/>
                <w:highlight w:val="none"/>
              </w:rPr>
            </w:pPr>
            <w:r>
              <w:rPr>
                <w:rFonts w:hint="eastAsia" w:ascii="宋体" w:hAnsi="宋体"/>
                <w:color w:val="auto"/>
                <w:sz w:val="24"/>
                <w:highlight w:val="none"/>
              </w:rPr>
              <w:t>详见响应文件第（）页</w:t>
            </w:r>
          </w:p>
        </w:tc>
      </w:tr>
      <w:tr w14:paraId="45F6B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084C6F0">
            <w:pPr>
              <w:jc w:val="center"/>
              <w:rPr>
                <w:rFonts w:ascii="宋体" w:hAnsi="宋体" w:cs="宋体"/>
                <w:color w:val="auto"/>
                <w:sz w:val="24"/>
                <w:szCs w:val="24"/>
                <w:highlight w:val="none"/>
              </w:rPr>
            </w:pPr>
          </w:p>
        </w:tc>
        <w:tc>
          <w:tcPr>
            <w:tcW w:w="2398" w:type="dxa"/>
            <w:tcBorders>
              <w:tl2br w:val="nil"/>
              <w:tr2bl w:val="nil"/>
            </w:tcBorders>
            <w:vAlign w:val="center"/>
          </w:tcPr>
          <w:p w14:paraId="0D7F566B">
            <w:pPr>
              <w:jc w:val="center"/>
              <w:rPr>
                <w:rFonts w:ascii="宋体" w:hAnsi="宋体" w:cs="宋体"/>
                <w:color w:val="auto"/>
                <w:sz w:val="24"/>
                <w:szCs w:val="24"/>
                <w:highlight w:val="none"/>
              </w:rPr>
            </w:pPr>
          </w:p>
        </w:tc>
        <w:tc>
          <w:tcPr>
            <w:tcW w:w="2399" w:type="dxa"/>
            <w:tcBorders>
              <w:tl2br w:val="nil"/>
              <w:tr2bl w:val="nil"/>
            </w:tcBorders>
            <w:vAlign w:val="center"/>
          </w:tcPr>
          <w:p w14:paraId="37EAC5DB">
            <w:pPr>
              <w:jc w:val="center"/>
              <w:rPr>
                <w:rFonts w:ascii="宋体" w:hAnsi="宋体" w:cs="宋体"/>
                <w:color w:val="auto"/>
                <w:sz w:val="24"/>
                <w:szCs w:val="24"/>
                <w:highlight w:val="none"/>
              </w:rPr>
            </w:pPr>
          </w:p>
        </w:tc>
        <w:tc>
          <w:tcPr>
            <w:tcW w:w="1180" w:type="dxa"/>
            <w:tcBorders>
              <w:tl2br w:val="nil"/>
              <w:tr2bl w:val="nil"/>
            </w:tcBorders>
            <w:vAlign w:val="center"/>
          </w:tcPr>
          <w:p w14:paraId="29887F75">
            <w:pPr>
              <w:jc w:val="center"/>
              <w:rPr>
                <w:rFonts w:ascii="宋体" w:hAnsi="宋体"/>
                <w:color w:val="auto"/>
                <w:sz w:val="24"/>
                <w:highlight w:val="none"/>
              </w:rPr>
            </w:pPr>
          </w:p>
        </w:tc>
        <w:tc>
          <w:tcPr>
            <w:tcW w:w="1867" w:type="dxa"/>
            <w:tcBorders>
              <w:tl2br w:val="nil"/>
              <w:tr2bl w:val="nil"/>
            </w:tcBorders>
            <w:vAlign w:val="center"/>
          </w:tcPr>
          <w:p w14:paraId="5CACE21B">
            <w:pPr>
              <w:jc w:val="center"/>
              <w:rPr>
                <w:rFonts w:ascii="宋体" w:hAnsi="宋体" w:cs="宋体"/>
                <w:color w:val="auto"/>
                <w:sz w:val="24"/>
                <w:szCs w:val="24"/>
                <w:highlight w:val="none"/>
              </w:rPr>
            </w:pPr>
            <w:r>
              <w:rPr>
                <w:rFonts w:hint="eastAsia" w:ascii="宋体" w:hAnsi="宋体"/>
                <w:color w:val="auto"/>
                <w:sz w:val="24"/>
                <w:highlight w:val="none"/>
              </w:rPr>
              <w:t>详见响应文件第（）页</w:t>
            </w:r>
          </w:p>
        </w:tc>
      </w:tr>
      <w:tr w14:paraId="3A5E4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0E15CAFD">
            <w:pPr>
              <w:jc w:val="center"/>
              <w:rPr>
                <w:rFonts w:ascii="宋体" w:hAnsi="宋体" w:cs="宋体"/>
                <w:color w:val="auto"/>
                <w:sz w:val="24"/>
                <w:szCs w:val="24"/>
                <w:highlight w:val="none"/>
              </w:rPr>
            </w:pPr>
          </w:p>
        </w:tc>
        <w:tc>
          <w:tcPr>
            <w:tcW w:w="2398" w:type="dxa"/>
            <w:tcBorders>
              <w:tl2br w:val="nil"/>
              <w:tr2bl w:val="nil"/>
            </w:tcBorders>
            <w:vAlign w:val="center"/>
          </w:tcPr>
          <w:p w14:paraId="3B50E2EC">
            <w:pPr>
              <w:jc w:val="center"/>
              <w:rPr>
                <w:rFonts w:ascii="宋体" w:hAnsi="宋体" w:cs="宋体"/>
                <w:color w:val="auto"/>
                <w:sz w:val="24"/>
                <w:szCs w:val="24"/>
                <w:highlight w:val="none"/>
              </w:rPr>
            </w:pPr>
          </w:p>
        </w:tc>
        <w:tc>
          <w:tcPr>
            <w:tcW w:w="2399" w:type="dxa"/>
            <w:tcBorders>
              <w:tl2br w:val="nil"/>
              <w:tr2bl w:val="nil"/>
            </w:tcBorders>
            <w:vAlign w:val="center"/>
          </w:tcPr>
          <w:p w14:paraId="5CE2ED08">
            <w:pPr>
              <w:jc w:val="center"/>
              <w:rPr>
                <w:rFonts w:ascii="宋体" w:hAnsi="宋体" w:cs="宋体"/>
                <w:color w:val="auto"/>
                <w:sz w:val="24"/>
                <w:szCs w:val="24"/>
                <w:highlight w:val="none"/>
              </w:rPr>
            </w:pPr>
          </w:p>
        </w:tc>
        <w:tc>
          <w:tcPr>
            <w:tcW w:w="1180" w:type="dxa"/>
            <w:tcBorders>
              <w:tl2br w:val="nil"/>
              <w:tr2bl w:val="nil"/>
            </w:tcBorders>
            <w:vAlign w:val="center"/>
          </w:tcPr>
          <w:p w14:paraId="4A6C2E00">
            <w:pPr>
              <w:jc w:val="center"/>
              <w:rPr>
                <w:rFonts w:ascii="宋体" w:hAnsi="宋体"/>
                <w:color w:val="auto"/>
                <w:sz w:val="24"/>
                <w:highlight w:val="none"/>
              </w:rPr>
            </w:pPr>
          </w:p>
        </w:tc>
        <w:tc>
          <w:tcPr>
            <w:tcW w:w="1867" w:type="dxa"/>
            <w:tcBorders>
              <w:tl2br w:val="nil"/>
              <w:tr2bl w:val="nil"/>
            </w:tcBorders>
            <w:vAlign w:val="center"/>
          </w:tcPr>
          <w:p w14:paraId="7519DFFB">
            <w:pPr>
              <w:jc w:val="center"/>
              <w:rPr>
                <w:rFonts w:ascii="宋体" w:hAnsi="宋体" w:cs="宋体"/>
                <w:color w:val="auto"/>
                <w:sz w:val="24"/>
                <w:szCs w:val="24"/>
                <w:highlight w:val="none"/>
              </w:rPr>
            </w:pPr>
            <w:r>
              <w:rPr>
                <w:rFonts w:hint="eastAsia" w:ascii="宋体" w:hAnsi="宋体"/>
                <w:color w:val="auto"/>
                <w:sz w:val="24"/>
                <w:highlight w:val="none"/>
              </w:rPr>
              <w:t>详见响应文件第（）页</w:t>
            </w:r>
          </w:p>
        </w:tc>
      </w:tr>
      <w:tr w14:paraId="769F1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53E63E09">
            <w:pPr>
              <w:jc w:val="center"/>
              <w:rPr>
                <w:rFonts w:ascii="宋体" w:hAnsi="宋体" w:cs="宋体"/>
                <w:color w:val="auto"/>
                <w:sz w:val="24"/>
                <w:szCs w:val="24"/>
                <w:highlight w:val="none"/>
              </w:rPr>
            </w:pPr>
          </w:p>
        </w:tc>
        <w:tc>
          <w:tcPr>
            <w:tcW w:w="2398" w:type="dxa"/>
            <w:tcBorders>
              <w:tl2br w:val="nil"/>
              <w:tr2bl w:val="nil"/>
            </w:tcBorders>
            <w:vAlign w:val="center"/>
          </w:tcPr>
          <w:p w14:paraId="78AAB7A1">
            <w:pPr>
              <w:jc w:val="center"/>
              <w:rPr>
                <w:rFonts w:ascii="宋体" w:hAnsi="宋体" w:cs="宋体"/>
                <w:color w:val="auto"/>
                <w:sz w:val="24"/>
                <w:szCs w:val="24"/>
                <w:highlight w:val="none"/>
              </w:rPr>
            </w:pPr>
          </w:p>
        </w:tc>
        <w:tc>
          <w:tcPr>
            <w:tcW w:w="2399" w:type="dxa"/>
            <w:tcBorders>
              <w:tl2br w:val="nil"/>
              <w:tr2bl w:val="nil"/>
            </w:tcBorders>
            <w:vAlign w:val="center"/>
          </w:tcPr>
          <w:p w14:paraId="4F79B2A8">
            <w:pPr>
              <w:jc w:val="center"/>
              <w:rPr>
                <w:rFonts w:ascii="宋体" w:hAnsi="宋体" w:cs="宋体"/>
                <w:color w:val="auto"/>
                <w:sz w:val="24"/>
                <w:szCs w:val="24"/>
                <w:highlight w:val="none"/>
              </w:rPr>
            </w:pPr>
          </w:p>
        </w:tc>
        <w:tc>
          <w:tcPr>
            <w:tcW w:w="1180" w:type="dxa"/>
            <w:tcBorders>
              <w:tl2br w:val="nil"/>
              <w:tr2bl w:val="nil"/>
            </w:tcBorders>
            <w:vAlign w:val="center"/>
          </w:tcPr>
          <w:p w14:paraId="6CDB9353">
            <w:pPr>
              <w:jc w:val="center"/>
              <w:rPr>
                <w:rFonts w:ascii="宋体" w:hAnsi="宋体"/>
                <w:color w:val="auto"/>
                <w:sz w:val="24"/>
                <w:highlight w:val="none"/>
              </w:rPr>
            </w:pPr>
          </w:p>
        </w:tc>
        <w:tc>
          <w:tcPr>
            <w:tcW w:w="1867" w:type="dxa"/>
            <w:tcBorders>
              <w:tl2br w:val="nil"/>
              <w:tr2bl w:val="nil"/>
            </w:tcBorders>
            <w:vAlign w:val="center"/>
          </w:tcPr>
          <w:p w14:paraId="2AF34E3F">
            <w:pPr>
              <w:jc w:val="center"/>
              <w:rPr>
                <w:rFonts w:ascii="宋体" w:hAnsi="宋体"/>
                <w:color w:val="auto"/>
                <w:sz w:val="24"/>
                <w:highlight w:val="none"/>
              </w:rPr>
            </w:pPr>
            <w:r>
              <w:rPr>
                <w:rFonts w:hint="eastAsia" w:ascii="宋体" w:hAnsi="宋体"/>
                <w:color w:val="auto"/>
                <w:sz w:val="24"/>
                <w:highlight w:val="none"/>
              </w:rPr>
              <w:t>详见响应文件第（）页</w:t>
            </w:r>
          </w:p>
        </w:tc>
      </w:tr>
      <w:tr w14:paraId="4903D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3DC42E59">
            <w:pPr>
              <w:jc w:val="center"/>
              <w:rPr>
                <w:rFonts w:ascii="宋体" w:hAnsi="宋体" w:cs="宋体"/>
                <w:color w:val="auto"/>
                <w:sz w:val="24"/>
                <w:szCs w:val="24"/>
                <w:highlight w:val="none"/>
              </w:rPr>
            </w:pPr>
          </w:p>
        </w:tc>
        <w:tc>
          <w:tcPr>
            <w:tcW w:w="2398" w:type="dxa"/>
            <w:tcBorders>
              <w:tl2br w:val="nil"/>
              <w:tr2bl w:val="nil"/>
            </w:tcBorders>
            <w:vAlign w:val="center"/>
          </w:tcPr>
          <w:p w14:paraId="5DDAC018">
            <w:pPr>
              <w:jc w:val="center"/>
              <w:rPr>
                <w:rFonts w:ascii="宋体" w:hAnsi="宋体" w:cs="宋体"/>
                <w:color w:val="auto"/>
                <w:sz w:val="24"/>
                <w:szCs w:val="24"/>
                <w:highlight w:val="none"/>
              </w:rPr>
            </w:pPr>
          </w:p>
        </w:tc>
        <w:tc>
          <w:tcPr>
            <w:tcW w:w="2399" w:type="dxa"/>
            <w:tcBorders>
              <w:tl2br w:val="nil"/>
              <w:tr2bl w:val="nil"/>
            </w:tcBorders>
            <w:vAlign w:val="center"/>
          </w:tcPr>
          <w:p w14:paraId="09787D06">
            <w:pPr>
              <w:jc w:val="center"/>
              <w:rPr>
                <w:rFonts w:ascii="宋体" w:hAnsi="宋体" w:cs="宋体"/>
                <w:color w:val="auto"/>
                <w:sz w:val="24"/>
                <w:szCs w:val="24"/>
                <w:highlight w:val="none"/>
              </w:rPr>
            </w:pPr>
          </w:p>
        </w:tc>
        <w:tc>
          <w:tcPr>
            <w:tcW w:w="1180" w:type="dxa"/>
            <w:tcBorders>
              <w:tl2br w:val="nil"/>
              <w:tr2bl w:val="nil"/>
            </w:tcBorders>
            <w:vAlign w:val="center"/>
          </w:tcPr>
          <w:p w14:paraId="73DD0046">
            <w:pPr>
              <w:jc w:val="center"/>
              <w:rPr>
                <w:rFonts w:ascii="宋体" w:hAnsi="宋体"/>
                <w:color w:val="auto"/>
                <w:sz w:val="24"/>
                <w:highlight w:val="none"/>
              </w:rPr>
            </w:pPr>
          </w:p>
        </w:tc>
        <w:tc>
          <w:tcPr>
            <w:tcW w:w="1867" w:type="dxa"/>
            <w:tcBorders>
              <w:tl2br w:val="nil"/>
              <w:tr2bl w:val="nil"/>
            </w:tcBorders>
            <w:vAlign w:val="center"/>
          </w:tcPr>
          <w:p w14:paraId="09E651D3">
            <w:pPr>
              <w:jc w:val="center"/>
              <w:rPr>
                <w:rFonts w:ascii="宋体" w:hAnsi="宋体"/>
                <w:color w:val="auto"/>
                <w:sz w:val="24"/>
                <w:highlight w:val="none"/>
              </w:rPr>
            </w:pPr>
            <w:r>
              <w:rPr>
                <w:rFonts w:hint="eastAsia" w:ascii="宋体" w:hAnsi="宋体"/>
                <w:color w:val="auto"/>
                <w:sz w:val="24"/>
                <w:highlight w:val="none"/>
              </w:rPr>
              <w:t>详见响应文件第（）页</w:t>
            </w:r>
          </w:p>
        </w:tc>
      </w:tr>
      <w:tr w14:paraId="1EA5E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075B8472">
            <w:pPr>
              <w:jc w:val="center"/>
              <w:rPr>
                <w:rFonts w:ascii="宋体" w:hAnsi="宋体" w:cs="宋体"/>
                <w:color w:val="auto"/>
                <w:sz w:val="24"/>
                <w:szCs w:val="24"/>
                <w:highlight w:val="none"/>
              </w:rPr>
            </w:pPr>
          </w:p>
        </w:tc>
        <w:tc>
          <w:tcPr>
            <w:tcW w:w="2398" w:type="dxa"/>
            <w:tcBorders>
              <w:tl2br w:val="nil"/>
              <w:tr2bl w:val="nil"/>
            </w:tcBorders>
            <w:vAlign w:val="center"/>
          </w:tcPr>
          <w:p w14:paraId="50349910">
            <w:pPr>
              <w:jc w:val="center"/>
              <w:rPr>
                <w:rFonts w:ascii="宋体" w:hAnsi="宋体" w:cs="宋体"/>
                <w:color w:val="auto"/>
                <w:sz w:val="24"/>
                <w:szCs w:val="24"/>
                <w:highlight w:val="none"/>
              </w:rPr>
            </w:pPr>
          </w:p>
        </w:tc>
        <w:tc>
          <w:tcPr>
            <w:tcW w:w="2399" w:type="dxa"/>
            <w:tcBorders>
              <w:tl2br w:val="nil"/>
              <w:tr2bl w:val="nil"/>
            </w:tcBorders>
            <w:vAlign w:val="center"/>
          </w:tcPr>
          <w:p w14:paraId="56E7C138">
            <w:pPr>
              <w:jc w:val="center"/>
              <w:rPr>
                <w:rFonts w:ascii="宋体" w:hAnsi="宋体" w:cs="宋体"/>
                <w:color w:val="auto"/>
                <w:sz w:val="24"/>
                <w:szCs w:val="24"/>
                <w:highlight w:val="none"/>
              </w:rPr>
            </w:pPr>
          </w:p>
        </w:tc>
        <w:tc>
          <w:tcPr>
            <w:tcW w:w="1180" w:type="dxa"/>
            <w:tcBorders>
              <w:tl2br w:val="nil"/>
              <w:tr2bl w:val="nil"/>
            </w:tcBorders>
            <w:vAlign w:val="center"/>
          </w:tcPr>
          <w:p w14:paraId="1CF32CDC">
            <w:pPr>
              <w:jc w:val="center"/>
              <w:rPr>
                <w:rFonts w:ascii="宋体" w:hAnsi="宋体"/>
                <w:color w:val="auto"/>
                <w:sz w:val="24"/>
                <w:highlight w:val="none"/>
              </w:rPr>
            </w:pPr>
          </w:p>
        </w:tc>
        <w:tc>
          <w:tcPr>
            <w:tcW w:w="1867" w:type="dxa"/>
            <w:tcBorders>
              <w:tl2br w:val="nil"/>
              <w:tr2bl w:val="nil"/>
            </w:tcBorders>
            <w:vAlign w:val="center"/>
          </w:tcPr>
          <w:p w14:paraId="5C26FFFE">
            <w:pPr>
              <w:jc w:val="center"/>
              <w:rPr>
                <w:rFonts w:ascii="宋体" w:hAnsi="宋体"/>
                <w:color w:val="auto"/>
                <w:sz w:val="24"/>
                <w:highlight w:val="none"/>
              </w:rPr>
            </w:pPr>
            <w:r>
              <w:rPr>
                <w:rFonts w:hint="eastAsia" w:ascii="宋体" w:hAnsi="宋体"/>
                <w:color w:val="auto"/>
                <w:sz w:val="24"/>
                <w:highlight w:val="none"/>
              </w:rPr>
              <w:t>详见响应文件第（）页</w:t>
            </w:r>
          </w:p>
        </w:tc>
      </w:tr>
    </w:tbl>
    <w:p w14:paraId="462B0C3A">
      <w:pPr>
        <w:rPr>
          <w:rFonts w:ascii="宋体" w:hAnsi="宋体"/>
          <w:color w:val="auto"/>
          <w:szCs w:val="21"/>
          <w:highlight w:val="none"/>
        </w:rPr>
      </w:pPr>
    </w:p>
    <w:p w14:paraId="42A337E6">
      <w:pPr>
        <w:rPr>
          <w:color w:val="auto"/>
          <w:highlight w:val="none"/>
        </w:rPr>
      </w:pPr>
    </w:p>
    <w:p w14:paraId="63B5FF9E">
      <w:pPr>
        <w:rPr>
          <w:rFonts w:ascii="宋体" w:hAnsi="宋体"/>
          <w:color w:val="auto"/>
          <w:szCs w:val="21"/>
          <w:highlight w:val="none"/>
        </w:rPr>
      </w:pPr>
      <w:r>
        <w:rPr>
          <w:rFonts w:hint="eastAsia" w:ascii="宋体" w:hAnsi="宋体"/>
          <w:color w:val="auto"/>
          <w:szCs w:val="21"/>
          <w:highlight w:val="none"/>
        </w:rPr>
        <w:t>供应商代表签字：</w:t>
      </w:r>
    </w:p>
    <w:p w14:paraId="4335988E">
      <w:pPr>
        <w:rPr>
          <w:rFonts w:ascii="宋体" w:hAnsi="宋体"/>
          <w:color w:val="auto"/>
          <w:szCs w:val="21"/>
          <w:highlight w:val="none"/>
        </w:rPr>
      </w:pPr>
      <w:r>
        <w:rPr>
          <w:rFonts w:hint="eastAsia" w:ascii="宋体" w:hAnsi="宋体"/>
          <w:color w:val="auto"/>
          <w:szCs w:val="21"/>
          <w:highlight w:val="none"/>
        </w:rPr>
        <w:t>供应商盖章：</w:t>
      </w:r>
    </w:p>
    <w:p w14:paraId="29797975">
      <w:pPr>
        <w:rPr>
          <w:color w:val="auto"/>
          <w:highlight w:val="none"/>
        </w:rPr>
      </w:pPr>
    </w:p>
    <w:p w14:paraId="3DD2EDD9">
      <w:pPr>
        <w:rPr>
          <w:color w:val="auto"/>
          <w:highlight w:val="none"/>
        </w:rPr>
      </w:pPr>
    </w:p>
    <w:p w14:paraId="7BC8916A">
      <w:pPr>
        <w:rPr>
          <w:color w:val="auto"/>
          <w:highlight w:val="none"/>
        </w:rPr>
      </w:pPr>
      <w:r>
        <w:rPr>
          <w:rFonts w:hint="eastAsia"/>
          <w:color w:val="auto"/>
          <w:highlight w:val="none"/>
        </w:rPr>
        <w:t>注：</w:t>
      </w:r>
    </w:p>
    <w:p w14:paraId="0EE8F3C8">
      <w:pPr>
        <w:ind w:firstLine="420" w:firstLineChars="200"/>
        <w:rPr>
          <w:color w:val="auto"/>
          <w:highlight w:val="none"/>
        </w:rPr>
      </w:pPr>
      <w:r>
        <w:rPr>
          <w:rFonts w:hint="eastAsia"/>
          <w:color w:val="auto"/>
          <w:highlight w:val="none"/>
        </w:rPr>
        <w:t>1、供应商应逐条对照磋商文件实质性条款，如实地说明响应情况。不满足的按无效响应文件处理。</w:t>
      </w:r>
    </w:p>
    <w:p w14:paraId="31044951">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2、若该实质性条款规定提交相关证明材料的，供应商应当提供，并附于本格式后。未按要求提供或提供不符合要求的证明材料，视为不满足，按无效响应文件处理。</w:t>
      </w:r>
    </w:p>
    <w:p w14:paraId="7FFE4DA3">
      <w:pPr>
        <w:ind w:firstLine="420" w:firstLineChars="200"/>
        <w:rPr>
          <w:color w:val="auto"/>
          <w:highlight w:val="none"/>
        </w:rPr>
      </w:pPr>
      <w:r>
        <w:rPr>
          <w:rFonts w:hint="eastAsia"/>
          <w:color w:val="auto"/>
          <w:highlight w:val="none"/>
        </w:rPr>
        <w:t>3、若磋商文件未设定实质性条款的，可删除本格式。</w:t>
      </w:r>
    </w:p>
    <w:p w14:paraId="7C5D4D53">
      <w:pPr>
        <w:pStyle w:val="4"/>
        <w:jc w:val="center"/>
        <w:rPr>
          <w:color w:val="auto"/>
          <w:highlight w:val="none"/>
        </w:rPr>
      </w:pPr>
      <w:bookmarkStart w:id="392" w:name="_Toc14250"/>
      <w:r>
        <w:rPr>
          <w:rFonts w:hint="eastAsia"/>
          <w:color w:val="auto"/>
          <w:highlight w:val="none"/>
        </w:rPr>
        <w:t>四、项目技术方案</w:t>
      </w:r>
      <w:bookmarkEnd w:id="391"/>
      <w:bookmarkEnd w:id="392"/>
    </w:p>
    <w:p w14:paraId="2BF508A2">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5212E157">
      <w:pPr>
        <w:ind w:left="718" w:leftChars="200" w:hanging="298" w:hangingChars="142"/>
        <w:rPr>
          <w:rFonts w:ascii="宋体" w:hAnsi="宋体"/>
          <w:color w:val="auto"/>
          <w:szCs w:val="21"/>
          <w:highlight w:val="none"/>
        </w:rPr>
      </w:pPr>
    </w:p>
    <w:p w14:paraId="379E006B">
      <w:pPr>
        <w:ind w:left="718" w:leftChars="200" w:hanging="298" w:hangingChars="142"/>
        <w:rPr>
          <w:rFonts w:ascii="宋体" w:hAnsi="宋体"/>
          <w:color w:val="auto"/>
          <w:szCs w:val="21"/>
          <w:highlight w:val="none"/>
        </w:rPr>
      </w:pPr>
    </w:p>
    <w:p w14:paraId="0EBE19E0">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2B7042F5">
      <w:pPr>
        <w:pStyle w:val="4"/>
        <w:jc w:val="center"/>
        <w:rPr>
          <w:color w:val="auto"/>
          <w:highlight w:val="none"/>
        </w:rPr>
      </w:pPr>
      <w:bookmarkStart w:id="393" w:name="_Toc16328"/>
      <w:bookmarkStart w:id="394" w:name="_Toc16875"/>
      <w:r>
        <w:rPr>
          <w:rFonts w:hint="eastAsia"/>
          <w:color w:val="auto"/>
          <w:highlight w:val="none"/>
        </w:rPr>
        <w:t>五、项目负责人及团队成员资料表</w:t>
      </w:r>
      <w:bookmarkEnd w:id="393"/>
      <w:bookmarkEnd w:id="394"/>
    </w:p>
    <w:p w14:paraId="1C4EA3EB">
      <w:pPr>
        <w:ind w:firstLine="420" w:firstLineChars="200"/>
        <w:rPr>
          <w:rFonts w:ascii="宋体" w:hAnsi="宋体"/>
          <w:color w:val="auto"/>
          <w:szCs w:val="21"/>
          <w:highlight w:val="none"/>
        </w:rPr>
      </w:pPr>
      <w:r>
        <w:rPr>
          <w:rFonts w:hint="eastAsia" w:ascii="宋体" w:hAnsi="宋体"/>
          <w:color w:val="auto"/>
          <w:szCs w:val="21"/>
          <w:highlight w:val="none"/>
        </w:rPr>
        <w:t>表格格式自行编辑。</w:t>
      </w:r>
    </w:p>
    <w:p w14:paraId="2BE03133">
      <w:pPr>
        <w:rPr>
          <w:rFonts w:ascii="宋体" w:hAnsi="宋体"/>
          <w:color w:val="auto"/>
          <w:szCs w:val="21"/>
          <w:highlight w:val="none"/>
        </w:rPr>
      </w:pPr>
      <w:r>
        <w:rPr>
          <w:rFonts w:hint="eastAsia" w:ascii="宋体" w:hAnsi="宋体"/>
          <w:color w:val="auto"/>
          <w:szCs w:val="21"/>
          <w:highlight w:val="none"/>
        </w:rPr>
        <w:t>注：</w:t>
      </w:r>
    </w:p>
    <w:p w14:paraId="14987C19">
      <w:pPr>
        <w:rPr>
          <w:rFonts w:ascii="宋体" w:hAnsi="宋体"/>
          <w:color w:val="auto"/>
          <w:szCs w:val="21"/>
          <w:highlight w:val="none"/>
        </w:rPr>
      </w:pPr>
      <w:r>
        <w:rPr>
          <w:rFonts w:hint="eastAsia" w:ascii="宋体" w:hAnsi="宋体"/>
          <w:color w:val="auto"/>
          <w:szCs w:val="21"/>
          <w:highlight w:val="none"/>
        </w:rPr>
        <w:t>1、证明资料须加盖公章。</w:t>
      </w:r>
    </w:p>
    <w:p w14:paraId="0D3EF358">
      <w:pPr>
        <w:rPr>
          <w:rFonts w:ascii="宋体" w:hAnsi="宋体"/>
          <w:color w:val="auto"/>
          <w:szCs w:val="21"/>
          <w:highlight w:val="none"/>
        </w:rPr>
      </w:pPr>
      <w:r>
        <w:rPr>
          <w:rFonts w:hint="eastAsia" w:ascii="宋体" w:hAnsi="宋体"/>
          <w:color w:val="auto"/>
          <w:szCs w:val="21"/>
          <w:highlight w:val="none"/>
        </w:rPr>
        <w:t>2、如本项目不涉及人员内容，则无需提供此表。</w:t>
      </w:r>
    </w:p>
    <w:p w14:paraId="44FBD790">
      <w:pPr>
        <w:ind w:firstLine="178" w:firstLineChars="85"/>
        <w:rPr>
          <w:rFonts w:ascii="宋体" w:hAnsi="宋体"/>
          <w:color w:val="auto"/>
          <w:szCs w:val="21"/>
          <w:highlight w:val="none"/>
        </w:rPr>
      </w:pPr>
    </w:p>
    <w:p w14:paraId="2A7EDBAE">
      <w:pPr>
        <w:pStyle w:val="7"/>
        <w:rPr>
          <w:color w:val="auto"/>
          <w:highlight w:val="none"/>
        </w:rPr>
      </w:pPr>
    </w:p>
    <w:p w14:paraId="0FC55FF3">
      <w:pPr>
        <w:rPr>
          <w:rFonts w:ascii="黑体" w:eastAsia="黑体"/>
          <w:color w:val="auto"/>
          <w:sz w:val="28"/>
          <w:szCs w:val="28"/>
          <w:highlight w:val="none"/>
        </w:rPr>
      </w:pPr>
      <w:r>
        <w:rPr>
          <w:rFonts w:hint="eastAsia" w:ascii="宋体" w:hAnsi="宋体"/>
          <w:color w:val="auto"/>
          <w:szCs w:val="21"/>
          <w:highlight w:val="none"/>
        </w:rPr>
        <w:br w:type="page"/>
      </w:r>
    </w:p>
    <w:p w14:paraId="7243BEEE">
      <w:pPr>
        <w:pStyle w:val="4"/>
        <w:jc w:val="center"/>
        <w:rPr>
          <w:color w:val="auto"/>
          <w:highlight w:val="none"/>
        </w:rPr>
      </w:pPr>
      <w:bookmarkStart w:id="395" w:name="_Toc27978"/>
      <w:bookmarkStart w:id="396" w:name="_Toc15431"/>
      <w:r>
        <w:rPr>
          <w:rFonts w:hint="eastAsia"/>
          <w:color w:val="auto"/>
          <w:highlight w:val="none"/>
        </w:rPr>
        <w:t>六、响应货物明细一览表</w:t>
      </w:r>
      <w:bookmarkEnd w:id="395"/>
      <w:bookmarkEnd w:id="396"/>
    </w:p>
    <w:tbl>
      <w:tblPr>
        <w:tblStyle w:val="23"/>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1B8E7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6777A8A0">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02090424">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67989D41">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2B7BCD5A">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5BABC2F5">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6200FD32">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3C0ECE07">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2CCA7D90">
            <w:pPr>
              <w:pStyle w:val="10"/>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备注</w:t>
            </w:r>
          </w:p>
        </w:tc>
      </w:tr>
      <w:tr w14:paraId="1195A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A56566B">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385B9890">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D2B3023">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0DA714EF">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8327924">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64B160F5">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4ED78D9E">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DF371D">
            <w:pPr>
              <w:pStyle w:val="10"/>
              <w:spacing w:line="300" w:lineRule="auto"/>
              <w:jc w:val="center"/>
              <w:rPr>
                <w:rFonts w:hAnsi="宋体" w:cs="宋体"/>
                <w:b w:val="0"/>
                <w:bCs/>
                <w:color w:val="auto"/>
                <w:szCs w:val="21"/>
                <w:highlight w:val="none"/>
              </w:rPr>
            </w:pPr>
          </w:p>
        </w:tc>
      </w:tr>
      <w:tr w14:paraId="28481E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CC557DF">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426C729D">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3EAFA17">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657FB265">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2BBBB642">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38AA39AF">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070B80AA">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9433927">
            <w:pPr>
              <w:pStyle w:val="10"/>
              <w:spacing w:line="300" w:lineRule="auto"/>
              <w:jc w:val="center"/>
              <w:rPr>
                <w:rFonts w:hAnsi="宋体" w:cs="宋体"/>
                <w:b w:val="0"/>
                <w:bCs/>
                <w:color w:val="auto"/>
                <w:szCs w:val="21"/>
                <w:highlight w:val="none"/>
              </w:rPr>
            </w:pPr>
          </w:p>
        </w:tc>
      </w:tr>
      <w:tr w14:paraId="042B5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1EB55ED">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93B6E82">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CB769FA">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00D65178">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291D26E1">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2E643FC1">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7B1905F3">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FC489B1">
            <w:pPr>
              <w:pStyle w:val="10"/>
              <w:spacing w:line="300" w:lineRule="auto"/>
              <w:jc w:val="center"/>
              <w:rPr>
                <w:rFonts w:hAnsi="宋体" w:cs="宋体"/>
                <w:b w:val="0"/>
                <w:bCs/>
                <w:color w:val="auto"/>
                <w:szCs w:val="21"/>
                <w:highlight w:val="none"/>
              </w:rPr>
            </w:pPr>
          </w:p>
        </w:tc>
      </w:tr>
      <w:tr w14:paraId="03E23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61CEAF3">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7F557963">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8FA2C58">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CF50BC8">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37943D1A">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58C4B1D6">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6FCF0EA8">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EC870B8">
            <w:pPr>
              <w:pStyle w:val="10"/>
              <w:spacing w:line="300" w:lineRule="auto"/>
              <w:jc w:val="center"/>
              <w:rPr>
                <w:rFonts w:hAnsi="宋体" w:cs="宋体"/>
                <w:b w:val="0"/>
                <w:bCs/>
                <w:color w:val="auto"/>
                <w:szCs w:val="21"/>
                <w:highlight w:val="none"/>
              </w:rPr>
            </w:pPr>
          </w:p>
        </w:tc>
      </w:tr>
      <w:tr w14:paraId="17956F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8EF7BE9">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38FA973">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0009825">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E16659D">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79B5817C">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57920FCF">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665B1E46">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2C28B4E">
            <w:pPr>
              <w:pStyle w:val="10"/>
              <w:spacing w:line="300" w:lineRule="auto"/>
              <w:jc w:val="center"/>
              <w:rPr>
                <w:rFonts w:hAnsi="宋体" w:cs="宋体"/>
                <w:b w:val="0"/>
                <w:bCs/>
                <w:color w:val="auto"/>
                <w:szCs w:val="21"/>
                <w:highlight w:val="none"/>
              </w:rPr>
            </w:pPr>
          </w:p>
        </w:tc>
      </w:tr>
      <w:tr w14:paraId="1B1D3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3B95810">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C4CF8B1">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F6D7352">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2505A4A">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7CFF5836">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13A36430">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12A0C67A">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8E5067F">
            <w:pPr>
              <w:pStyle w:val="10"/>
              <w:spacing w:line="300" w:lineRule="auto"/>
              <w:jc w:val="center"/>
              <w:rPr>
                <w:rFonts w:hAnsi="宋体" w:cs="宋体"/>
                <w:b w:val="0"/>
                <w:bCs/>
                <w:color w:val="auto"/>
                <w:szCs w:val="21"/>
                <w:highlight w:val="none"/>
              </w:rPr>
            </w:pPr>
          </w:p>
        </w:tc>
      </w:tr>
      <w:tr w14:paraId="5F8E4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E1E7BB8">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5412BFF">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DC14A54">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D03933C">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7EF8747">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51BA715C">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5593E653">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9982716">
            <w:pPr>
              <w:pStyle w:val="10"/>
              <w:spacing w:line="300" w:lineRule="auto"/>
              <w:jc w:val="center"/>
              <w:rPr>
                <w:rFonts w:hAnsi="宋体" w:cs="宋体"/>
                <w:b w:val="0"/>
                <w:bCs/>
                <w:color w:val="auto"/>
                <w:szCs w:val="21"/>
                <w:highlight w:val="none"/>
              </w:rPr>
            </w:pPr>
          </w:p>
        </w:tc>
      </w:tr>
      <w:tr w14:paraId="5DB3B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7504FB4">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62807F1F">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DC3AA28">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5DA00D6C">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7739763">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36FD4420">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24464DA5">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81311A1">
            <w:pPr>
              <w:pStyle w:val="10"/>
              <w:spacing w:line="300" w:lineRule="auto"/>
              <w:jc w:val="center"/>
              <w:rPr>
                <w:rFonts w:hAnsi="宋体" w:cs="宋体"/>
                <w:b w:val="0"/>
                <w:bCs/>
                <w:color w:val="auto"/>
                <w:szCs w:val="21"/>
                <w:highlight w:val="none"/>
              </w:rPr>
            </w:pPr>
          </w:p>
        </w:tc>
      </w:tr>
      <w:tr w14:paraId="1EB97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DE29E90">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CD53270">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EB47889">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681F07C6">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5CC0F78">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400034B4">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4B631032">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FC982B4">
            <w:pPr>
              <w:pStyle w:val="10"/>
              <w:spacing w:line="300" w:lineRule="auto"/>
              <w:jc w:val="center"/>
              <w:rPr>
                <w:rFonts w:hAnsi="宋体" w:cs="宋体"/>
                <w:b w:val="0"/>
                <w:bCs/>
                <w:color w:val="auto"/>
                <w:szCs w:val="21"/>
                <w:highlight w:val="none"/>
              </w:rPr>
            </w:pPr>
          </w:p>
        </w:tc>
      </w:tr>
      <w:tr w14:paraId="5E074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5644391">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956F99F">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8B4C1E3">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613FA1CB">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B77F854">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3310A3B7">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58EC8F71">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29E9B9B">
            <w:pPr>
              <w:pStyle w:val="10"/>
              <w:spacing w:line="300" w:lineRule="auto"/>
              <w:jc w:val="center"/>
              <w:rPr>
                <w:rFonts w:hAnsi="宋体" w:cs="宋体"/>
                <w:b w:val="0"/>
                <w:bCs/>
                <w:color w:val="auto"/>
                <w:szCs w:val="21"/>
                <w:highlight w:val="none"/>
              </w:rPr>
            </w:pPr>
          </w:p>
        </w:tc>
      </w:tr>
      <w:tr w14:paraId="2BDC5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0229CE05">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3B52650">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38C4631">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2849793">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81AF603">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60AA7930">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78AFB0EC">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6CCED8D2">
            <w:pPr>
              <w:pStyle w:val="10"/>
              <w:spacing w:line="300" w:lineRule="auto"/>
              <w:jc w:val="center"/>
              <w:rPr>
                <w:rFonts w:hAnsi="宋体" w:cs="宋体"/>
                <w:b w:val="0"/>
                <w:bCs/>
                <w:color w:val="auto"/>
                <w:szCs w:val="21"/>
                <w:highlight w:val="none"/>
              </w:rPr>
            </w:pPr>
          </w:p>
        </w:tc>
      </w:tr>
      <w:tr w14:paraId="352DC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68AB13E">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7BCFD4A9">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5A19227">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08916F20">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86AF9E7">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43D33C29">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716EE523">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62B676B6">
            <w:pPr>
              <w:pStyle w:val="10"/>
              <w:spacing w:line="300" w:lineRule="auto"/>
              <w:jc w:val="center"/>
              <w:rPr>
                <w:rFonts w:hAnsi="宋体" w:cs="宋体"/>
                <w:b w:val="0"/>
                <w:bCs/>
                <w:color w:val="auto"/>
                <w:szCs w:val="21"/>
                <w:highlight w:val="none"/>
              </w:rPr>
            </w:pPr>
          </w:p>
        </w:tc>
      </w:tr>
      <w:tr w14:paraId="705F5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7531552">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9BE499D">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09A8C886">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0B84A3A">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22307C43">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59538B5C">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01D2CE7A">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6D7234B6">
            <w:pPr>
              <w:pStyle w:val="10"/>
              <w:spacing w:line="300" w:lineRule="auto"/>
              <w:jc w:val="center"/>
              <w:rPr>
                <w:rFonts w:hAnsi="宋体" w:cs="宋体"/>
                <w:b w:val="0"/>
                <w:bCs/>
                <w:color w:val="auto"/>
                <w:szCs w:val="21"/>
                <w:highlight w:val="none"/>
              </w:rPr>
            </w:pPr>
          </w:p>
        </w:tc>
      </w:tr>
      <w:tr w14:paraId="730F1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7827B04">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ADA7CD3">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0FC255F4">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12C648B">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45EB3DEC">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7B1B9878">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0FECDB24">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3020D052">
            <w:pPr>
              <w:pStyle w:val="10"/>
              <w:spacing w:line="300" w:lineRule="auto"/>
              <w:jc w:val="center"/>
              <w:rPr>
                <w:rFonts w:hAnsi="宋体" w:cs="宋体"/>
                <w:b w:val="0"/>
                <w:bCs/>
                <w:color w:val="auto"/>
                <w:szCs w:val="21"/>
                <w:highlight w:val="none"/>
              </w:rPr>
            </w:pPr>
          </w:p>
        </w:tc>
      </w:tr>
      <w:tr w14:paraId="02AEE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4FCEF4C">
            <w:pPr>
              <w:pStyle w:val="10"/>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98B2894">
            <w:pPr>
              <w:pStyle w:val="10"/>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348BD52">
            <w:pPr>
              <w:pStyle w:val="10"/>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DDD0A1E">
            <w:pPr>
              <w:pStyle w:val="10"/>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DBC7D3E">
            <w:pPr>
              <w:pStyle w:val="10"/>
              <w:spacing w:line="300" w:lineRule="auto"/>
              <w:jc w:val="center"/>
              <w:rPr>
                <w:rFonts w:hAnsi="宋体" w:cs="宋体"/>
                <w:b w:val="0"/>
                <w:bCs/>
                <w:color w:val="auto"/>
                <w:szCs w:val="21"/>
                <w:highlight w:val="none"/>
              </w:rPr>
            </w:pPr>
          </w:p>
        </w:tc>
        <w:tc>
          <w:tcPr>
            <w:tcW w:w="738" w:type="dxa"/>
            <w:tcBorders>
              <w:tl2br w:val="nil"/>
              <w:tr2bl w:val="nil"/>
            </w:tcBorders>
          </w:tcPr>
          <w:p w14:paraId="3183BE40">
            <w:pPr>
              <w:pStyle w:val="10"/>
              <w:spacing w:line="300" w:lineRule="auto"/>
              <w:jc w:val="center"/>
              <w:rPr>
                <w:rFonts w:hAnsi="宋体" w:cs="宋体"/>
                <w:b w:val="0"/>
                <w:bCs/>
                <w:color w:val="auto"/>
                <w:szCs w:val="21"/>
                <w:highlight w:val="none"/>
              </w:rPr>
            </w:pPr>
          </w:p>
        </w:tc>
        <w:tc>
          <w:tcPr>
            <w:tcW w:w="1616" w:type="dxa"/>
            <w:tcBorders>
              <w:tl2br w:val="nil"/>
              <w:tr2bl w:val="nil"/>
            </w:tcBorders>
          </w:tcPr>
          <w:p w14:paraId="49BCC4FC">
            <w:pPr>
              <w:pStyle w:val="10"/>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59EE07F">
            <w:pPr>
              <w:pStyle w:val="10"/>
              <w:spacing w:line="300" w:lineRule="auto"/>
              <w:jc w:val="center"/>
              <w:rPr>
                <w:rFonts w:hAnsi="宋体" w:cs="宋体"/>
                <w:b w:val="0"/>
                <w:bCs/>
                <w:color w:val="auto"/>
                <w:szCs w:val="21"/>
                <w:highlight w:val="none"/>
              </w:rPr>
            </w:pPr>
          </w:p>
        </w:tc>
      </w:tr>
    </w:tbl>
    <w:p w14:paraId="65ECA353">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6DAB6141">
      <w:pPr>
        <w:rPr>
          <w:rFonts w:ascii="宋体" w:hAnsi="宋体" w:cs="Times New Roman"/>
          <w:color w:val="auto"/>
          <w:szCs w:val="21"/>
          <w:highlight w:val="none"/>
        </w:rPr>
      </w:pPr>
    </w:p>
    <w:p w14:paraId="28BE73C8">
      <w:pPr>
        <w:rPr>
          <w:rFonts w:ascii="宋体" w:hAnsi="宋体" w:cs="Times New Roman"/>
          <w:color w:val="auto"/>
          <w:szCs w:val="21"/>
          <w:highlight w:val="none"/>
        </w:rPr>
      </w:pPr>
    </w:p>
    <w:p w14:paraId="3442A63C">
      <w:pPr>
        <w:rPr>
          <w:rFonts w:ascii="宋体" w:hAnsi="宋体" w:cs="Times New Roman"/>
          <w:color w:val="auto"/>
          <w:szCs w:val="21"/>
          <w:highlight w:val="none"/>
        </w:rPr>
      </w:pPr>
      <w:r>
        <w:rPr>
          <w:rFonts w:hint="eastAsia" w:ascii="宋体" w:hAnsi="宋体" w:cs="Times New Roman"/>
          <w:color w:val="auto"/>
          <w:szCs w:val="21"/>
          <w:highlight w:val="none"/>
        </w:rPr>
        <w:t>供应商代表签字：</w:t>
      </w:r>
    </w:p>
    <w:p w14:paraId="75FCAAAB">
      <w:pPr>
        <w:rPr>
          <w:rFonts w:ascii="宋体" w:hAnsi="宋体"/>
          <w:color w:val="auto"/>
          <w:szCs w:val="21"/>
          <w:highlight w:val="none"/>
        </w:rPr>
      </w:pPr>
      <w:r>
        <w:rPr>
          <w:rFonts w:hint="eastAsia" w:ascii="宋体" w:hAnsi="宋体" w:cs="Times New Roman"/>
          <w:color w:val="auto"/>
          <w:szCs w:val="21"/>
          <w:highlight w:val="none"/>
        </w:rPr>
        <w:t>供应商盖章：</w:t>
      </w:r>
      <w:r>
        <w:rPr>
          <w:rFonts w:hint="eastAsia" w:ascii="宋体" w:hAnsi="宋体"/>
          <w:color w:val="auto"/>
          <w:szCs w:val="21"/>
          <w:highlight w:val="none"/>
        </w:rPr>
        <w:br w:type="page"/>
      </w:r>
    </w:p>
    <w:p w14:paraId="6D9922DA">
      <w:pPr>
        <w:pStyle w:val="4"/>
        <w:jc w:val="center"/>
        <w:rPr>
          <w:color w:val="auto"/>
          <w:highlight w:val="none"/>
        </w:rPr>
      </w:pPr>
      <w:bookmarkStart w:id="397" w:name="_Toc31841"/>
      <w:r>
        <w:rPr>
          <w:rFonts w:hint="eastAsia"/>
          <w:color w:val="auto"/>
          <w:highlight w:val="none"/>
        </w:rPr>
        <w:t>七、政府采购履约担保函</w:t>
      </w:r>
      <w:bookmarkEnd w:id="397"/>
    </w:p>
    <w:p w14:paraId="28281C8E">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2B6A3BCE">
      <w:pPr>
        <w:rPr>
          <w:rFonts w:ascii="宋体" w:hAnsi="宋体" w:cs="宋体"/>
          <w:color w:val="auto"/>
          <w:szCs w:val="21"/>
          <w:highlight w:val="none"/>
        </w:rPr>
      </w:pPr>
      <w:r>
        <w:rPr>
          <w:rFonts w:hint="eastAsia" w:ascii="宋体" w:hAnsi="宋体" w:cs="宋体"/>
          <w:color w:val="auto"/>
          <w:szCs w:val="21"/>
          <w:highlight w:val="none"/>
        </w:rPr>
        <w:t>（采购人）：</w:t>
      </w:r>
    </w:p>
    <w:p w14:paraId="24588964">
      <w:pPr>
        <w:ind w:firstLine="420" w:firstLineChars="200"/>
        <w:rPr>
          <w:rFonts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79502663">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59BA8BB8">
      <w:pPr>
        <w:ind w:firstLine="420" w:firstLineChars="200"/>
        <w:rPr>
          <w:rFonts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45AA2BE">
      <w:pPr>
        <w:ind w:firstLine="420" w:firstLineChars="200"/>
        <w:rPr>
          <w:rFonts w:ascii="宋体" w:hAnsi="宋体" w:cs="宋体"/>
          <w:color w:val="auto"/>
          <w:szCs w:val="21"/>
          <w:highlight w:val="none"/>
        </w:rPr>
      </w:pPr>
      <w:r>
        <w:rPr>
          <w:rFonts w:hint="eastAsia" w:ascii="宋体" w:hAnsi="宋体" w:cs="宋体"/>
          <w:color w:val="auto"/>
          <w:szCs w:val="21"/>
          <w:highlight w:val="none"/>
        </w:rPr>
        <w:t>1．将中标项目转让给他人，或者在响应文件中未说明，且未经采购招标机构人同意，将中标项目分包给他人的；</w:t>
      </w:r>
    </w:p>
    <w:p w14:paraId="2B65810E">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6F3D756F">
      <w:pPr>
        <w:ind w:firstLine="420" w:firstLineChars="200"/>
        <w:rPr>
          <w:rFonts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11A4042C">
      <w:pPr>
        <w:ind w:firstLine="420" w:firstLineChars="200"/>
        <w:rPr>
          <w:rFonts w:ascii="宋体" w:hAnsi="宋体" w:cs="宋体"/>
          <w:color w:val="auto"/>
          <w:szCs w:val="21"/>
          <w:highlight w:val="none"/>
        </w:rPr>
      </w:pPr>
      <w:r>
        <w:rPr>
          <w:rFonts w:hint="eastAsia" w:ascii="宋体" w:hAnsi="宋体" w:cs="宋体"/>
          <w:color w:val="auto"/>
          <w:szCs w:val="21"/>
          <w:highlight w:val="none"/>
        </w:rPr>
        <w:t>（2）。</w:t>
      </w:r>
    </w:p>
    <w:p w14:paraId="108A3436">
      <w:pPr>
        <w:ind w:firstLine="420" w:firstLineChars="200"/>
        <w:rPr>
          <w:rFonts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4C4CFF25">
      <w:pPr>
        <w:rPr>
          <w:rFonts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36FA8A9E">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二、保证的方式及保证期间</w:t>
      </w:r>
    </w:p>
    <w:p w14:paraId="56B3171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53B2D19E">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7D27BC5B">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1E190A1B">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三、承担保证责任的程序</w:t>
      </w:r>
    </w:p>
    <w:p w14:paraId="3BBFD584">
      <w:pPr>
        <w:ind w:firstLine="420" w:firstLineChars="200"/>
        <w:rPr>
          <w:rFonts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3B5991D9">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073C28A">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644B5F13">
      <w:pPr>
        <w:rPr>
          <w:rFonts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7D726EFD">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四、保证责任的终止</w:t>
      </w:r>
    </w:p>
    <w:p w14:paraId="63D500BD">
      <w:pPr>
        <w:ind w:firstLine="420" w:firstLineChars="200"/>
        <w:rPr>
          <w:rFonts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339B36A">
      <w:pPr>
        <w:ind w:firstLine="420" w:firstLineChars="200"/>
        <w:rPr>
          <w:rFonts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3EEA4903">
      <w:pPr>
        <w:ind w:firstLine="420" w:firstLineChars="200"/>
        <w:rPr>
          <w:rFonts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72F8D68E">
      <w:pPr>
        <w:ind w:firstLine="420" w:firstLineChars="200"/>
        <w:rPr>
          <w:rFonts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FCFD41E">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五、免责条款</w:t>
      </w:r>
    </w:p>
    <w:p w14:paraId="3AEB20BD">
      <w:pPr>
        <w:ind w:firstLine="420" w:firstLineChars="200"/>
        <w:rPr>
          <w:rFonts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205312BC">
      <w:pPr>
        <w:ind w:firstLine="420" w:firstLineChars="200"/>
        <w:rPr>
          <w:rFonts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7DCFC7D5">
      <w:pPr>
        <w:ind w:firstLine="420" w:firstLineChars="200"/>
        <w:rPr>
          <w:rFonts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218B1F60">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六、争议的解决</w:t>
      </w:r>
    </w:p>
    <w:p w14:paraId="32A98DCA">
      <w:pPr>
        <w:ind w:firstLine="420" w:firstLineChars="200"/>
        <w:rPr>
          <w:rFonts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7765A2A0">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七、保函的生效</w:t>
      </w:r>
    </w:p>
    <w:p w14:paraId="0BB984BF">
      <w:pPr>
        <w:ind w:firstLine="420" w:firstLineChars="200"/>
        <w:rPr>
          <w:rFonts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32A38099">
      <w:pPr>
        <w:rPr>
          <w:rFonts w:ascii="宋体" w:hAnsi="宋体" w:cs="宋体"/>
          <w:color w:val="auto"/>
          <w:szCs w:val="21"/>
          <w:highlight w:val="none"/>
        </w:rPr>
      </w:pPr>
    </w:p>
    <w:p w14:paraId="4D0C0A31">
      <w:pPr>
        <w:rPr>
          <w:rFonts w:ascii="宋体" w:hAnsi="宋体" w:cs="宋体"/>
          <w:color w:val="auto"/>
          <w:szCs w:val="21"/>
          <w:highlight w:val="none"/>
        </w:rPr>
      </w:pPr>
    </w:p>
    <w:p w14:paraId="721D26D7">
      <w:pPr>
        <w:jc w:val="right"/>
        <w:rPr>
          <w:rFonts w:ascii="宋体" w:hAnsi="宋体" w:cs="宋体"/>
          <w:color w:val="auto"/>
          <w:szCs w:val="21"/>
          <w:highlight w:val="none"/>
        </w:rPr>
      </w:pPr>
      <w:r>
        <w:rPr>
          <w:rFonts w:hint="eastAsia" w:ascii="宋体" w:hAnsi="宋体" w:cs="宋体"/>
          <w:color w:val="auto"/>
          <w:szCs w:val="21"/>
          <w:highlight w:val="none"/>
        </w:rPr>
        <w:t>保证人：（公章）</w:t>
      </w:r>
    </w:p>
    <w:p w14:paraId="731F3453">
      <w:pPr>
        <w:jc w:val="right"/>
        <w:rPr>
          <w:rFonts w:ascii="宋体" w:hAnsi="宋体" w:cs="宋体"/>
          <w:color w:val="auto"/>
          <w:szCs w:val="21"/>
          <w:highlight w:val="none"/>
        </w:rPr>
      </w:pPr>
      <w:r>
        <w:rPr>
          <w:rFonts w:hint="eastAsia" w:ascii="宋体" w:hAnsi="宋体" w:cs="宋体"/>
          <w:color w:val="auto"/>
          <w:szCs w:val="21"/>
          <w:highlight w:val="none"/>
        </w:rPr>
        <w:t>年     月      日</w:t>
      </w:r>
    </w:p>
    <w:p w14:paraId="1362D20B">
      <w:pPr>
        <w:rPr>
          <w:rFonts w:ascii="宋体" w:hAnsi="宋体"/>
          <w:color w:val="auto"/>
          <w:szCs w:val="21"/>
          <w:highlight w:val="none"/>
        </w:rPr>
      </w:pPr>
      <w:r>
        <w:rPr>
          <w:rFonts w:hint="eastAsia" w:ascii="宋体" w:hAnsi="宋体"/>
          <w:color w:val="auto"/>
          <w:szCs w:val="21"/>
          <w:highlight w:val="none"/>
        </w:rPr>
        <w:t>注：</w:t>
      </w:r>
    </w:p>
    <w:p w14:paraId="3F3735C0">
      <w:pPr>
        <w:ind w:firstLine="420" w:firstLineChars="200"/>
        <w:rPr>
          <w:rFonts w:ascii="宋体" w:hAnsi="宋体"/>
          <w:color w:val="auto"/>
          <w:szCs w:val="21"/>
          <w:highlight w:val="none"/>
        </w:rPr>
      </w:pPr>
      <w:r>
        <w:rPr>
          <w:rFonts w:hint="eastAsia" w:ascii="宋体" w:hAnsi="宋体"/>
          <w:color w:val="auto"/>
          <w:szCs w:val="21"/>
          <w:highlight w:val="none"/>
        </w:rPr>
        <w:t>（1）此格式为履约担保函格式，无需在响应文件中提供此格式。</w:t>
      </w:r>
    </w:p>
    <w:p w14:paraId="3C8CCD0D">
      <w:pPr>
        <w:pStyle w:val="7"/>
        <w:rPr>
          <w:color w:val="auto"/>
          <w:highlight w:val="none"/>
        </w:rPr>
      </w:pPr>
    </w:p>
    <w:p w14:paraId="2DE0B48D">
      <w:pPr>
        <w:rPr>
          <w:color w:val="auto"/>
          <w:highlight w:val="none"/>
        </w:rPr>
      </w:pPr>
      <w:r>
        <w:rPr>
          <w:color w:val="auto"/>
          <w:highlight w:val="none"/>
        </w:rPr>
        <w:br w:type="page"/>
      </w:r>
    </w:p>
    <w:p w14:paraId="34C9CFDF">
      <w:pPr>
        <w:pStyle w:val="4"/>
        <w:jc w:val="center"/>
        <w:rPr>
          <w:color w:val="auto"/>
          <w:highlight w:val="none"/>
        </w:rPr>
      </w:pPr>
      <w:bookmarkStart w:id="398" w:name="_Toc26782"/>
      <w:bookmarkStart w:id="399" w:name="_Toc17348"/>
      <w:r>
        <w:rPr>
          <w:rFonts w:hint="eastAsia"/>
          <w:color w:val="auto"/>
          <w:highlight w:val="none"/>
        </w:rPr>
        <w:t>第四章报价信封（单独封装）</w:t>
      </w:r>
      <w:bookmarkEnd w:id="398"/>
      <w:bookmarkEnd w:id="399"/>
    </w:p>
    <w:p w14:paraId="020A8577">
      <w:pPr>
        <w:ind w:firstLine="420" w:firstLineChars="200"/>
        <w:rPr>
          <w:color w:val="auto"/>
          <w:highlight w:val="none"/>
        </w:rPr>
      </w:pPr>
      <w:r>
        <w:rPr>
          <w:rFonts w:hint="eastAsia"/>
          <w:color w:val="auto"/>
          <w:highlight w:val="none"/>
        </w:rPr>
        <w:t>（1）开标一览表；</w:t>
      </w:r>
    </w:p>
    <w:p w14:paraId="7F350C51">
      <w:pPr>
        <w:ind w:firstLine="420" w:firstLineChars="200"/>
        <w:rPr>
          <w:color w:val="auto"/>
          <w:highlight w:val="none"/>
        </w:rPr>
      </w:pPr>
      <w:r>
        <w:rPr>
          <w:rFonts w:hint="eastAsia"/>
          <w:color w:val="auto"/>
          <w:highlight w:val="none"/>
        </w:rPr>
        <w:t>（2）法人代表授权书及被授权代表身份证（复印件加盖公章）；</w:t>
      </w:r>
    </w:p>
    <w:p w14:paraId="18B6600C">
      <w:pPr>
        <w:rPr>
          <w:color w:val="auto"/>
          <w:highlight w:val="none"/>
        </w:rPr>
      </w:pPr>
    </w:p>
    <w:p w14:paraId="3B7DB8FD">
      <w:pPr>
        <w:rPr>
          <w:color w:val="auto"/>
          <w:highlight w:val="none"/>
        </w:rPr>
      </w:pPr>
    </w:p>
    <w:p w14:paraId="1E144A6C">
      <w:pPr>
        <w:rPr>
          <w:color w:val="auto"/>
          <w:highlight w:val="none"/>
        </w:rPr>
      </w:pPr>
    </w:p>
    <w:p w14:paraId="0CEC39FD">
      <w:pPr>
        <w:rPr>
          <w:color w:val="auto"/>
          <w:highlight w:val="none"/>
        </w:rPr>
      </w:pPr>
    </w:p>
    <w:p w14:paraId="2BA233FF">
      <w:pPr>
        <w:rPr>
          <w:color w:val="auto"/>
          <w:highlight w:val="none"/>
        </w:rPr>
      </w:pPr>
    </w:p>
    <w:p w14:paraId="25CCC605">
      <w:pPr>
        <w:rPr>
          <w:color w:val="auto"/>
          <w:highlight w:val="none"/>
        </w:rPr>
      </w:pPr>
    </w:p>
    <w:p w14:paraId="43D68C7E">
      <w:pPr>
        <w:rPr>
          <w:color w:val="auto"/>
          <w:highlight w:val="none"/>
        </w:rPr>
      </w:pPr>
    </w:p>
    <w:p w14:paraId="0DEC945E">
      <w:pPr>
        <w:rPr>
          <w:color w:val="auto"/>
          <w:highlight w:val="none"/>
        </w:rPr>
      </w:pPr>
    </w:p>
    <w:p w14:paraId="7B031767">
      <w:pPr>
        <w:rPr>
          <w:color w:val="auto"/>
          <w:highlight w:val="none"/>
        </w:rPr>
      </w:pPr>
    </w:p>
    <w:p w14:paraId="2237020D">
      <w:pPr>
        <w:rPr>
          <w:color w:val="auto"/>
          <w:highlight w:val="none"/>
        </w:rPr>
      </w:pPr>
    </w:p>
    <w:p w14:paraId="399EE238">
      <w:pPr>
        <w:rPr>
          <w:color w:val="auto"/>
          <w:highlight w:val="none"/>
        </w:rPr>
      </w:pPr>
    </w:p>
    <w:p w14:paraId="310B15AA">
      <w:pPr>
        <w:rPr>
          <w:color w:val="auto"/>
          <w:highlight w:val="none"/>
        </w:rPr>
      </w:pPr>
    </w:p>
    <w:p w14:paraId="4B4CB274">
      <w:pPr>
        <w:rPr>
          <w:color w:val="auto"/>
          <w:highlight w:val="none"/>
        </w:rPr>
      </w:pPr>
      <w:bookmarkStart w:id="400" w:name="_Toc11182"/>
    </w:p>
    <w:p w14:paraId="00AA1BA9">
      <w:pPr>
        <w:rPr>
          <w:color w:val="auto"/>
          <w:highlight w:val="none"/>
        </w:rPr>
      </w:pPr>
    </w:p>
    <w:p w14:paraId="2FA36EA0">
      <w:pPr>
        <w:rPr>
          <w:color w:val="auto"/>
          <w:highlight w:val="none"/>
        </w:rPr>
      </w:pPr>
    </w:p>
    <w:p w14:paraId="774739D7">
      <w:pPr>
        <w:rPr>
          <w:color w:val="auto"/>
          <w:highlight w:val="none"/>
        </w:rPr>
      </w:pPr>
    </w:p>
    <w:p w14:paraId="4DA252C2">
      <w:pPr>
        <w:rPr>
          <w:color w:val="auto"/>
          <w:highlight w:val="none"/>
        </w:rPr>
      </w:pPr>
    </w:p>
    <w:p w14:paraId="0959110B">
      <w:pPr>
        <w:rPr>
          <w:color w:val="auto"/>
          <w:highlight w:val="none"/>
        </w:rPr>
      </w:pPr>
    </w:p>
    <w:p w14:paraId="6F3A3184">
      <w:pPr>
        <w:rPr>
          <w:color w:val="auto"/>
          <w:highlight w:val="none"/>
        </w:rPr>
      </w:pPr>
    </w:p>
    <w:p w14:paraId="185DBB0B">
      <w:pPr>
        <w:pStyle w:val="7"/>
        <w:rPr>
          <w:color w:val="auto"/>
          <w:highlight w:val="none"/>
        </w:rPr>
      </w:pPr>
    </w:p>
    <w:p w14:paraId="4A7EA078">
      <w:pPr>
        <w:rPr>
          <w:color w:val="auto"/>
          <w:highlight w:val="none"/>
        </w:rPr>
      </w:pPr>
    </w:p>
    <w:p w14:paraId="7BD4C7E7">
      <w:pPr>
        <w:pStyle w:val="7"/>
        <w:rPr>
          <w:color w:val="auto"/>
          <w:highlight w:val="none"/>
        </w:rPr>
      </w:pPr>
    </w:p>
    <w:p w14:paraId="7D36EB5E">
      <w:pPr>
        <w:rPr>
          <w:color w:val="auto"/>
          <w:highlight w:val="none"/>
        </w:rPr>
      </w:pPr>
    </w:p>
    <w:p w14:paraId="740135B3">
      <w:pPr>
        <w:pStyle w:val="7"/>
        <w:rPr>
          <w:color w:val="auto"/>
          <w:highlight w:val="none"/>
        </w:rPr>
      </w:pPr>
    </w:p>
    <w:p w14:paraId="7DD66818">
      <w:pPr>
        <w:rPr>
          <w:color w:val="auto"/>
          <w:highlight w:val="none"/>
        </w:rPr>
      </w:pPr>
    </w:p>
    <w:p w14:paraId="15636275">
      <w:pPr>
        <w:pStyle w:val="7"/>
        <w:rPr>
          <w:color w:val="auto"/>
          <w:highlight w:val="none"/>
        </w:rPr>
      </w:pPr>
    </w:p>
    <w:p w14:paraId="6E832A6B">
      <w:pPr>
        <w:rPr>
          <w:color w:val="auto"/>
          <w:highlight w:val="none"/>
        </w:rPr>
      </w:pPr>
    </w:p>
    <w:p w14:paraId="0A9C3612">
      <w:pPr>
        <w:pStyle w:val="7"/>
        <w:rPr>
          <w:color w:val="auto"/>
          <w:highlight w:val="none"/>
        </w:rPr>
      </w:pPr>
    </w:p>
    <w:p w14:paraId="2EFF55FE">
      <w:pPr>
        <w:rPr>
          <w:color w:val="auto"/>
          <w:highlight w:val="none"/>
        </w:rPr>
      </w:pPr>
    </w:p>
    <w:p w14:paraId="6743A78B">
      <w:pPr>
        <w:pStyle w:val="4"/>
        <w:jc w:val="center"/>
        <w:rPr>
          <w:color w:val="auto"/>
          <w:highlight w:val="none"/>
        </w:rPr>
      </w:pPr>
      <w:bookmarkStart w:id="401" w:name="_Toc22736"/>
      <w:bookmarkStart w:id="402" w:name="_Toc13881"/>
      <w:r>
        <w:rPr>
          <w:rFonts w:hint="eastAsia"/>
          <w:color w:val="auto"/>
          <w:highlight w:val="none"/>
        </w:rPr>
        <w:t>第五章联合体共同报价协议书（如有需要）</w:t>
      </w:r>
      <w:bookmarkEnd w:id="401"/>
      <w:bookmarkEnd w:id="402"/>
    </w:p>
    <w:p w14:paraId="4E6DF50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致：（采购人）</w:t>
      </w:r>
    </w:p>
    <w:p w14:paraId="32163222">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以一个报价供应商的身份共同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的报价响应。经协商一致，就本</w:t>
      </w:r>
      <w:r>
        <w:rPr>
          <w:rFonts w:hint="eastAsia" w:ascii="宋体" w:hAnsi="宋体" w:cs="宋体"/>
          <w:color w:val="auto"/>
          <w:kern w:val="10"/>
          <w:szCs w:val="21"/>
          <w:highlight w:val="none"/>
        </w:rPr>
        <w:t>项目的报价响应和合同实施阶段的有关事务</w:t>
      </w:r>
      <w:r>
        <w:rPr>
          <w:rFonts w:hint="eastAsia" w:ascii="宋体" w:hAnsi="宋体" w:cs="宋体"/>
          <w:color w:val="auto"/>
          <w:szCs w:val="21"/>
          <w:highlight w:val="none"/>
        </w:rPr>
        <w:t>订立协议如下：</w:t>
      </w:r>
    </w:p>
    <w:p w14:paraId="0851AFB4">
      <w:pPr>
        <w:ind w:firstLine="420" w:firstLineChars="200"/>
        <w:rPr>
          <w:rFonts w:ascii="宋体" w:hAnsi="宋体" w:cs="宋体"/>
          <w:color w:val="auto"/>
          <w:szCs w:val="21"/>
          <w:highlight w:val="none"/>
        </w:rPr>
      </w:pPr>
      <w:r>
        <w:rPr>
          <w:rFonts w:hint="eastAsia" w:ascii="宋体" w:hAnsi="宋体" w:cs="宋体"/>
          <w:color w:val="auto"/>
          <w:szCs w:val="21"/>
          <w:highlight w:val="none"/>
        </w:rPr>
        <w:t>一、联合体各方关系</w:t>
      </w:r>
    </w:p>
    <w:p w14:paraId="5C45479B">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20F3D405">
      <w:pPr>
        <w:ind w:firstLine="420" w:firstLineChars="200"/>
        <w:rPr>
          <w:rFonts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6B5BED84">
      <w:pPr>
        <w:ind w:firstLine="420" w:firstLineChars="200"/>
        <w:rPr>
          <w:rFonts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7427302C">
      <w:pPr>
        <w:ind w:firstLine="420" w:firstLineChars="200"/>
        <w:rPr>
          <w:rFonts w:ascii="宋体" w:hAnsi="宋体" w:cs="宋体"/>
          <w:color w:val="auto"/>
          <w:szCs w:val="21"/>
          <w:highlight w:val="none"/>
        </w:rPr>
      </w:pPr>
      <w:r>
        <w:rPr>
          <w:rFonts w:hint="eastAsia" w:ascii="宋体" w:hAnsi="宋体" w:cs="宋体"/>
          <w:color w:val="auto"/>
          <w:szCs w:val="21"/>
          <w:highlight w:val="none"/>
        </w:rPr>
        <w:t>2.联合体报价工作由联合体共同负责，由联合体各方组成的响应小组具体实施。</w:t>
      </w:r>
    </w:p>
    <w:p w14:paraId="01805C4F">
      <w:pPr>
        <w:ind w:firstLine="420" w:firstLineChars="200"/>
        <w:rPr>
          <w:rFonts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5218C4D5">
      <w:pPr>
        <w:ind w:firstLine="420" w:firstLineChars="200"/>
        <w:rPr>
          <w:rFonts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78494813">
      <w:pPr>
        <w:ind w:firstLine="420" w:firstLineChars="200"/>
        <w:rPr>
          <w:rFonts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3711AFDF">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41A7E90C">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07DE0D1D">
      <w:pPr>
        <w:ind w:firstLine="420" w:firstLineChars="200"/>
        <w:rPr>
          <w:rFonts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7A66FA85">
      <w:pPr>
        <w:ind w:firstLine="420" w:firstLineChars="200"/>
        <w:rPr>
          <w:rFonts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6D3F4A91">
      <w:pPr>
        <w:ind w:firstLine="420" w:firstLineChars="200"/>
        <w:rPr>
          <w:rFonts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276C1BAB">
      <w:pPr>
        <w:ind w:firstLine="420" w:firstLineChars="200"/>
        <w:rPr>
          <w:rFonts w:ascii="宋体" w:hAnsi="宋体" w:cs="宋体"/>
          <w:color w:val="auto"/>
          <w:szCs w:val="21"/>
          <w:highlight w:val="none"/>
        </w:rPr>
      </w:pPr>
      <w:r>
        <w:rPr>
          <w:rFonts w:hint="eastAsia" w:ascii="宋体" w:hAnsi="宋体" w:cs="宋体"/>
          <w:color w:val="auto"/>
          <w:szCs w:val="21"/>
          <w:highlight w:val="none"/>
        </w:rPr>
        <w:t>五、本协议在自签署之日起生效，响应有效期内有效。如获中标、成交资格，本协议有效期延续至采购合同履行完毕之日。</w:t>
      </w:r>
    </w:p>
    <w:p w14:paraId="2AF3B8FD">
      <w:pPr>
        <w:ind w:firstLine="420" w:firstLineChars="200"/>
        <w:rPr>
          <w:rFonts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11FD1FD5">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4F42A12C">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w:t>
      </w:r>
      <w:r>
        <w:rPr>
          <w:rFonts w:hint="eastAsia" w:ascii="宋体" w:hAnsi="宋体" w:cs="宋体"/>
          <w:color w:val="auto"/>
          <w:szCs w:val="21"/>
          <w:highlight w:val="none"/>
        </w:rPr>
        <w:tab/>
      </w:r>
      <w:r>
        <w:rPr>
          <w:rFonts w:hint="eastAsia" w:ascii="宋体" w:hAnsi="宋体" w:cs="宋体"/>
          <w:color w:val="auto"/>
          <w:szCs w:val="21"/>
          <w:highlight w:val="none"/>
        </w:rPr>
        <w:t xml:space="preserve"> </w:t>
      </w:r>
    </w:p>
    <w:p w14:paraId="52B4CF78">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400"/>
    <w:p w14:paraId="54AE77B1">
      <w:pPr>
        <w:jc w:val="both"/>
        <w:rPr>
          <w:rFonts w:ascii="宋体" w:hAnsi="宋体" w:cs="宋体"/>
          <w:color w:val="auto"/>
          <w:szCs w:val="21"/>
          <w:highlight w:val="none"/>
        </w:rPr>
      </w:pPr>
    </w:p>
    <w:p w14:paraId="30A5FC0E">
      <w:pPr>
        <w:rPr>
          <w:rFonts w:ascii="宋体" w:hAnsi="宋体" w:cs="宋体"/>
          <w:color w:val="auto"/>
          <w:szCs w:val="21"/>
          <w:highlight w:val="none"/>
        </w:rPr>
      </w:pPr>
      <w:r>
        <w:rPr>
          <w:rFonts w:hint="eastAsia" w:ascii="宋体" w:hAnsi="宋体" w:cs="宋体"/>
          <w:color w:val="auto"/>
          <w:szCs w:val="21"/>
          <w:highlight w:val="none"/>
        </w:rPr>
        <w:t>质疑函格式（如有需要）</w:t>
      </w:r>
    </w:p>
    <w:p w14:paraId="49806CAE">
      <w:pPr>
        <w:jc w:val="center"/>
        <w:rPr>
          <w:rFonts w:ascii="宋体" w:hAnsi="宋体" w:cs="宋体"/>
          <w:b/>
          <w:color w:val="auto"/>
          <w:sz w:val="24"/>
          <w:szCs w:val="24"/>
          <w:highlight w:val="none"/>
        </w:rPr>
      </w:pPr>
      <w:r>
        <w:rPr>
          <w:rFonts w:hint="eastAsia" w:ascii="宋体" w:hAnsi="宋体" w:cs="宋体"/>
          <w:b/>
          <w:color w:val="auto"/>
          <w:sz w:val="24"/>
          <w:szCs w:val="24"/>
          <w:highlight w:val="none"/>
        </w:rPr>
        <w:t>质疑函</w:t>
      </w:r>
    </w:p>
    <w:p w14:paraId="548D71BD">
      <w:pPr>
        <w:rPr>
          <w:rFonts w:ascii="宋体" w:hAnsi="宋体" w:cs="宋体"/>
          <w:color w:val="auto"/>
          <w:szCs w:val="21"/>
          <w:highlight w:val="none"/>
        </w:rPr>
      </w:pPr>
    </w:p>
    <w:p w14:paraId="004D0340">
      <w:pPr>
        <w:rPr>
          <w:rFonts w:ascii="宋体" w:hAnsi="宋体" w:cs="宋体"/>
          <w:color w:val="auto"/>
          <w:szCs w:val="21"/>
          <w:highlight w:val="none"/>
        </w:rPr>
      </w:pPr>
      <w:r>
        <w:rPr>
          <w:rFonts w:hint="eastAsia" w:ascii="宋体" w:hAnsi="宋体" w:cs="宋体"/>
          <w:color w:val="auto"/>
          <w:szCs w:val="21"/>
          <w:highlight w:val="none"/>
        </w:rPr>
        <w:t>致广东政通招标有限公司：</w:t>
      </w:r>
    </w:p>
    <w:p w14:paraId="2A3ED7BD">
      <w:pPr>
        <w:rPr>
          <w:rFonts w:ascii="宋体" w:hAnsi="宋体" w:cs="宋体"/>
          <w:bCs/>
          <w:color w:val="auto"/>
          <w:szCs w:val="21"/>
          <w:highlight w:val="none"/>
        </w:rPr>
      </w:pPr>
      <w:r>
        <w:rPr>
          <w:rFonts w:hint="eastAsia" w:ascii="宋体" w:hAnsi="宋体" w:cs="宋体"/>
          <w:bCs/>
          <w:color w:val="auto"/>
          <w:szCs w:val="21"/>
          <w:highlight w:val="none"/>
        </w:rPr>
        <w:t>一、质疑供应商基本信息</w:t>
      </w:r>
    </w:p>
    <w:p w14:paraId="0A3A3C6A">
      <w:pPr>
        <w:rPr>
          <w:rFonts w:ascii="宋体" w:hAnsi="宋体" w:cs="宋体"/>
          <w:color w:val="auto"/>
          <w:szCs w:val="21"/>
          <w:highlight w:val="none"/>
          <w:u w:val="dotted"/>
        </w:rPr>
      </w:pPr>
      <w:r>
        <w:rPr>
          <w:rFonts w:hint="eastAsia" w:ascii="宋体" w:hAnsi="宋体" w:cs="宋体"/>
          <w:color w:val="auto"/>
          <w:szCs w:val="21"/>
          <w:highlight w:val="none"/>
        </w:rPr>
        <w:t>质疑供应商：</w:t>
      </w:r>
      <w:r>
        <w:rPr>
          <w:rFonts w:hint="eastAsia" w:ascii="宋体" w:hAnsi="宋体" w:cs="宋体"/>
          <w:color w:val="auto"/>
          <w:szCs w:val="21"/>
          <w:highlight w:val="none"/>
          <w:u w:val="dotted"/>
        </w:rPr>
        <w:t xml:space="preserve">                                        </w:t>
      </w:r>
    </w:p>
    <w:p w14:paraId="40D8D38F">
      <w:pPr>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11AE1BA2">
      <w:pPr>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p>
    <w:p w14:paraId="51F9AFD9">
      <w:pPr>
        <w:rPr>
          <w:rFonts w:ascii="宋体" w:hAnsi="宋体" w:cs="宋体"/>
          <w:color w:val="auto"/>
          <w:szCs w:val="21"/>
          <w:highlight w:val="none"/>
          <w:u w:val="dotted"/>
        </w:rPr>
      </w:pPr>
      <w:r>
        <w:rPr>
          <w:rFonts w:hint="eastAsia" w:ascii="宋体" w:hAnsi="宋体" w:cs="宋体"/>
          <w:color w:val="auto"/>
          <w:szCs w:val="21"/>
          <w:highlight w:val="none"/>
        </w:rPr>
        <w:t>授权代表：</w:t>
      </w:r>
      <w:r>
        <w:rPr>
          <w:rFonts w:hint="eastAsia" w:ascii="宋体" w:hAnsi="宋体" w:cs="宋体"/>
          <w:color w:val="auto"/>
          <w:szCs w:val="21"/>
          <w:highlight w:val="none"/>
          <w:u w:val="dotted"/>
        </w:rPr>
        <w:t xml:space="preserve">                                          </w:t>
      </w:r>
    </w:p>
    <w:p w14:paraId="162824A7">
      <w:pPr>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 xml:space="preserve"> </w:t>
      </w:r>
    </w:p>
    <w:p w14:paraId="6302DE35">
      <w:pPr>
        <w:rPr>
          <w:rFonts w:ascii="宋体" w:hAnsi="宋体" w:cs="宋体"/>
          <w:color w:val="auto"/>
          <w:szCs w:val="21"/>
          <w:highlight w:val="none"/>
        </w:rPr>
      </w:pPr>
      <w:r>
        <w:rPr>
          <w:rFonts w:hint="eastAsia" w:ascii="宋体" w:hAnsi="宋体" w:cs="宋体"/>
          <w:color w:val="auto"/>
          <w:szCs w:val="21"/>
          <w:highlight w:val="none"/>
        </w:rPr>
        <w:t xml:space="preserve">地址： </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0E6C584C">
      <w:pPr>
        <w:rPr>
          <w:rFonts w:ascii="宋体" w:hAnsi="宋体" w:cs="宋体"/>
          <w:bCs/>
          <w:color w:val="auto"/>
          <w:szCs w:val="21"/>
          <w:highlight w:val="none"/>
        </w:rPr>
      </w:pPr>
      <w:r>
        <w:rPr>
          <w:rFonts w:hint="eastAsia" w:ascii="宋体" w:hAnsi="宋体" w:cs="宋体"/>
          <w:bCs/>
          <w:color w:val="auto"/>
          <w:szCs w:val="21"/>
          <w:highlight w:val="none"/>
        </w:rPr>
        <w:t>二、质疑项目基本情况</w:t>
      </w:r>
    </w:p>
    <w:p w14:paraId="53BB87FE">
      <w:pPr>
        <w:rPr>
          <w:rFonts w:ascii="宋体" w:hAnsi="宋体" w:cs="宋体"/>
          <w:color w:val="auto"/>
          <w:szCs w:val="21"/>
          <w:highlight w:val="none"/>
          <w:u w:val="dotted"/>
        </w:rPr>
      </w:pPr>
      <w:r>
        <w:rPr>
          <w:rFonts w:hint="eastAsia" w:ascii="宋体" w:hAnsi="宋体" w:cs="宋体"/>
          <w:color w:val="auto"/>
          <w:szCs w:val="21"/>
          <w:highlight w:val="none"/>
        </w:rPr>
        <w:t>质疑项目的名称：</w:t>
      </w:r>
      <w:r>
        <w:rPr>
          <w:rFonts w:hint="eastAsia" w:ascii="宋体" w:hAnsi="宋体" w:cs="宋体"/>
          <w:color w:val="auto"/>
          <w:szCs w:val="21"/>
          <w:highlight w:val="none"/>
          <w:u w:val="dotted"/>
        </w:rPr>
        <w:t xml:space="preserve">                                      </w:t>
      </w:r>
    </w:p>
    <w:p w14:paraId="33D07418">
      <w:pPr>
        <w:rPr>
          <w:rFonts w:ascii="宋体" w:hAnsi="宋体" w:cs="宋体"/>
          <w:color w:val="auto"/>
          <w:szCs w:val="21"/>
          <w:highlight w:val="none"/>
        </w:rPr>
      </w:pPr>
      <w:r>
        <w:rPr>
          <w:rFonts w:hint="eastAsia" w:ascii="宋体" w:hAnsi="宋体" w:cs="宋体"/>
          <w:color w:val="auto"/>
          <w:szCs w:val="21"/>
          <w:highlight w:val="none"/>
        </w:rPr>
        <w:t>质疑项目的编号：</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包号：</w:t>
      </w:r>
      <w:r>
        <w:rPr>
          <w:rFonts w:hint="eastAsia" w:ascii="宋体" w:hAnsi="宋体" w:cs="宋体"/>
          <w:color w:val="auto"/>
          <w:szCs w:val="21"/>
          <w:highlight w:val="none"/>
          <w:u w:val="dotted"/>
        </w:rPr>
        <w:t xml:space="preserve">                 </w:t>
      </w:r>
    </w:p>
    <w:p w14:paraId="22B70437">
      <w:pPr>
        <w:rPr>
          <w:rFonts w:ascii="宋体" w:hAnsi="宋体" w:cs="宋体"/>
          <w:color w:val="auto"/>
          <w:szCs w:val="21"/>
          <w:highlight w:val="none"/>
          <w:u w:val="dotted"/>
        </w:rPr>
      </w:pPr>
      <w:r>
        <w:rPr>
          <w:rFonts w:hint="eastAsia" w:ascii="宋体" w:hAnsi="宋体" w:cs="宋体"/>
          <w:color w:val="auto"/>
          <w:szCs w:val="21"/>
          <w:highlight w:val="none"/>
        </w:rPr>
        <w:t>采购人名称：</w:t>
      </w:r>
      <w:r>
        <w:rPr>
          <w:rFonts w:hint="eastAsia" w:ascii="宋体" w:hAnsi="宋体" w:cs="宋体"/>
          <w:color w:val="auto"/>
          <w:szCs w:val="21"/>
          <w:highlight w:val="none"/>
          <w:u w:val="dotted"/>
        </w:rPr>
        <w:t xml:space="preserve">                                         </w:t>
      </w:r>
    </w:p>
    <w:p w14:paraId="29048175">
      <w:pPr>
        <w:rPr>
          <w:rFonts w:ascii="宋体" w:hAnsi="宋体" w:cs="宋体"/>
          <w:color w:val="auto"/>
          <w:szCs w:val="21"/>
          <w:highlight w:val="none"/>
        </w:rPr>
      </w:pPr>
      <w:r>
        <w:rPr>
          <w:rFonts w:hint="eastAsia" w:ascii="宋体" w:hAnsi="宋体" w:cs="宋体"/>
          <w:color w:val="auto"/>
          <w:szCs w:val="21"/>
          <w:highlight w:val="none"/>
        </w:rPr>
        <w:t>采购文件获取日期：</w:t>
      </w:r>
      <w:r>
        <w:rPr>
          <w:rFonts w:hint="eastAsia" w:ascii="宋体" w:hAnsi="宋体" w:cs="宋体"/>
          <w:color w:val="auto"/>
          <w:szCs w:val="21"/>
          <w:highlight w:val="none"/>
          <w:u w:val="dotted"/>
        </w:rPr>
        <w:t xml:space="preserve">                                           </w:t>
      </w:r>
    </w:p>
    <w:p w14:paraId="27043D61">
      <w:pPr>
        <w:rPr>
          <w:rFonts w:ascii="宋体" w:hAnsi="宋体" w:cs="宋体"/>
          <w:bCs/>
          <w:color w:val="auto"/>
          <w:szCs w:val="21"/>
          <w:highlight w:val="none"/>
        </w:rPr>
      </w:pPr>
      <w:r>
        <w:rPr>
          <w:rFonts w:hint="eastAsia" w:ascii="宋体" w:hAnsi="宋体" w:cs="宋体"/>
          <w:bCs/>
          <w:color w:val="auto"/>
          <w:szCs w:val="21"/>
          <w:highlight w:val="none"/>
        </w:rPr>
        <w:t>三、质疑事项具体内容</w:t>
      </w:r>
    </w:p>
    <w:p w14:paraId="553EFDF6">
      <w:pPr>
        <w:rPr>
          <w:rFonts w:ascii="宋体" w:hAnsi="宋体" w:cs="宋体"/>
          <w:color w:val="auto"/>
          <w:szCs w:val="21"/>
          <w:highlight w:val="none"/>
          <w:u w:val="dotted"/>
        </w:rPr>
      </w:pPr>
      <w:r>
        <w:rPr>
          <w:rFonts w:hint="eastAsia" w:ascii="宋体" w:hAnsi="宋体" w:cs="宋体"/>
          <w:color w:val="auto"/>
          <w:szCs w:val="21"/>
          <w:highlight w:val="none"/>
        </w:rPr>
        <w:t>质疑事项1：</w:t>
      </w:r>
      <w:r>
        <w:rPr>
          <w:rFonts w:hint="eastAsia" w:ascii="宋体" w:hAnsi="宋体" w:cs="宋体"/>
          <w:color w:val="auto"/>
          <w:szCs w:val="21"/>
          <w:highlight w:val="none"/>
          <w:u w:val="dotted"/>
        </w:rPr>
        <w:t xml:space="preserve">                                         </w:t>
      </w:r>
    </w:p>
    <w:p w14:paraId="0C956B6C">
      <w:pPr>
        <w:rPr>
          <w:rFonts w:ascii="宋体" w:hAnsi="宋体" w:cs="宋体"/>
          <w:color w:val="auto"/>
          <w:szCs w:val="21"/>
          <w:highlight w:val="none"/>
          <w:u w:val="dotted"/>
        </w:rPr>
      </w:pPr>
      <w:r>
        <w:rPr>
          <w:rFonts w:hint="eastAsia" w:ascii="宋体" w:hAnsi="宋体" w:cs="宋体"/>
          <w:color w:val="auto"/>
          <w:szCs w:val="21"/>
          <w:highlight w:val="none"/>
        </w:rPr>
        <w:t>事实依据：</w:t>
      </w:r>
      <w:r>
        <w:rPr>
          <w:rFonts w:hint="eastAsia" w:ascii="宋体" w:hAnsi="宋体" w:cs="宋体"/>
          <w:color w:val="auto"/>
          <w:szCs w:val="21"/>
          <w:highlight w:val="none"/>
          <w:u w:val="dotted"/>
        </w:rPr>
        <w:t xml:space="preserve">                                          </w:t>
      </w:r>
    </w:p>
    <w:p w14:paraId="7255BF77">
      <w:pPr>
        <w:rPr>
          <w:rFonts w:ascii="宋体" w:hAnsi="宋体" w:cs="宋体"/>
          <w:color w:val="auto"/>
          <w:szCs w:val="21"/>
          <w:highlight w:val="none"/>
        </w:rPr>
      </w:pPr>
      <w:r>
        <w:rPr>
          <w:rFonts w:hint="eastAsia" w:ascii="宋体" w:hAnsi="宋体" w:cs="宋体"/>
          <w:color w:val="auto"/>
          <w:szCs w:val="21"/>
          <w:highlight w:val="none"/>
          <w:u w:val="dotted"/>
        </w:rPr>
        <w:t xml:space="preserve">                                                       </w:t>
      </w:r>
    </w:p>
    <w:p w14:paraId="583A6DBF">
      <w:pPr>
        <w:rPr>
          <w:rFonts w:ascii="宋体" w:hAnsi="宋体" w:cs="宋体"/>
          <w:color w:val="auto"/>
          <w:szCs w:val="21"/>
          <w:highlight w:val="none"/>
          <w:u w:val="dotted"/>
        </w:rPr>
      </w:pPr>
      <w:r>
        <w:rPr>
          <w:rFonts w:hint="eastAsia" w:ascii="宋体" w:hAnsi="宋体" w:cs="宋体"/>
          <w:color w:val="auto"/>
          <w:szCs w:val="21"/>
          <w:highlight w:val="none"/>
        </w:rPr>
        <w:t>法律依据：</w:t>
      </w:r>
      <w:r>
        <w:rPr>
          <w:rFonts w:hint="eastAsia" w:ascii="宋体" w:hAnsi="宋体" w:cs="宋体"/>
          <w:color w:val="auto"/>
          <w:szCs w:val="21"/>
          <w:highlight w:val="none"/>
          <w:u w:val="dotted"/>
        </w:rPr>
        <w:t xml:space="preserve">                                          </w:t>
      </w:r>
    </w:p>
    <w:p w14:paraId="385EDEED">
      <w:pPr>
        <w:rPr>
          <w:rFonts w:ascii="宋体" w:hAnsi="宋体" w:cs="宋体"/>
          <w:color w:val="auto"/>
          <w:szCs w:val="21"/>
          <w:highlight w:val="none"/>
          <w:u w:val="dotted"/>
        </w:rPr>
      </w:pPr>
      <w:r>
        <w:rPr>
          <w:rFonts w:hint="eastAsia" w:ascii="宋体" w:hAnsi="宋体" w:cs="宋体"/>
          <w:color w:val="auto"/>
          <w:szCs w:val="21"/>
          <w:highlight w:val="none"/>
          <w:u w:val="dotted"/>
        </w:rPr>
        <w:t xml:space="preserve">                                                     </w:t>
      </w:r>
    </w:p>
    <w:p w14:paraId="64BE90DF">
      <w:pPr>
        <w:rPr>
          <w:rFonts w:ascii="宋体" w:hAnsi="宋体" w:cs="宋体"/>
          <w:color w:val="auto"/>
          <w:szCs w:val="21"/>
          <w:highlight w:val="none"/>
          <w:u w:val="dotted"/>
        </w:rPr>
      </w:pPr>
      <w:r>
        <w:rPr>
          <w:rFonts w:hint="eastAsia" w:ascii="宋体" w:hAnsi="宋体" w:cs="宋体"/>
          <w:color w:val="auto"/>
          <w:szCs w:val="21"/>
          <w:highlight w:val="none"/>
        </w:rPr>
        <w:t>质疑事项2</w:t>
      </w:r>
    </w:p>
    <w:p w14:paraId="642CEDF5">
      <w:pPr>
        <w:rPr>
          <w:rFonts w:ascii="宋体" w:hAnsi="宋体" w:cs="宋体"/>
          <w:color w:val="auto"/>
          <w:szCs w:val="21"/>
          <w:highlight w:val="none"/>
        </w:rPr>
      </w:pPr>
      <w:r>
        <w:rPr>
          <w:rFonts w:hint="eastAsia" w:ascii="宋体" w:hAnsi="宋体" w:cs="宋体"/>
          <w:color w:val="auto"/>
          <w:szCs w:val="21"/>
          <w:highlight w:val="none"/>
        </w:rPr>
        <w:t>……</w:t>
      </w:r>
    </w:p>
    <w:p w14:paraId="71400B05">
      <w:pPr>
        <w:rPr>
          <w:rFonts w:ascii="宋体" w:hAnsi="宋体" w:cs="宋体"/>
          <w:bCs/>
          <w:color w:val="auto"/>
          <w:szCs w:val="21"/>
          <w:highlight w:val="none"/>
        </w:rPr>
      </w:pPr>
      <w:r>
        <w:rPr>
          <w:rFonts w:hint="eastAsia" w:ascii="宋体" w:hAnsi="宋体" w:cs="宋体"/>
          <w:bCs/>
          <w:color w:val="auto"/>
          <w:szCs w:val="21"/>
          <w:highlight w:val="none"/>
        </w:rPr>
        <w:t>四、与质疑事项相关的质疑请求</w:t>
      </w:r>
    </w:p>
    <w:p w14:paraId="164B6FA0">
      <w:pPr>
        <w:rPr>
          <w:rFonts w:ascii="宋体" w:hAnsi="宋体" w:cs="宋体"/>
          <w:color w:val="auto"/>
          <w:szCs w:val="21"/>
          <w:highlight w:val="none"/>
          <w:u w:val="dotted"/>
        </w:rPr>
      </w:pPr>
      <w:r>
        <w:rPr>
          <w:rFonts w:hint="eastAsia" w:ascii="宋体" w:hAnsi="宋体" w:cs="宋体"/>
          <w:color w:val="auto"/>
          <w:szCs w:val="21"/>
          <w:highlight w:val="none"/>
        </w:rPr>
        <w:t>请求：</w:t>
      </w:r>
      <w:r>
        <w:rPr>
          <w:rFonts w:hint="eastAsia" w:ascii="宋体" w:hAnsi="宋体" w:cs="宋体"/>
          <w:color w:val="auto"/>
          <w:szCs w:val="21"/>
          <w:highlight w:val="none"/>
          <w:u w:val="dotted"/>
        </w:rPr>
        <w:t xml:space="preserve">                                               </w:t>
      </w:r>
    </w:p>
    <w:p w14:paraId="646D79C6">
      <w:pPr>
        <w:rPr>
          <w:rFonts w:ascii="宋体" w:hAnsi="宋体" w:cs="宋体"/>
          <w:color w:val="auto"/>
          <w:szCs w:val="21"/>
          <w:highlight w:val="none"/>
        </w:rPr>
      </w:pPr>
    </w:p>
    <w:p w14:paraId="0C681920">
      <w:pPr>
        <w:rPr>
          <w:rFonts w:ascii="宋体" w:hAnsi="宋体" w:cs="宋体"/>
          <w:color w:val="auto"/>
          <w:szCs w:val="21"/>
          <w:highlight w:val="none"/>
        </w:rPr>
      </w:pPr>
      <w:r>
        <w:rPr>
          <w:rFonts w:hint="eastAsia" w:ascii="宋体" w:hAnsi="宋体" w:cs="宋体"/>
          <w:color w:val="auto"/>
          <w:szCs w:val="21"/>
          <w:highlight w:val="none"/>
        </w:rPr>
        <w:t xml:space="preserve">签字(签章)：                   公章：                      </w:t>
      </w:r>
    </w:p>
    <w:p w14:paraId="20DCE8E2">
      <w:pPr>
        <w:rPr>
          <w:rFonts w:ascii="宋体" w:hAnsi="宋体" w:cs="宋体"/>
          <w:color w:val="auto"/>
          <w:szCs w:val="21"/>
          <w:highlight w:val="none"/>
        </w:rPr>
      </w:pPr>
      <w:r>
        <w:rPr>
          <w:rFonts w:hint="eastAsia" w:ascii="宋体" w:hAnsi="宋体" w:cs="宋体"/>
          <w:color w:val="auto"/>
          <w:szCs w:val="21"/>
          <w:highlight w:val="none"/>
        </w:rPr>
        <w:t>日期：</w:t>
      </w:r>
    </w:p>
    <w:p w14:paraId="415D2C5F">
      <w:pPr>
        <w:rPr>
          <w:rFonts w:ascii="宋体" w:hAnsi="宋体" w:cs="宋体"/>
          <w:color w:val="auto"/>
          <w:szCs w:val="21"/>
          <w:highlight w:val="none"/>
        </w:rPr>
      </w:pPr>
      <w:r>
        <w:rPr>
          <w:rFonts w:hint="eastAsia" w:ascii="宋体" w:hAnsi="宋体" w:cs="宋体"/>
          <w:color w:val="auto"/>
          <w:szCs w:val="21"/>
          <w:highlight w:val="none"/>
        </w:rPr>
        <w:t xml:space="preserve">   </w:t>
      </w:r>
    </w:p>
    <w:p w14:paraId="0E7FBB93">
      <w:pPr>
        <w:pStyle w:val="7"/>
        <w:rPr>
          <w:color w:val="auto"/>
          <w:sz w:val="21"/>
          <w:szCs w:val="21"/>
          <w:highlight w:val="none"/>
        </w:rPr>
      </w:pPr>
    </w:p>
    <w:p w14:paraId="33889B62">
      <w:pPr>
        <w:rPr>
          <w:rFonts w:ascii="宋体" w:hAnsi="宋体" w:cs="宋体"/>
          <w:color w:val="auto"/>
          <w:szCs w:val="21"/>
          <w:highlight w:val="none"/>
        </w:rPr>
      </w:pPr>
    </w:p>
    <w:p w14:paraId="24C71A40">
      <w:pPr>
        <w:pStyle w:val="7"/>
        <w:rPr>
          <w:color w:val="auto"/>
          <w:highlight w:val="none"/>
        </w:rPr>
      </w:pPr>
    </w:p>
    <w:p w14:paraId="797B4C6E">
      <w:pPr>
        <w:rPr>
          <w:rFonts w:ascii="宋体" w:hAnsi="宋体" w:cs="宋体"/>
          <w:color w:val="auto"/>
          <w:szCs w:val="21"/>
          <w:highlight w:val="none"/>
        </w:rPr>
      </w:pPr>
      <w:r>
        <w:rPr>
          <w:rFonts w:hint="eastAsia" w:ascii="宋体" w:hAnsi="宋体" w:cs="宋体"/>
          <w:color w:val="auto"/>
          <w:szCs w:val="21"/>
          <w:highlight w:val="none"/>
        </w:rPr>
        <w:t>质疑函制作说明：</w:t>
      </w:r>
    </w:p>
    <w:p w14:paraId="50FA8BCD">
      <w:pPr>
        <w:rPr>
          <w:rFonts w:ascii="宋体" w:hAnsi="宋体" w:cs="宋体"/>
          <w:color w:val="auto"/>
          <w:szCs w:val="21"/>
          <w:highlight w:val="none"/>
        </w:rPr>
      </w:pPr>
      <w:r>
        <w:rPr>
          <w:rFonts w:hint="eastAsia" w:ascii="宋体" w:hAnsi="宋体" w:cs="宋体"/>
          <w:color w:val="auto"/>
          <w:szCs w:val="21"/>
          <w:highlight w:val="none"/>
        </w:rPr>
        <w:t>1.供应商提出质疑时，应提交质疑函和必要的证明材料。</w:t>
      </w:r>
    </w:p>
    <w:p w14:paraId="29B0BF9E">
      <w:pPr>
        <w:rPr>
          <w:rFonts w:ascii="宋体" w:hAnsi="宋体" w:cs="宋体"/>
          <w:color w:val="auto"/>
          <w:szCs w:val="21"/>
          <w:highlight w:val="none"/>
        </w:rPr>
      </w:pPr>
      <w:r>
        <w:rPr>
          <w:rFonts w:hint="eastAsia" w:ascii="宋体" w:hAnsi="宋体" w:cs="宋体"/>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1FD4AAC">
      <w:pPr>
        <w:rPr>
          <w:rFonts w:ascii="宋体" w:hAnsi="宋体" w:cs="宋体"/>
          <w:color w:val="auto"/>
          <w:szCs w:val="21"/>
          <w:highlight w:val="none"/>
        </w:rPr>
      </w:pPr>
      <w:r>
        <w:rPr>
          <w:rFonts w:hint="eastAsia" w:ascii="宋体" w:hAnsi="宋体" w:cs="宋体"/>
          <w:color w:val="auto"/>
          <w:szCs w:val="21"/>
          <w:highlight w:val="none"/>
        </w:rPr>
        <w:t>3.质疑供应商若对项目的某一分包进行质疑，质疑函中应列明具体分包号。</w:t>
      </w:r>
    </w:p>
    <w:p w14:paraId="1BF3D2C9">
      <w:pPr>
        <w:rPr>
          <w:rFonts w:ascii="宋体" w:hAnsi="宋体" w:cs="宋体"/>
          <w:color w:val="auto"/>
          <w:szCs w:val="21"/>
          <w:highlight w:val="none"/>
        </w:rPr>
      </w:pPr>
      <w:r>
        <w:rPr>
          <w:rFonts w:hint="eastAsia" w:ascii="宋体" w:hAnsi="宋体" w:cs="宋体"/>
          <w:color w:val="auto"/>
          <w:szCs w:val="21"/>
          <w:highlight w:val="none"/>
        </w:rPr>
        <w:t>4.质疑函的质疑事项应具体、明确，并有必要的事实依据和法律依据。</w:t>
      </w:r>
    </w:p>
    <w:p w14:paraId="3EC81DBA">
      <w:pPr>
        <w:rPr>
          <w:rFonts w:ascii="宋体" w:hAnsi="宋体" w:cs="宋体"/>
          <w:color w:val="auto"/>
          <w:szCs w:val="21"/>
          <w:highlight w:val="none"/>
        </w:rPr>
      </w:pPr>
      <w:r>
        <w:rPr>
          <w:rFonts w:hint="eastAsia" w:ascii="宋体" w:hAnsi="宋体" w:cs="宋体"/>
          <w:color w:val="auto"/>
          <w:szCs w:val="21"/>
          <w:highlight w:val="none"/>
        </w:rPr>
        <w:t>5.质疑函的质疑请求应与质疑事项相关。</w:t>
      </w:r>
    </w:p>
    <w:p w14:paraId="075891DA">
      <w:pPr>
        <w:rPr>
          <w:rFonts w:ascii="宋体" w:hAnsi="宋体" w:cs="宋体"/>
          <w:color w:val="auto"/>
          <w:szCs w:val="21"/>
          <w:highlight w:val="none"/>
        </w:rPr>
      </w:pPr>
      <w:r>
        <w:rPr>
          <w:rFonts w:hint="eastAsia" w:ascii="宋体" w:hAnsi="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3C68D943">
      <w:pPr>
        <w:pStyle w:val="7"/>
        <w:rPr>
          <w:color w:val="auto"/>
          <w:highlight w:val="none"/>
        </w:rPr>
      </w:pPr>
    </w:p>
    <w:p w14:paraId="04617224">
      <w:pPr>
        <w:rPr>
          <w:color w:val="auto"/>
          <w:highlight w:val="none"/>
        </w:rPr>
      </w:pPr>
    </w:p>
    <w:p w14:paraId="2B92D673">
      <w:pPr>
        <w:pStyle w:val="7"/>
        <w:rPr>
          <w:color w:val="auto"/>
          <w:highlight w:val="none"/>
        </w:rPr>
      </w:pPr>
    </w:p>
    <w:p w14:paraId="0507ADC8">
      <w:pPr>
        <w:pStyle w:val="8"/>
        <w:ind w:firstLine="240"/>
        <w:rPr>
          <w:color w:val="auto"/>
          <w:highlight w:val="none"/>
        </w:rPr>
      </w:pPr>
    </w:p>
    <w:p w14:paraId="1DDF6C52">
      <w:pPr>
        <w:pStyle w:val="8"/>
        <w:ind w:firstLine="240"/>
        <w:rPr>
          <w:color w:val="auto"/>
          <w:highlight w:val="none"/>
        </w:rPr>
      </w:pPr>
    </w:p>
    <w:p w14:paraId="2E5D553B">
      <w:pPr>
        <w:pStyle w:val="8"/>
        <w:ind w:firstLine="240"/>
        <w:rPr>
          <w:color w:val="auto"/>
          <w:highlight w:val="none"/>
        </w:rPr>
      </w:pPr>
    </w:p>
    <w:p w14:paraId="70210081">
      <w:pPr>
        <w:pStyle w:val="8"/>
        <w:ind w:firstLine="240"/>
        <w:rPr>
          <w:color w:val="auto"/>
          <w:highlight w:val="none"/>
        </w:rPr>
      </w:pPr>
    </w:p>
    <w:p w14:paraId="5E4F9B55">
      <w:pPr>
        <w:pStyle w:val="8"/>
        <w:ind w:firstLine="240"/>
        <w:rPr>
          <w:color w:val="auto"/>
          <w:highlight w:val="none"/>
        </w:rPr>
      </w:pPr>
    </w:p>
    <w:p w14:paraId="63087B80">
      <w:pPr>
        <w:pStyle w:val="8"/>
        <w:ind w:firstLine="240"/>
        <w:rPr>
          <w:color w:val="auto"/>
          <w:highlight w:val="none"/>
        </w:rPr>
      </w:pPr>
    </w:p>
    <w:p w14:paraId="41F0BB79">
      <w:pPr>
        <w:pStyle w:val="8"/>
        <w:ind w:firstLine="240"/>
        <w:rPr>
          <w:color w:val="auto"/>
          <w:highlight w:val="none"/>
        </w:rPr>
      </w:pPr>
    </w:p>
    <w:p w14:paraId="2AA60428">
      <w:pPr>
        <w:pStyle w:val="8"/>
        <w:ind w:firstLine="240"/>
        <w:rPr>
          <w:color w:val="auto"/>
          <w:highlight w:val="none"/>
        </w:rPr>
      </w:pPr>
    </w:p>
    <w:p w14:paraId="33B8EBA3">
      <w:pPr>
        <w:pStyle w:val="8"/>
        <w:ind w:firstLine="240"/>
        <w:rPr>
          <w:color w:val="auto"/>
          <w:highlight w:val="none"/>
        </w:rPr>
      </w:pPr>
    </w:p>
    <w:p w14:paraId="0FAB03F2">
      <w:pPr>
        <w:pStyle w:val="8"/>
        <w:ind w:firstLine="240"/>
        <w:rPr>
          <w:color w:val="auto"/>
          <w:highlight w:val="none"/>
        </w:rPr>
      </w:pPr>
    </w:p>
    <w:p w14:paraId="18C56678">
      <w:pPr>
        <w:pStyle w:val="8"/>
        <w:ind w:firstLine="240"/>
        <w:rPr>
          <w:color w:val="auto"/>
          <w:highlight w:val="none"/>
        </w:rPr>
      </w:pPr>
    </w:p>
    <w:p w14:paraId="338CFEDF">
      <w:pPr>
        <w:pStyle w:val="8"/>
        <w:ind w:firstLine="240"/>
        <w:rPr>
          <w:color w:val="auto"/>
          <w:highlight w:val="none"/>
        </w:rPr>
      </w:pPr>
    </w:p>
    <w:p w14:paraId="5C87CE2B">
      <w:pPr>
        <w:pStyle w:val="8"/>
        <w:ind w:firstLine="240"/>
        <w:rPr>
          <w:color w:val="auto"/>
          <w:highlight w:val="none"/>
        </w:rPr>
      </w:pPr>
    </w:p>
    <w:p w14:paraId="1CA7810D">
      <w:pPr>
        <w:pStyle w:val="8"/>
        <w:ind w:firstLine="240"/>
        <w:rPr>
          <w:color w:val="auto"/>
          <w:highlight w:val="none"/>
        </w:rPr>
      </w:pPr>
    </w:p>
    <w:p w14:paraId="0E2C8DB5">
      <w:pPr>
        <w:jc w:val="both"/>
        <w:rPr>
          <w:rFonts w:ascii="黑体" w:hAnsi="黑体" w:eastAsia="黑体" w:cs="黑体"/>
          <w:color w:val="auto"/>
          <w:sz w:val="36"/>
          <w:szCs w:val="36"/>
          <w:highlight w:val="none"/>
        </w:rPr>
      </w:pPr>
    </w:p>
    <w:p w14:paraId="451A763D">
      <w:pPr>
        <w:jc w:val="center"/>
        <w:rPr>
          <w:rFonts w:ascii="黑体" w:hAnsi="黑体" w:eastAsia="黑体" w:cs="黑体"/>
          <w:color w:val="auto"/>
          <w:sz w:val="52"/>
          <w:szCs w:val="52"/>
          <w:highlight w:val="none"/>
        </w:rPr>
      </w:pPr>
      <w:r>
        <w:rPr>
          <w:rFonts w:hint="eastAsia" w:ascii="黑体" w:hAnsi="黑体" w:eastAsia="黑体" w:cs="黑体"/>
          <w:color w:val="auto"/>
          <w:sz w:val="52"/>
          <w:szCs w:val="52"/>
          <w:highlight w:val="none"/>
        </w:rPr>
        <w:t>获取磋商文件登记表</w:t>
      </w:r>
    </w:p>
    <w:tbl>
      <w:tblPr>
        <w:tblStyle w:val="23"/>
        <w:tblW w:w="4998" w:type="pct"/>
        <w:tblInd w:w="0" w:type="dxa"/>
        <w:tblLayout w:type="fixed"/>
        <w:tblCellMar>
          <w:top w:w="0" w:type="dxa"/>
          <w:left w:w="108" w:type="dxa"/>
          <w:bottom w:w="0" w:type="dxa"/>
          <w:right w:w="108" w:type="dxa"/>
        </w:tblCellMar>
      </w:tblPr>
      <w:tblGrid>
        <w:gridCol w:w="2768"/>
        <w:gridCol w:w="2355"/>
        <w:gridCol w:w="1440"/>
        <w:gridCol w:w="1956"/>
      </w:tblGrid>
      <w:tr w14:paraId="60157A76">
        <w:tblPrEx>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CCD5">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BB22">
            <w:pPr>
              <w:jc w:val="center"/>
              <w:rPr>
                <w:rFonts w:ascii="宋体" w:hAnsi="宋体" w:cs="宋体"/>
                <w:color w:val="auto"/>
                <w:sz w:val="28"/>
                <w:szCs w:val="28"/>
                <w:highlight w:val="none"/>
              </w:rPr>
            </w:pPr>
          </w:p>
        </w:tc>
      </w:tr>
      <w:tr w14:paraId="3664B370">
        <w:tblPrEx>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A38C">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项目编号</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0A6C">
            <w:pPr>
              <w:jc w:val="center"/>
              <w:rPr>
                <w:rFonts w:ascii="宋体" w:hAnsi="宋体" w:cs="宋体"/>
                <w:color w:val="auto"/>
                <w:sz w:val="28"/>
                <w:szCs w:val="28"/>
                <w:highlight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DCA4">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项目包号</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5A90">
            <w:pPr>
              <w:jc w:val="center"/>
              <w:rPr>
                <w:rFonts w:ascii="宋体" w:hAnsi="宋体" w:cs="宋体"/>
                <w:color w:val="auto"/>
                <w:sz w:val="28"/>
                <w:szCs w:val="28"/>
                <w:highlight w:val="none"/>
              </w:rPr>
            </w:pPr>
          </w:p>
        </w:tc>
      </w:tr>
      <w:tr w14:paraId="31F771FE">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4E8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053D">
            <w:pPr>
              <w:jc w:val="center"/>
              <w:rPr>
                <w:rFonts w:ascii="宋体" w:hAnsi="宋体" w:cs="宋体"/>
                <w:color w:val="auto"/>
                <w:sz w:val="28"/>
                <w:szCs w:val="28"/>
                <w:highlight w:val="none"/>
              </w:rPr>
            </w:pPr>
          </w:p>
        </w:tc>
      </w:tr>
      <w:tr w14:paraId="70CA40F0">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2C0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C531">
            <w:pPr>
              <w:jc w:val="center"/>
              <w:rPr>
                <w:rFonts w:ascii="宋体" w:hAnsi="宋体" w:cs="宋体"/>
                <w:color w:val="auto"/>
                <w:sz w:val="28"/>
                <w:szCs w:val="28"/>
                <w:highlight w:val="none"/>
              </w:rPr>
            </w:pPr>
          </w:p>
        </w:tc>
      </w:tr>
      <w:tr w14:paraId="54134D0C">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BA9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电话</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AAA1">
            <w:pPr>
              <w:jc w:val="center"/>
              <w:rPr>
                <w:rFonts w:ascii="宋体" w:hAnsi="宋体" w:cs="宋体"/>
                <w:color w:val="auto"/>
                <w:sz w:val="28"/>
                <w:szCs w:val="28"/>
                <w:highlight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D99E">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手机</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36BC">
            <w:pPr>
              <w:jc w:val="center"/>
              <w:rPr>
                <w:rFonts w:ascii="宋体" w:hAnsi="宋体" w:cs="宋体"/>
                <w:color w:val="auto"/>
                <w:sz w:val="28"/>
                <w:szCs w:val="28"/>
                <w:highlight w:val="none"/>
              </w:rPr>
            </w:pPr>
          </w:p>
        </w:tc>
      </w:tr>
      <w:tr w14:paraId="3CC369BF">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B2F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电子邮箱</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0E05">
            <w:pPr>
              <w:jc w:val="center"/>
              <w:rPr>
                <w:rFonts w:ascii="宋体" w:hAnsi="宋体" w:cs="宋体"/>
                <w:color w:val="auto"/>
                <w:sz w:val="28"/>
                <w:szCs w:val="28"/>
                <w:highlight w:val="none"/>
              </w:rPr>
            </w:pPr>
          </w:p>
        </w:tc>
      </w:tr>
      <w:tr w14:paraId="466A2DCB">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2A81">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获取磋商文件时间</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7C2B">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年    月    日    时    分</w:t>
            </w:r>
          </w:p>
        </w:tc>
      </w:tr>
      <w:tr w14:paraId="7C060B65">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0DC7">
            <w:pPr>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承诺:</w:t>
            </w:r>
          </w:p>
          <w:p w14:paraId="3439D432">
            <w:pPr>
              <w:numPr>
                <w:ilvl w:val="0"/>
                <w:numId w:val="23"/>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本公司对磋商文件的内容已经了解，并自愿购买该磋商文件。</w:t>
            </w:r>
          </w:p>
          <w:p w14:paraId="7860125E">
            <w:pPr>
              <w:numPr>
                <w:ilvl w:val="0"/>
                <w:numId w:val="23"/>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本公司对提供的所有资料的真实性、有效性承担责任。</w:t>
            </w:r>
          </w:p>
          <w:p w14:paraId="349AA83F">
            <w:pPr>
              <w:numPr>
                <w:ilvl w:val="0"/>
                <w:numId w:val="23"/>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磋商文件售后不退。</w:t>
            </w:r>
          </w:p>
          <w:p w14:paraId="0EDFE60F">
            <w:pPr>
              <w:ind w:firstLine="3738" w:firstLineChars="1335"/>
              <w:jc w:val="both"/>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磋商文件领取人签名: </w:t>
            </w:r>
            <w:r>
              <w:rPr>
                <w:rFonts w:hint="eastAsia" w:ascii="宋体" w:hAnsi="宋体" w:cs="宋体"/>
                <w:color w:val="auto"/>
                <w:sz w:val="28"/>
                <w:szCs w:val="28"/>
                <w:highlight w:val="none"/>
                <w:u w:val="single"/>
                <w:lang w:bidi="ar"/>
              </w:rPr>
              <w:t xml:space="preserve">     </w:t>
            </w:r>
            <w:r>
              <w:rPr>
                <w:rFonts w:hint="eastAsia" w:ascii="宋体" w:hAnsi="宋体" w:cs="宋体"/>
                <w:color w:val="auto"/>
                <w:sz w:val="28"/>
                <w:szCs w:val="28"/>
                <w:highlight w:val="none"/>
                <w:vertAlign w:val="subscript"/>
                <w:lang w:bidi="ar"/>
              </w:rPr>
              <w:t xml:space="preserve"> </w:t>
            </w:r>
            <w:r>
              <w:rPr>
                <w:rFonts w:hint="eastAsia" w:ascii="宋体" w:hAnsi="宋体" w:cs="宋体"/>
                <w:color w:val="auto"/>
                <w:sz w:val="28"/>
                <w:szCs w:val="28"/>
                <w:highlight w:val="none"/>
                <w:lang w:bidi="ar"/>
              </w:rPr>
              <w:t xml:space="preserve">              </w:t>
            </w:r>
            <w:r>
              <w:rPr>
                <w:rFonts w:hint="eastAsia" w:ascii="宋体" w:hAnsi="宋体" w:cs="宋体"/>
                <w:color w:val="auto"/>
                <w:sz w:val="28"/>
                <w:szCs w:val="28"/>
                <w:highlight w:val="none"/>
                <w:u w:val="single"/>
                <w:lang w:bidi="ar"/>
              </w:rPr>
              <w:t xml:space="preserve">                </w:t>
            </w:r>
          </w:p>
        </w:tc>
      </w:tr>
      <w:tr w14:paraId="4ECC6C46">
        <w:tblPrEx>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A165">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磋商文件售价</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204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人民币</w:t>
            </w:r>
            <w:r>
              <w:rPr>
                <w:rFonts w:hint="eastAsia" w:ascii="宋体" w:hAnsi="宋体" w:cs="宋体"/>
                <w:color w:val="auto"/>
                <w:sz w:val="28"/>
                <w:szCs w:val="28"/>
                <w:highlight w:val="none"/>
                <w:lang w:val="en-US" w:eastAsia="zh-CN" w:bidi="ar"/>
              </w:rPr>
              <w:t>3</w:t>
            </w:r>
            <w:r>
              <w:rPr>
                <w:rFonts w:hint="eastAsia" w:ascii="宋体" w:hAnsi="宋体" w:cs="宋体"/>
                <w:color w:val="auto"/>
                <w:sz w:val="28"/>
                <w:szCs w:val="28"/>
                <w:highlight w:val="none"/>
                <w:lang w:bidi="ar"/>
              </w:rPr>
              <w:t>00元/份</w:t>
            </w:r>
          </w:p>
        </w:tc>
      </w:tr>
    </w:tbl>
    <w:p w14:paraId="31017013">
      <w:pPr>
        <w:pStyle w:val="8"/>
        <w:ind w:left="0" w:firstLine="0" w:firstLineChars="0"/>
        <w:rPr>
          <w:color w:val="auto"/>
          <w:highlight w:val="none"/>
        </w:rPr>
      </w:pPr>
    </w:p>
    <w:sectPr>
      <w:footerReference r:id="rId12" w:type="first"/>
      <w:footerReference r:id="rId11"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0086F">
    <w:pPr>
      <w:pStyle w:val="13"/>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C16E9">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51C16E9">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17FB2">
    <w:pPr>
      <w:pStyle w:val="13"/>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14723">
                          <w:pPr>
                            <w:pStyle w:val="1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8514723">
                    <w:pPr>
                      <w:pStyle w:val="13"/>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42DEF">
    <w:pPr>
      <w:pStyle w:val="1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2BABA">
                          <w:pPr>
                            <w:pStyle w:val="1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B2BABA">
                    <w:pPr>
                      <w:pStyle w:val="13"/>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A46CCA6">
                          <w:pPr>
                            <w:pStyle w:val="13"/>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2A46CCA6">
                    <w:pPr>
                      <w:pStyle w:val="1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DAAF">
    <w:pPr>
      <w:pStyle w:val="13"/>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5365C">
                          <w:pPr>
                            <w:pStyle w:val="1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905365C">
                    <w:pPr>
                      <w:pStyle w:val="13"/>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1F55F73">
                          <w:pPr>
                            <w:pStyle w:val="13"/>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41F55F73">
                    <w:pPr>
                      <w:pStyle w:val="1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0F880">
    <w:pPr>
      <w:pStyle w:val="1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BB86E">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C8BB86E">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608600D">
                          <w:pPr>
                            <w:pStyle w:val="13"/>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4608600D">
                    <w:pPr>
                      <w:pStyle w:val="13"/>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F89C5">
    <w:pPr>
      <w:pStyle w:val="13"/>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9A23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6F9A23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726F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49726F3"/>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DD864F6">
                          <w:pPr>
                            <w:pStyle w:val="13"/>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2DD864F6">
                    <w:pPr>
                      <w:pStyle w:val="13"/>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1804D1CB">
      <w:pPr>
        <w:pStyle w:val="20"/>
        <w:rPr>
          <w:rFonts w:eastAsia="微软雅黑"/>
        </w:rPr>
      </w:pPr>
      <w:r>
        <w:rPr>
          <w:rStyle w:val="30"/>
        </w:rPr>
        <w:footnoteRef/>
      </w:r>
      <w:r>
        <w:t xml:space="preserve"> </w:t>
      </w:r>
      <w:r>
        <w:rPr>
          <w:rFonts w:hint="eastAsia"/>
        </w:rPr>
        <w:t>从业人员、营业人员、资产总额填报上一年度数据，无上一年度数据的新成立企业可不填报。</w:t>
      </w:r>
    </w:p>
  </w:footnote>
  <w:footnote w:id="1">
    <w:p w14:paraId="537225A7">
      <w:pPr>
        <w:pStyle w:val="20"/>
      </w:pPr>
      <w:r>
        <w:rPr>
          <w:rStyle w:val="30"/>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AFA23">
    <w:pPr>
      <w:pStyle w:val="14"/>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828E2">
    <w:pPr>
      <w:pStyle w:val="14"/>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34B0D"/>
    <w:multiLevelType w:val="singleLevel"/>
    <w:tmpl w:val="89D34B0D"/>
    <w:lvl w:ilvl="0" w:tentative="0">
      <w:start w:val="1"/>
      <w:numFmt w:val="chineseCounting"/>
      <w:suff w:val="nothing"/>
      <w:lvlText w:val="（%1）"/>
      <w:lvlJc w:val="left"/>
      <w:pPr>
        <w:ind w:left="0" w:firstLine="420"/>
      </w:pPr>
      <w:rPr>
        <w:rFonts w:hint="eastAsia"/>
      </w:rPr>
    </w:lvl>
  </w:abstractNum>
  <w:abstractNum w:abstractNumId="1">
    <w:nsid w:val="9179EE29"/>
    <w:multiLevelType w:val="singleLevel"/>
    <w:tmpl w:val="9179EE29"/>
    <w:lvl w:ilvl="0" w:tentative="0">
      <w:start w:val="1"/>
      <w:numFmt w:val="chineseCounting"/>
      <w:suff w:val="nothing"/>
      <w:lvlText w:val="（%1）"/>
      <w:lvlJc w:val="left"/>
      <w:pPr>
        <w:ind w:left="0" w:firstLine="420"/>
      </w:pPr>
      <w:rPr>
        <w:rFonts w:hint="eastAsia"/>
      </w:rPr>
    </w:lvl>
  </w:abstractNum>
  <w:abstractNum w:abstractNumId="2">
    <w:nsid w:val="93587489"/>
    <w:multiLevelType w:val="singleLevel"/>
    <w:tmpl w:val="93587489"/>
    <w:lvl w:ilvl="0" w:tentative="0">
      <w:start w:val="1"/>
      <w:numFmt w:val="decimal"/>
      <w:suff w:val="nothing"/>
      <w:lvlText w:val="%1、"/>
      <w:lvlJc w:val="left"/>
    </w:lvl>
  </w:abstractNum>
  <w:abstractNum w:abstractNumId="3">
    <w:nsid w:val="A9B5F2C3"/>
    <w:multiLevelType w:val="singleLevel"/>
    <w:tmpl w:val="A9B5F2C3"/>
    <w:lvl w:ilvl="0" w:tentative="0">
      <w:start w:val="1"/>
      <w:numFmt w:val="chineseCounting"/>
      <w:suff w:val="nothing"/>
      <w:lvlText w:val="（%1）"/>
      <w:lvlJc w:val="left"/>
      <w:pPr>
        <w:ind w:left="0" w:firstLine="420"/>
      </w:pPr>
      <w:rPr>
        <w:rFonts w:hint="eastAsia"/>
      </w:rPr>
    </w:lvl>
  </w:abstractNum>
  <w:abstractNum w:abstractNumId="4">
    <w:nsid w:val="AE4BBCA9"/>
    <w:multiLevelType w:val="singleLevel"/>
    <w:tmpl w:val="AE4BBCA9"/>
    <w:lvl w:ilvl="0" w:tentative="0">
      <w:start w:val="1"/>
      <w:numFmt w:val="chineseCounting"/>
      <w:suff w:val="nothing"/>
      <w:lvlText w:val="（%1）"/>
      <w:lvlJc w:val="left"/>
      <w:pPr>
        <w:ind w:left="0" w:firstLine="420"/>
      </w:pPr>
      <w:rPr>
        <w:rFonts w:hint="eastAsia"/>
      </w:rPr>
    </w:lvl>
  </w:abstractNum>
  <w:abstractNum w:abstractNumId="5">
    <w:nsid w:val="C390C518"/>
    <w:multiLevelType w:val="singleLevel"/>
    <w:tmpl w:val="C390C518"/>
    <w:lvl w:ilvl="0" w:tentative="0">
      <w:start w:val="1"/>
      <w:numFmt w:val="chineseCounting"/>
      <w:suff w:val="nothing"/>
      <w:lvlText w:val="（%1）"/>
      <w:lvlJc w:val="left"/>
      <w:pPr>
        <w:ind w:left="0" w:firstLine="420"/>
      </w:pPr>
      <w:rPr>
        <w:rFonts w:hint="eastAsia"/>
      </w:rPr>
    </w:lvl>
  </w:abstractNum>
  <w:abstractNum w:abstractNumId="6">
    <w:nsid w:val="C519C6EB"/>
    <w:multiLevelType w:val="singleLevel"/>
    <w:tmpl w:val="C519C6EB"/>
    <w:lvl w:ilvl="0" w:tentative="0">
      <w:start w:val="1"/>
      <w:numFmt w:val="chineseCounting"/>
      <w:suff w:val="nothing"/>
      <w:lvlText w:val="（%1）"/>
      <w:lvlJc w:val="left"/>
      <w:pPr>
        <w:ind w:left="0" w:firstLine="420"/>
      </w:pPr>
      <w:rPr>
        <w:rFonts w:hint="eastAsia"/>
      </w:rPr>
    </w:lvl>
  </w:abstractNum>
  <w:abstractNum w:abstractNumId="7">
    <w:nsid w:val="CBB10C87"/>
    <w:multiLevelType w:val="singleLevel"/>
    <w:tmpl w:val="CBB10C87"/>
    <w:lvl w:ilvl="0" w:tentative="0">
      <w:start w:val="1"/>
      <w:numFmt w:val="chineseCounting"/>
      <w:suff w:val="nothing"/>
      <w:lvlText w:val="（%1）"/>
      <w:lvlJc w:val="left"/>
      <w:pPr>
        <w:ind w:left="0" w:firstLine="420"/>
      </w:pPr>
      <w:rPr>
        <w:rFonts w:hint="eastAsia"/>
      </w:rPr>
    </w:lvl>
  </w:abstractNum>
  <w:abstractNum w:abstractNumId="8">
    <w:nsid w:val="CFF174A5"/>
    <w:multiLevelType w:val="singleLevel"/>
    <w:tmpl w:val="CFF174A5"/>
    <w:lvl w:ilvl="0" w:tentative="0">
      <w:start w:val="1"/>
      <w:numFmt w:val="decimal"/>
      <w:suff w:val="nothing"/>
      <w:lvlText w:val="%1、"/>
      <w:lvlJc w:val="left"/>
    </w:lvl>
  </w:abstractNum>
  <w:abstractNum w:abstractNumId="9">
    <w:nsid w:val="F75A158C"/>
    <w:multiLevelType w:val="singleLevel"/>
    <w:tmpl w:val="F75A158C"/>
    <w:lvl w:ilvl="0" w:tentative="0">
      <w:start w:val="1"/>
      <w:numFmt w:val="chineseCounting"/>
      <w:suff w:val="nothing"/>
      <w:lvlText w:val="（%1）"/>
      <w:lvlJc w:val="left"/>
      <w:pPr>
        <w:ind w:left="0" w:firstLine="420"/>
      </w:pPr>
      <w:rPr>
        <w:rFonts w:hint="eastAsia"/>
      </w:rPr>
    </w:lvl>
  </w:abstractNum>
  <w:abstractNum w:abstractNumId="10">
    <w:nsid w:val="F8DC71CB"/>
    <w:multiLevelType w:val="multilevel"/>
    <w:tmpl w:val="F8DC71CB"/>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9F15884"/>
    <w:multiLevelType w:val="singleLevel"/>
    <w:tmpl w:val="09F15884"/>
    <w:lvl w:ilvl="0" w:tentative="0">
      <w:start w:val="1"/>
      <w:numFmt w:val="chineseCounting"/>
      <w:suff w:val="nothing"/>
      <w:lvlText w:val="（%1）"/>
      <w:lvlJc w:val="left"/>
      <w:pPr>
        <w:ind w:left="0" w:firstLine="420"/>
      </w:pPr>
      <w:rPr>
        <w:rFonts w:hint="eastAsia"/>
      </w:rPr>
    </w:lvl>
  </w:abstractNum>
  <w:abstractNum w:abstractNumId="13">
    <w:nsid w:val="0FC50A68"/>
    <w:multiLevelType w:val="singleLevel"/>
    <w:tmpl w:val="0FC50A68"/>
    <w:lvl w:ilvl="0" w:tentative="0">
      <w:start w:val="1"/>
      <w:numFmt w:val="chineseCounting"/>
      <w:suff w:val="nothing"/>
      <w:lvlText w:val="（%1）"/>
      <w:lvlJc w:val="left"/>
      <w:pPr>
        <w:ind w:left="0" w:firstLine="420"/>
      </w:pPr>
      <w:rPr>
        <w:rFonts w:hint="eastAsia"/>
      </w:rPr>
    </w:lvl>
  </w:abstractNum>
  <w:abstractNum w:abstractNumId="14">
    <w:nsid w:val="18194041"/>
    <w:multiLevelType w:val="singleLevel"/>
    <w:tmpl w:val="18194041"/>
    <w:lvl w:ilvl="0" w:tentative="0">
      <w:start w:val="1"/>
      <w:numFmt w:val="chineseCounting"/>
      <w:suff w:val="nothing"/>
      <w:lvlText w:val="（%1）"/>
      <w:lvlJc w:val="left"/>
      <w:pPr>
        <w:ind w:left="0" w:firstLine="420"/>
      </w:pPr>
      <w:rPr>
        <w:rFonts w:hint="eastAsia"/>
      </w:rPr>
    </w:lvl>
  </w:abstractNum>
  <w:abstractNum w:abstractNumId="15">
    <w:nsid w:val="316010E5"/>
    <w:multiLevelType w:val="singleLevel"/>
    <w:tmpl w:val="316010E5"/>
    <w:lvl w:ilvl="0" w:tentative="0">
      <w:start w:val="1"/>
      <w:numFmt w:val="decimal"/>
      <w:suff w:val="nothing"/>
      <w:lvlText w:val="%1．"/>
      <w:lvlJc w:val="left"/>
    </w:lvl>
  </w:abstractNum>
  <w:abstractNum w:abstractNumId="16">
    <w:nsid w:val="3AA531BF"/>
    <w:multiLevelType w:val="singleLevel"/>
    <w:tmpl w:val="3AA531BF"/>
    <w:lvl w:ilvl="0" w:tentative="0">
      <w:start w:val="1"/>
      <w:numFmt w:val="chineseCounting"/>
      <w:suff w:val="nothing"/>
      <w:lvlText w:val="（%1）"/>
      <w:lvlJc w:val="left"/>
      <w:pPr>
        <w:ind w:left="0" w:firstLine="420"/>
      </w:pPr>
      <w:rPr>
        <w:rFonts w:hint="eastAsia"/>
      </w:rPr>
    </w:lvl>
  </w:abstractNum>
  <w:abstractNum w:abstractNumId="17">
    <w:nsid w:val="3B1B8417"/>
    <w:multiLevelType w:val="singleLevel"/>
    <w:tmpl w:val="3B1B8417"/>
    <w:lvl w:ilvl="0" w:tentative="0">
      <w:start w:val="1"/>
      <w:numFmt w:val="decimal"/>
      <w:suff w:val="nothing"/>
      <w:lvlText w:val="%1、"/>
      <w:lvlJc w:val="left"/>
    </w:lvl>
  </w:abstractNum>
  <w:abstractNum w:abstractNumId="18">
    <w:nsid w:val="49F65E66"/>
    <w:multiLevelType w:val="multilevel"/>
    <w:tmpl w:val="49F65E66"/>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9">
    <w:nsid w:val="5ED241A3"/>
    <w:multiLevelType w:val="singleLevel"/>
    <w:tmpl w:val="5ED241A3"/>
    <w:lvl w:ilvl="0" w:tentative="0">
      <w:start w:val="1"/>
      <w:numFmt w:val="chineseCounting"/>
      <w:suff w:val="nothing"/>
      <w:lvlText w:val="（%1）"/>
      <w:lvlJc w:val="left"/>
      <w:pPr>
        <w:ind w:left="0" w:firstLine="420"/>
      </w:pPr>
      <w:rPr>
        <w:rFonts w:hint="eastAsia"/>
      </w:rPr>
    </w:lvl>
  </w:abstractNum>
  <w:abstractNum w:abstractNumId="20">
    <w:nsid w:val="6825E712"/>
    <w:multiLevelType w:val="singleLevel"/>
    <w:tmpl w:val="6825E712"/>
    <w:lvl w:ilvl="0" w:tentative="0">
      <w:start w:val="1"/>
      <w:numFmt w:val="chineseCounting"/>
      <w:suff w:val="nothing"/>
      <w:lvlText w:val="（%1）"/>
      <w:lvlJc w:val="left"/>
      <w:pPr>
        <w:ind w:left="0" w:firstLine="420"/>
      </w:pPr>
      <w:rPr>
        <w:rFonts w:hint="eastAsia"/>
      </w:rPr>
    </w:lvl>
  </w:abstractNum>
  <w:abstractNum w:abstractNumId="21">
    <w:nsid w:val="6E5CE7BD"/>
    <w:multiLevelType w:val="singleLevel"/>
    <w:tmpl w:val="6E5CE7BD"/>
    <w:lvl w:ilvl="0" w:tentative="0">
      <w:start w:val="1"/>
      <w:numFmt w:val="chineseCounting"/>
      <w:suff w:val="nothing"/>
      <w:lvlText w:val="%1、"/>
      <w:lvlJc w:val="left"/>
      <w:rPr>
        <w:rFonts w:hint="eastAsia"/>
      </w:rPr>
    </w:lvl>
  </w:abstractNum>
  <w:abstractNum w:abstractNumId="22">
    <w:nsid w:val="7C4D1C4B"/>
    <w:multiLevelType w:val="multilevel"/>
    <w:tmpl w:val="7C4D1C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1"/>
  </w:num>
  <w:num w:numId="2">
    <w:abstractNumId w:val="17"/>
  </w:num>
  <w:num w:numId="3">
    <w:abstractNumId w:val="10"/>
  </w:num>
  <w:num w:numId="4">
    <w:abstractNumId w:val="22"/>
  </w:num>
  <w:num w:numId="5">
    <w:abstractNumId w:val="18"/>
  </w:num>
  <w:num w:numId="6">
    <w:abstractNumId w:val="4"/>
  </w:num>
  <w:num w:numId="7">
    <w:abstractNumId w:val="5"/>
  </w:num>
  <w:num w:numId="8">
    <w:abstractNumId w:val="0"/>
  </w:num>
  <w:num w:numId="9">
    <w:abstractNumId w:val="1"/>
  </w:num>
  <w:num w:numId="10">
    <w:abstractNumId w:val="16"/>
  </w:num>
  <w:num w:numId="11">
    <w:abstractNumId w:val="14"/>
  </w:num>
  <w:num w:numId="12">
    <w:abstractNumId w:val="7"/>
  </w:num>
  <w:num w:numId="13">
    <w:abstractNumId w:val="6"/>
  </w:num>
  <w:num w:numId="14">
    <w:abstractNumId w:val="19"/>
  </w:num>
  <w:num w:numId="15">
    <w:abstractNumId w:val="3"/>
  </w:num>
  <w:num w:numId="16">
    <w:abstractNumId w:val="9"/>
  </w:num>
  <w:num w:numId="17">
    <w:abstractNumId w:val="12"/>
  </w:num>
  <w:num w:numId="18">
    <w:abstractNumId w:val="13"/>
  </w:num>
  <w:num w:numId="19">
    <w:abstractNumId w:val="20"/>
  </w:num>
  <w:num w:numId="20">
    <w:abstractNumId w:val="8"/>
  </w:num>
  <w:num w:numId="21">
    <w:abstractNumId w:val="11"/>
  </w:num>
  <w:num w:numId="22">
    <w:abstractNumId w:val="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20"/>
  <w:drawingGridHorizontalSpacing w:val="110"/>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DZlYWM2ZDg1OGVjMjM0MzI1ZTkzNzNlOTYxYmMifQ=="/>
    <w:docVar w:name="KSO_WPS_MARK_KEY" w:val="906cdb4f-d919-4133-8cec-e67e256c002c"/>
  </w:docVars>
  <w:rsids>
    <w:rsidRoot w:val="00664F6B"/>
    <w:rsid w:val="00006462"/>
    <w:rsid w:val="00015051"/>
    <w:rsid w:val="000300E4"/>
    <w:rsid w:val="0003307E"/>
    <w:rsid w:val="000336BA"/>
    <w:rsid w:val="000359A1"/>
    <w:rsid w:val="0007500F"/>
    <w:rsid w:val="0008282E"/>
    <w:rsid w:val="000A363F"/>
    <w:rsid w:val="000A42A8"/>
    <w:rsid w:val="000A5063"/>
    <w:rsid w:val="000A5DBD"/>
    <w:rsid w:val="000C4524"/>
    <w:rsid w:val="000D44A6"/>
    <w:rsid w:val="000D5273"/>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95A3A"/>
    <w:rsid w:val="001A06D8"/>
    <w:rsid w:val="001A2D42"/>
    <w:rsid w:val="001A2EF7"/>
    <w:rsid w:val="001A7CF3"/>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73CA1"/>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6B7E"/>
    <w:rsid w:val="0030669E"/>
    <w:rsid w:val="00320CEA"/>
    <w:rsid w:val="00323B43"/>
    <w:rsid w:val="00326831"/>
    <w:rsid w:val="003274CE"/>
    <w:rsid w:val="003430F6"/>
    <w:rsid w:val="00362682"/>
    <w:rsid w:val="0038094C"/>
    <w:rsid w:val="0038564C"/>
    <w:rsid w:val="00393B1D"/>
    <w:rsid w:val="003A1D97"/>
    <w:rsid w:val="003A721C"/>
    <w:rsid w:val="003C3B19"/>
    <w:rsid w:val="003C412B"/>
    <w:rsid w:val="003C415C"/>
    <w:rsid w:val="003D36FB"/>
    <w:rsid w:val="003D37D8"/>
    <w:rsid w:val="003E2B8C"/>
    <w:rsid w:val="003F4822"/>
    <w:rsid w:val="00401CC0"/>
    <w:rsid w:val="004050C8"/>
    <w:rsid w:val="00410F11"/>
    <w:rsid w:val="004203B9"/>
    <w:rsid w:val="00421BCF"/>
    <w:rsid w:val="004322A2"/>
    <w:rsid w:val="004358AB"/>
    <w:rsid w:val="00451EB4"/>
    <w:rsid w:val="00453AD3"/>
    <w:rsid w:val="00460B31"/>
    <w:rsid w:val="00462105"/>
    <w:rsid w:val="0046652B"/>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3F1E"/>
    <w:rsid w:val="0057492D"/>
    <w:rsid w:val="00587F28"/>
    <w:rsid w:val="00590819"/>
    <w:rsid w:val="00593D68"/>
    <w:rsid w:val="005A208B"/>
    <w:rsid w:val="005A7612"/>
    <w:rsid w:val="005C702E"/>
    <w:rsid w:val="005D01B8"/>
    <w:rsid w:val="005D066B"/>
    <w:rsid w:val="005F573A"/>
    <w:rsid w:val="005F7EB1"/>
    <w:rsid w:val="00604B81"/>
    <w:rsid w:val="006123B0"/>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83E3D"/>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1253"/>
    <w:rsid w:val="0073224F"/>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0A26"/>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4737"/>
    <w:rsid w:val="00845BEB"/>
    <w:rsid w:val="008472E6"/>
    <w:rsid w:val="00853463"/>
    <w:rsid w:val="0086026F"/>
    <w:rsid w:val="008640F5"/>
    <w:rsid w:val="008907DA"/>
    <w:rsid w:val="008A0587"/>
    <w:rsid w:val="008B1E93"/>
    <w:rsid w:val="008B1FCB"/>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5EAD"/>
    <w:rsid w:val="00976066"/>
    <w:rsid w:val="00980A66"/>
    <w:rsid w:val="009904F7"/>
    <w:rsid w:val="009910F6"/>
    <w:rsid w:val="009A7058"/>
    <w:rsid w:val="009C6AD9"/>
    <w:rsid w:val="009C7EF0"/>
    <w:rsid w:val="009D55C3"/>
    <w:rsid w:val="009E398C"/>
    <w:rsid w:val="009E6F05"/>
    <w:rsid w:val="00A075A5"/>
    <w:rsid w:val="00A10906"/>
    <w:rsid w:val="00A14EEF"/>
    <w:rsid w:val="00A25E78"/>
    <w:rsid w:val="00A61230"/>
    <w:rsid w:val="00A813C5"/>
    <w:rsid w:val="00A824E6"/>
    <w:rsid w:val="00A858DC"/>
    <w:rsid w:val="00A94D14"/>
    <w:rsid w:val="00A958C4"/>
    <w:rsid w:val="00AB0AE2"/>
    <w:rsid w:val="00AB19CE"/>
    <w:rsid w:val="00AB2FB1"/>
    <w:rsid w:val="00AB3969"/>
    <w:rsid w:val="00AC187B"/>
    <w:rsid w:val="00AC5C21"/>
    <w:rsid w:val="00AE310E"/>
    <w:rsid w:val="00AE4FC5"/>
    <w:rsid w:val="00AF5796"/>
    <w:rsid w:val="00AF5F1F"/>
    <w:rsid w:val="00B027A4"/>
    <w:rsid w:val="00B202AA"/>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49D2"/>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272C0"/>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1DAE"/>
    <w:rsid w:val="00F52A5F"/>
    <w:rsid w:val="00F55954"/>
    <w:rsid w:val="00F562EC"/>
    <w:rsid w:val="00F61962"/>
    <w:rsid w:val="00F62865"/>
    <w:rsid w:val="00F64022"/>
    <w:rsid w:val="00F64660"/>
    <w:rsid w:val="00F97062"/>
    <w:rsid w:val="00F9745D"/>
    <w:rsid w:val="00FC7B53"/>
    <w:rsid w:val="00FD48CC"/>
    <w:rsid w:val="00FE62D1"/>
    <w:rsid w:val="00FF26BF"/>
    <w:rsid w:val="018023CE"/>
    <w:rsid w:val="01881AD6"/>
    <w:rsid w:val="01B40242"/>
    <w:rsid w:val="01B938AA"/>
    <w:rsid w:val="01E74B6E"/>
    <w:rsid w:val="02126CDB"/>
    <w:rsid w:val="021832B7"/>
    <w:rsid w:val="021B6F64"/>
    <w:rsid w:val="02314FB5"/>
    <w:rsid w:val="024E2E49"/>
    <w:rsid w:val="02A741FD"/>
    <w:rsid w:val="02C16E5D"/>
    <w:rsid w:val="02D964CF"/>
    <w:rsid w:val="0340787C"/>
    <w:rsid w:val="03707410"/>
    <w:rsid w:val="037F03E3"/>
    <w:rsid w:val="03A0770F"/>
    <w:rsid w:val="03A27BF9"/>
    <w:rsid w:val="03A448B8"/>
    <w:rsid w:val="03A4578A"/>
    <w:rsid w:val="03AD071E"/>
    <w:rsid w:val="03D10969"/>
    <w:rsid w:val="03FD3799"/>
    <w:rsid w:val="04277401"/>
    <w:rsid w:val="044736E3"/>
    <w:rsid w:val="04633A5E"/>
    <w:rsid w:val="04DF1036"/>
    <w:rsid w:val="050F6021"/>
    <w:rsid w:val="05A97DEC"/>
    <w:rsid w:val="05C0046F"/>
    <w:rsid w:val="05C81981"/>
    <w:rsid w:val="06BC41F2"/>
    <w:rsid w:val="06DF3DBD"/>
    <w:rsid w:val="07197D08"/>
    <w:rsid w:val="071C2CFD"/>
    <w:rsid w:val="071E5C55"/>
    <w:rsid w:val="073A47CB"/>
    <w:rsid w:val="073F7319"/>
    <w:rsid w:val="07536A42"/>
    <w:rsid w:val="07595F41"/>
    <w:rsid w:val="07615EC0"/>
    <w:rsid w:val="077005AB"/>
    <w:rsid w:val="078F4581"/>
    <w:rsid w:val="07995C5E"/>
    <w:rsid w:val="07BB67DE"/>
    <w:rsid w:val="07BE179A"/>
    <w:rsid w:val="07BF027F"/>
    <w:rsid w:val="07EE7FED"/>
    <w:rsid w:val="08031A31"/>
    <w:rsid w:val="081A5CC7"/>
    <w:rsid w:val="08A276E5"/>
    <w:rsid w:val="09061A75"/>
    <w:rsid w:val="09087948"/>
    <w:rsid w:val="09182241"/>
    <w:rsid w:val="09242E62"/>
    <w:rsid w:val="093C069F"/>
    <w:rsid w:val="09417888"/>
    <w:rsid w:val="095909FF"/>
    <w:rsid w:val="09855177"/>
    <w:rsid w:val="09870F93"/>
    <w:rsid w:val="09D658E4"/>
    <w:rsid w:val="09F1637C"/>
    <w:rsid w:val="09FC5E89"/>
    <w:rsid w:val="0A25628F"/>
    <w:rsid w:val="0A290B50"/>
    <w:rsid w:val="0A3D797F"/>
    <w:rsid w:val="0AA534D5"/>
    <w:rsid w:val="0AA650EB"/>
    <w:rsid w:val="0AB8066A"/>
    <w:rsid w:val="0AF47339"/>
    <w:rsid w:val="0AFB177C"/>
    <w:rsid w:val="0B22594B"/>
    <w:rsid w:val="0B526ACB"/>
    <w:rsid w:val="0B6709D0"/>
    <w:rsid w:val="0B797387"/>
    <w:rsid w:val="0BC044BE"/>
    <w:rsid w:val="0BDF26F7"/>
    <w:rsid w:val="0C264099"/>
    <w:rsid w:val="0C2B4952"/>
    <w:rsid w:val="0C7B2220"/>
    <w:rsid w:val="0D527BA9"/>
    <w:rsid w:val="0D890E47"/>
    <w:rsid w:val="0DC64A00"/>
    <w:rsid w:val="0DFC60BA"/>
    <w:rsid w:val="0DFF4FAE"/>
    <w:rsid w:val="0E4249F1"/>
    <w:rsid w:val="0F6C5A53"/>
    <w:rsid w:val="0F7C5FF6"/>
    <w:rsid w:val="0FC63FBD"/>
    <w:rsid w:val="106C564D"/>
    <w:rsid w:val="107B7B8F"/>
    <w:rsid w:val="107C67CE"/>
    <w:rsid w:val="108F06C9"/>
    <w:rsid w:val="109D68CB"/>
    <w:rsid w:val="10A949B8"/>
    <w:rsid w:val="10C54639"/>
    <w:rsid w:val="10CF36C5"/>
    <w:rsid w:val="110B3F03"/>
    <w:rsid w:val="11200D07"/>
    <w:rsid w:val="11DA73AF"/>
    <w:rsid w:val="122E250C"/>
    <w:rsid w:val="129D6FE2"/>
    <w:rsid w:val="12C60D80"/>
    <w:rsid w:val="12E71C6B"/>
    <w:rsid w:val="131F7A3A"/>
    <w:rsid w:val="132645D0"/>
    <w:rsid w:val="13455ABC"/>
    <w:rsid w:val="1370322B"/>
    <w:rsid w:val="13B27845"/>
    <w:rsid w:val="13BE469F"/>
    <w:rsid w:val="13F87121"/>
    <w:rsid w:val="141A03E1"/>
    <w:rsid w:val="143A63DF"/>
    <w:rsid w:val="143B2E0B"/>
    <w:rsid w:val="14672B11"/>
    <w:rsid w:val="14892735"/>
    <w:rsid w:val="14BA7E1E"/>
    <w:rsid w:val="14CC769D"/>
    <w:rsid w:val="14CF59E6"/>
    <w:rsid w:val="14EB2147"/>
    <w:rsid w:val="14EF11ED"/>
    <w:rsid w:val="14FC787F"/>
    <w:rsid w:val="15735E00"/>
    <w:rsid w:val="157D38E3"/>
    <w:rsid w:val="15D359D7"/>
    <w:rsid w:val="15D81E0F"/>
    <w:rsid w:val="161771F3"/>
    <w:rsid w:val="16222D6D"/>
    <w:rsid w:val="163C77BE"/>
    <w:rsid w:val="16632F86"/>
    <w:rsid w:val="1679588C"/>
    <w:rsid w:val="16994962"/>
    <w:rsid w:val="16A71041"/>
    <w:rsid w:val="16AA24BF"/>
    <w:rsid w:val="16F72341"/>
    <w:rsid w:val="17680CAB"/>
    <w:rsid w:val="176E4128"/>
    <w:rsid w:val="1783371F"/>
    <w:rsid w:val="17B64C8F"/>
    <w:rsid w:val="17E62B67"/>
    <w:rsid w:val="180C0192"/>
    <w:rsid w:val="180F4499"/>
    <w:rsid w:val="18221ECE"/>
    <w:rsid w:val="190B7894"/>
    <w:rsid w:val="19135859"/>
    <w:rsid w:val="1976710D"/>
    <w:rsid w:val="19A2789F"/>
    <w:rsid w:val="1A3109F9"/>
    <w:rsid w:val="1A460CF5"/>
    <w:rsid w:val="1A7F297D"/>
    <w:rsid w:val="1AB16AC1"/>
    <w:rsid w:val="1B034A52"/>
    <w:rsid w:val="1B1F34AD"/>
    <w:rsid w:val="1B431A9D"/>
    <w:rsid w:val="1B8D5DC6"/>
    <w:rsid w:val="1BA7712F"/>
    <w:rsid w:val="1BBE036A"/>
    <w:rsid w:val="1BFE1D3B"/>
    <w:rsid w:val="1C2775EC"/>
    <w:rsid w:val="1C347434"/>
    <w:rsid w:val="1C750ECE"/>
    <w:rsid w:val="1CA22168"/>
    <w:rsid w:val="1CB43AD6"/>
    <w:rsid w:val="1D0836D7"/>
    <w:rsid w:val="1D196139"/>
    <w:rsid w:val="1D376758"/>
    <w:rsid w:val="1D3A2A58"/>
    <w:rsid w:val="1DB85900"/>
    <w:rsid w:val="1DF051AF"/>
    <w:rsid w:val="1E010AF7"/>
    <w:rsid w:val="1E0178EB"/>
    <w:rsid w:val="1E301173"/>
    <w:rsid w:val="1E38333E"/>
    <w:rsid w:val="1E5C7612"/>
    <w:rsid w:val="1EA40BB4"/>
    <w:rsid w:val="1EB70535"/>
    <w:rsid w:val="1F43381C"/>
    <w:rsid w:val="1F84495C"/>
    <w:rsid w:val="1FA4148D"/>
    <w:rsid w:val="1FA86F5D"/>
    <w:rsid w:val="20121621"/>
    <w:rsid w:val="201A421D"/>
    <w:rsid w:val="202076CF"/>
    <w:rsid w:val="20341172"/>
    <w:rsid w:val="204E554F"/>
    <w:rsid w:val="20590035"/>
    <w:rsid w:val="20753A30"/>
    <w:rsid w:val="20801D5C"/>
    <w:rsid w:val="20C35213"/>
    <w:rsid w:val="20FC799E"/>
    <w:rsid w:val="22154DDD"/>
    <w:rsid w:val="22213E42"/>
    <w:rsid w:val="22336873"/>
    <w:rsid w:val="22A54D62"/>
    <w:rsid w:val="22BF7AA5"/>
    <w:rsid w:val="22D8603F"/>
    <w:rsid w:val="23175889"/>
    <w:rsid w:val="238C2182"/>
    <w:rsid w:val="239015D1"/>
    <w:rsid w:val="23BB4E7D"/>
    <w:rsid w:val="23C172D6"/>
    <w:rsid w:val="23F04F64"/>
    <w:rsid w:val="24814CBE"/>
    <w:rsid w:val="24AC168B"/>
    <w:rsid w:val="258C3BEC"/>
    <w:rsid w:val="25A92CDD"/>
    <w:rsid w:val="25B329B2"/>
    <w:rsid w:val="25E44366"/>
    <w:rsid w:val="25E576CC"/>
    <w:rsid w:val="260E3862"/>
    <w:rsid w:val="262569FC"/>
    <w:rsid w:val="26344C98"/>
    <w:rsid w:val="263D6AC4"/>
    <w:rsid w:val="26F56CE2"/>
    <w:rsid w:val="272047EE"/>
    <w:rsid w:val="27435D49"/>
    <w:rsid w:val="27723C3F"/>
    <w:rsid w:val="27A34F71"/>
    <w:rsid w:val="27B36A67"/>
    <w:rsid w:val="27C6018D"/>
    <w:rsid w:val="27EB0D9B"/>
    <w:rsid w:val="27FC727B"/>
    <w:rsid w:val="286602C8"/>
    <w:rsid w:val="28665C95"/>
    <w:rsid w:val="28872B17"/>
    <w:rsid w:val="28A64522"/>
    <w:rsid w:val="28BA6766"/>
    <w:rsid w:val="28CC5B40"/>
    <w:rsid w:val="28FB7971"/>
    <w:rsid w:val="29017E7F"/>
    <w:rsid w:val="290B3EB9"/>
    <w:rsid w:val="291418C2"/>
    <w:rsid w:val="2950768C"/>
    <w:rsid w:val="297A5FC4"/>
    <w:rsid w:val="29976AFA"/>
    <w:rsid w:val="2A1113BC"/>
    <w:rsid w:val="2A1D2CE4"/>
    <w:rsid w:val="2A492101"/>
    <w:rsid w:val="2A586210"/>
    <w:rsid w:val="2A74112A"/>
    <w:rsid w:val="2A8D4F8F"/>
    <w:rsid w:val="2A911082"/>
    <w:rsid w:val="2A917B34"/>
    <w:rsid w:val="2AE3766F"/>
    <w:rsid w:val="2B7E4054"/>
    <w:rsid w:val="2BF22742"/>
    <w:rsid w:val="2C987C56"/>
    <w:rsid w:val="2CFF149A"/>
    <w:rsid w:val="2D201865"/>
    <w:rsid w:val="2D4B5CEA"/>
    <w:rsid w:val="2D652658"/>
    <w:rsid w:val="2DC80C49"/>
    <w:rsid w:val="2DCA6355"/>
    <w:rsid w:val="2DF0699F"/>
    <w:rsid w:val="2DF36FAB"/>
    <w:rsid w:val="2E166748"/>
    <w:rsid w:val="2E556F01"/>
    <w:rsid w:val="2E701821"/>
    <w:rsid w:val="2E755BFA"/>
    <w:rsid w:val="2E8E20B4"/>
    <w:rsid w:val="2ED06066"/>
    <w:rsid w:val="2ED1223D"/>
    <w:rsid w:val="2EE470F7"/>
    <w:rsid w:val="2F000139"/>
    <w:rsid w:val="2F561B8A"/>
    <w:rsid w:val="2F603B09"/>
    <w:rsid w:val="2F9F42DC"/>
    <w:rsid w:val="2FE04319"/>
    <w:rsid w:val="2FF37AB3"/>
    <w:rsid w:val="308532EA"/>
    <w:rsid w:val="30FF27D2"/>
    <w:rsid w:val="311573CF"/>
    <w:rsid w:val="31170995"/>
    <w:rsid w:val="31264A30"/>
    <w:rsid w:val="315B1B91"/>
    <w:rsid w:val="31884E67"/>
    <w:rsid w:val="31A0275E"/>
    <w:rsid w:val="31AB5236"/>
    <w:rsid w:val="31B7357A"/>
    <w:rsid w:val="31D07E6C"/>
    <w:rsid w:val="31E14405"/>
    <w:rsid w:val="31ED6B08"/>
    <w:rsid w:val="31F915C9"/>
    <w:rsid w:val="322650EA"/>
    <w:rsid w:val="32610CE6"/>
    <w:rsid w:val="328464CE"/>
    <w:rsid w:val="32AB70C5"/>
    <w:rsid w:val="32DC33E0"/>
    <w:rsid w:val="32F25DBA"/>
    <w:rsid w:val="335D0AF5"/>
    <w:rsid w:val="33614D0F"/>
    <w:rsid w:val="3370088C"/>
    <w:rsid w:val="33A3154A"/>
    <w:rsid w:val="33DC2F78"/>
    <w:rsid w:val="33FF29E9"/>
    <w:rsid w:val="3428227C"/>
    <w:rsid w:val="343B1793"/>
    <w:rsid w:val="34672D35"/>
    <w:rsid w:val="34A013C4"/>
    <w:rsid w:val="34D04DC8"/>
    <w:rsid w:val="35260F83"/>
    <w:rsid w:val="35602226"/>
    <w:rsid w:val="356B72E7"/>
    <w:rsid w:val="3572424F"/>
    <w:rsid w:val="35FC3844"/>
    <w:rsid w:val="36631C6B"/>
    <w:rsid w:val="36794DEF"/>
    <w:rsid w:val="36AD519D"/>
    <w:rsid w:val="36B57705"/>
    <w:rsid w:val="37406AD8"/>
    <w:rsid w:val="374F1A0B"/>
    <w:rsid w:val="37A103ED"/>
    <w:rsid w:val="37EA5E6E"/>
    <w:rsid w:val="37FF016F"/>
    <w:rsid w:val="38427C0B"/>
    <w:rsid w:val="387804BE"/>
    <w:rsid w:val="387C5ABE"/>
    <w:rsid w:val="389B3A1E"/>
    <w:rsid w:val="38EB6119"/>
    <w:rsid w:val="399E320F"/>
    <w:rsid w:val="39DE33DA"/>
    <w:rsid w:val="39FA5B4A"/>
    <w:rsid w:val="39FE0BE9"/>
    <w:rsid w:val="3A001DCD"/>
    <w:rsid w:val="3A3C1AAF"/>
    <w:rsid w:val="3A4B7CC1"/>
    <w:rsid w:val="3A51228C"/>
    <w:rsid w:val="3A552E60"/>
    <w:rsid w:val="3A5D642F"/>
    <w:rsid w:val="3AB210FC"/>
    <w:rsid w:val="3ACE216B"/>
    <w:rsid w:val="3AD95C13"/>
    <w:rsid w:val="3B261E51"/>
    <w:rsid w:val="3B973F88"/>
    <w:rsid w:val="3BC95762"/>
    <w:rsid w:val="3BCD72F7"/>
    <w:rsid w:val="3C414142"/>
    <w:rsid w:val="3C543DC4"/>
    <w:rsid w:val="3C9121FF"/>
    <w:rsid w:val="3CE114D9"/>
    <w:rsid w:val="3CF737A2"/>
    <w:rsid w:val="3CF7509A"/>
    <w:rsid w:val="3D10295A"/>
    <w:rsid w:val="3D91114E"/>
    <w:rsid w:val="3E0572FD"/>
    <w:rsid w:val="3E1A5292"/>
    <w:rsid w:val="3E5A7FE7"/>
    <w:rsid w:val="3E7A5DA4"/>
    <w:rsid w:val="3EC8179E"/>
    <w:rsid w:val="3EF66B2E"/>
    <w:rsid w:val="3F217914"/>
    <w:rsid w:val="3FD70BB0"/>
    <w:rsid w:val="3FFB55AC"/>
    <w:rsid w:val="401C5F9D"/>
    <w:rsid w:val="401C690C"/>
    <w:rsid w:val="401D7195"/>
    <w:rsid w:val="40664769"/>
    <w:rsid w:val="406C71E8"/>
    <w:rsid w:val="40A51286"/>
    <w:rsid w:val="40CE3DC0"/>
    <w:rsid w:val="40D7455A"/>
    <w:rsid w:val="40E743E5"/>
    <w:rsid w:val="40EB7F19"/>
    <w:rsid w:val="40F93018"/>
    <w:rsid w:val="4110038E"/>
    <w:rsid w:val="413015F5"/>
    <w:rsid w:val="41734CBA"/>
    <w:rsid w:val="41DD7057"/>
    <w:rsid w:val="41E37378"/>
    <w:rsid w:val="420F7A65"/>
    <w:rsid w:val="4216611A"/>
    <w:rsid w:val="423E300F"/>
    <w:rsid w:val="425656C8"/>
    <w:rsid w:val="4257273C"/>
    <w:rsid w:val="425D7213"/>
    <w:rsid w:val="42677B61"/>
    <w:rsid w:val="42756DB0"/>
    <w:rsid w:val="42915759"/>
    <w:rsid w:val="42B21AD2"/>
    <w:rsid w:val="42DA7D24"/>
    <w:rsid w:val="42E142C5"/>
    <w:rsid w:val="42FD694D"/>
    <w:rsid w:val="43096287"/>
    <w:rsid w:val="434A6D8F"/>
    <w:rsid w:val="4397723B"/>
    <w:rsid w:val="43D522BF"/>
    <w:rsid w:val="43FA5777"/>
    <w:rsid w:val="44044D92"/>
    <w:rsid w:val="441C1611"/>
    <w:rsid w:val="44212CEC"/>
    <w:rsid w:val="443C440B"/>
    <w:rsid w:val="443F7DBF"/>
    <w:rsid w:val="44514F52"/>
    <w:rsid w:val="448965CB"/>
    <w:rsid w:val="44C5497E"/>
    <w:rsid w:val="44FA2D53"/>
    <w:rsid w:val="4571374F"/>
    <w:rsid w:val="458B1BB0"/>
    <w:rsid w:val="45A67760"/>
    <w:rsid w:val="4611075B"/>
    <w:rsid w:val="46214818"/>
    <w:rsid w:val="467A0297"/>
    <w:rsid w:val="468B7125"/>
    <w:rsid w:val="46C4691F"/>
    <w:rsid w:val="47841568"/>
    <w:rsid w:val="479D1D34"/>
    <w:rsid w:val="47B609C0"/>
    <w:rsid w:val="47CF543E"/>
    <w:rsid w:val="482D31EA"/>
    <w:rsid w:val="485970A0"/>
    <w:rsid w:val="48847961"/>
    <w:rsid w:val="48A41906"/>
    <w:rsid w:val="48B65C71"/>
    <w:rsid w:val="48BB5EC4"/>
    <w:rsid w:val="48F303D7"/>
    <w:rsid w:val="492837FF"/>
    <w:rsid w:val="492E6A57"/>
    <w:rsid w:val="49B26DCB"/>
    <w:rsid w:val="49B86103"/>
    <w:rsid w:val="49FF6260"/>
    <w:rsid w:val="4A0030EE"/>
    <w:rsid w:val="4A243364"/>
    <w:rsid w:val="4AB75B3A"/>
    <w:rsid w:val="4AC36065"/>
    <w:rsid w:val="4B560086"/>
    <w:rsid w:val="4B7501F5"/>
    <w:rsid w:val="4B8C2DEB"/>
    <w:rsid w:val="4BFA3C9F"/>
    <w:rsid w:val="4C0E3379"/>
    <w:rsid w:val="4C107F48"/>
    <w:rsid w:val="4C3277BC"/>
    <w:rsid w:val="4C686851"/>
    <w:rsid w:val="4C9E3677"/>
    <w:rsid w:val="4CC353EB"/>
    <w:rsid w:val="4CF36F3C"/>
    <w:rsid w:val="4CF7224F"/>
    <w:rsid w:val="4CFC69A5"/>
    <w:rsid w:val="4D4F67BA"/>
    <w:rsid w:val="4D5C3245"/>
    <w:rsid w:val="4D603399"/>
    <w:rsid w:val="4D867EE1"/>
    <w:rsid w:val="4D8E6ECD"/>
    <w:rsid w:val="4DBC4C65"/>
    <w:rsid w:val="4DF6568D"/>
    <w:rsid w:val="4E2E1A80"/>
    <w:rsid w:val="4E550010"/>
    <w:rsid w:val="4E5F14CB"/>
    <w:rsid w:val="4EED7FC5"/>
    <w:rsid w:val="4F035942"/>
    <w:rsid w:val="4F0A7E54"/>
    <w:rsid w:val="4F3705F8"/>
    <w:rsid w:val="4FAC3540"/>
    <w:rsid w:val="4FAE1D52"/>
    <w:rsid w:val="4FBB12F4"/>
    <w:rsid w:val="4FCF1583"/>
    <w:rsid w:val="4FFA7625"/>
    <w:rsid w:val="501B0BF9"/>
    <w:rsid w:val="507D2599"/>
    <w:rsid w:val="50904151"/>
    <w:rsid w:val="5096229D"/>
    <w:rsid w:val="50B44FCE"/>
    <w:rsid w:val="50DC4184"/>
    <w:rsid w:val="50E12C6E"/>
    <w:rsid w:val="51184427"/>
    <w:rsid w:val="51475B39"/>
    <w:rsid w:val="514B1726"/>
    <w:rsid w:val="514C3EA7"/>
    <w:rsid w:val="519849E5"/>
    <w:rsid w:val="51B36892"/>
    <w:rsid w:val="51CF20E6"/>
    <w:rsid w:val="51E44D3C"/>
    <w:rsid w:val="520759C5"/>
    <w:rsid w:val="521D2144"/>
    <w:rsid w:val="524A036B"/>
    <w:rsid w:val="524B3219"/>
    <w:rsid w:val="52506DA7"/>
    <w:rsid w:val="5260470E"/>
    <w:rsid w:val="527070EE"/>
    <w:rsid w:val="529D471C"/>
    <w:rsid w:val="52F31622"/>
    <w:rsid w:val="52FC48D5"/>
    <w:rsid w:val="533B2B84"/>
    <w:rsid w:val="535F3BF1"/>
    <w:rsid w:val="537A7243"/>
    <w:rsid w:val="539C1B81"/>
    <w:rsid w:val="53AA6184"/>
    <w:rsid w:val="53AE750F"/>
    <w:rsid w:val="53EB0895"/>
    <w:rsid w:val="53F263AD"/>
    <w:rsid w:val="54693932"/>
    <w:rsid w:val="549A6BFA"/>
    <w:rsid w:val="54A6423F"/>
    <w:rsid w:val="54E72921"/>
    <w:rsid w:val="55806F07"/>
    <w:rsid w:val="55A44ACC"/>
    <w:rsid w:val="55F66200"/>
    <w:rsid w:val="55FA2961"/>
    <w:rsid w:val="565E7F4F"/>
    <w:rsid w:val="56775789"/>
    <w:rsid w:val="56857D06"/>
    <w:rsid w:val="56914056"/>
    <w:rsid w:val="569F0E63"/>
    <w:rsid w:val="56C47C7B"/>
    <w:rsid w:val="56DB613D"/>
    <w:rsid w:val="570A72F7"/>
    <w:rsid w:val="573810DA"/>
    <w:rsid w:val="57C576B9"/>
    <w:rsid w:val="57FC2169"/>
    <w:rsid w:val="58096275"/>
    <w:rsid w:val="580E4560"/>
    <w:rsid w:val="581514BA"/>
    <w:rsid w:val="581C04F1"/>
    <w:rsid w:val="582E6EF7"/>
    <w:rsid w:val="58434392"/>
    <w:rsid w:val="584E30E6"/>
    <w:rsid w:val="59014D02"/>
    <w:rsid w:val="59107CA7"/>
    <w:rsid w:val="592E16F6"/>
    <w:rsid w:val="597B384D"/>
    <w:rsid w:val="59996DA8"/>
    <w:rsid w:val="59AC3CE9"/>
    <w:rsid w:val="59C30F1B"/>
    <w:rsid w:val="5A0D5854"/>
    <w:rsid w:val="5A20156F"/>
    <w:rsid w:val="5A2A32CF"/>
    <w:rsid w:val="5A9847F3"/>
    <w:rsid w:val="5AC7121C"/>
    <w:rsid w:val="5AD90B8D"/>
    <w:rsid w:val="5AE12927"/>
    <w:rsid w:val="5B2243E9"/>
    <w:rsid w:val="5B4E1A44"/>
    <w:rsid w:val="5B666742"/>
    <w:rsid w:val="5B6919B0"/>
    <w:rsid w:val="5B873201"/>
    <w:rsid w:val="5B89551D"/>
    <w:rsid w:val="5B967767"/>
    <w:rsid w:val="5B9E55DE"/>
    <w:rsid w:val="5BBB4981"/>
    <w:rsid w:val="5BEB3C95"/>
    <w:rsid w:val="5C1D18D2"/>
    <w:rsid w:val="5C286807"/>
    <w:rsid w:val="5C446BC8"/>
    <w:rsid w:val="5C4C687B"/>
    <w:rsid w:val="5C527522"/>
    <w:rsid w:val="5C7C2768"/>
    <w:rsid w:val="5CB23AE6"/>
    <w:rsid w:val="5CF55792"/>
    <w:rsid w:val="5CFD533A"/>
    <w:rsid w:val="5D2F72C2"/>
    <w:rsid w:val="5D893B14"/>
    <w:rsid w:val="5E2810D5"/>
    <w:rsid w:val="5E2B7D62"/>
    <w:rsid w:val="5E71411E"/>
    <w:rsid w:val="5EA06921"/>
    <w:rsid w:val="5ED5006A"/>
    <w:rsid w:val="5F0316A2"/>
    <w:rsid w:val="5F236957"/>
    <w:rsid w:val="5F576E4B"/>
    <w:rsid w:val="5F5D4EDE"/>
    <w:rsid w:val="5F7A2C30"/>
    <w:rsid w:val="5FBE370A"/>
    <w:rsid w:val="5FD62906"/>
    <w:rsid w:val="60120EAD"/>
    <w:rsid w:val="601D10FB"/>
    <w:rsid w:val="60292845"/>
    <w:rsid w:val="60403E3A"/>
    <w:rsid w:val="60B31ADC"/>
    <w:rsid w:val="60E973AF"/>
    <w:rsid w:val="60EC42BE"/>
    <w:rsid w:val="61027308"/>
    <w:rsid w:val="612E1A5D"/>
    <w:rsid w:val="616A73F6"/>
    <w:rsid w:val="61816046"/>
    <w:rsid w:val="62182687"/>
    <w:rsid w:val="62391564"/>
    <w:rsid w:val="626650C3"/>
    <w:rsid w:val="62816669"/>
    <w:rsid w:val="62BA0953"/>
    <w:rsid w:val="62D03A7C"/>
    <w:rsid w:val="62F16BCB"/>
    <w:rsid w:val="62F648FE"/>
    <w:rsid w:val="63341DB1"/>
    <w:rsid w:val="63447612"/>
    <w:rsid w:val="63676048"/>
    <w:rsid w:val="63907004"/>
    <w:rsid w:val="639A73C1"/>
    <w:rsid w:val="63A10995"/>
    <w:rsid w:val="63A573AB"/>
    <w:rsid w:val="63C23EFA"/>
    <w:rsid w:val="63DF6605"/>
    <w:rsid w:val="63E52E10"/>
    <w:rsid w:val="63FC6919"/>
    <w:rsid w:val="640F0771"/>
    <w:rsid w:val="643A070A"/>
    <w:rsid w:val="64435DD5"/>
    <w:rsid w:val="644C573D"/>
    <w:rsid w:val="64660CBB"/>
    <w:rsid w:val="64831534"/>
    <w:rsid w:val="648667A7"/>
    <w:rsid w:val="64A43E0A"/>
    <w:rsid w:val="64DB383A"/>
    <w:rsid w:val="65032F85"/>
    <w:rsid w:val="65136B50"/>
    <w:rsid w:val="657E2A35"/>
    <w:rsid w:val="6588751C"/>
    <w:rsid w:val="65A94E9D"/>
    <w:rsid w:val="65C60A92"/>
    <w:rsid w:val="65C7105B"/>
    <w:rsid w:val="65F3550D"/>
    <w:rsid w:val="662203DD"/>
    <w:rsid w:val="66381008"/>
    <w:rsid w:val="66576253"/>
    <w:rsid w:val="666B723B"/>
    <w:rsid w:val="6678045A"/>
    <w:rsid w:val="66DD6702"/>
    <w:rsid w:val="6791021F"/>
    <w:rsid w:val="679406CB"/>
    <w:rsid w:val="67C35C0B"/>
    <w:rsid w:val="681233D2"/>
    <w:rsid w:val="681D5EE5"/>
    <w:rsid w:val="68652AB3"/>
    <w:rsid w:val="688B6C68"/>
    <w:rsid w:val="689F1926"/>
    <w:rsid w:val="68AD17BB"/>
    <w:rsid w:val="68D94D22"/>
    <w:rsid w:val="692B2E4A"/>
    <w:rsid w:val="694303FB"/>
    <w:rsid w:val="695452C0"/>
    <w:rsid w:val="696A0B34"/>
    <w:rsid w:val="698D6A17"/>
    <w:rsid w:val="69A233E7"/>
    <w:rsid w:val="69EC5741"/>
    <w:rsid w:val="69EE3535"/>
    <w:rsid w:val="69F954C1"/>
    <w:rsid w:val="6A2031B6"/>
    <w:rsid w:val="6A440C53"/>
    <w:rsid w:val="6A4E34B3"/>
    <w:rsid w:val="6A882AD0"/>
    <w:rsid w:val="6AC61F6F"/>
    <w:rsid w:val="6ADE74F0"/>
    <w:rsid w:val="6AE30904"/>
    <w:rsid w:val="6B1002C0"/>
    <w:rsid w:val="6B1F5CFA"/>
    <w:rsid w:val="6B723594"/>
    <w:rsid w:val="6B805156"/>
    <w:rsid w:val="6BD50977"/>
    <w:rsid w:val="6BEA2A9B"/>
    <w:rsid w:val="6C9C0875"/>
    <w:rsid w:val="6C9D1F03"/>
    <w:rsid w:val="6CAA3931"/>
    <w:rsid w:val="6D3933CA"/>
    <w:rsid w:val="6D7B61EC"/>
    <w:rsid w:val="6DD049FF"/>
    <w:rsid w:val="6E09491E"/>
    <w:rsid w:val="6E0D3655"/>
    <w:rsid w:val="6E5F4465"/>
    <w:rsid w:val="6E8C54DA"/>
    <w:rsid w:val="6EBC0603"/>
    <w:rsid w:val="6EF11E03"/>
    <w:rsid w:val="6F111C62"/>
    <w:rsid w:val="6F2176E5"/>
    <w:rsid w:val="6F3053CA"/>
    <w:rsid w:val="6F36242A"/>
    <w:rsid w:val="6F3D0943"/>
    <w:rsid w:val="6F592303"/>
    <w:rsid w:val="6F5F5B74"/>
    <w:rsid w:val="6F8F583F"/>
    <w:rsid w:val="6F9B1C65"/>
    <w:rsid w:val="6FD47A25"/>
    <w:rsid w:val="6FF44026"/>
    <w:rsid w:val="6FFB146E"/>
    <w:rsid w:val="701A5C74"/>
    <w:rsid w:val="706516C3"/>
    <w:rsid w:val="70864A71"/>
    <w:rsid w:val="70896E68"/>
    <w:rsid w:val="70FE3F45"/>
    <w:rsid w:val="714556B4"/>
    <w:rsid w:val="715B60E9"/>
    <w:rsid w:val="71685DAD"/>
    <w:rsid w:val="718F50E7"/>
    <w:rsid w:val="719646C8"/>
    <w:rsid w:val="71C07997"/>
    <w:rsid w:val="71E96309"/>
    <w:rsid w:val="71EA1FED"/>
    <w:rsid w:val="720A0C12"/>
    <w:rsid w:val="72181581"/>
    <w:rsid w:val="72284A0C"/>
    <w:rsid w:val="72854629"/>
    <w:rsid w:val="72A00C76"/>
    <w:rsid w:val="72C16204"/>
    <w:rsid w:val="730313F6"/>
    <w:rsid w:val="731E1007"/>
    <w:rsid w:val="73370D24"/>
    <w:rsid w:val="7359268C"/>
    <w:rsid w:val="739503EB"/>
    <w:rsid w:val="73A05B28"/>
    <w:rsid w:val="73C07D69"/>
    <w:rsid w:val="73C51B31"/>
    <w:rsid w:val="73D26BA1"/>
    <w:rsid w:val="73E352ED"/>
    <w:rsid w:val="749E2255"/>
    <w:rsid w:val="74B42AE4"/>
    <w:rsid w:val="750A429D"/>
    <w:rsid w:val="75167F59"/>
    <w:rsid w:val="755D38A7"/>
    <w:rsid w:val="755F5A0F"/>
    <w:rsid w:val="75614792"/>
    <w:rsid w:val="75784473"/>
    <w:rsid w:val="757E044C"/>
    <w:rsid w:val="75911EAF"/>
    <w:rsid w:val="75977BC3"/>
    <w:rsid w:val="75B161B3"/>
    <w:rsid w:val="75E470E3"/>
    <w:rsid w:val="76736B32"/>
    <w:rsid w:val="76E3765E"/>
    <w:rsid w:val="76F016FB"/>
    <w:rsid w:val="76FC2AFA"/>
    <w:rsid w:val="77310AF7"/>
    <w:rsid w:val="773F0836"/>
    <w:rsid w:val="77653671"/>
    <w:rsid w:val="778546CC"/>
    <w:rsid w:val="77AD4519"/>
    <w:rsid w:val="77B56730"/>
    <w:rsid w:val="77C04A8B"/>
    <w:rsid w:val="77D85DB3"/>
    <w:rsid w:val="780252A0"/>
    <w:rsid w:val="78027772"/>
    <w:rsid w:val="78A50513"/>
    <w:rsid w:val="78EE1700"/>
    <w:rsid w:val="793B7339"/>
    <w:rsid w:val="796518DD"/>
    <w:rsid w:val="796C2EB5"/>
    <w:rsid w:val="796E0C55"/>
    <w:rsid w:val="797C5614"/>
    <w:rsid w:val="79AA0532"/>
    <w:rsid w:val="79BF1AA6"/>
    <w:rsid w:val="79D65C3B"/>
    <w:rsid w:val="79DB3725"/>
    <w:rsid w:val="79F70999"/>
    <w:rsid w:val="79FE1DDD"/>
    <w:rsid w:val="7A075767"/>
    <w:rsid w:val="7A212062"/>
    <w:rsid w:val="7A282A11"/>
    <w:rsid w:val="7A2F56B9"/>
    <w:rsid w:val="7A985EB7"/>
    <w:rsid w:val="7A9E3ACF"/>
    <w:rsid w:val="7AB90FF6"/>
    <w:rsid w:val="7AC21562"/>
    <w:rsid w:val="7AD474A4"/>
    <w:rsid w:val="7B115232"/>
    <w:rsid w:val="7B401C35"/>
    <w:rsid w:val="7B416BDC"/>
    <w:rsid w:val="7B5350AD"/>
    <w:rsid w:val="7B6867EB"/>
    <w:rsid w:val="7B697C89"/>
    <w:rsid w:val="7B7635D5"/>
    <w:rsid w:val="7B8A6B62"/>
    <w:rsid w:val="7B8D34C3"/>
    <w:rsid w:val="7B971D84"/>
    <w:rsid w:val="7BF32F03"/>
    <w:rsid w:val="7C127041"/>
    <w:rsid w:val="7C1724A5"/>
    <w:rsid w:val="7C6C6442"/>
    <w:rsid w:val="7C8E3CCF"/>
    <w:rsid w:val="7CA54112"/>
    <w:rsid w:val="7CE50CE4"/>
    <w:rsid w:val="7D2E5ABF"/>
    <w:rsid w:val="7DCA1E7A"/>
    <w:rsid w:val="7E2142A2"/>
    <w:rsid w:val="7E4F5384"/>
    <w:rsid w:val="7E5A6DFA"/>
    <w:rsid w:val="7E7B0BF2"/>
    <w:rsid w:val="7E7C7A78"/>
    <w:rsid w:val="7E8D75B6"/>
    <w:rsid w:val="7EB2417D"/>
    <w:rsid w:val="7EF760EE"/>
    <w:rsid w:val="7F2A21E7"/>
    <w:rsid w:val="7F613A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outlineLvl w:val="2"/>
    </w:pPr>
    <w:rPr>
      <w:b/>
      <w:bCs/>
      <w:sz w:val="28"/>
      <w:szCs w:val="32"/>
    </w:rPr>
  </w:style>
  <w:style w:type="paragraph" w:styleId="5">
    <w:name w:val="heading 4"/>
    <w:basedOn w:val="1"/>
    <w:next w:val="1"/>
    <w:link w:val="36"/>
    <w:unhideWhenUsed/>
    <w:qFormat/>
    <w:uiPriority w:val="9"/>
    <w:pPr>
      <w:keepNext/>
      <w:keepLines/>
      <w:outlineLvl w:val="3"/>
    </w:pPr>
    <w:rPr>
      <w:rFonts w:asciiTheme="majorHAnsi" w:hAnsiTheme="majorHAnsi" w:cstheme="majorBidi"/>
      <w:b/>
      <w:bCs/>
      <w:sz w:val="24"/>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next w:val="8"/>
    <w:qFormat/>
    <w:uiPriority w:val="1"/>
    <w:pPr>
      <w:spacing w:before="161"/>
      <w:ind w:left="120"/>
    </w:pPr>
    <w:rPr>
      <w:rFonts w:ascii="宋体" w:hAnsi="宋体" w:cs="宋体"/>
      <w:sz w:val="24"/>
      <w:lang w:val="zh-CN" w:bidi="zh-CN"/>
    </w:rPr>
  </w:style>
  <w:style w:type="paragraph" w:styleId="8">
    <w:name w:val="Body Text First Indent"/>
    <w:basedOn w:val="7"/>
    <w:unhideWhenUsed/>
    <w:qFormat/>
    <w:uiPriority w:val="99"/>
    <w:pPr>
      <w:ind w:firstLine="420" w:firstLineChars="100"/>
    </w:pPr>
    <w:rPr>
      <w:rFonts w:ascii="Times New Roman" w:hAnsi="Times New Roman" w:cs="Times New Roman"/>
    </w:rPr>
  </w:style>
  <w:style w:type="paragraph" w:styleId="9">
    <w:name w:val="toc 3"/>
    <w:basedOn w:val="1"/>
    <w:next w:val="1"/>
    <w:unhideWhenUsed/>
    <w:qFormat/>
    <w:uiPriority w:val="39"/>
    <w:pPr>
      <w:tabs>
        <w:tab w:val="right" w:leader="dot" w:pos="8296"/>
      </w:tabs>
      <w:ind w:left="838" w:leftChars="381"/>
    </w:pPr>
    <w:rPr>
      <w:szCs w:val="21"/>
    </w:rPr>
  </w:style>
  <w:style w:type="paragraph" w:styleId="10">
    <w:name w:val="Plain Text"/>
    <w:basedOn w:val="1"/>
    <w:link w:val="47"/>
    <w:qFormat/>
    <w:uiPriority w:val="0"/>
    <w:pPr>
      <w:widowControl w:val="0"/>
      <w:adjustRightInd/>
      <w:snapToGrid/>
      <w:jc w:val="both"/>
    </w:pPr>
    <w:rPr>
      <w:rFonts w:ascii="宋体" w:hAnsi="Courier New" w:cs="Times New Roman"/>
      <w:b/>
      <w:kern w:val="2"/>
      <w:szCs w:val="20"/>
    </w:rPr>
  </w:style>
  <w:style w:type="paragraph" w:styleId="11">
    <w:name w:val="Body Text Indent 2"/>
    <w:basedOn w:val="1"/>
    <w:qFormat/>
    <w:uiPriority w:val="0"/>
    <w:pPr>
      <w:ind w:firstLine="539" w:firstLineChars="174"/>
    </w:pPr>
    <w:rPr>
      <w:rFonts w:ascii="仿宋_GB2312" w:eastAsia="仿宋_GB2312"/>
      <w:sz w:val="31"/>
    </w:rPr>
  </w:style>
  <w:style w:type="paragraph" w:styleId="12">
    <w:name w:val="Balloon Text"/>
    <w:basedOn w:val="1"/>
    <w:link w:val="50"/>
    <w:semiHidden/>
    <w:unhideWhenUsed/>
    <w:qFormat/>
    <w:uiPriority w:val="99"/>
    <w:rPr>
      <w:sz w:val="18"/>
      <w:szCs w:val="18"/>
    </w:rPr>
  </w:style>
  <w:style w:type="paragraph" w:styleId="13">
    <w:name w:val="footer"/>
    <w:basedOn w:val="1"/>
    <w:link w:val="49"/>
    <w:unhideWhenUsed/>
    <w:qFormat/>
    <w:uiPriority w:val="99"/>
    <w:pPr>
      <w:tabs>
        <w:tab w:val="center" w:pos="4153"/>
        <w:tab w:val="right" w:pos="8306"/>
      </w:tabs>
    </w:pPr>
    <w:rPr>
      <w:sz w:val="18"/>
      <w:szCs w:val="18"/>
    </w:rPr>
  </w:style>
  <w:style w:type="paragraph" w:styleId="14">
    <w:name w:val="header"/>
    <w:basedOn w:val="1"/>
    <w:link w:val="48"/>
    <w:unhideWhenUsed/>
    <w:qFormat/>
    <w:uiPriority w:val="99"/>
    <w:pPr>
      <w:pBdr>
        <w:bottom w:val="single" w:color="auto" w:sz="6" w:space="1"/>
      </w:pBdr>
      <w:tabs>
        <w:tab w:val="center" w:pos="4153"/>
        <w:tab w:val="right" w:pos="8306"/>
      </w:tabs>
      <w:jc w:val="center"/>
    </w:pPr>
    <w:rPr>
      <w:sz w:val="18"/>
      <w:szCs w:val="18"/>
    </w:rPr>
  </w:style>
  <w:style w:type="paragraph" w:styleId="15">
    <w:name w:val="toc 1"/>
    <w:basedOn w:val="1"/>
    <w:next w:val="1"/>
    <w:semiHidden/>
    <w:unhideWhenUsed/>
    <w:qFormat/>
    <w:uiPriority w:val="39"/>
  </w:style>
  <w:style w:type="paragraph" w:styleId="16">
    <w:name w:val="toc 4"/>
    <w:basedOn w:val="1"/>
    <w:next w:val="1"/>
    <w:unhideWhenUsed/>
    <w:qFormat/>
    <w:uiPriority w:val="39"/>
    <w:pPr>
      <w:tabs>
        <w:tab w:val="right" w:leader="dot" w:pos="8296"/>
      </w:tabs>
      <w:spacing w:after="120"/>
      <w:ind w:left="1320" w:leftChars="600"/>
    </w:pPr>
  </w:style>
  <w:style w:type="paragraph" w:styleId="17">
    <w:name w:val="index heading"/>
    <w:basedOn w:val="1"/>
    <w:next w:val="18"/>
    <w:qFormat/>
    <w:uiPriority w:val="0"/>
    <w:rPr>
      <w:rFonts w:ascii="Times New Roman" w:hAnsi="Times New Roman"/>
      <w:szCs w:val="20"/>
    </w:rPr>
  </w:style>
  <w:style w:type="paragraph" w:styleId="18">
    <w:name w:val="index 1"/>
    <w:basedOn w:val="1"/>
    <w:next w:val="1"/>
    <w:unhideWhenUsed/>
    <w:qFormat/>
    <w:uiPriority w:val="99"/>
  </w:style>
  <w:style w:type="paragraph" w:styleId="19">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0">
    <w:name w:val="footnote text"/>
    <w:basedOn w:val="1"/>
    <w:semiHidden/>
    <w:unhideWhenUsed/>
    <w:qFormat/>
    <w:uiPriority w:val="99"/>
    <w:rPr>
      <w:sz w:val="18"/>
    </w:rPr>
  </w:style>
  <w:style w:type="paragraph" w:styleId="21">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2">
    <w:name w:val="Normal (Web)"/>
    <w:basedOn w:val="1"/>
    <w:link w:val="52"/>
    <w:qFormat/>
    <w:uiPriority w:val="0"/>
    <w:pPr>
      <w:widowControl w:val="0"/>
      <w:adjustRightInd/>
      <w:snapToGrid/>
      <w:jc w:val="both"/>
    </w:pPr>
    <w:rPr>
      <w:rFonts w:asciiTheme="minorHAnsi" w:hAnsiTheme="minorHAnsi"/>
      <w:kern w:val="2"/>
      <w:sz w:val="24"/>
      <w:szCs w:val="24"/>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Emphasis"/>
    <w:basedOn w:val="25"/>
    <w:qFormat/>
    <w:uiPriority w:val="20"/>
    <w:rPr>
      <w:i/>
      <w:iCs/>
    </w:rPr>
  </w:style>
  <w:style w:type="character" w:styleId="28">
    <w:name w:val="Hyperlink"/>
    <w:qFormat/>
    <w:uiPriority w:val="99"/>
    <w:rPr>
      <w:rFonts w:hint="eastAsia" w:ascii="宋体" w:hAnsi="宋体" w:eastAsia="宋体" w:cs="宋体"/>
      <w:b/>
      <w:color w:val="0031C1"/>
      <w:kern w:val="0"/>
      <w:sz w:val="18"/>
      <w:szCs w:val="18"/>
      <w:u w:val="none"/>
      <w:lang w:eastAsia="en-US"/>
    </w:rPr>
  </w:style>
  <w:style w:type="character" w:styleId="29">
    <w:name w:val="annotation reference"/>
    <w:basedOn w:val="25"/>
    <w:semiHidden/>
    <w:unhideWhenUsed/>
    <w:qFormat/>
    <w:uiPriority w:val="99"/>
    <w:rPr>
      <w:sz w:val="21"/>
      <w:szCs w:val="21"/>
    </w:rPr>
  </w:style>
  <w:style w:type="character" w:styleId="30">
    <w:name w:val="footnote reference"/>
    <w:basedOn w:val="25"/>
    <w:semiHidden/>
    <w:unhideWhenUsed/>
    <w:qFormat/>
    <w:uiPriority w:val="99"/>
    <w:rPr>
      <w:vertAlign w:val="superscript"/>
    </w:rPr>
  </w:style>
  <w:style w:type="paragraph" w:customStyle="1" w:styleId="31">
    <w:name w:val="Body Text First Indent1"/>
    <w:next w:val="1"/>
    <w:qFormat/>
    <w:uiPriority w:val="0"/>
    <w:pPr>
      <w:widowControl w:val="0"/>
      <w:spacing w:beforeLines="5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32">
    <w:name w:val="表格文字"/>
    <w:basedOn w:val="1"/>
    <w:qFormat/>
    <w:uiPriority w:val="0"/>
    <w:pPr>
      <w:adjustRightInd/>
      <w:spacing w:before="25" w:after="25"/>
    </w:pPr>
    <w:rPr>
      <w:rFonts w:ascii="Times New Roman"/>
      <w:bCs/>
      <w:spacing w:val="10"/>
      <w:szCs w:val="20"/>
    </w:rPr>
  </w:style>
  <w:style w:type="character" w:customStyle="1" w:styleId="33">
    <w:name w:val="标题 2 字符"/>
    <w:basedOn w:val="25"/>
    <w:link w:val="3"/>
    <w:qFormat/>
    <w:uiPriority w:val="9"/>
    <w:rPr>
      <w:rFonts w:asciiTheme="majorHAnsi" w:hAnsiTheme="majorHAnsi" w:eastAsiaTheme="majorEastAsia" w:cstheme="majorBidi"/>
      <w:b/>
      <w:bCs/>
      <w:sz w:val="32"/>
      <w:szCs w:val="32"/>
    </w:rPr>
  </w:style>
  <w:style w:type="character" w:customStyle="1" w:styleId="34">
    <w:name w:val="标题 3 字符"/>
    <w:basedOn w:val="25"/>
    <w:link w:val="4"/>
    <w:qFormat/>
    <w:uiPriority w:val="9"/>
    <w:rPr>
      <w:rFonts w:ascii="Tahoma" w:hAnsi="Tahoma" w:eastAsia="宋体"/>
      <w:b/>
      <w:bCs/>
      <w:sz w:val="28"/>
      <w:szCs w:val="32"/>
    </w:rPr>
  </w:style>
  <w:style w:type="paragraph" w:styleId="35">
    <w:name w:val="List Paragraph"/>
    <w:basedOn w:val="1"/>
    <w:qFormat/>
    <w:uiPriority w:val="34"/>
    <w:pPr>
      <w:ind w:firstLine="420" w:firstLineChars="200"/>
    </w:pPr>
  </w:style>
  <w:style w:type="character" w:customStyle="1" w:styleId="36">
    <w:name w:val="标题 4 字符"/>
    <w:basedOn w:val="25"/>
    <w:link w:val="5"/>
    <w:qFormat/>
    <w:uiPriority w:val="9"/>
    <w:rPr>
      <w:rFonts w:eastAsia="宋体" w:asciiTheme="majorHAnsi" w:hAnsiTheme="majorHAnsi" w:cstheme="majorBidi"/>
      <w:b/>
      <w:bCs/>
      <w:sz w:val="24"/>
      <w:szCs w:val="28"/>
    </w:rPr>
  </w:style>
  <w:style w:type="character" w:customStyle="1" w:styleId="37">
    <w:name w:val="正文缩进2格 Char"/>
    <w:link w:val="38"/>
    <w:qFormat/>
    <w:uiPriority w:val="0"/>
    <w:rPr>
      <w:rFonts w:ascii="仿宋_GB2312" w:hAnsi="宋体" w:eastAsia="仿宋_GB2312"/>
      <w:kern w:val="2"/>
      <w:sz w:val="31"/>
    </w:rPr>
  </w:style>
  <w:style w:type="paragraph" w:customStyle="1" w:styleId="38">
    <w:name w:val="正文缩进2格"/>
    <w:basedOn w:val="1"/>
    <w:next w:val="1"/>
    <w:link w:val="37"/>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39">
    <w:name w:val="正文缩进4格"/>
    <w:basedOn w:val="38"/>
    <w:qFormat/>
    <w:uiPriority w:val="0"/>
    <w:pPr>
      <w:ind w:left="2" w:firstLine="538" w:firstLineChars="192"/>
    </w:pPr>
    <w:rPr>
      <w:color w:val="0000FF"/>
      <w:sz w:val="28"/>
    </w:rPr>
  </w:style>
  <w:style w:type="character" w:customStyle="1" w:styleId="40">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1">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2">
    <w:name w:val="标题1"/>
    <w:qFormat/>
    <w:uiPriority w:val="0"/>
    <w:rPr>
      <w:rFonts w:ascii="Times New Roman" w:hAnsi="Times New Roman" w:eastAsia="宋体" w:cs="Times New Roman"/>
      <w:b/>
      <w:kern w:val="0"/>
      <w:sz w:val="24"/>
      <w:szCs w:val="20"/>
      <w:lang w:eastAsia="en-US"/>
    </w:rPr>
  </w:style>
  <w:style w:type="character" w:customStyle="1" w:styleId="43">
    <w:name w:val="标题 3.1 Char"/>
    <w:link w:val="44"/>
    <w:qFormat/>
    <w:uiPriority w:val="0"/>
    <w:rPr>
      <w:rFonts w:ascii="宋体" w:hAnsi="宋体" w:eastAsia="宋体"/>
      <w:b/>
      <w:color w:val="FF0000"/>
      <w:kern w:val="2"/>
      <w:sz w:val="32"/>
    </w:rPr>
  </w:style>
  <w:style w:type="paragraph" w:customStyle="1" w:styleId="44">
    <w:name w:val="标题 3.1"/>
    <w:basedOn w:val="4"/>
    <w:link w:val="43"/>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45">
    <w:name w:val="样式 楷体_GB2312 小四"/>
    <w:qFormat/>
    <w:uiPriority w:val="0"/>
    <w:rPr>
      <w:rFonts w:ascii="楷体_GB2312" w:hAnsi="楷体_GB2312" w:eastAsia="仿宋_GB2312"/>
      <w:sz w:val="24"/>
    </w:rPr>
  </w:style>
  <w:style w:type="character" w:customStyle="1" w:styleId="46">
    <w:name w:val="纯文本 Char"/>
    <w:qFormat/>
    <w:uiPriority w:val="0"/>
    <w:rPr>
      <w:rFonts w:ascii="宋体" w:hAnsi="Courier New" w:eastAsia="宋体" w:cs="Times New Roman"/>
      <w:b/>
      <w:kern w:val="2"/>
      <w:sz w:val="21"/>
      <w:szCs w:val="20"/>
    </w:rPr>
  </w:style>
  <w:style w:type="character" w:customStyle="1" w:styleId="47">
    <w:name w:val="纯文本 字符"/>
    <w:basedOn w:val="25"/>
    <w:link w:val="10"/>
    <w:semiHidden/>
    <w:qFormat/>
    <w:uiPriority w:val="99"/>
    <w:rPr>
      <w:rFonts w:ascii="宋体" w:hAnsi="Courier New" w:eastAsia="宋体" w:cs="Courier New"/>
      <w:sz w:val="21"/>
      <w:szCs w:val="21"/>
    </w:rPr>
  </w:style>
  <w:style w:type="character" w:customStyle="1" w:styleId="48">
    <w:name w:val="页眉 字符"/>
    <w:basedOn w:val="25"/>
    <w:link w:val="14"/>
    <w:qFormat/>
    <w:uiPriority w:val="99"/>
    <w:rPr>
      <w:rFonts w:ascii="Tahoma" w:hAnsi="Tahoma"/>
      <w:sz w:val="18"/>
      <w:szCs w:val="18"/>
    </w:rPr>
  </w:style>
  <w:style w:type="character" w:customStyle="1" w:styleId="49">
    <w:name w:val="页脚 字符"/>
    <w:basedOn w:val="25"/>
    <w:link w:val="13"/>
    <w:qFormat/>
    <w:uiPriority w:val="99"/>
    <w:rPr>
      <w:rFonts w:ascii="Tahoma" w:hAnsi="Tahoma"/>
      <w:sz w:val="18"/>
      <w:szCs w:val="18"/>
    </w:rPr>
  </w:style>
  <w:style w:type="character" w:customStyle="1" w:styleId="50">
    <w:name w:val="批注框文本 字符"/>
    <w:basedOn w:val="25"/>
    <w:link w:val="12"/>
    <w:semiHidden/>
    <w:qFormat/>
    <w:uiPriority w:val="99"/>
    <w:rPr>
      <w:rFonts w:ascii="Tahoma" w:hAnsi="Tahoma"/>
      <w:sz w:val="18"/>
      <w:szCs w:val="18"/>
    </w:rPr>
  </w:style>
  <w:style w:type="paragraph" w:customStyle="1" w:styleId="51">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2">
    <w:name w:val="普通(网站) 字符"/>
    <w:link w:val="22"/>
    <w:qFormat/>
    <w:uiPriority w:val="0"/>
    <w:rPr>
      <w:rFonts w:eastAsia="宋体"/>
      <w:kern w:val="2"/>
      <w:sz w:val="24"/>
      <w:szCs w:val="24"/>
    </w:rPr>
  </w:style>
  <w:style w:type="paragraph" w:customStyle="1" w:styleId="53">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54">
    <w:name w:val="p141"/>
    <w:qFormat/>
    <w:uiPriority w:val="0"/>
    <w:rPr>
      <w:sz w:val="21"/>
      <w:szCs w:val="21"/>
    </w:rPr>
  </w:style>
  <w:style w:type="paragraph" w:customStyle="1" w:styleId="55">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56">
    <w:name w:val="正文无缩进"/>
    <w:basedOn w:val="38"/>
    <w:qFormat/>
    <w:uiPriority w:val="0"/>
    <w:pPr>
      <w:ind w:firstLine="0" w:firstLineChars="0"/>
    </w:pPr>
  </w:style>
  <w:style w:type="paragraph" w:customStyle="1" w:styleId="5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datastoreItem>
</file>

<file path=docProps/app.xml><?xml version="1.0" encoding="utf-8"?>
<Properties xmlns="http://schemas.openxmlformats.org/officeDocument/2006/extended-properties" xmlns:vt="http://schemas.openxmlformats.org/officeDocument/2006/docPropsVTypes">
  <Template>Normal</Template>
  <Pages>70</Pages>
  <Words>3721</Words>
  <Characters>4213</Characters>
  <Lines>1575</Lines>
  <Paragraphs>1658</Paragraphs>
  <TotalTime>4</TotalTime>
  <ScaleCrop>false</ScaleCrop>
  <LinksUpToDate>false</LinksUpToDate>
  <CharactersWithSpaces>4391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JT</cp:lastModifiedBy>
  <cp:lastPrinted>2026-04-15T07:02:00Z</cp:lastPrinted>
  <dcterms:modified xsi:type="dcterms:W3CDTF">2026-07-29T09:26:52Z</dcterms:modified>
  <dc:subject>公开招标文件版本</dc:subject>
  <dc:title>公开招标文件版本</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E5B75E3E945A461B97EABE9E45001BBE_13</vt:lpwstr>
  </property>
  <property fmtid="{D5CDD505-2E9C-101B-9397-08002B2CF9AE}" pid="4" name="KSOTemplateDocerSaveRecord">
    <vt:lpwstr>eyJoZGlkIjoiNmM1MDBkMjlmY2UwNzIwYjliNzE3ZDM5ZDYxNGMzYjgiLCJ1c2VySWQiOiIzNTk2Mjk2NzAifQ==</vt:lpwstr>
  </property>
</Properties>
</file>