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441900029-2025-01107</w:t>
      </w:r>
    </w:p>
    <w:p>
      <w:pPr>
        <w:pStyle w:val="null3"/>
        <w:jc w:val="center"/>
        <w:outlineLvl w:val="3"/>
      </w:pPr>
      <w:r>
        <w:rPr>
          <w:sz w:val="24"/>
          <w:b/>
        </w:rPr>
        <w:t>采购项目编号：</w:t>
      </w:r>
      <w:r>
        <w:rPr>
          <w:sz w:val="24"/>
          <w:b/>
        </w:rPr>
        <w:t>441900029-2025-01107</w:t>
      </w:r>
    </w:p>
    <w:p>
      <w:pPr>
        <w:pStyle w:val="null3"/>
        <w:jc w:val="center"/>
        <w:outlineLvl w:val="3"/>
      </w:pPr>
      <w:r>
        <w:rPr>
          <w:sz w:val="24"/>
          <w:b/>
        </w:rPr>
        <w:t>项目名称：</w:t>
      </w:r>
      <w:r>
        <w:rPr>
          <w:sz w:val="24"/>
          <w:b/>
        </w:rPr>
        <w:t>厚街镇中心区生活垃圾收运项目</w:t>
      </w:r>
    </w:p>
    <w:p>
      <w:pPr>
        <w:pStyle w:val="null3"/>
        <w:jc w:val="center"/>
        <w:outlineLvl w:val="3"/>
      </w:pPr>
      <w:r>
        <w:rPr>
          <w:sz w:val="24"/>
          <w:b/>
        </w:rPr>
        <w:t>采购人：</w:t>
      </w:r>
      <w:r>
        <w:rPr>
          <w:sz w:val="24"/>
          <w:b/>
        </w:rPr>
        <w:t>东莞市厚街镇公用事业服务中心</w:t>
      </w:r>
    </w:p>
    <w:p>
      <w:pPr>
        <w:pStyle w:val="null3"/>
        <w:jc w:val="center"/>
        <w:outlineLvl w:val="3"/>
      </w:pPr>
      <w:r>
        <w:rPr>
          <w:sz w:val="24"/>
          <w:b/>
        </w:rPr>
        <w:t>采购代理机构：</w:t>
      </w:r>
      <w:r>
        <w:rPr>
          <w:sz w:val="24"/>
          <w:b/>
        </w:rPr>
        <w:t>广东政通招标有限公司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广东政通招标有限公司</w:t>
      </w:r>
      <w:r>
        <w:rPr/>
        <w:t>受</w:t>
      </w:r>
      <w:r>
        <w:rPr/>
        <w:t>东莞市厚街镇公用事业服务中心</w:t>
      </w:r>
      <w:r>
        <w:rPr/>
        <w:t>的委托，采用</w:t>
      </w:r>
      <w:r>
        <w:rPr/>
        <w:t>公开招标</w:t>
      </w:r>
      <w:r>
        <w:rPr/>
        <w:t>方式组织采购</w:t>
      </w:r>
      <w:r>
        <w:rPr/>
        <w:t>厚街镇中心区生活垃圾收运项目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厚街镇中心区生活垃圾收运项目</w:t>
      </w:r>
    </w:p>
    <w:p>
      <w:pPr>
        <w:pStyle w:val="null3"/>
        <w:ind w:firstLine="480"/>
      </w:pPr>
      <w:r>
        <w:rPr/>
        <w:t>采购计划编号：</w:t>
      </w:r>
      <w:r>
        <w:rPr/>
        <w:t>441900029-2025-01107</w:t>
      </w:r>
    </w:p>
    <w:p>
      <w:pPr>
        <w:pStyle w:val="null3"/>
        <w:ind w:firstLine="480"/>
      </w:pPr>
      <w:r>
        <w:rPr/>
        <w:t>采购项目编号：</w:t>
      </w:r>
      <w:r>
        <w:rPr/>
        <w:t>441900029-2025-01107</w:t>
      </w:r>
    </w:p>
    <w:p>
      <w:pPr>
        <w:pStyle w:val="null3"/>
        <w:ind w:firstLine="480"/>
      </w:pPr>
      <w:r>
        <w:rPr/>
        <w:t>采购方式：</w:t>
      </w:r>
      <w:r>
        <w:rPr/>
        <w:t>公开招标</w:t>
      </w:r>
    </w:p>
    <w:p>
      <w:pPr>
        <w:pStyle w:val="null3"/>
        <w:ind w:firstLine="480"/>
      </w:pPr>
      <w:r>
        <w:rPr/>
        <w:t>预算金额：</w:t>
      </w:r>
      <w:r>
        <w:rPr/>
        <w:t>7,333,333.33</w:t>
      </w:r>
      <w:r>
        <w:rPr/>
        <w:t>元</w:t>
      </w:r>
    </w:p>
    <w:p>
      <w:pPr>
        <w:pStyle w:val="null3"/>
        <w:outlineLvl w:val="3"/>
      </w:pPr>
      <w:r>
        <w:rPr>
          <w:sz w:val="24"/>
          <w:b/>
        </w:rPr>
        <w:t>2.项目内容及需求情况（采购项目技术规格、参数及要求）</w:t>
      </w:r>
    </w:p>
    <w:p>
      <w:pPr>
        <w:pStyle w:val="null3"/>
      </w:pPr>
      <w:r>
        <w:rPr/>
        <w:t>采购包1(厚街镇中心区生活垃圾收运项目):</w:t>
      </w:r>
    </w:p>
    <w:p>
      <w:pPr>
        <w:pStyle w:val="null3"/>
      </w:pPr>
      <w:r>
        <w:rPr/>
        <w:t>采购包预算金额：7,333,333.33元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其他城镇公共卫生服务</w:t>
            </w:r>
          </w:p>
        </w:tc>
        <w:tc>
          <w:tcPr>
            <w:tcW w:type="dxa" w:w="2052"/>
          </w:tcPr>
          <w:p>
            <w:pPr>
              <w:pStyle w:val="null3"/>
            </w:pPr>
            <w:r>
              <w:rPr/>
              <w:t>厚街镇中心区生活垃圾收运项目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7,333,333.33</w:t>
            </w:r>
          </w:p>
        </w:tc>
        <w:tc>
          <w:tcPr>
            <w:tcW w:type="dxa" w:w="977"/>
          </w:tcPr>
          <w:p>
            <w:pPr>
              <w:pStyle w:val="null3"/>
            </w:pPr>
            <w:r>
              <w:rPr/>
              <w:t>否</w:t>
            </w:r>
          </w:p>
        </w:tc>
      </w:tr>
    </w:tbl>
    <w:p>
      <w:pPr>
        <w:pStyle w:val="null3"/>
      </w:pPr>
      <w:r>
        <w:rPr/>
        <w:t>本采购包接受联合体投标</w:t>
      </w:r>
    </w:p>
    <w:p>
      <w:pPr>
        <w:pStyle w:val="null3"/>
      </w:pPr>
      <w:r>
        <w:rPr/>
        <w:t>合同分包：不允许合同分包</w:t>
      </w:r>
    </w:p>
    <w:p>
      <w:pPr>
        <w:pStyle w:val="null3"/>
      </w:pPr>
      <w:r>
        <w:rPr/>
        <w:t>合同履行期限：自合同签订之日起16个月（自2026年3月1日起至2027年6月30日），具体时间以合同签订为准。</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2）有依法缴纳税收和社会保障资金的良好记录：投标（响应）文件中提供《资格条件承诺函》，可参考公告附件格式。</w:t>
      </w:r>
    </w:p>
    <w:p>
      <w:pPr>
        <w:pStyle w:val="null3"/>
      </w:pPr>
      <w:r>
        <w:rPr/>
        <w:t>3）具有良好的商业信誉和健全的财务会计制度：投标（响应）文件中提供《资格条件承诺函》，可参考公告附件格式。</w:t>
      </w:r>
    </w:p>
    <w:p>
      <w:pPr>
        <w:pStyle w:val="null3"/>
      </w:pPr>
      <w:r>
        <w:rPr/>
        <w:t>4）履行合同所必需的设备和专业技术能力：投标（响应）文件中提供《资格条件承诺函》，可参考公告附件格式。</w:t>
      </w:r>
    </w:p>
    <w:p>
      <w:pPr>
        <w:pStyle w:val="null3"/>
      </w:pPr>
      <w:r>
        <w:rPr/>
        <w:t>5）参加采购活动前3年内，在经营活动中没有重大违法记录：投标（响应）文件中提供《资格条件承诺函》，可参考公告附件格式。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采购包1（厚街镇中心区生活垃圾收运项目）：</w:t>
      </w:r>
      <w:r>
        <w:rPr/>
        <w:t>本项目整体专门面向中小企业。投标人须符合本项目采购标的对应行业（本项目行业为：其他未列明行业）的政策划分标准。监狱企业、残疾人福利单位视同小型、微型企业。注：中小企业以供应商填写的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采购包1（厚街镇中心区生活垃圾收运项目）：</w:t>
      </w:r>
    </w:p>
    <w:p>
      <w:pPr>
        <w:pStyle w:val="null3"/>
      </w:pPr>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东莞市厚街镇公用事业服务中心</w:t>
      </w:r>
    </w:p>
    <w:p>
      <w:pPr>
        <w:pStyle w:val="null3"/>
        <w:ind w:firstLine="480"/>
      </w:pPr>
      <w:r>
        <w:rPr/>
        <w:t xml:space="preserve"> 地址：</w:t>
      </w:r>
      <w:r>
        <w:rPr/>
        <w:t>广东省东莞市厚街镇政务中心大楼</w:t>
      </w:r>
    </w:p>
    <w:p>
      <w:pPr>
        <w:pStyle w:val="null3"/>
        <w:ind w:firstLine="480"/>
      </w:pPr>
      <w:r>
        <w:rPr/>
        <w:t xml:space="preserve"> 联系方式：</w:t>
      </w:r>
      <w:r>
        <w:rPr/>
        <w:t>0769-85872666</w:t>
      </w:r>
    </w:p>
    <w:p>
      <w:pPr>
        <w:pStyle w:val="null3"/>
        <w:outlineLvl w:val="3"/>
      </w:pPr>
      <w:r>
        <w:rPr>
          <w:sz w:val="24"/>
          <w:b/>
        </w:rPr>
        <w:t xml:space="preserve"> 2.采购代理机构信息</w:t>
      </w:r>
    </w:p>
    <w:p>
      <w:pPr>
        <w:pStyle w:val="null3"/>
        <w:ind w:firstLine="480"/>
      </w:pPr>
      <w:r>
        <w:rPr/>
        <w:t xml:space="preserve"> 名称：</w:t>
      </w:r>
      <w:r>
        <w:rPr/>
        <w:t>广东政通招标有限公司</w:t>
      </w:r>
    </w:p>
    <w:p>
      <w:pPr>
        <w:pStyle w:val="null3"/>
        <w:ind w:firstLine="480"/>
      </w:pPr>
      <w:r>
        <w:rPr/>
        <w:t xml:space="preserve"> 地址：</w:t>
      </w:r>
      <w:r>
        <w:rPr/>
        <w:t>广东省东莞市南城街道广东省东莞市南城街道鸿福路199号410、411室</w:t>
      </w:r>
    </w:p>
    <w:p>
      <w:pPr>
        <w:pStyle w:val="null3"/>
        <w:ind w:firstLine="480"/>
      </w:pPr>
      <w:r>
        <w:rPr/>
        <w:t xml:space="preserve"> 联系方式：</w:t>
      </w:r>
      <w:r>
        <w:rPr/>
        <w:t>0769-22881803</w:t>
      </w:r>
    </w:p>
    <w:p>
      <w:pPr>
        <w:pStyle w:val="null3"/>
        <w:outlineLvl w:val="3"/>
      </w:pPr>
      <w:r>
        <w:rPr>
          <w:sz w:val="24"/>
          <w:b/>
        </w:rPr>
        <w:t xml:space="preserve"> 3.项目联系方式</w:t>
      </w:r>
    </w:p>
    <w:p>
      <w:pPr>
        <w:pStyle w:val="null3"/>
        <w:ind w:firstLine="480"/>
      </w:pPr>
      <w:r>
        <w:rPr/>
        <w:t xml:space="preserve"> 项目联系人：</w:t>
      </w:r>
      <w:r>
        <w:rPr/>
        <w:t>杨俊平</w:t>
      </w:r>
    </w:p>
    <w:p>
      <w:pPr>
        <w:pStyle w:val="null3"/>
        <w:ind w:firstLine="480"/>
      </w:pPr>
      <w:r>
        <w:rPr/>
        <w:t xml:space="preserve"> 电话：</w:t>
      </w:r>
      <w:r>
        <w:rPr/>
        <w:t>0769-22881803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广东政通招标有限公司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厚街镇中心区生活垃圾收运项目</w:t>
      </w:r>
    </w:p>
    <w:p>
      <w:pPr>
        <w:pStyle w:val="null3"/>
      </w:pPr>
      <w:r>
        <w:rPr/>
        <w:t>采购包1（厚街镇中心区生活垃圾收运项目）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自合同签订之日起16个月（自2026年3月1日起至2027年6月30日），具体时间以合同签订为准。</w:t>
            </w:r>
          </w:p>
        </w:tc>
      </w:tr>
      <w:tr>
        <w:tc>
          <w:tcPr>
            <w:tcW w:type="dxa" w:w="4153"/>
          </w:tcPr>
          <w:p>
            <w:pPr>
              <w:pStyle w:val="null3"/>
            </w:pPr>
            <w:r>
              <w:rPr/>
              <w:t>标的提供的地点</w:t>
            </w:r>
          </w:p>
        </w:tc>
        <w:tc>
          <w:tcPr>
            <w:tcW w:type="dxa" w:w="4153"/>
          </w:tcPr>
          <w:p>
            <w:pPr>
              <w:pStyle w:val="null3"/>
            </w:pPr>
            <w:r>
              <w:rPr/>
              <w:t>采购人指定地点（如有变化另行确定）。</w:t>
            </w:r>
          </w:p>
        </w:tc>
      </w:tr>
      <w:tr>
        <w:tc>
          <w:tcPr>
            <w:tcW w:type="dxa" w:w="4153"/>
          </w:tcPr>
          <w:p>
            <w:pPr>
              <w:pStyle w:val="null3"/>
            </w:pPr>
            <w:r>
              <w:rPr/>
              <w:t>付款方式</w:t>
            </w:r>
          </w:p>
        </w:tc>
        <w:tc>
          <w:tcPr>
            <w:tcW w:type="dxa" w:w="4153"/>
          </w:tcPr>
          <w:p>
            <w:pPr>
              <w:pStyle w:val="null3"/>
            </w:pPr>
            <w:r>
              <w:rPr/>
              <w:t>1期：支付比例100%,1.本项目按每月支付，采购人按中标单价×当月垃圾实际总焚烧量（总过磅量）进行结算，向中标人支付上月的服务费（如有因考核扣减费用，则以扣减后的费用支付）。 2.付款前中标人应出具等额合法发票以及相关台账证明材料。</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采购人对中标人的服务实行每月综合考评，按百分制打分。综合考评得分为[90分-100分]的，不扣减当月服务费；综合考评得分为[80分-90分）的，以90分为基准，每低于1分则扣减当月服务费用2000元；综合考评得分为[70分-80分）的，以80分为基准，每低于1分则扣减当月服务费用3000元；综合考评得分为[60分-70分），以70分为基准，每低于1分则扣减当月服务费用5000元；综合考评得分为（0分-60分）的，扣减当月运营费用30%，月底考评连续2个月出现60分以下的，采购人有权单方面解除合同，履约保证金不予退还，经济损失和法律责任由中标人自行承担。 2.考核评分标准：按《厚街镇中心区生活垃圾运输服务考核评分表》执行。 3.采购人可根据实际情况调整服务考核标准、管理制度、服务流程，中标人必须无条件遵守。</w:t>
            </w:r>
          </w:p>
        </w:tc>
      </w:tr>
      <w:tr>
        <w:tc>
          <w:tcPr>
            <w:tcW w:type="dxa" w:w="4153"/>
          </w:tcPr>
          <w:p>
            <w:pPr>
              <w:pStyle w:val="null3"/>
            </w:pPr>
            <w:r>
              <w:rPr/>
              <w:t>履约保证金</w:t>
            </w:r>
          </w:p>
        </w:tc>
        <w:tc>
          <w:tcPr>
            <w:tcW w:type="dxa" w:w="4153"/>
          </w:tcPr>
          <w:p>
            <w:pPr>
              <w:pStyle w:val="null3"/>
            </w:pPr>
            <w:r>
              <w:rPr/>
              <w:t>交纳比例：5%</w:t>
            </w:r>
          </w:p>
          <w:p>
            <w:pPr>
              <w:pStyle w:val="null3"/>
            </w:pPr>
            <w:r>
              <w:rPr/>
              <w:t>缴费渠道：</w:t>
            </w:r>
            <w:r>
              <w:rPr/>
              <w:t>电子保函（保险）</w:t>
            </w:r>
          </w:p>
          <w:p>
            <w:pPr>
              <w:pStyle w:val="null3"/>
            </w:pPr>
            <w:r>
              <w:rPr/>
              <w:t>说明：中标人应在领取中标通知书之后签订合同之前递交履约保证金，履约保证金可采用保证金（银行转账、电汇）方式，或采用履约保函方式。履约保证金在合同期满后或产品验收合格后，中标人向采购人提交退回履约保证金的申请、履约保证金汇款凭证复印件、采购合同、采购项目验收报告原件、中标通知书复印件，前往采购人办理履约保证金退还手续。</w:t>
            </w:r>
          </w:p>
          <w:p>
            <w:pPr>
              <w:pStyle w:val="null3"/>
            </w:pPr>
            <w:r>
              <w:rPr/>
              <w:t xml:space="preserve"> 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1，报价要求：（1）★单价最高限价：垃圾转运费用最高不超过75元/吨。（2）★本项目报价方式采用折扣率（0%＜折扣率＜100%），中标单价为单价最高限价×折扣率。报价包括但不限于以下全部费用：装备费、车辆费、管理费、人工费（包括工资、奖金、津贴补贴、节假日加班和日常加班加点工资、特殊情况下支付的工资等）、社保费（包括医疗、失业、养老、生育、工伤）、公积金、培训费、住宿费、利润、税金、相关设备使用费、人员培训费等费用、办公经费等以及合同实施过程中不可预见的其他费用。4个生活垃圾中转站的水电费由中标人自行承担。</w:t>
            </w:r>
          </w:p>
          <w:p>
            <w:pPr>
              <w:pStyle w:val="null3"/>
            </w:pPr>
            <w:r>
              <w:rPr/>
              <w:t>2，其他要求：（1）★中标人须在中标后30个工作日内办理《城市生活垃圾经营性清扫、收集、运输服务许可证》。（注：须提供单独承诺函加盖投标人公章）（2）在合同签订之日起30日内，中标供应商须开立专用账户，签订资金管理三方(采购人、中标供应商、银行)协议，专用账户名称为中标供应商加厚街镇中心区生活垃圾收运项目加“环卫工人工资专用账户”，协议内容含环卫工人人工费用总额、拨付比例及拨款日期。专用账户开立后30日内，需报环境卫生主管部门备案。（3）投标人须响应各合同条款。（4）投标人应充分结合本招标文件上下文了解项目招标需求、采购文件未尽事宜，将在合同签订或项目执行过程中双方协商确定，供应商须无条件满足采购单位的合理要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其他城镇公共卫生服务</w:t>
            </w:r>
          </w:p>
        </w:tc>
        <w:tc>
          <w:tcPr>
            <w:tcW w:type="dxa" w:w="831"/>
          </w:tcPr>
          <w:p>
            <w:pPr>
              <w:pStyle w:val="null3"/>
              <w:jc w:val="left"/>
            </w:pPr>
            <w:r>
              <w:rPr/>
              <w:t>厚街镇中心区生活垃圾收运项目</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7,333,333.33</w:t>
            </w:r>
          </w:p>
        </w:tc>
        <w:tc>
          <w:tcPr>
            <w:tcW w:type="dxa" w:w="831"/>
          </w:tcPr>
          <w:p>
            <w:pPr>
              <w:pStyle w:val="null3"/>
              <w:jc w:val="right"/>
            </w:pPr>
            <w:r>
              <w:rPr/>
              <w:t>7,333,333.33</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厚街镇中心区生活垃圾收运项目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一、服务内容</w:t>
            </w:r>
          </w:p>
          <w:p>
            <w:pPr>
              <w:pStyle w:val="null3"/>
              <w:ind w:firstLine="420"/>
              <w:jc w:val="both"/>
            </w:pPr>
            <w:r>
              <w:rPr>
                <w:sz w:val="21"/>
              </w:rPr>
              <w:t>1</w:t>
            </w:r>
            <w:r>
              <w:rPr>
                <w:sz w:val="21"/>
              </w:rPr>
              <w:t>、中标人必须在每天完成厚街镇</w:t>
            </w:r>
            <w:r>
              <w:rPr>
                <w:sz w:val="21"/>
              </w:rPr>
              <w:t>中心区</w:t>
            </w:r>
            <w:r>
              <w:rPr>
                <w:sz w:val="21"/>
              </w:rPr>
              <w:t>生活垃圾</w:t>
            </w:r>
            <w:r>
              <w:rPr>
                <w:sz w:val="21"/>
              </w:rPr>
              <w:t>2</w:t>
            </w:r>
            <w:r>
              <w:rPr>
                <w:sz w:val="21"/>
              </w:rPr>
              <w:t>次或以上的转运任务（重点区域</w:t>
            </w:r>
            <w:r>
              <w:rPr>
                <w:sz w:val="21"/>
              </w:rPr>
              <w:t>3</w:t>
            </w:r>
            <w:r>
              <w:rPr>
                <w:sz w:val="21"/>
              </w:rPr>
              <w:t>次），转运服务范围涵盖</w:t>
            </w:r>
            <w:r>
              <w:rPr>
                <w:sz w:val="21"/>
              </w:rPr>
              <w:t>中心区</w:t>
            </w:r>
            <w:r>
              <w:rPr>
                <w:sz w:val="21"/>
              </w:rPr>
              <w:t>中转站、工厂、企业、单位、小区及主干道</w:t>
            </w:r>
            <w:r>
              <w:rPr>
                <w:sz w:val="21"/>
              </w:rPr>
              <w:t>660L</w:t>
            </w:r>
            <w:r>
              <w:rPr>
                <w:sz w:val="21"/>
              </w:rPr>
              <w:t>垃圾桶（其他类型垃圾容器由辖区保洁单位负责统一运往附近中转站）的生活垃圾。</w:t>
            </w:r>
          </w:p>
          <w:p>
            <w:pPr>
              <w:pStyle w:val="null3"/>
              <w:ind w:firstLine="420"/>
              <w:jc w:val="both"/>
            </w:pPr>
            <w:r>
              <w:rPr>
                <w:sz w:val="21"/>
              </w:rPr>
              <w:t>2</w:t>
            </w:r>
            <w:r>
              <w:rPr>
                <w:sz w:val="21"/>
              </w:rPr>
              <w:t>、每天收集的生活垃圾运至厚街环保热电厂内的地磅过磅登记确认，以每日厚街镇生活垃圾转运过磅焚烧量，为依据结算并支付费用。</w:t>
            </w:r>
          </w:p>
          <w:p>
            <w:pPr>
              <w:pStyle w:val="null3"/>
              <w:ind w:firstLine="420"/>
              <w:jc w:val="both"/>
            </w:pPr>
            <w:r>
              <w:rPr>
                <w:sz w:val="21"/>
              </w:rPr>
              <w:t>3</w:t>
            </w:r>
            <w:r>
              <w:rPr>
                <w:sz w:val="21"/>
              </w:rPr>
              <w:t>.</w:t>
            </w:r>
            <w:r>
              <w:rPr>
                <w:sz w:val="21"/>
              </w:rPr>
              <w:t>中标人须安排专人专职负责管养厚街镇</w:t>
            </w:r>
            <w:r>
              <w:rPr>
                <w:sz w:val="21"/>
              </w:rPr>
              <w:t>中心区</w:t>
            </w:r>
            <w:r>
              <w:rPr>
                <w:sz w:val="21"/>
              </w:rPr>
              <w:t>4</w:t>
            </w:r>
            <w:r>
              <w:rPr>
                <w:sz w:val="21"/>
              </w:rPr>
              <w:t>个生活垃圾中转站，包含日常管理、设备运作、卫生清洁冲洗、消杀消毒等，中转站内及周边不得出现污迹、臭味、乱堆乱放，新建或者改建垃圾转运站（含站内所有设施设备），经验收合格后交由中标人负责管养。</w:t>
            </w:r>
          </w:p>
          <w:p>
            <w:pPr>
              <w:pStyle w:val="null3"/>
            </w:pPr>
            <w:r>
              <w:rPr>
                <w:sz w:val="21"/>
              </w:rPr>
              <w:t>4.</w:t>
            </w:r>
            <w:r>
              <w:rPr>
                <w:sz w:val="21"/>
              </w:rPr>
              <w:t>分包与转包：严禁转包，未经采购人同意不得分包，如发现中标人擅自分包或转包，采购人可单方面终止合同，并对中标人收取年合同暂时总价</w:t>
            </w:r>
            <w:r>
              <w:rPr>
                <w:sz w:val="21"/>
              </w:rPr>
              <w:t>3%</w:t>
            </w:r>
            <w:r>
              <w:rPr>
                <w:sz w:val="21"/>
              </w:rPr>
              <w:t>违约罚金。</w:t>
            </w:r>
          </w:p>
        </w:tc>
      </w:tr>
      <w:tr>
        <w:tc>
          <w:tcPr>
            <w:tcW w:type="dxa" w:w="2076"/>
          </w:tcPr>
          <w:p/>
        </w:tc>
        <w:tc>
          <w:tcPr>
            <w:tcW w:type="dxa" w:w="415"/>
          </w:tcPr>
          <w:p>
            <w:pPr>
              <w:pStyle w:val="null3"/>
            </w:pPr>
            <w:r>
              <w:rPr/>
              <w:t>2</w:t>
            </w:r>
          </w:p>
        </w:tc>
        <w:tc>
          <w:tcPr>
            <w:tcW w:type="dxa" w:w="5814"/>
          </w:tcPr>
          <w:p>
            <w:pPr>
              <w:pStyle w:val="null3"/>
              <w:jc w:val="both"/>
            </w:pPr>
            <w:r>
              <w:rPr>
                <w:sz w:val="21"/>
                <w:b/>
              </w:rPr>
              <w:t>二、项目设备配置要求</w:t>
            </w:r>
          </w:p>
          <w:p>
            <w:pPr>
              <w:pStyle w:val="null3"/>
              <w:ind w:firstLine="420"/>
              <w:jc w:val="both"/>
            </w:pPr>
            <w:r>
              <w:rPr>
                <w:sz w:val="21"/>
              </w:rPr>
              <w:t>中标人必须配备以下车辆设备：</w:t>
            </w:r>
          </w:p>
          <w:tbl>
            <w:tblPr>
              <w:tblInd w:type="dxa" w:w="240"/>
              <w:tblBorders>
                <w:top w:val="none" w:color="000000" w:sz="4"/>
                <w:left w:val="none" w:color="000000" w:sz="4"/>
                <w:bottom w:val="none" w:color="000000" w:sz="4"/>
                <w:right w:val="none" w:color="000000" w:sz="4"/>
                <w:insideH w:val="none"/>
                <w:insideV w:val="none"/>
              </w:tblBorders>
            </w:tblPr>
            <w:tblGrid>
              <w:gridCol w:w="740"/>
              <w:gridCol w:w="2128"/>
              <w:gridCol w:w="1434"/>
              <w:gridCol w:w="1295"/>
            </w:tblGrid>
            <w:tr>
              <w:tc>
                <w:tcPr>
                  <w:tcW w:type="dxa" w:w="74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序号</w:t>
                  </w:r>
                </w:p>
              </w:tc>
              <w:tc>
                <w:tcPr>
                  <w:tcW w:type="dxa" w:w="212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类型</w:t>
                  </w:r>
                </w:p>
              </w:tc>
              <w:tc>
                <w:tcPr>
                  <w:tcW w:type="dxa" w:w="143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规格要求</w:t>
                  </w:r>
                </w:p>
              </w:tc>
              <w:tc>
                <w:tcPr>
                  <w:tcW w:type="dxa" w:w="129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数量</w:t>
                  </w:r>
                  <w:r>
                    <w:rPr>
                      <w:sz w:val="21"/>
                    </w:rPr>
                    <w:t>（</w:t>
                  </w:r>
                  <w:r>
                    <w:rPr>
                      <w:sz w:val="21"/>
                    </w:rPr>
                    <w:t>辆</w:t>
                  </w:r>
                  <w:r>
                    <w:rPr>
                      <w:sz w:val="21"/>
                    </w:rPr>
                    <w:t>/</w:t>
                  </w:r>
                  <w:r>
                    <w:rPr>
                      <w:sz w:val="21"/>
                    </w:rPr>
                    <w:t>台</w:t>
                  </w:r>
                  <w:r>
                    <w:rPr>
                      <w:sz w:val="21"/>
                    </w:rPr>
                    <w:t>/</w:t>
                  </w:r>
                  <w:r>
                    <w:rPr>
                      <w:sz w:val="21"/>
                    </w:rPr>
                    <w:t>个</w:t>
                  </w:r>
                  <w:r>
                    <w:rPr>
                      <w:sz w:val="21"/>
                    </w:rPr>
                    <w:t>）</w:t>
                  </w:r>
                </w:p>
              </w:tc>
            </w:tr>
            <w:tr>
              <w:tc>
                <w:tcPr>
                  <w:tcW w:type="dxa" w:w="7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勾臂车</w:t>
                  </w:r>
                </w:p>
              </w:tc>
              <w:tc>
                <w:tcPr>
                  <w:tcW w:type="dxa" w:w="143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总质量</w:t>
                  </w:r>
                  <w:r>
                    <w:rPr>
                      <w:sz w:val="21"/>
                    </w:rPr>
                    <w:t>≥</w:t>
                  </w:r>
                  <w:r>
                    <w:rPr>
                      <w:sz w:val="21"/>
                    </w:rPr>
                    <w:t>16</w:t>
                  </w:r>
                  <w:r>
                    <w:rPr>
                      <w:sz w:val="21"/>
                    </w:rPr>
                    <w:t>吨</w:t>
                  </w:r>
                </w:p>
              </w:tc>
              <w:tc>
                <w:tcPr>
                  <w:tcW w:type="dxa" w:w="1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w:t>
                  </w:r>
                  <w:r>
                    <w:rPr>
                      <w:sz w:val="19"/>
                    </w:rPr>
                    <w:t xml:space="preserve"> </w:t>
                  </w:r>
                </w:p>
              </w:tc>
            </w:tr>
            <w:tr>
              <w:tc>
                <w:tcPr>
                  <w:tcW w:type="dxa" w:w="7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w:t>
                  </w:r>
                </w:p>
              </w:tc>
              <w:tc>
                <w:tcPr>
                  <w:tcW w:type="dxa" w:w="2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后置式压缩车辆</w:t>
                  </w:r>
                </w:p>
              </w:tc>
              <w:tc>
                <w:tcPr>
                  <w:tcW w:type="dxa" w:w="143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总质量</w:t>
                  </w:r>
                  <w:r>
                    <w:rPr>
                      <w:sz w:val="21"/>
                    </w:rPr>
                    <w:t>≥</w:t>
                  </w:r>
                  <w:r>
                    <w:rPr>
                      <w:sz w:val="21"/>
                    </w:rPr>
                    <w:t>18</w:t>
                  </w:r>
                  <w:r>
                    <w:rPr>
                      <w:sz w:val="21"/>
                    </w:rPr>
                    <w:t>吨</w:t>
                  </w:r>
                </w:p>
              </w:tc>
              <w:tc>
                <w:tcPr>
                  <w:tcW w:type="dxa" w:w="1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9"/>
                    </w:rPr>
                    <w:t xml:space="preserve"> </w:t>
                  </w:r>
                  <w:r>
                    <w:rPr>
                      <w:sz w:val="21"/>
                    </w:rPr>
                    <w:t>7</w:t>
                  </w:r>
                  <w:r>
                    <w:rPr>
                      <w:sz w:val="19"/>
                    </w:rPr>
                    <w:t xml:space="preserve"> </w:t>
                  </w:r>
                </w:p>
              </w:tc>
            </w:tr>
            <w:tr>
              <w:tc>
                <w:tcPr>
                  <w:tcW w:type="dxa" w:w="7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w:t>
                  </w:r>
                </w:p>
              </w:tc>
              <w:tc>
                <w:tcPr>
                  <w:tcW w:type="dxa" w:w="21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公共点</w:t>
                  </w:r>
                  <w:r>
                    <w:rPr>
                      <w:sz w:val="21"/>
                    </w:rPr>
                    <w:t>垃圾桶</w:t>
                  </w:r>
                </w:p>
              </w:tc>
              <w:tc>
                <w:tcPr>
                  <w:tcW w:type="dxa" w:w="143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660L</w:t>
                  </w:r>
                </w:p>
              </w:tc>
              <w:tc>
                <w:tcPr>
                  <w:tcW w:type="dxa" w:w="12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800</w:t>
                  </w:r>
                </w:p>
              </w:tc>
            </w:tr>
          </w:tbl>
          <w:p>
            <w:pPr>
              <w:pStyle w:val="null3"/>
              <w:ind w:firstLine="420"/>
              <w:jc w:val="both"/>
            </w:pPr>
            <w:r>
              <w:rPr>
                <w:sz w:val="21"/>
              </w:rPr>
              <w:t>中标人必须配备以下人员：</w:t>
            </w:r>
          </w:p>
          <w:tbl>
            <w:tblPr>
              <w:tblInd w:type="dxa" w:w="240"/>
              <w:tblBorders>
                <w:top w:val="none" w:color="000000" w:sz="4"/>
                <w:left w:val="none" w:color="000000" w:sz="4"/>
                <w:bottom w:val="none" w:color="000000" w:sz="4"/>
                <w:right w:val="none" w:color="000000" w:sz="4"/>
                <w:insideH w:val="none"/>
                <w:insideV w:val="none"/>
              </w:tblBorders>
            </w:tblPr>
            <w:tblGrid>
              <w:gridCol w:w="987"/>
              <w:gridCol w:w="2868"/>
              <w:gridCol w:w="1743"/>
            </w:tblGrid>
            <w:tr>
              <w:tc>
                <w:tcPr>
                  <w:tcW w:type="dxa" w:w="98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序号</w:t>
                  </w:r>
                </w:p>
              </w:tc>
              <w:tc>
                <w:tcPr>
                  <w:tcW w:type="dxa" w:w="286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人员配置</w:t>
                  </w:r>
                </w:p>
              </w:tc>
              <w:tc>
                <w:tcPr>
                  <w:tcW w:type="dxa" w:w="174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数量</w:t>
                  </w:r>
                </w:p>
              </w:tc>
            </w:tr>
            <w:tr>
              <w:tc>
                <w:tcPr>
                  <w:tcW w:type="dxa" w:w="9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28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项目经理</w:t>
                  </w:r>
                  <w:r>
                    <w:rPr>
                      <w:sz w:val="21"/>
                    </w:rPr>
                    <w:t>（</w:t>
                  </w:r>
                  <w:r>
                    <w:rPr>
                      <w:sz w:val="21"/>
                    </w:rPr>
                    <w:t>项目负责人</w:t>
                  </w:r>
                  <w:r>
                    <w:rPr>
                      <w:sz w:val="21"/>
                    </w:rPr>
                    <w:t>）</w:t>
                  </w:r>
                </w:p>
              </w:tc>
              <w:tc>
                <w:tcPr>
                  <w:tcW w:type="dxa" w:w="17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r>
            <w:tr>
              <w:tc>
                <w:tcPr>
                  <w:tcW w:type="dxa" w:w="9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w:t>
                  </w:r>
                </w:p>
              </w:tc>
              <w:tc>
                <w:tcPr>
                  <w:tcW w:type="dxa" w:w="28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项目主管</w:t>
                  </w:r>
                </w:p>
              </w:tc>
              <w:tc>
                <w:tcPr>
                  <w:tcW w:type="dxa" w:w="17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r>
            <w:tr>
              <w:tc>
                <w:tcPr>
                  <w:tcW w:type="dxa" w:w="9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w:t>
                  </w:r>
                </w:p>
              </w:tc>
              <w:tc>
                <w:tcPr>
                  <w:tcW w:type="dxa" w:w="28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资料员</w:t>
                  </w:r>
                </w:p>
              </w:tc>
              <w:tc>
                <w:tcPr>
                  <w:tcW w:type="dxa" w:w="17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r>
            <w:tr>
              <w:tc>
                <w:tcPr>
                  <w:tcW w:type="dxa" w:w="9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w:t>
                  </w:r>
                </w:p>
              </w:tc>
              <w:tc>
                <w:tcPr>
                  <w:tcW w:type="dxa" w:w="28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司机</w:t>
                  </w:r>
                </w:p>
              </w:tc>
              <w:tc>
                <w:tcPr>
                  <w:tcW w:type="dxa" w:w="17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w:t>
                  </w:r>
                </w:p>
              </w:tc>
            </w:tr>
            <w:tr>
              <w:tc>
                <w:tcPr>
                  <w:tcW w:type="dxa" w:w="9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w:t>
                  </w:r>
                </w:p>
              </w:tc>
              <w:tc>
                <w:tcPr>
                  <w:tcW w:type="dxa" w:w="28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司机助理</w:t>
                  </w:r>
                </w:p>
              </w:tc>
              <w:tc>
                <w:tcPr>
                  <w:tcW w:type="dxa" w:w="17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14</w:t>
                  </w:r>
                </w:p>
              </w:tc>
            </w:tr>
            <w:tr>
              <w:tc>
                <w:tcPr>
                  <w:tcW w:type="dxa" w:w="9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w:t>
                  </w:r>
                </w:p>
              </w:tc>
              <w:tc>
                <w:tcPr>
                  <w:tcW w:type="dxa" w:w="28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看站员</w:t>
                  </w:r>
                </w:p>
              </w:tc>
              <w:tc>
                <w:tcPr>
                  <w:tcW w:type="dxa" w:w="17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w:t>
                  </w:r>
                </w:p>
              </w:tc>
            </w:tr>
            <w:tr>
              <w:tc>
                <w:tcPr>
                  <w:tcW w:type="dxa" w:w="3855"/>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合计</w:t>
                  </w:r>
                </w:p>
              </w:tc>
              <w:tc>
                <w:tcPr>
                  <w:tcW w:type="dxa" w:w="17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31</w:t>
                  </w:r>
                </w:p>
              </w:tc>
            </w:tr>
          </w:tbl>
          <w:p>
            <w:pPr>
              <w:pStyle w:val="null3"/>
              <w:ind w:firstLine="420"/>
              <w:jc w:val="both"/>
            </w:pPr>
            <w:r>
              <w:rPr>
                <w:sz w:val="21"/>
              </w:rPr>
              <w:t>说明：</w:t>
            </w:r>
            <w:r>
              <w:rPr>
                <w:sz w:val="21"/>
              </w:rPr>
              <w:t>1.</w:t>
            </w:r>
            <w:r>
              <w:rPr>
                <w:sz w:val="21"/>
              </w:rPr>
              <w:t>以上清单设备数量为初步方案统计量，具体的数量和投入进度，投标人在中标后，与采购人根据实际需要情况逐一进行确定；不足的部分由中标人购置，最终购置的数量必须满足生活垃圾收集运输任务的需要。</w:t>
            </w:r>
          </w:p>
          <w:p>
            <w:pPr>
              <w:pStyle w:val="null3"/>
              <w:ind w:firstLine="420"/>
              <w:jc w:val="both"/>
            </w:pPr>
            <w:r>
              <w:rPr>
                <w:sz w:val="21"/>
              </w:rPr>
              <w:t>2.</w:t>
            </w:r>
            <w:r>
              <w:rPr>
                <w:sz w:val="21"/>
              </w:rPr>
              <w:t>中标人必须在合同生效之日起按要求配齐车辆、设备、人员。投标时中标人必须承诺上述车辆、设备、人员专门用于本项目。</w:t>
            </w:r>
          </w:p>
          <w:p>
            <w:pPr>
              <w:pStyle w:val="null3"/>
            </w:pPr>
            <w:r>
              <w:rPr>
                <w:sz w:val="21"/>
              </w:rPr>
              <w:t>3.</w:t>
            </w:r>
            <w:r>
              <w:rPr>
                <w:sz w:val="21"/>
              </w:rPr>
              <w:t>在合同生效之日起</w:t>
            </w:r>
            <w:r>
              <w:rPr>
                <w:sz w:val="21"/>
              </w:rPr>
              <w:t>30</w:t>
            </w:r>
            <w:r>
              <w:rPr>
                <w:sz w:val="21"/>
              </w:rPr>
              <w:t>天内，中标人必须为全部车辆安装</w:t>
            </w:r>
            <w:r>
              <w:rPr>
                <w:sz w:val="21"/>
              </w:rPr>
              <w:t>GPS</w:t>
            </w:r>
            <w:r>
              <w:rPr>
                <w:sz w:val="21"/>
              </w:rPr>
              <w:t>动态监控系统，并预留两个或以上端口以便与采购人的电脑系统联网，以满足采购人对作业车辆实施动态监控的需要，该系统必须能够储存</w:t>
            </w:r>
            <w:r>
              <w:rPr>
                <w:sz w:val="21"/>
              </w:rPr>
              <w:t>3</w:t>
            </w:r>
            <w:r>
              <w:rPr>
                <w:sz w:val="21"/>
              </w:rPr>
              <w:t>个月或以上的动态监测信息，并允许采购人随时调阅相关历史资料，中标人不得更改系统的原始数据，并保证该系统能不间断有效工作，该系统的开发、设备安装、维护及升级费用由中标人负责。中标人</w:t>
            </w:r>
            <w:r>
              <w:rPr>
                <w:sz w:val="21"/>
              </w:rPr>
              <w:t>GPS</w:t>
            </w:r>
            <w:r>
              <w:rPr>
                <w:sz w:val="21"/>
              </w:rPr>
              <w:t>动态监控系统的技术指标必须满足接入采购人监控系统的技术指标要求。各种运输车辆需要接入东莞市数字城管系统，便于监控，安装费用及后续费用由中标人自行承担。</w:t>
            </w:r>
          </w:p>
        </w:tc>
      </w:tr>
      <w:tr>
        <w:tc>
          <w:tcPr>
            <w:tcW w:type="dxa" w:w="2076"/>
          </w:tcPr>
          <w:p/>
        </w:tc>
        <w:tc>
          <w:tcPr>
            <w:tcW w:type="dxa" w:w="415"/>
          </w:tcPr>
          <w:p>
            <w:pPr>
              <w:pStyle w:val="null3"/>
            </w:pPr>
            <w:r>
              <w:rPr/>
              <w:t>3</w:t>
            </w:r>
          </w:p>
        </w:tc>
        <w:tc>
          <w:tcPr>
            <w:tcW w:type="dxa" w:w="5814"/>
          </w:tcPr>
          <w:p>
            <w:pPr>
              <w:pStyle w:val="null3"/>
              <w:jc w:val="both"/>
            </w:pPr>
            <w:r>
              <w:rPr>
                <w:sz w:val="21"/>
                <w:b/>
              </w:rPr>
              <w:t>三、车辆营运管理要求</w:t>
            </w:r>
          </w:p>
          <w:p>
            <w:pPr>
              <w:pStyle w:val="null3"/>
              <w:ind w:firstLine="420"/>
              <w:jc w:val="both"/>
            </w:pPr>
            <w:r>
              <w:rPr>
                <w:sz w:val="21"/>
              </w:rPr>
              <w:t>1</w:t>
            </w:r>
            <w:r>
              <w:rPr>
                <w:sz w:val="21"/>
              </w:rPr>
              <w:t>、垃圾运输过程中，确保车辆行驶安全，车辆若出现道路交通事故，由中标人承担全部责任。</w:t>
            </w:r>
          </w:p>
          <w:p>
            <w:pPr>
              <w:pStyle w:val="null3"/>
              <w:ind w:firstLine="420"/>
              <w:jc w:val="both"/>
            </w:pPr>
            <w:r>
              <w:rPr>
                <w:sz w:val="21"/>
              </w:rPr>
              <w:t>2</w:t>
            </w:r>
            <w:r>
              <w:rPr>
                <w:sz w:val="21"/>
              </w:rPr>
              <w:t>、车辆必须是垃圾运输专用车辆，符合垃圾转运车辆的相关规定和要求。</w:t>
            </w:r>
          </w:p>
          <w:p>
            <w:pPr>
              <w:pStyle w:val="null3"/>
              <w:ind w:firstLine="420"/>
              <w:jc w:val="both"/>
            </w:pPr>
            <w:r>
              <w:rPr>
                <w:sz w:val="21"/>
              </w:rPr>
              <w:t>3</w:t>
            </w:r>
            <w:r>
              <w:rPr>
                <w:sz w:val="21"/>
              </w:rPr>
              <w:t>、</w:t>
            </w:r>
            <w:r>
              <w:rPr>
                <w:sz w:val="21"/>
              </w:rPr>
              <w:t>车辆必须办理合法的道路运输经营许可证、车辆行驶证；垃圾运输车辆驾驶员必须持有驾驶证，项目验收时需提供以上有关证件。</w:t>
            </w:r>
          </w:p>
          <w:p>
            <w:pPr>
              <w:pStyle w:val="null3"/>
              <w:ind w:firstLine="420"/>
              <w:jc w:val="both"/>
            </w:pPr>
            <w:r>
              <w:rPr>
                <w:sz w:val="21"/>
              </w:rPr>
              <w:t>4</w:t>
            </w:r>
            <w:r>
              <w:rPr>
                <w:sz w:val="21"/>
              </w:rPr>
              <w:t>、车辆在垃圾运输过程中采取密闭运输，不得超载、超速，不得造成任何外泄、遗漏、抛洒，杜绝污染环境；若出现沿路外泄、遗漏、抛洒现象经警告不予整改的，采购人有权给予相应经济处罚。</w:t>
            </w:r>
          </w:p>
          <w:p>
            <w:pPr>
              <w:pStyle w:val="null3"/>
              <w:ind w:firstLine="420"/>
              <w:jc w:val="both"/>
            </w:pPr>
            <w:r>
              <w:rPr>
                <w:sz w:val="21"/>
              </w:rPr>
              <w:t>5</w:t>
            </w:r>
            <w:r>
              <w:rPr>
                <w:sz w:val="21"/>
              </w:rPr>
              <w:t>、保持垃圾运输车辆外观完好、整洁，定期进行清洗。</w:t>
            </w:r>
          </w:p>
          <w:p>
            <w:pPr>
              <w:pStyle w:val="null3"/>
              <w:ind w:firstLine="420"/>
              <w:jc w:val="both"/>
            </w:pPr>
            <w:r>
              <w:rPr>
                <w:sz w:val="21"/>
              </w:rPr>
              <w:t>6</w:t>
            </w:r>
            <w:r>
              <w:rPr>
                <w:sz w:val="21"/>
              </w:rPr>
              <w:t>、做好垃圾运输过程中运输车辆的检测、保养、维修、更新工作，确保车辆状况良好。</w:t>
            </w:r>
          </w:p>
          <w:p>
            <w:pPr>
              <w:pStyle w:val="null3"/>
            </w:pPr>
            <w:r>
              <w:rPr>
                <w:sz w:val="21"/>
              </w:rPr>
              <w:t>7</w:t>
            </w:r>
            <w:r>
              <w:rPr>
                <w:sz w:val="21"/>
              </w:rPr>
              <w:t>、</w:t>
            </w:r>
            <w:r>
              <w:rPr>
                <w:sz w:val="21"/>
              </w:rPr>
              <w:t>拟投入的车辆需统一安装车载定位监控设备，以及需在驾驶室内安装视频监控、盲区雷达等设备，并将系统接入</w:t>
            </w:r>
            <w:r>
              <w:rPr>
                <w:sz w:val="21"/>
              </w:rPr>
              <w:t>采购人</w:t>
            </w:r>
            <w:r>
              <w:rPr>
                <w:sz w:val="21"/>
              </w:rPr>
              <w:t>指定的数字平台，要求专人负责系统的运作，安排人员对系统进行监控，供</w:t>
            </w:r>
            <w:r>
              <w:rPr>
                <w:sz w:val="21"/>
              </w:rPr>
              <w:t>采购人</w:t>
            </w:r>
            <w:r>
              <w:rPr>
                <w:sz w:val="21"/>
              </w:rPr>
              <w:t>随时查看车辆运行状态，工作过程所有功能处于工作状态，同时按要求统一</w:t>
            </w:r>
            <w:r>
              <w:rPr>
                <w:sz w:val="21"/>
              </w:rPr>
              <w:t>外观</w:t>
            </w:r>
            <w:r>
              <w:rPr>
                <w:sz w:val="21"/>
              </w:rPr>
              <w:t>标识（字样以</w:t>
            </w:r>
            <w:r>
              <w:rPr>
                <w:sz w:val="21"/>
              </w:rPr>
              <w:t>采购人</w:t>
            </w:r>
            <w:r>
              <w:rPr>
                <w:sz w:val="21"/>
              </w:rPr>
              <w:t>要求为准）</w:t>
            </w:r>
          </w:p>
        </w:tc>
      </w:tr>
      <w:tr>
        <w:tc>
          <w:tcPr>
            <w:tcW w:type="dxa" w:w="2076"/>
          </w:tcPr>
          <w:p/>
        </w:tc>
        <w:tc>
          <w:tcPr>
            <w:tcW w:type="dxa" w:w="415"/>
          </w:tcPr>
          <w:p>
            <w:pPr>
              <w:pStyle w:val="null3"/>
            </w:pPr>
            <w:r>
              <w:rPr/>
              <w:t>4</w:t>
            </w:r>
          </w:p>
        </w:tc>
        <w:tc>
          <w:tcPr>
            <w:tcW w:type="dxa" w:w="5814"/>
          </w:tcPr>
          <w:p>
            <w:pPr>
              <w:pStyle w:val="null3"/>
              <w:jc w:val="both"/>
            </w:pPr>
            <w:r>
              <w:rPr>
                <w:sz w:val="21"/>
                <w:b/>
              </w:rPr>
              <w:t>四、垃圾转运管理要求</w:t>
            </w:r>
          </w:p>
          <w:p>
            <w:pPr>
              <w:pStyle w:val="null3"/>
              <w:ind w:firstLine="420"/>
              <w:jc w:val="both"/>
            </w:pPr>
            <w:r>
              <w:rPr>
                <w:sz w:val="21"/>
              </w:rPr>
              <w:t>1</w:t>
            </w:r>
            <w:r>
              <w:rPr>
                <w:sz w:val="21"/>
              </w:rPr>
              <w:t>、垃圾收集及时，确保垃圾日产日清，外围公用垃圾收集点须每日转运两次或以上，确保周边无垃圾堆积，垃圾桶无溢满。</w:t>
            </w:r>
          </w:p>
          <w:p>
            <w:pPr>
              <w:pStyle w:val="null3"/>
              <w:ind w:firstLine="420"/>
              <w:jc w:val="both"/>
            </w:pPr>
            <w:r>
              <w:rPr>
                <w:sz w:val="21"/>
              </w:rPr>
              <w:t>2</w:t>
            </w:r>
            <w:r>
              <w:rPr>
                <w:sz w:val="21"/>
              </w:rPr>
              <w:t>、确保垃圾收集工作不间断、不出现收集空档，并不得出现收集空白点。</w:t>
            </w:r>
          </w:p>
          <w:p>
            <w:pPr>
              <w:pStyle w:val="null3"/>
              <w:ind w:firstLine="420"/>
              <w:jc w:val="both"/>
            </w:pPr>
            <w:r>
              <w:rPr>
                <w:sz w:val="21"/>
              </w:rPr>
              <w:t>3</w:t>
            </w:r>
            <w:r>
              <w:rPr>
                <w:sz w:val="21"/>
              </w:rPr>
              <w:t>、转运垃圾时，应保持垃圾桶周边</w:t>
            </w:r>
            <w:r>
              <w:rPr>
                <w:sz w:val="21"/>
              </w:rPr>
              <w:t>2</w:t>
            </w:r>
            <w:r>
              <w:rPr>
                <w:sz w:val="21"/>
              </w:rPr>
              <w:t>米内环境卫生，及时清理撒漏垃圾。转运后垃圾桶应按要求摆放整齐，有垃圾亭的应放回原位。</w:t>
            </w:r>
          </w:p>
          <w:p>
            <w:pPr>
              <w:pStyle w:val="null3"/>
              <w:ind w:firstLine="420"/>
              <w:jc w:val="both"/>
            </w:pPr>
            <w:r>
              <w:rPr>
                <w:sz w:val="21"/>
              </w:rPr>
              <w:t>4</w:t>
            </w:r>
            <w:r>
              <w:rPr>
                <w:sz w:val="21"/>
              </w:rPr>
              <w:t>、中标人若对群众投诉及采购人提出的处理权限内问题未及时有效处理的，中标人当月被群众投诉同一个案件问题两次或以上的，采购人有权提出书面警告，并在当月转运费用中进行扣款；如警告后仍不整改的，采购人有权采取应急措施处理，所发生的费用全部由中标人承担，同时，采购人有权在当月转运费中扣除</w:t>
            </w:r>
            <w:r>
              <w:rPr>
                <w:sz w:val="21"/>
              </w:rPr>
              <w:t>5%</w:t>
            </w:r>
            <w:r>
              <w:rPr>
                <w:sz w:val="21"/>
              </w:rPr>
              <w:t>作为罚金。</w:t>
            </w:r>
          </w:p>
          <w:p>
            <w:pPr>
              <w:pStyle w:val="null3"/>
              <w:ind w:firstLine="420"/>
              <w:jc w:val="both"/>
            </w:pPr>
            <w:r>
              <w:rPr>
                <w:sz w:val="21"/>
              </w:rPr>
              <w:t>5</w:t>
            </w:r>
            <w:r>
              <w:rPr>
                <w:sz w:val="21"/>
              </w:rPr>
              <w:t>、中标人擅自将</w:t>
            </w:r>
            <w:r>
              <w:rPr>
                <w:sz w:val="21"/>
              </w:rPr>
              <w:t>厚街镇中心区生活垃圾收运项目</w:t>
            </w:r>
            <w:r>
              <w:rPr>
                <w:sz w:val="21"/>
              </w:rPr>
              <w:t>转包或分包给第三方的、主动接收其他地区生活垃圾混入厚街镇生活垃圾进行处理，情节严重的，采购人有权单方面终止合作协议，并保留追究其给予经济赔偿的权利。</w:t>
            </w:r>
          </w:p>
          <w:p>
            <w:pPr>
              <w:pStyle w:val="null3"/>
            </w:pPr>
            <w:r>
              <w:rPr>
                <w:sz w:val="21"/>
              </w:rPr>
              <w:t>6</w:t>
            </w:r>
            <w:r>
              <w:rPr>
                <w:sz w:val="21"/>
              </w:rPr>
              <w:t>、中标人工作行为应该符合法律和政府相关部门之规定，如有违反，中标人受到政府相关部门处罚，相关责任由中标人自行承担和解决。</w:t>
            </w:r>
          </w:p>
        </w:tc>
      </w:tr>
      <w:tr>
        <w:tc>
          <w:tcPr>
            <w:tcW w:type="dxa" w:w="2076"/>
          </w:tcPr>
          <w:p/>
        </w:tc>
        <w:tc>
          <w:tcPr>
            <w:tcW w:type="dxa" w:w="415"/>
          </w:tcPr>
          <w:p>
            <w:pPr>
              <w:pStyle w:val="null3"/>
            </w:pPr>
            <w:r>
              <w:rPr/>
              <w:t>5</w:t>
            </w:r>
          </w:p>
        </w:tc>
        <w:tc>
          <w:tcPr>
            <w:tcW w:type="dxa" w:w="5814"/>
          </w:tcPr>
          <w:p>
            <w:pPr>
              <w:pStyle w:val="null3"/>
              <w:jc w:val="both"/>
            </w:pPr>
            <w:r>
              <w:rPr>
                <w:sz w:val="21"/>
                <w:b/>
              </w:rPr>
              <w:t>五、设备验收与管理</w:t>
            </w:r>
          </w:p>
          <w:p>
            <w:pPr>
              <w:pStyle w:val="null3"/>
              <w:ind w:firstLine="420"/>
              <w:jc w:val="both"/>
            </w:pPr>
            <w:r>
              <w:rPr>
                <w:sz w:val="21"/>
              </w:rPr>
              <w:t>1</w:t>
            </w:r>
            <w:r>
              <w:rPr>
                <w:sz w:val="21"/>
              </w:rPr>
              <w:t>、设备验收标准：所有设备进场后，由采购人对设备的外观、型号规格、投入数量等进行验收。</w:t>
            </w:r>
          </w:p>
          <w:p>
            <w:pPr>
              <w:pStyle w:val="null3"/>
              <w:ind w:firstLine="420"/>
              <w:jc w:val="both"/>
            </w:pPr>
            <w:r>
              <w:rPr>
                <w:sz w:val="21"/>
              </w:rPr>
              <w:t>2</w:t>
            </w:r>
            <w:r>
              <w:rPr>
                <w:sz w:val="21"/>
              </w:rPr>
              <w:t>、管理要求：</w:t>
            </w:r>
          </w:p>
          <w:p>
            <w:pPr>
              <w:pStyle w:val="null3"/>
              <w:ind w:firstLine="420"/>
              <w:jc w:val="both"/>
            </w:pPr>
            <w:r>
              <w:rPr>
                <w:sz w:val="21"/>
              </w:rPr>
              <w:t>（</w:t>
            </w:r>
            <w:r>
              <w:rPr>
                <w:sz w:val="21"/>
              </w:rPr>
              <w:t>1</w:t>
            </w:r>
            <w:r>
              <w:rPr>
                <w:sz w:val="21"/>
              </w:rPr>
              <w:t>）中标人应提供产品说明、设备保养情况依据、使用情况依据和详细的培训计划。</w:t>
            </w:r>
          </w:p>
          <w:p>
            <w:pPr>
              <w:pStyle w:val="null3"/>
              <w:ind w:firstLine="420"/>
              <w:jc w:val="both"/>
            </w:pPr>
            <w:r>
              <w:rPr>
                <w:sz w:val="21"/>
              </w:rPr>
              <w:t>（</w:t>
            </w:r>
            <w:r>
              <w:rPr>
                <w:sz w:val="21"/>
              </w:rPr>
              <w:t>2</w:t>
            </w:r>
            <w:r>
              <w:rPr>
                <w:sz w:val="21"/>
              </w:rPr>
              <w:t>）在服务期内，若车辆、设备出现故障、损坏等问题，中标人应立即对车辆、设备进行维修或替换（更换），在设备维修期间应安排备用车辆、设备确保不影响垃圾转运、收集工作，相关维修、检修、人工等一切费用由中标人自行承担。</w:t>
            </w:r>
          </w:p>
          <w:p>
            <w:pPr>
              <w:pStyle w:val="null3"/>
            </w:pPr>
            <w:r>
              <w:rPr>
                <w:sz w:val="21"/>
              </w:rPr>
              <w:t>3</w:t>
            </w:r>
            <w:r>
              <w:rPr>
                <w:sz w:val="21"/>
              </w:rPr>
              <w:t>、</w:t>
            </w:r>
            <w:r>
              <w:rPr>
                <w:sz w:val="21"/>
              </w:rPr>
              <w:t>垃圾清运箱体</w:t>
            </w:r>
            <w:r>
              <w:rPr>
                <w:sz w:val="21"/>
              </w:rPr>
              <w:t>的提供及管理维护由保洁单位负责。</w:t>
            </w:r>
          </w:p>
        </w:tc>
      </w:tr>
      <w:tr>
        <w:tc>
          <w:tcPr>
            <w:tcW w:type="dxa" w:w="2076"/>
          </w:tcPr>
          <w:p/>
        </w:tc>
        <w:tc>
          <w:tcPr>
            <w:tcW w:type="dxa" w:w="415"/>
          </w:tcPr>
          <w:p>
            <w:pPr>
              <w:pStyle w:val="null3"/>
            </w:pPr>
            <w:r>
              <w:rPr/>
              <w:t>6</w:t>
            </w:r>
          </w:p>
        </w:tc>
        <w:tc>
          <w:tcPr>
            <w:tcW w:type="dxa" w:w="5814"/>
          </w:tcPr>
          <w:p>
            <w:pPr>
              <w:pStyle w:val="null3"/>
              <w:jc w:val="both"/>
            </w:pPr>
            <w:r>
              <w:rPr>
                <w:sz w:val="21"/>
                <w:b/>
              </w:rPr>
              <w:t>六、服务要求</w:t>
            </w:r>
          </w:p>
          <w:p>
            <w:pPr>
              <w:pStyle w:val="null3"/>
              <w:ind w:firstLine="420"/>
              <w:jc w:val="both"/>
            </w:pPr>
            <w:r>
              <w:rPr>
                <w:sz w:val="21"/>
              </w:rPr>
              <w:t>1</w:t>
            </w:r>
            <w:r>
              <w:rPr>
                <w:sz w:val="21"/>
              </w:rPr>
              <w:t>、中标人在中标公告发出之日起一个月内必须要在承包区域范围内设有固定办公场所、停车场，全部由中标人自行解决。</w:t>
            </w:r>
          </w:p>
          <w:p>
            <w:pPr>
              <w:pStyle w:val="null3"/>
              <w:ind w:firstLine="420"/>
              <w:jc w:val="both"/>
            </w:pPr>
            <w:r>
              <w:rPr>
                <w:sz w:val="21"/>
              </w:rPr>
              <w:t>2</w:t>
            </w:r>
            <w:r>
              <w:rPr>
                <w:sz w:val="21"/>
              </w:rPr>
              <w:t>、投标人要有相应资格的专职管理人员，提供相关证明材料。</w:t>
            </w:r>
          </w:p>
          <w:p>
            <w:pPr>
              <w:pStyle w:val="null3"/>
              <w:ind w:firstLine="420"/>
              <w:jc w:val="both"/>
            </w:pPr>
            <w:r>
              <w:rPr>
                <w:sz w:val="21"/>
              </w:rPr>
              <w:t>3</w:t>
            </w:r>
            <w:r>
              <w:rPr>
                <w:sz w:val="21"/>
              </w:rPr>
              <w:t>、垃圾转运</w:t>
            </w:r>
          </w:p>
          <w:p>
            <w:pPr>
              <w:pStyle w:val="null3"/>
              <w:ind w:firstLine="420"/>
              <w:jc w:val="both"/>
            </w:pPr>
            <w:r>
              <w:rPr>
                <w:sz w:val="21"/>
              </w:rPr>
              <w:t>（</w:t>
            </w:r>
            <w:r>
              <w:rPr>
                <w:sz w:val="21"/>
              </w:rPr>
              <w:t>1</w:t>
            </w:r>
            <w:r>
              <w:rPr>
                <w:sz w:val="21"/>
              </w:rPr>
              <w:t>）制定科学合理转运路线，转运中转站、工厂、企业、单位、小区及主干道</w:t>
            </w:r>
            <w:r>
              <w:rPr>
                <w:sz w:val="21"/>
              </w:rPr>
              <w:t>660L</w:t>
            </w:r>
            <w:r>
              <w:rPr>
                <w:sz w:val="21"/>
              </w:rPr>
              <w:t>垃圾桶（其他类型垃圾容器由辖区保洁单位负责统一运往附近中转站）的生活垃圾，运至厚街环保热电厂，禁止擅自设点及裸露堆放垃圾，若发现从严处罚。</w:t>
            </w:r>
          </w:p>
          <w:p>
            <w:pPr>
              <w:pStyle w:val="null3"/>
              <w:ind w:firstLine="420"/>
              <w:jc w:val="both"/>
            </w:pPr>
            <w:r>
              <w:rPr>
                <w:sz w:val="21"/>
              </w:rPr>
              <w:t>（</w:t>
            </w:r>
            <w:r>
              <w:rPr>
                <w:sz w:val="21"/>
              </w:rPr>
              <w:t>2</w:t>
            </w:r>
            <w:r>
              <w:rPr>
                <w:sz w:val="21"/>
              </w:rPr>
              <w:t>）按要求配置密闭自卸垃圾转运车辆，车辆技术指标必须满足垃圾中转站转运设施正常使用的要求。</w:t>
            </w:r>
          </w:p>
          <w:p>
            <w:pPr>
              <w:pStyle w:val="null3"/>
              <w:ind w:firstLine="420"/>
              <w:jc w:val="both"/>
            </w:pPr>
            <w:r>
              <w:rPr>
                <w:sz w:val="21"/>
              </w:rPr>
              <w:t>（</w:t>
            </w:r>
            <w:r>
              <w:rPr>
                <w:sz w:val="21"/>
              </w:rPr>
              <w:t>3</w:t>
            </w:r>
            <w:r>
              <w:rPr>
                <w:sz w:val="21"/>
              </w:rPr>
              <w:t>）机动垃圾转运车辆必须密闭运输，垃圾在运输过程中不得有漏洒，车体外侧不得加挂杂物、污染道路现象。</w:t>
            </w:r>
          </w:p>
          <w:p>
            <w:pPr>
              <w:pStyle w:val="null3"/>
              <w:ind w:firstLine="420"/>
              <w:jc w:val="both"/>
            </w:pPr>
            <w:r>
              <w:rPr>
                <w:sz w:val="21"/>
              </w:rPr>
              <w:t>（</w:t>
            </w:r>
            <w:r>
              <w:rPr>
                <w:sz w:val="21"/>
              </w:rPr>
              <w:t>4</w:t>
            </w:r>
            <w:r>
              <w:rPr>
                <w:sz w:val="21"/>
              </w:rPr>
              <w:t>）转运至厚街环保热电厂过程中，禁止偷倒转运工厂、企业或外来工业垃圾，若发现从严处罚，并移交有关执法部门处置。</w:t>
            </w:r>
          </w:p>
          <w:p>
            <w:pPr>
              <w:pStyle w:val="null3"/>
              <w:ind w:firstLine="420"/>
              <w:jc w:val="both"/>
            </w:pPr>
            <w:r>
              <w:rPr>
                <w:sz w:val="21"/>
              </w:rPr>
              <w:t>（</w:t>
            </w:r>
            <w:r>
              <w:rPr>
                <w:sz w:val="21"/>
              </w:rPr>
              <w:t>5</w:t>
            </w:r>
            <w:r>
              <w:rPr>
                <w:sz w:val="21"/>
              </w:rPr>
              <w:t>）不得转运剧毒、易燃易爆、医疗等有危险性的特种垃圾，若发现从严处罚，并移交有关执法部门处置。</w:t>
            </w:r>
          </w:p>
          <w:p>
            <w:pPr>
              <w:pStyle w:val="null3"/>
              <w:ind w:firstLine="420"/>
              <w:jc w:val="both"/>
            </w:pPr>
            <w:r>
              <w:rPr>
                <w:sz w:val="21"/>
              </w:rPr>
              <w:t>（</w:t>
            </w:r>
            <w:r>
              <w:rPr>
                <w:sz w:val="21"/>
              </w:rPr>
              <w:t>6</w:t>
            </w:r>
            <w:r>
              <w:rPr>
                <w:sz w:val="21"/>
              </w:rPr>
              <w:t>）随车配备清扫工具</w:t>
            </w:r>
            <w:r>
              <w:rPr>
                <w:sz w:val="21"/>
              </w:rPr>
              <w:t>，垃圾转运时必须把各</w:t>
            </w:r>
            <w:r>
              <w:rPr>
                <w:sz w:val="21"/>
              </w:rPr>
              <w:t>收集点</w:t>
            </w:r>
            <w:r>
              <w:rPr>
                <w:sz w:val="21"/>
              </w:rPr>
              <w:t>2</w:t>
            </w:r>
            <w:r>
              <w:rPr>
                <w:sz w:val="21"/>
              </w:rPr>
              <w:t>平方范围内清扫干净。</w:t>
            </w:r>
            <w:r>
              <w:rPr>
                <w:sz w:val="21"/>
              </w:rPr>
              <w:t>做到无污迹、无异味、无投诉等，相关省、市迎检、督导检查期间应全面加强冲洗频次，并做好相关工作台账。</w:t>
            </w:r>
          </w:p>
          <w:p>
            <w:pPr>
              <w:pStyle w:val="null3"/>
              <w:ind w:firstLine="420"/>
              <w:jc w:val="both"/>
            </w:pPr>
            <w:r>
              <w:rPr>
                <w:sz w:val="21"/>
              </w:rPr>
              <w:t>（</w:t>
            </w:r>
            <w:r>
              <w:rPr>
                <w:sz w:val="21"/>
              </w:rPr>
              <w:t>7</w:t>
            </w:r>
            <w:r>
              <w:rPr>
                <w:sz w:val="21"/>
              </w:rPr>
              <w:t>）安全、文明作业，投标人须针对本项目特点及实际需求，提供完善的安全文明措施，包括不限于尽量避免噪音扰民、妨碍交通等现象。</w:t>
            </w:r>
          </w:p>
          <w:p>
            <w:pPr>
              <w:pStyle w:val="null3"/>
            </w:pPr>
            <w:r>
              <w:rPr>
                <w:sz w:val="21"/>
              </w:rPr>
              <w:t>（</w:t>
            </w:r>
            <w:r>
              <w:rPr>
                <w:sz w:val="21"/>
              </w:rPr>
              <w:t>8</w:t>
            </w:r>
            <w:r>
              <w:rPr>
                <w:sz w:val="21"/>
              </w:rPr>
              <w:t>）中标人需在中标一个月内熟悉厚街镇</w:t>
            </w:r>
            <w:r>
              <w:rPr>
                <w:sz w:val="21"/>
              </w:rPr>
              <w:t>中心区</w:t>
            </w:r>
            <w:r>
              <w:rPr>
                <w:sz w:val="21"/>
              </w:rPr>
              <w:t>内转运路线，并重新制定转运路线图交予采购人。</w:t>
            </w:r>
          </w:p>
        </w:tc>
      </w:tr>
      <w:tr>
        <w:tc>
          <w:tcPr>
            <w:tcW w:type="dxa" w:w="2076"/>
          </w:tcPr>
          <w:p/>
        </w:tc>
        <w:tc>
          <w:tcPr>
            <w:tcW w:type="dxa" w:w="415"/>
          </w:tcPr>
          <w:p>
            <w:pPr>
              <w:pStyle w:val="null3"/>
            </w:pPr>
            <w:r>
              <w:rPr/>
              <w:t>7</w:t>
            </w:r>
          </w:p>
        </w:tc>
        <w:tc>
          <w:tcPr>
            <w:tcW w:type="dxa" w:w="5814"/>
          </w:tcPr>
          <w:p>
            <w:pPr>
              <w:pStyle w:val="null3"/>
              <w:jc w:val="both"/>
            </w:pPr>
            <w:r>
              <w:rPr>
                <w:sz w:val="21"/>
                <w:b/>
              </w:rPr>
              <w:t>七、</w:t>
            </w:r>
            <w:r>
              <w:rPr>
                <w:sz w:val="21"/>
                <w:b/>
              </w:rPr>
              <w:t>安全生产要求</w:t>
            </w:r>
          </w:p>
          <w:p>
            <w:pPr>
              <w:pStyle w:val="null3"/>
              <w:ind w:firstLine="420"/>
              <w:jc w:val="both"/>
            </w:pPr>
            <w:r>
              <w:rPr>
                <w:sz w:val="21"/>
              </w:rPr>
              <w:t>1.</w:t>
            </w:r>
            <w:r>
              <w:rPr>
                <w:sz w:val="21"/>
              </w:rPr>
              <w:t>中标人</w:t>
            </w:r>
            <w:r>
              <w:rPr>
                <w:sz w:val="21"/>
              </w:rPr>
              <w:t>每月组织安全教育培训，并每天做好安全作业交底工作，教育工人作业期间应注意安全及施工文明，确保不出现安全事故；中标企业负责人必须严格履行第一责任人责任，定期督促、检查本单位的安全生产工作，及时消除生产安全事故隐患，以及组织制定并实施本单位的安全生产教育和培训计划，并形成台账记录以备检查。</w:t>
            </w:r>
          </w:p>
          <w:p>
            <w:pPr>
              <w:pStyle w:val="null3"/>
              <w:ind w:firstLine="420"/>
              <w:jc w:val="both"/>
            </w:pPr>
            <w:r>
              <w:rPr>
                <w:sz w:val="21"/>
              </w:rPr>
              <w:t>2.</w:t>
            </w:r>
            <w:r>
              <w:rPr>
                <w:sz w:val="21"/>
              </w:rPr>
              <w:t>路面作业人员必须统一穿着带反光标志的工作服（按《东莞市城市管理和综合执法局视觉识别系统》等相关文件或有关部门相关要求），并为上岗工人购买统一工作服、反光袖套及肩灯等安全防护用具；路面作业时必须落实警示标志及防护措施。</w:t>
            </w:r>
          </w:p>
          <w:p>
            <w:pPr>
              <w:pStyle w:val="null3"/>
              <w:ind w:firstLine="420"/>
              <w:jc w:val="both"/>
            </w:pPr>
            <w:r>
              <w:rPr>
                <w:sz w:val="21"/>
              </w:rPr>
              <w:t>3.</w:t>
            </w:r>
            <w:r>
              <w:rPr>
                <w:sz w:val="21"/>
              </w:rPr>
              <w:t>中标人</w:t>
            </w:r>
            <w:r>
              <w:rPr>
                <w:sz w:val="21"/>
              </w:rPr>
              <w:t>自行解决户外安全问题，工人上下班不得乱穿马路、作业车辆不得逆向行驶或出现人货混载的情况。</w:t>
            </w:r>
          </w:p>
          <w:p>
            <w:pPr>
              <w:pStyle w:val="null3"/>
              <w:ind w:firstLine="420"/>
              <w:jc w:val="both"/>
            </w:pPr>
            <w:r>
              <w:rPr>
                <w:sz w:val="21"/>
              </w:rPr>
              <w:t>4.</w:t>
            </w:r>
            <w:r>
              <w:rPr>
                <w:sz w:val="21"/>
              </w:rPr>
              <w:t>在城市主、次干道，快速路上作业时，未经允许严禁在非交通繁忙时段（交通繁忙时段指</w:t>
            </w:r>
            <w:r>
              <w:rPr>
                <w:sz w:val="21"/>
              </w:rPr>
              <w:t>7</w:t>
            </w:r>
            <w:r>
              <w:rPr>
                <w:sz w:val="21"/>
              </w:rPr>
              <w:t>时至</w:t>
            </w:r>
            <w:r>
              <w:rPr>
                <w:sz w:val="21"/>
              </w:rPr>
              <w:t>9</w:t>
            </w:r>
            <w:r>
              <w:rPr>
                <w:sz w:val="21"/>
              </w:rPr>
              <w:t>时，</w:t>
            </w:r>
            <w:r>
              <w:rPr>
                <w:sz w:val="21"/>
              </w:rPr>
              <w:t>17</w:t>
            </w:r>
            <w:r>
              <w:rPr>
                <w:sz w:val="21"/>
              </w:rPr>
              <w:t>时至</w:t>
            </w:r>
            <w:r>
              <w:rPr>
                <w:sz w:val="21"/>
              </w:rPr>
              <w:t>19</w:t>
            </w:r>
            <w:r>
              <w:rPr>
                <w:sz w:val="21"/>
              </w:rPr>
              <w:t>时）进行。涉及占机动车道作业的，需报</w:t>
            </w:r>
            <w:r>
              <w:rPr>
                <w:sz w:val="21"/>
              </w:rPr>
              <w:t>采购人</w:t>
            </w:r>
            <w:r>
              <w:rPr>
                <w:sz w:val="21"/>
              </w:rPr>
              <w:t>审批，在征得交警部门同意下开始占道作业的准备。在占道作业开始前，作业人员必须披戴具有反光标志的背心、肩灯，并应在距离作业点正、反方向分别不少于</w:t>
            </w:r>
            <w:r>
              <w:rPr>
                <w:sz w:val="21"/>
              </w:rPr>
              <w:t>80m</w:t>
            </w:r>
            <w:r>
              <w:rPr>
                <w:sz w:val="21"/>
              </w:rPr>
              <w:t>和</w:t>
            </w:r>
            <w:r>
              <w:rPr>
                <w:sz w:val="21"/>
              </w:rPr>
              <w:t>150m</w:t>
            </w:r>
            <w:r>
              <w:rPr>
                <w:sz w:val="21"/>
              </w:rPr>
              <w:t>的地方设置反光警示牌及其他警示标志，并配备押尾车，同时专职安全员必须旁站，在做好一切安全作业措施后，须征得</w:t>
            </w:r>
            <w:r>
              <w:rPr>
                <w:sz w:val="21"/>
              </w:rPr>
              <w:t>采购人</w:t>
            </w:r>
            <w:r>
              <w:rPr>
                <w:sz w:val="21"/>
              </w:rPr>
              <w:t>同意下方可开展工作，占道作业结束后，须将现场撤场情况向</w:t>
            </w:r>
            <w:r>
              <w:rPr>
                <w:sz w:val="21"/>
              </w:rPr>
              <w:t>采购人</w:t>
            </w:r>
            <w:r>
              <w:rPr>
                <w:sz w:val="21"/>
              </w:rPr>
              <w:t>汇报。</w:t>
            </w:r>
          </w:p>
          <w:p>
            <w:pPr>
              <w:pStyle w:val="null3"/>
              <w:ind w:firstLine="420"/>
              <w:jc w:val="both"/>
            </w:pPr>
            <w:r>
              <w:rPr>
                <w:sz w:val="21"/>
              </w:rPr>
              <w:t>5</w:t>
            </w:r>
            <w:r>
              <w:rPr>
                <w:sz w:val="21"/>
              </w:rPr>
              <w:t>.</w:t>
            </w:r>
            <w:r>
              <w:rPr>
                <w:sz w:val="21"/>
              </w:rPr>
              <w:t>垃圾运输</w:t>
            </w:r>
            <w:r>
              <w:rPr>
                <w:sz w:val="21"/>
              </w:rPr>
              <w:t>车等在机动车道行驶的作业车辆需统一安装右侧盲区探测雷达，同时相关作业车辆需要配合</w:t>
            </w:r>
            <w:r>
              <w:rPr>
                <w:sz w:val="21"/>
              </w:rPr>
              <w:t>采购人</w:t>
            </w:r>
            <w:r>
              <w:rPr>
                <w:sz w:val="21"/>
              </w:rPr>
              <w:t>要求完善相关安全防护装置以及措施。</w:t>
            </w:r>
          </w:p>
          <w:p>
            <w:pPr>
              <w:pStyle w:val="null3"/>
              <w:ind w:firstLine="420"/>
              <w:jc w:val="both"/>
            </w:pPr>
            <w:r>
              <w:rPr>
                <w:sz w:val="21"/>
              </w:rPr>
              <w:t>6</w:t>
            </w:r>
            <w:r>
              <w:rPr>
                <w:sz w:val="21"/>
              </w:rPr>
              <w:t>.</w:t>
            </w:r>
            <w:r>
              <w:rPr>
                <w:sz w:val="21"/>
              </w:rPr>
              <w:t>项目部或集中安排工人宿舍的要落实防火、安全用电、安全用气等措施，配足性能良好的消防器材，日常开展安全隐患排查。</w:t>
            </w:r>
          </w:p>
          <w:p>
            <w:pPr>
              <w:pStyle w:val="null3"/>
              <w:ind w:firstLine="420"/>
              <w:jc w:val="both"/>
            </w:pPr>
            <w:r>
              <w:rPr>
                <w:sz w:val="21"/>
              </w:rPr>
              <w:t>7</w:t>
            </w:r>
            <w:r>
              <w:rPr>
                <w:sz w:val="21"/>
              </w:rPr>
              <w:t>.</w:t>
            </w:r>
            <w:r>
              <w:rPr>
                <w:sz w:val="21"/>
              </w:rPr>
              <w:t>在各类作业期间，必须按各工种的操作特性，落实各类的安全、防护措施，确保人员及财产的安全，发生安全生产事故的，必须及时上报。</w:t>
            </w:r>
          </w:p>
          <w:p>
            <w:pPr>
              <w:pStyle w:val="null3"/>
              <w:ind w:firstLine="420"/>
              <w:jc w:val="both"/>
            </w:pPr>
            <w:r>
              <w:rPr>
                <w:sz w:val="21"/>
              </w:rPr>
              <w:t>10.</w:t>
            </w:r>
            <w:r>
              <w:rPr>
                <w:sz w:val="21"/>
              </w:rPr>
              <w:t>在进行养护作业时，必须认真负责，注意安全操作。如因</w:t>
            </w:r>
            <w:r>
              <w:rPr>
                <w:sz w:val="21"/>
              </w:rPr>
              <w:t>中标人</w:t>
            </w:r>
            <w:r>
              <w:rPr>
                <w:sz w:val="21"/>
              </w:rPr>
              <w:t>操作不当、管理疏漏等各种原因造成</w:t>
            </w:r>
            <w:r>
              <w:rPr>
                <w:sz w:val="21"/>
              </w:rPr>
              <w:t>中标人</w:t>
            </w:r>
            <w:r>
              <w:rPr>
                <w:sz w:val="21"/>
              </w:rPr>
              <w:t>职工、雇员或任何其他人人身或财产损害的，</w:t>
            </w:r>
            <w:r>
              <w:rPr>
                <w:sz w:val="21"/>
              </w:rPr>
              <w:t>中标人</w:t>
            </w:r>
            <w:r>
              <w:rPr>
                <w:sz w:val="21"/>
              </w:rPr>
              <w:t>应承担全部责任。（包括但不限于相关的赔偿费用、诉讼费、保全费、鉴定费、公证费、律师费、差旅费等所有费用）。</w:t>
            </w:r>
          </w:p>
          <w:p>
            <w:pPr>
              <w:pStyle w:val="null3"/>
              <w:ind w:firstLine="420"/>
              <w:jc w:val="both"/>
            </w:pPr>
            <w:r>
              <w:rPr>
                <w:sz w:val="21"/>
              </w:rPr>
              <w:t>11.</w:t>
            </w:r>
            <w:r>
              <w:rPr>
                <w:sz w:val="21"/>
              </w:rPr>
              <w:t>中标人</w:t>
            </w:r>
            <w:r>
              <w:rPr>
                <w:sz w:val="21"/>
              </w:rPr>
              <w:t>签订合同前应提交企业安全生产责任承诺书。</w:t>
            </w:r>
          </w:p>
          <w:p>
            <w:pPr>
              <w:pStyle w:val="null3"/>
              <w:ind w:firstLine="420"/>
              <w:jc w:val="both"/>
            </w:pPr>
            <w:r>
              <w:rPr>
                <w:sz w:val="21"/>
              </w:rPr>
              <w:t>12.</w:t>
            </w:r>
            <w:r>
              <w:rPr>
                <w:sz w:val="21"/>
              </w:rPr>
              <w:t>在供电、通讯等各类管线或设施近旁作业时，应划定保护区域，采取必要的保护措施，以保障作业人员、管线以及设施安全。在高压电线、电塔附近作业时，应特别注意安全，避免工人触电，必要时应及时征求</w:t>
            </w:r>
            <w:r>
              <w:rPr>
                <w:sz w:val="21"/>
              </w:rPr>
              <w:t>采购人</w:t>
            </w:r>
            <w:r>
              <w:rPr>
                <w:sz w:val="21"/>
              </w:rPr>
              <w:t>的意见，并请供电部门配合。</w:t>
            </w:r>
          </w:p>
          <w:p>
            <w:pPr>
              <w:pStyle w:val="null3"/>
            </w:pPr>
            <w:r>
              <w:rPr>
                <w:sz w:val="21"/>
              </w:rPr>
              <w:t>1</w:t>
            </w:r>
            <w:r>
              <w:rPr>
                <w:sz w:val="21"/>
              </w:rPr>
              <w:t>3</w:t>
            </w:r>
            <w:r>
              <w:rPr>
                <w:sz w:val="21"/>
              </w:rPr>
              <w:t>.</w:t>
            </w:r>
            <w:r>
              <w:rPr>
                <w:sz w:val="21"/>
              </w:rPr>
              <w:t>在进行保洁垃圾装载时，押尾车必须押尾，确保作业安全。</w:t>
            </w:r>
          </w:p>
        </w:tc>
      </w:tr>
      <w:tr>
        <w:tc>
          <w:tcPr>
            <w:tcW w:type="dxa" w:w="2076"/>
          </w:tcPr>
          <w:p/>
        </w:tc>
        <w:tc>
          <w:tcPr>
            <w:tcW w:type="dxa" w:w="415"/>
          </w:tcPr>
          <w:p>
            <w:pPr>
              <w:pStyle w:val="null3"/>
            </w:pPr>
            <w:r>
              <w:rPr/>
              <w:t>8</w:t>
            </w:r>
          </w:p>
        </w:tc>
        <w:tc>
          <w:tcPr>
            <w:tcW w:type="dxa" w:w="5814"/>
          </w:tcPr>
          <w:p>
            <w:pPr>
              <w:pStyle w:val="null3"/>
              <w:jc w:val="both"/>
            </w:pPr>
            <w:r>
              <w:rPr>
                <w:sz w:val="21"/>
                <w:b/>
              </w:rPr>
              <w:t>★</w:t>
            </w:r>
            <w:r>
              <w:rPr>
                <w:sz w:val="21"/>
                <w:b/>
              </w:rPr>
              <w:t>八</w:t>
            </w:r>
            <w:r>
              <w:rPr>
                <w:sz w:val="21"/>
                <w:b/>
              </w:rPr>
              <w:t>、重要条款要求</w:t>
            </w:r>
          </w:p>
          <w:p>
            <w:pPr>
              <w:pStyle w:val="null3"/>
              <w:ind w:firstLine="420"/>
              <w:jc w:val="both"/>
            </w:pPr>
            <w:r>
              <w:rPr>
                <w:sz w:val="21"/>
              </w:rPr>
              <w:t>1</w:t>
            </w:r>
            <w:r>
              <w:rPr>
                <w:sz w:val="21"/>
              </w:rPr>
              <w:t>、投标人必须根据方案中做出的承诺及本合同规定的各项任务，组织员工履行各项职责，按照《东莞市环境卫生劳动定额》、《东莞市环境卫生质量标准》操作，使厚街镇环境卫生质量有明显提高。</w:t>
            </w:r>
          </w:p>
          <w:p>
            <w:pPr>
              <w:pStyle w:val="null3"/>
              <w:ind w:firstLine="420"/>
              <w:jc w:val="both"/>
            </w:pPr>
            <w:r>
              <w:rPr>
                <w:sz w:val="21"/>
              </w:rPr>
              <w:t>2</w:t>
            </w:r>
            <w:r>
              <w:rPr>
                <w:sz w:val="21"/>
              </w:rPr>
              <w:t>、投标人必须随时接受并配合采购人、专项检查小组、上级环境卫生管理部门以及其他相关部门的监督、检查和指导，必须无条件的服从采购人组织一些突击性任务及迎接检查活动。如发现投标人组织不当，计划不落实，导致环卫质量达不到规定的，在接到书面通知后，一个星期内必须整改，否则采购人有权在当月承包费中扣除</w:t>
            </w:r>
            <w:r>
              <w:rPr>
                <w:sz w:val="21"/>
              </w:rPr>
              <w:t>5%</w:t>
            </w:r>
            <w:r>
              <w:rPr>
                <w:sz w:val="21"/>
              </w:rPr>
              <w:t>作为罚金。</w:t>
            </w:r>
          </w:p>
          <w:p>
            <w:pPr>
              <w:pStyle w:val="null3"/>
              <w:ind w:firstLine="420"/>
              <w:jc w:val="both"/>
            </w:pPr>
            <w:r>
              <w:rPr>
                <w:sz w:val="21"/>
              </w:rPr>
              <w:t>3</w:t>
            </w:r>
            <w:r>
              <w:rPr>
                <w:sz w:val="21"/>
              </w:rPr>
              <w:t>、提供足够的人手，收集机械设备和物料承包方案。</w:t>
            </w:r>
          </w:p>
          <w:p>
            <w:pPr>
              <w:pStyle w:val="null3"/>
            </w:pPr>
            <w:r>
              <w:rPr>
                <w:sz w:val="21"/>
              </w:rPr>
              <w:t>注：投标人须按照以上内容提供单独的承诺函加盖投标人公章。</w:t>
            </w:r>
          </w:p>
        </w:tc>
      </w:tr>
      <w:tr>
        <w:tc>
          <w:tcPr>
            <w:tcW w:type="dxa" w:w="2076"/>
          </w:tcPr>
          <w:p/>
        </w:tc>
        <w:tc>
          <w:tcPr>
            <w:tcW w:type="dxa" w:w="415"/>
          </w:tcPr>
          <w:p>
            <w:pPr>
              <w:pStyle w:val="null3"/>
            </w:pPr>
            <w:r>
              <w:rPr/>
              <w:t>9</w:t>
            </w:r>
          </w:p>
        </w:tc>
        <w:tc>
          <w:tcPr>
            <w:tcW w:type="dxa" w:w="5814"/>
          </w:tcPr>
          <w:p>
            <w:pPr>
              <w:pStyle w:val="null3"/>
              <w:jc w:val="both"/>
            </w:pPr>
            <w:r>
              <w:rPr>
                <w:sz w:val="21"/>
                <w:b/>
              </w:rPr>
              <w:t>九</w:t>
            </w:r>
            <w:r>
              <w:rPr>
                <w:sz w:val="21"/>
                <w:b/>
              </w:rPr>
              <w:t>、其他说明</w:t>
            </w:r>
          </w:p>
          <w:p>
            <w:pPr>
              <w:pStyle w:val="null3"/>
              <w:ind w:firstLine="420"/>
              <w:jc w:val="both"/>
            </w:pPr>
            <w:r>
              <w:rPr>
                <w:sz w:val="21"/>
              </w:rPr>
              <w:t>1</w:t>
            </w:r>
            <w:r>
              <w:rPr>
                <w:sz w:val="21"/>
              </w:rPr>
              <w:t>、中标人需承担市场经营物价上涨的风险，不再以物价上涨为由向采购人增加承包款。</w:t>
            </w:r>
          </w:p>
          <w:p>
            <w:pPr>
              <w:pStyle w:val="null3"/>
              <w:ind w:firstLine="420"/>
              <w:jc w:val="both"/>
            </w:pPr>
            <w:r>
              <w:rPr>
                <w:sz w:val="21"/>
              </w:rPr>
              <w:t>2</w:t>
            </w:r>
            <w:r>
              <w:rPr>
                <w:sz w:val="21"/>
              </w:rPr>
              <w:t>、在合同期内，因国家建设需要征用或国家政策等原因，需要大幅减少中标人服务范围或提前结束合同的，服务费用将实时结算，因此造成的经济损失，采购人不负赔偿责任。</w:t>
            </w:r>
          </w:p>
          <w:p>
            <w:pPr>
              <w:pStyle w:val="null3"/>
              <w:ind w:firstLine="420"/>
              <w:jc w:val="both"/>
            </w:pPr>
            <w:r>
              <w:rPr>
                <w:sz w:val="21"/>
              </w:rPr>
              <w:t>3</w:t>
            </w:r>
            <w:r>
              <w:rPr>
                <w:sz w:val="21"/>
              </w:rPr>
              <w:t>、本项目以厚街镇</w:t>
            </w:r>
            <w:r>
              <w:rPr>
                <w:sz w:val="21"/>
              </w:rPr>
              <w:t>中心区</w:t>
            </w:r>
            <w:r>
              <w:rPr>
                <w:sz w:val="21"/>
              </w:rPr>
              <w:t>生活垃圾转运焚烧量为计算依据。</w:t>
            </w:r>
          </w:p>
          <w:p>
            <w:pPr>
              <w:pStyle w:val="null3"/>
            </w:pPr>
            <w:r>
              <w:rPr>
                <w:sz w:val="21"/>
              </w:rPr>
              <w:t>4</w:t>
            </w:r>
            <w:r>
              <w:rPr>
                <w:sz w:val="21"/>
              </w:rPr>
              <w:t>、中标人应为作业人员履行购买社保、公积金等法定义务及提供法定福利待遇。中标人人员发生工伤或非因工负伤的，或中标人人员与中标人发生其他劳动争议的，均由中标人自行协调处理，并承担相应责任。</w:t>
            </w:r>
          </w:p>
        </w:tc>
      </w:tr>
      <w:tr>
        <w:tc>
          <w:tcPr>
            <w:tcW w:type="dxa" w:w="2076"/>
          </w:tcPr>
          <w:p/>
        </w:tc>
        <w:tc>
          <w:tcPr>
            <w:tcW w:type="dxa" w:w="415"/>
          </w:tcPr>
          <w:p>
            <w:pPr>
              <w:pStyle w:val="null3"/>
            </w:pPr>
            <w:r>
              <w:rPr/>
              <w:t>10</w:t>
            </w:r>
          </w:p>
        </w:tc>
        <w:tc>
          <w:tcPr>
            <w:tcW w:type="dxa" w:w="5814"/>
          </w:tcPr>
          <w:p>
            <w:pPr>
              <w:pStyle w:val="null3"/>
              <w:jc w:val="both"/>
            </w:pPr>
            <w:r>
              <w:rPr>
                <w:sz w:val="21"/>
                <w:b/>
              </w:rPr>
              <w:t>附件：</w:t>
            </w:r>
          </w:p>
          <w:p>
            <w:pPr>
              <w:pStyle w:val="null3"/>
              <w:jc w:val="center"/>
            </w:pPr>
            <w:r>
              <w:rPr>
                <w:sz w:val="21"/>
                <w:b/>
              </w:rPr>
              <w:t>厚街镇</w:t>
            </w:r>
            <w:r>
              <w:rPr>
                <w:sz w:val="21"/>
                <w:b/>
              </w:rPr>
              <w:t>中心区</w:t>
            </w:r>
            <w:r>
              <w:rPr>
                <w:sz w:val="21"/>
                <w:b/>
              </w:rPr>
              <w:t>生活垃圾</w:t>
            </w:r>
            <w:r>
              <w:rPr>
                <w:sz w:val="21"/>
                <w:b/>
              </w:rPr>
              <w:t>运输</w:t>
            </w:r>
            <w:r>
              <w:rPr>
                <w:sz w:val="21"/>
                <w:b/>
              </w:rPr>
              <w:t>服务考核评分表</w:t>
            </w:r>
          </w:p>
          <w:p>
            <w:pPr>
              <w:pStyle w:val="null3"/>
              <w:jc w:val="center"/>
            </w:pPr>
            <w:r>
              <w:rPr>
                <w:sz w:val="21"/>
              </w:rPr>
              <w:t>（</w:t>
            </w:r>
            <w:r>
              <w:rPr>
                <w:sz w:val="21"/>
              </w:rPr>
              <w:t xml:space="preserve">   </w:t>
            </w:r>
            <w:r>
              <w:rPr>
                <w:sz w:val="21"/>
              </w:rPr>
              <w:t>）年（</w:t>
            </w:r>
            <w:r>
              <w:rPr>
                <w:sz w:val="21"/>
              </w:rPr>
              <w:t xml:space="preserve">   </w:t>
            </w:r>
            <w:r>
              <w:rPr>
                <w:sz w:val="21"/>
              </w:rPr>
              <w:t>）月</w:t>
            </w:r>
          </w:p>
          <w:tbl>
            <w:tblPr>
              <w:tblInd w:type="dxa" w:w="240"/>
              <w:tblBorders>
                <w:top w:val="none" w:color="000000" w:sz="4"/>
                <w:left w:val="none" w:color="000000" w:sz="4"/>
                <w:bottom w:val="none" w:color="000000" w:sz="4"/>
                <w:right w:val="none" w:color="000000" w:sz="4"/>
                <w:insideH w:val="none"/>
                <w:insideV w:val="none"/>
              </w:tblBorders>
            </w:tblPr>
            <w:tblGrid>
              <w:gridCol w:w="651"/>
              <w:gridCol w:w="2390"/>
              <w:gridCol w:w="1589"/>
              <w:gridCol w:w="469"/>
              <w:gridCol w:w="499"/>
            </w:tblGrid>
            <w:tr>
              <w:tc>
                <w:tcPr>
                  <w:tcW w:type="dxa" w:w="3041"/>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现场考核</w:t>
                  </w:r>
                </w:p>
              </w:tc>
              <w:tc>
                <w:tcPr>
                  <w:tcW w:type="dxa" w:w="15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扣分办法</w:t>
                  </w:r>
                </w:p>
              </w:tc>
              <w:tc>
                <w:tcPr>
                  <w:tcW w:type="dxa" w:w="4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应得分值</w:t>
                  </w:r>
                </w:p>
              </w:tc>
              <w:tc>
                <w:tcPr>
                  <w:tcW w:type="dxa" w:w="4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检查扣分</w:t>
                  </w:r>
                </w:p>
              </w:tc>
            </w:tr>
            <w:tr>
              <w:tc>
                <w:tcPr>
                  <w:tcW w:type="dxa" w:w="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w:t>
                  </w:r>
                </w:p>
              </w:tc>
              <w:tc>
                <w:tcPr>
                  <w:tcW w:type="dxa" w:w="2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检査方法及评价依据</w:t>
                  </w:r>
                </w:p>
              </w:tc>
              <w:tc>
                <w:tcPr>
                  <w:tcW w:type="dxa" w:w="1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垃圾转运作业（</w:t>
                  </w:r>
                  <w:r>
                    <w:rPr>
                      <w:sz w:val="21"/>
                    </w:rPr>
                    <w:t>51</w:t>
                  </w:r>
                  <w:r>
                    <w:rPr>
                      <w:sz w:val="21"/>
                    </w:rPr>
                    <w:t>分）</w:t>
                  </w:r>
                </w:p>
              </w:tc>
              <w:tc>
                <w:tcPr>
                  <w:tcW w:type="dxa" w:w="2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、垃圾压缩车在运输过程中，如有垃圾和污水散落在道路上；</w:t>
                  </w:r>
                </w:p>
              </w:tc>
              <w:tc>
                <w:tcPr>
                  <w:tcW w:type="dxa" w:w="1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、造成二次污染的，每次扣</w:t>
                  </w:r>
                  <w:r>
                    <w:rPr>
                      <w:sz w:val="21"/>
                    </w:rPr>
                    <w:t>1</w:t>
                  </w:r>
                  <w:r>
                    <w:rPr>
                      <w:sz w:val="21"/>
                    </w:rPr>
                    <w:t>分。</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51"/>
                  <w:vMerge/>
                  <w:tcBorders>
                    <w:top w:val="none" w:color="000000" w:sz="4"/>
                    <w:left w:val="single" w:color="000000" w:sz="4"/>
                    <w:bottom w:val="single" w:color="000000" w:sz="4"/>
                    <w:right w:val="single" w:color="000000" w:sz="4"/>
                  </w:tcBorders>
                </w:tcPr>
                <w:p/>
              </w:tc>
              <w:tc>
                <w:tcPr>
                  <w:tcW w:type="dxa" w:w="2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r>
                    <w:rPr>
                      <w:sz w:val="21"/>
                    </w:rPr>
                    <w:t>、垃圾要求日产日清，在规定的时间完成垃圾转运作业，无积存垃圾；</w:t>
                  </w:r>
                </w:p>
              </w:tc>
              <w:tc>
                <w:tcPr>
                  <w:tcW w:type="dxa" w:w="1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r>
                    <w:rPr>
                      <w:sz w:val="21"/>
                    </w:rPr>
                    <w:t>、发现每车厢、每桶次扣</w:t>
                  </w:r>
                  <w:r>
                    <w:rPr>
                      <w:sz w:val="21"/>
                    </w:rPr>
                    <w:t>1</w:t>
                  </w:r>
                  <w:r>
                    <w:rPr>
                      <w:sz w:val="21"/>
                    </w:rPr>
                    <w:t>分。</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51"/>
                  <w:vMerge/>
                  <w:tcBorders>
                    <w:top w:val="none" w:color="000000" w:sz="4"/>
                    <w:left w:val="single" w:color="000000" w:sz="4"/>
                    <w:bottom w:val="single" w:color="000000" w:sz="4"/>
                    <w:right w:val="single" w:color="000000" w:sz="4"/>
                  </w:tcBorders>
                </w:tcPr>
                <w:p/>
              </w:tc>
              <w:tc>
                <w:tcPr>
                  <w:tcW w:type="dxa" w:w="2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r>
                    <w:rPr>
                      <w:sz w:val="21"/>
                    </w:rPr>
                    <w:t>、压缩车厢、运输车辆需及时清洗；</w:t>
                  </w:r>
                </w:p>
              </w:tc>
              <w:tc>
                <w:tcPr>
                  <w:tcW w:type="dxa" w:w="1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r>
                    <w:rPr>
                      <w:sz w:val="21"/>
                    </w:rPr>
                    <w:t>、如未及时清洗或清洗后仍有异味的（以国家标准为依据），每次扣</w:t>
                  </w:r>
                  <w:r>
                    <w:rPr>
                      <w:sz w:val="21"/>
                    </w:rPr>
                    <w:t>1</w:t>
                  </w:r>
                  <w:r>
                    <w:rPr>
                      <w:sz w:val="21"/>
                    </w:rPr>
                    <w:t>分。</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51"/>
                  <w:vMerge/>
                  <w:tcBorders>
                    <w:top w:val="none" w:color="000000" w:sz="4"/>
                    <w:left w:val="single" w:color="000000" w:sz="4"/>
                    <w:bottom w:val="single" w:color="000000" w:sz="4"/>
                    <w:right w:val="single" w:color="000000" w:sz="4"/>
                  </w:tcBorders>
                </w:tcPr>
                <w:p/>
              </w:tc>
              <w:tc>
                <w:tcPr>
                  <w:tcW w:type="dxa" w:w="2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r>
                    <w:rPr>
                      <w:sz w:val="21"/>
                    </w:rPr>
                    <w:t>、运输车辆不按规定的线路行走或车辆外观不整洁的；</w:t>
                  </w:r>
                </w:p>
              </w:tc>
              <w:tc>
                <w:tcPr>
                  <w:tcW w:type="dxa" w:w="1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r>
                    <w:rPr>
                      <w:sz w:val="21"/>
                    </w:rPr>
                    <w:t>、每发现一次扣</w:t>
                  </w:r>
                  <w:r>
                    <w:rPr>
                      <w:sz w:val="21"/>
                    </w:rPr>
                    <w:t>1</w:t>
                  </w:r>
                  <w:r>
                    <w:rPr>
                      <w:sz w:val="21"/>
                    </w:rPr>
                    <w:t>分。</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51"/>
                  <w:vMerge/>
                  <w:tcBorders>
                    <w:top w:val="none" w:color="000000" w:sz="4"/>
                    <w:left w:val="single" w:color="000000" w:sz="4"/>
                    <w:bottom w:val="single" w:color="000000" w:sz="4"/>
                    <w:right w:val="single" w:color="000000" w:sz="4"/>
                  </w:tcBorders>
                </w:tcPr>
                <w:p/>
              </w:tc>
              <w:tc>
                <w:tcPr>
                  <w:tcW w:type="dxa" w:w="2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r>
                    <w:rPr>
                      <w:sz w:val="21"/>
                    </w:rPr>
                    <w:t>、在垃圾中转站中所散落的污水没有按规定进行及时冲洗，对环境造成影响的；</w:t>
                  </w:r>
                </w:p>
              </w:tc>
              <w:tc>
                <w:tcPr>
                  <w:tcW w:type="dxa" w:w="1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r>
                    <w:rPr>
                      <w:sz w:val="21"/>
                    </w:rPr>
                    <w:t>、每发现一次扣</w:t>
                  </w:r>
                  <w:r>
                    <w:rPr>
                      <w:sz w:val="21"/>
                    </w:rPr>
                    <w:t>1</w:t>
                  </w:r>
                  <w:r>
                    <w:rPr>
                      <w:sz w:val="21"/>
                    </w:rPr>
                    <w:t>分。</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51"/>
                  <w:vMerge/>
                  <w:tcBorders>
                    <w:top w:val="none" w:color="000000" w:sz="4"/>
                    <w:left w:val="single" w:color="000000" w:sz="4"/>
                    <w:bottom w:val="single" w:color="000000" w:sz="4"/>
                    <w:right w:val="single" w:color="000000" w:sz="4"/>
                  </w:tcBorders>
                </w:tcPr>
                <w:p/>
              </w:tc>
              <w:tc>
                <w:tcPr>
                  <w:tcW w:type="dxa" w:w="2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w:t>
                  </w:r>
                  <w:r>
                    <w:rPr>
                      <w:sz w:val="21"/>
                    </w:rPr>
                    <w:t>、遵守作业时间，不迟到、早退；</w:t>
                  </w:r>
                </w:p>
              </w:tc>
              <w:tc>
                <w:tcPr>
                  <w:tcW w:type="dxa" w:w="1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r>
                    <w:rPr>
                      <w:sz w:val="21"/>
                    </w:rPr>
                    <w:t>、在规定的时间未完成垃圾转运作业，每次扣</w:t>
                  </w:r>
                  <w:r>
                    <w:rPr>
                      <w:sz w:val="21"/>
                    </w:rPr>
                    <w:t>1</w:t>
                  </w:r>
                  <w:r>
                    <w:rPr>
                      <w:sz w:val="21"/>
                    </w:rPr>
                    <w:t>分。</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499"/>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651"/>
                  <w:vMerge/>
                  <w:tcBorders>
                    <w:top w:val="none" w:color="000000" w:sz="4"/>
                    <w:left w:val="single" w:color="000000" w:sz="4"/>
                    <w:bottom w:val="single" w:color="000000" w:sz="4"/>
                    <w:right w:val="single" w:color="000000" w:sz="4"/>
                  </w:tcBorders>
                </w:tcPr>
                <w:p/>
              </w:tc>
              <w:tc>
                <w:tcPr>
                  <w:tcW w:type="dxa" w:w="2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w:t>
                  </w:r>
                  <w:r>
                    <w:rPr>
                      <w:sz w:val="21"/>
                    </w:rPr>
                    <w:t>、转运垃圾严禁混入建筑垃圾、工业固废。</w:t>
                  </w:r>
                </w:p>
              </w:tc>
              <w:tc>
                <w:tcPr>
                  <w:tcW w:type="dxa" w:w="1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r>
                    <w:rPr>
                      <w:sz w:val="21"/>
                    </w:rPr>
                    <w:t>、每发现一次扣</w:t>
                  </w:r>
                  <w:r>
                    <w:rPr>
                      <w:sz w:val="21"/>
                    </w:rPr>
                    <w:t>1</w:t>
                  </w:r>
                  <w:r>
                    <w:rPr>
                      <w:sz w:val="21"/>
                    </w:rPr>
                    <w:t>分。</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499"/>
                  <w:vMerge/>
                  <w:tcBorders>
                    <w:top w:val="none" w:color="000000" w:sz="4"/>
                    <w:left w:val="none" w:color="000000" w:sz="4"/>
                    <w:bottom w:val="none" w:color="000000" w:sz="4"/>
                    <w:right w:val="single" w:color="000000" w:sz="4"/>
                  </w:tcBorders>
                </w:tcPr>
                <w:p/>
              </w:tc>
            </w:tr>
            <w:tr>
              <w:tc>
                <w:tcPr>
                  <w:tcW w:type="dxa" w:w="6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垃圾中转站管理（</w:t>
                  </w:r>
                  <w:r>
                    <w:rPr>
                      <w:sz w:val="21"/>
                    </w:rPr>
                    <w:t>19</w:t>
                  </w:r>
                  <w:r>
                    <w:rPr>
                      <w:sz w:val="21"/>
                    </w:rPr>
                    <w:t>分）</w:t>
                  </w:r>
                </w:p>
              </w:tc>
              <w:tc>
                <w:tcPr>
                  <w:tcW w:type="dxa" w:w="2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、每座垃圾中转站须有专人管理，不得在站内分拣垃圾；</w:t>
                  </w:r>
                </w:p>
              </w:tc>
              <w:tc>
                <w:tcPr>
                  <w:tcW w:type="dxa" w:w="1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、每发现一次扣</w:t>
                  </w:r>
                  <w:r>
                    <w:rPr>
                      <w:sz w:val="21"/>
                    </w:rPr>
                    <w:t>1</w:t>
                  </w:r>
                  <w:r>
                    <w:rPr>
                      <w:sz w:val="21"/>
                    </w:rPr>
                    <w:t>分。</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51"/>
                  <w:vMerge/>
                  <w:tcBorders>
                    <w:top w:val="none" w:color="000000" w:sz="4"/>
                    <w:left w:val="single" w:color="000000" w:sz="4"/>
                    <w:bottom w:val="single" w:color="000000" w:sz="4"/>
                    <w:right w:val="single" w:color="000000" w:sz="4"/>
                  </w:tcBorders>
                </w:tcPr>
                <w:p/>
              </w:tc>
              <w:tc>
                <w:tcPr>
                  <w:tcW w:type="dxa" w:w="2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r>
                    <w:rPr>
                      <w:sz w:val="21"/>
                    </w:rPr>
                    <w:t>、遵守操作规定，安全作业；</w:t>
                  </w:r>
                </w:p>
              </w:tc>
              <w:tc>
                <w:tcPr>
                  <w:tcW w:type="dxa" w:w="1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r>
                    <w:rPr>
                      <w:sz w:val="21"/>
                    </w:rPr>
                    <w:t>、未按要求操作管理的，每发现一次扣</w:t>
                  </w:r>
                  <w:r>
                    <w:rPr>
                      <w:sz w:val="21"/>
                    </w:rPr>
                    <w:t>1</w:t>
                  </w:r>
                  <w:r>
                    <w:rPr>
                      <w:sz w:val="21"/>
                    </w:rPr>
                    <w:t>分。</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51"/>
                  <w:vMerge/>
                  <w:tcBorders>
                    <w:top w:val="none" w:color="000000" w:sz="4"/>
                    <w:left w:val="single" w:color="000000" w:sz="4"/>
                    <w:bottom w:val="single" w:color="000000" w:sz="4"/>
                    <w:right w:val="single" w:color="000000" w:sz="4"/>
                  </w:tcBorders>
                </w:tcPr>
                <w:p/>
              </w:tc>
              <w:tc>
                <w:tcPr>
                  <w:tcW w:type="dxa" w:w="2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r>
                    <w:rPr>
                      <w:sz w:val="21"/>
                    </w:rPr>
                    <w:t>、保持垃圾中转站整洁卫生，定期进行清洗，垃圾装运后，垃圾压缩车厢周围及地面出现抛撒及存留垃圾，或垃圾桶摆放不整齐。</w:t>
                  </w:r>
                </w:p>
              </w:tc>
              <w:tc>
                <w:tcPr>
                  <w:tcW w:type="dxa" w:w="1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r>
                    <w:rPr>
                      <w:sz w:val="21"/>
                    </w:rPr>
                    <w:t>、每发现一次不合格扣</w:t>
                  </w:r>
                  <w:r>
                    <w:rPr>
                      <w:sz w:val="21"/>
                    </w:rPr>
                    <w:t>1</w:t>
                  </w:r>
                  <w:r>
                    <w:rPr>
                      <w:sz w:val="21"/>
                    </w:rPr>
                    <w:t>分。</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检查</w:t>
                  </w:r>
                  <w:r>
                    <w:rPr>
                      <w:sz w:val="21"/>
                    </w:rPr>
                    <w:t>及其</w:t>
                  </w:r>
                  <w:r>
                    <w:rPr>
                      <w:sz w:val="21"/>
                    </w:rPr>
                    <w:t>它（</w:t>
                  </w:r>
                  <w:r>
                    <w:rPr>
                      <w:sz w:val="21"/>
                    </w:rPr>
                    <w:t>30</w:t>
                  </w:r>
                  <w:r>
                    <w:rPr>
                      <w:sz w:val="21"/>
                    </w:rPr>
                    <w:t>分）</w:t>
                  </w:r>
                </w:p>
              </w:tc>
              <w:tc>
                <w:tcPr>
                  <w:tcW w:type="dxa" w:w="2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、清洁活动或突击性的卫生清洁任务，能按时、按标准、按要求完成所分配工作。</w:t>
                  </w:r>
                </w:p>
              </w:tc>
              <w:tc>
                <w:tcPr>
                  <w:tcW w:type="dxa" w:w="1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、未按要求完成的，一次扣</w:t>
                  </w:r>
                  <w:r>
                    <w:rPr>
                      <w:sz w:val="21"/>
                    </w:rPr>
                    <w:t>2</w:t>
                  </w:r>
                  <w:r>
                    <w:rPr>
                      <w:sz w:val="21"/>
                    </w:rPr>
                    <w:t>分。</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51"/>
                  <w:vMerge/>
                  <w:tcBorders>
                    <w:top w:val="none" w:color="000000" w:sz="4"/>
                    <w:left w:val="single" w:color="000000" w:sz="4"/>
                    <w:bottom w:val="single" w:color="000000" w:sz="4"/>
                    <w:right w:val="single" w:color="000000" w:sz="4"/>
                  </w:tcBorders>
                </w:tcPr>
                <w:p/>
              </w:tc>
              <w:tc>
                <w:tcPr>
                  <w:tcW w:type="dxa" w:w="2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r>
                    <w:rPr>
                      <w:sz w:val="21"/>
                    </w:rPr>
                    <w:t>、转运工作不到位，被市领导批评、被市民投诉。</w:t>
                  </w:r>
                </w:p>
              </w:tc>
              <w:tc>
                <w:tcPr>
                  <w:tcW w:type="dxa" w:w="1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r>
                    <w:rPr>
                      <w:sz w:val="21"/>
                    </w:rPr>
                    <w:t>、情况属实的，一次扣</w:t>
                  </w:r>
                  <w:r>
                    <w:rPr>
                      <w:sz w:val="21"/>
                    </w:rPr>
                    <w:t>2</w:t>
                  </w:r>
                  <w:r>
                    <w:rPr>
                      <w:sz w:val="21"/>
                    </w:rPr>
                    <w:t>分；造成恶劣影响的，处予罚款。</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51"/>
                  <w:vMerge/>
                  <w:tcBorders>
                    <w:top w:val="none" w:color="000000" w:sz="4"/>
                    <w:left w:val="single" w:color="000000" w:sz="4"/>
                    <w:bottom w:val="single" w:color="000000" w:sz="4"/>
                    <w:right w:val="single" w:color="000000" w:sz="4"/>
                  </w:tcBorders>
                </w:tcPr>
                <w:p/>
              </w:tc>
              <w:tc>
                <w:tcPr>
                  <w:tcW w:type="dxa" w:w="2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r>
                    <w:rPr>
                      <w:sz w:val="21"/>
                    </w:rPr>
                    <w:t>、须积极执行整改通知，对采购人提出的整改建议须诚恳接受，对下达的整改任务要按期完成。</w:t>
                  </w:r>
                </w:p>
              </w:tc>
              <w:tc>
                <w:tcPr>
                  <w:tcW w:type="dxa" w:w="1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r>
                    <w:rPr>
                      <w:sz w:val="21"/>
                    </w:rPr>
                    <w:t>、确认或情况属实的整改书拒绝签字的，每项扣</w:t>
                  </w:r>
                  <w:r>
                    <w:rPr>
                      <w:sz w:val="21"/>
                    </w:rPr>
                    <w:t>2</w:t>
                  </w:r>
                  <w:r>
                    <w:rPr>
                      <w:sz w:val="21"/>
                    </w:rPr>
                    <w:t>分；情节严重者按合同另予处罚。逾期不执行的，每超期</w:t>
                  </w:r>
                  <w:r>
                    <w:rPr>
                      <w:sz w:val="21"/>
                    </w:rPr>
                    <w:t>1</w:t>
                  </w:r>
                  <w:r>
                    <w:rPr>
                      <w:sz w:val="21"/>
                    </w:rPr>
                    <w:t>天扣</w:t>
                  </w:r>
                  <w:r>
                    <w:rPr>
                      <w:sz w:val="21"/>
                    </w:rPr>
                    <w:t>0.5</w:t>
                  </w:r>
                  <w:r>
                    <w:rPr>
                      <w:sz w:val="21"/>
                    </w:rPr>
                    <w:t>分。</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9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合计总得分（）</w:t>
                  </w:r>
                  <w:r>
                    <w:rPr>
                      <w:sz w:val="21"/>
                    </w:rPr>
                    <w:t>=</w:t>
                  </w:r>
                  <w:r>
                    <w:rPr>
                      <w:sz w:val="21"/>
                    </w:rPr>
                    <w:t>总分（</w:t>
                  </w:r>
                  <w:r>
                    <w:rPr>
                      <w:sz w:val="21"/>
                    </w:rPr>
                    <w:t>100</w:t>
                  </w:r>
                  <w:r>
                    <w:rPr>
                      <w:sz w:val="21"/>
                    </w:rPr>
                    <w:t>）</w:t>
                  </w:r>
                  <w:r>
                    <w:rPr>
                      <w:sz w:val="21"/>
                    </w:rPr>
                    <w:t>-</w:t>
                  </w:r>
                  <w:r>
                    <w:rPr>
                      <w:sz w:val="21"/>
                    </w:rPr>
                    <w:t>合计总扣分（）</w:t>
                  </w:r>
                </w:p>
              </w:tc>
            </w:tr>
          </w:tbl>
          <w:p>
            <w:pPr>
              <w:pStyle w:val="null3"/>
              <w:jc w:val="both"/>
            </w:pPr>
            <w:r>
              <w:rPr>
                <w:sz w:val="21"/>
              </w:rPr>
              <w:t>说明：</w:t>
            </w:r>
          </w:p>
          <w:p>
            <w:pPr>
              <w:pStyle w:val="null3"/>
              <w:ind w:firstLine="420"/>
              <w:jc w:val="both"/>
            </w:pPr>
            <w:r>
              <w:rPr>
                <w:sz w:val="21"/>
              </w:rPr>
              <w:t>1</w:t>
            </w:r>
            <w:r>
              <w:rPr>
                <w:sz w:val="21"/>
              </w:rPr>
              <w:t>、按百分制打分，综合考评得分为</w:t>
            </w:r>
            <w:r>
              <w:rPr>
                <w:sz w:val="21"/>
              </w:rPr>
              <w:t>[90</w:t>
            </w:r>
            <w:r>
              <w:rPr>
                <w:sz w:val="21"/>
              </w:rPr>
              <w:t>分</w:t>
            </w:r>
            <w:r>
              <w:rPr>
                <w:sz w:val="21"/>
              </w:rPr>
              <w:t>-100</w:t>
            </w:r>
            <w:r>
              <w:rPr>
                <w:sz w:val="21"/>
              </w:rPr>
              <w:t>分</w:t>
            </w:r>
            <w:r>
              <w:rPr>
                <w:sz w:val="21"/>
              </w:rPr>
              <w:t>]</w:t>
            </w:r>
            <w:r>
              <w:rPr>
                <w:sz w:val="21"/>
              </w:rPr>
              <w:t>的，不扣减当月服务费；</w:t>
            </w:r>
          </w:p>
          <w:p>
            <w:pPr>
              <w:pStyle w:val="null3"/>
              <w:ind w:firstLine="420"/>
              <w:jc w:val="both"/>
            </w:pPr>
            <w:r>
              <w:rPr>
                <w:sz w:val="21"/>
              </w:rPr>
              <w:t>2</w:t>
            </w:r>
            <w:r>
              <w:rPr>
                <w:sz w:val="21"/>
              </w:rPr>
              <w:t>、综合考评得分为</w:t>
            </w:r>
            <w:r>
              <w:rPr>
                <w:sz w:val="21"/>
              </w:rPr>
              <w:t>[80</w:t>
            </w:r>
            <w:r>
              <w:rPr>
                <w:sz w:val="21"/>
              </w:rPr>
              <w:t>分</w:t>
            </w:r>
            <w:r>
              <w:rPr>
                <w:sz w:val="21"/>
              </w:rPr>
              <w:t>-90</w:t>
            </w:r>
            <w:r>
              <w:rPr>
                <w:sz w:val="21"/>
              </w:rPr>
              <w:t>分）的，以</w:t>
            </w:r>
            <w:r>
              <w:rPr>
                <w:sz w:val="21"/>
              </w:rPr>
              <w:t>90</w:t>
            </w:r>
            <w:r>
              <w:rPr>
                <w:sz w:val="21"/>
              </w:rPr>
              <w:t>分为基准，每低于</w:t>
            </w:r>
            <w:r>
              <w:rPr>
                <w:sz w:val="21"/>
              </w:rPr>
              <w:t>1</w:t>
            </w:r>
            <w:r>
              <w:rPr>
                <w:sz w:val="21"/>
              </w:rPr>
              <w:t>分则扣减当月服务费用</w:t>
            </w:r>
            <w:r>
              <w:rPr>
                <w:sz w:val="21"/>
              </w:rPr>
              <w:t>2000</w:t>
            </w:r>
            <w:r>
              <w:rPr>
                <w:sz w:val="21"/>
              </w:rPr>
              <w:t>元；</w:t>
            </w:r>
          </w:p>
          <w:p>
            <w:pPr>
              <w:pStyle w:val="null3"/>
              <w:ind w:firstLine="420"/>
              <w:jc w:val="both"/>
            </w:pPr>
            <w:r>
              <w:rPr>
                <w:sz w:val="21"/>
              </w:rPr>
              <w:t>3</w:t>
            </w:r>
            <w:r>
              <w:rPr>
                <w:sz w:val="21"/>
              </w:rPr>
              <w:t>、综合考评得分为</w:t>
            </w:r>
            <w:r>
              <w:rPr>
                <w:sz w:val="21"/>
              </w:rPr>
              <w:t>[70</w:t>
            </w:r>
            <w:r>
              <w:rPr>
                <w:sz w:val="21"/>
              </w:rPr>
              <w:t>分</w:t>
            </w:r>
            <w:r>
              <w:rPr>
                <w:sz w:val="21"/>
              </w:rPr>
              <w:t>-80</w:t>
            </w:r>
            <w:r>
              <w:rPr>
                <w:sz w:val="21"/>
              </w:rPr>
              <w:t>分）的，以</w:t>
            </w:r>
            <w:r>
              <w:rPr>
                <w:sz w:val="21"/>
              </w:rPr>
              <w:t>80</w:t>
            </w:r>
            <w:r>
              <w:rPr>
                <w:sz w:val="21"/>
              </w:rPr>
              <w:t>分为基准，每低于</w:t>
            </w:r>
            <w:r>
              <w:rPr>
                <w:sz w:val="21"/>
              </w:rPr>
              <w:t>1</w:t>
            </w:r>
            <w:r>
              <w:rPr>
                <w:sz w:val="21"/>
              </w:rPr>
              <w:t>分则扣减当月服务费用</w:t>
            </w:r>
            <w:r>
              <w:rPr>
                <w:sz w:val="21"/>
              </w:rPr>
              <w:t>3000</w:t>
            </w:r>
            <w:r>
              <w:rPr>
                <w:sz w:val="21"/>
              </w:rPr>
              <w:t>元；</w:t>
            </w:r>
          </w:p>
          <w:p>
            <w:pPr>
              <w:pStyle w:val="null3"/>
              <w:ind w:firstLine="420"/>
              <w:jc w:val="both"/>
            </w:pPr>
            <w:r>
              <w:rPr>
                <w:sz w:val="21"/>
              </w:rPr>
              <w:t>4</w:t>
            </w:r>
            <w:r>
              <w:rPr>
                <w:sz w:val="21"/>
              </w:rPr>
              <w:t>、综合考评得分为</w:t>
            </w:r>
            <w:r>
              <w:rPr>
                <w:sz w:val="21"/>
              </w:rPr>
              <w:t>[60</w:t>
            </w:r>
            <w:r>
              <w:rPr>
                <w:sz w:val="21"/>
              </w:rPr>
              <w:t>分</w:t>
            </w:r>
            <w:r>
              <w:rPr>
                <w:sz w:val="21"/>
              </w:rPr>
              <w:t>-70</w:t>
            </w:r>
            <w:r>
              <w:rPr>
                <w:sz w:val="21"/>
              </w:rPr>
              <w:t>分），以</w:t>
            </w:r>
            <w:r>
              <w:rPr>
                <w:sz w:val="21"/>
              </w:rPr>
              <w:t>70</w:t>
            </w:r>
            <w:r>
              <w:rPr>
                <w:sz w:val="21"/>
              </w:rPr>
              <w:t>分为基准，每低于</w:t>
            </w:r>
            <w:r>
              <w:rPr>
                <w:sz w:val="21"/>
              </w:rPr>
              <w:t>1</w:t>
            </w:r>
            <w:r>
              <w:rPr>
                <w:sz w:val="21"/>
              </w:rPr>
              <w:t>分则扣减当月服务费用</w:t>
            </w:r>
            <w:r>
              <w:rPr>
                <w:sz w:val="21"/>
              </w:rPr>
              <w:t>5000</w:t>
            </w:r>
            <w:r>
              <w:rPr>
                <w:sz w:val="21"/>
              </w:rPr>
              <w:t>元；</w:t>
            </w:r>
          </w:p>
          <w:p>
            <w:pPr>
              <w:pStyle w:val="null3"/>
            </w:pPr>
            <w:r>
              <w:rPr>
                <w:sz w:val="21"/>
              </w:rPr>
              <w:t>5</w:t>
            </w:r>
            <w:r>
              <w:rPr>
                <w:sz w:val="21"/>
              </w:rPr>
              <w:t>、综合考评得分为（</w:t>
            </w:r>
            <w:r>
              <w:rPr>
                <w:sz w:val="21"/>
              </w:rPr>
              <w:t>0</w:t>
            </w:r>
            <w:r>
              <w:rPr>
                <w:sz w:val="21"/>
              </w:rPr>
              <w:t>分</w:t>
            </w:r>
            <w:r>
              <w:rPr>
                <w:sz w:val="21"/>
              </w:rPr>
              <w:t>-60</w:t>
            </w:r>
            <w:r>
              <w:rPr>
                <w:sz w:val="21"/>
              </w:rPr>
              <w:t>分）的，扣减当月运营费用</w:t>
            </w:r>
            <w:r>
              <w:rPr>
                <w:sz w:val="21"/>
              </w:rPr>
              <w:t>30%</w:t>
            </w:r>
            <w:r>
              <w:rPr>
                <w:sz w:val="21"/>
              </w:rPr>
              <w:t>，月底考评连续</w:t>
            </w:r>
            <w:r>
              <w:rPr>
                <w:sz w:val="21"/>
              </w:rPr>
              <w:t>2</w:t>
            </w:r>
            <w:r>
              <w:rPr>
                <w:sz w:val="21"/>
              </w:rPr>
              <w:t>个月出现</w:t>
            </w:r>
            <w:r>
              <w:rPr>
                <w:sz w:val="21"/>
              </w:rPr>
              <w:t>60</w:t>
            </w:r>
            <w:r>
              <w:rPr>
                <w:sz w:val="21"/>
              </w:rPr>
              <w:t>分以下的，采购人有权单方面解除合同，履约保证金不予退还，经济损失和法律责任由中标人自行承担。</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1.采购代理机构：本项目是指广东政通招标有限公司，负责整个采购活动的组织，依法负责编制和发布招标文件，对招标文件拥有最终的解释权，不以任何身份出任评标委员会成员。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东莞市厚街镇公用事业服务中心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远程电子评标</w:t>
            </w:r>
            <w:r>
              <w:rPr/>
              <w:t>（供应商应当审慎标记各评审项的应答部分，标记内容清晰且完整，否则将自行承担不利后果）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 xml:space="preserve">（2）非加密电子版文件 U 盘(或光盘) </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60分钟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杨俊平</w:t>
      </w:r>
    </w:p>
    <w:p>
      <w:pPr>
        <w:pStyle w:val="null3"/>
        <w:ind w:firstLine="480"/>
      </w:pPr>
      <w:r>
        <w:rPr/>
        <w:t>电话：</w:t>
      </w:r>
      <w:r>
        <w:rPr/>
        <w:t>0769-22881803</w:t>
      </w:r>
    </w:p>
    <w:p>
      <w:pPr>
        <w:pStyle w:val="null3"/>
        <w:ind w:firstLine="480"/>
      </w:pPr>
      <w:r>
        <w:rPr/>
        <w:t>传真：</w:t>
      </w:r>
      <w:r>
        <w:rPr/>
        <w:t>0769-22881803</w:t>
      </w:r>
    </w:p>
    <w:p>
      <w:pPr>
        <w:pStyle w:val="null3"/>
        <w:ind w:firstLine="480"/>
      </w:pPr>
      <w:r>
        <w:rPr/>
        <w:t>邮箱：</w:t>
      </w:r>
      <w:r>
        <w:rPr/>
        <w:t>471539976@qq.com</w:t>
      </w:r>
    </w:p>
    <w:p>
      <w:pPr>
        <w:pStyle w:val="null3"/>
        <w:ind w:firstLine="480"/>
      </w:pPr>
      <w:r>
        <w:rPr/>
        <w:t>地址：</w:t>
      </w:r>
      <w:r>
        <w:rPr/>
        <w:t>东莞市南城街道鸿福路199号（市民服务中心北门）410室</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厚街镇中心区生活垃圾收运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广东政通招标有限公司</w:t>
      </w:r>
      <w:r>
        <w:rPr/>
        <w:t>统一对外发布。</w:t>
      </w:r>
    </w:p>
    <w:p>
      <w:pPr>
        <w:pStyle w:val="null3"/>
        <w:ind w:firstLine="480"/>
      </w:pPr>
      <w:r>
        <w:rPr/>
        <w:t>（2）对</w:t>
      </w:r>
      <w:r>
        <w:rPr/>
        <w:t>广东政通招标有限公司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采购包1（厚街镇中心区生活垃圾收运项目）：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采购包1（厚街镇中心区生活垃圾收运项目）：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本项目整体专门面向中小企业。投标人须符合本项目采购标的对应行业（本项目行业为：其他未列明行业）的政策划分标准。监狱企业、残疾人福利单位视同小型、微型企业。注：中小企业以供应商填写的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采购包1（厚街镇中心区生活垃圾收运项目）：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投标文件内容、签署、盖章</w:t>
            </w:r>
          </w:p>
        </w:tc>
        <w:tc>
          <w:tcPr>
            <w:tcW w:type="dxa" w:w="4238"/>
          </w:tcPr>
          <w:p>
            <w:pPr>
              <w:pStyle w:val="null3"/>
            </w:pPr>
            <w:r>
              <w:rPr/>
              <w:t>投标文件内容完整，无重大错漏，并已按招标文件要求盖章、签署。</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投标人的投标报价无超出项目预算金额。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商务条款满足招标文件要求。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技术条款满足招标文件要求。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采购包1(厚街镇中心区生活垃圾收运项目):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技术部分55.0分</w:t>
            </w:r>
          </w:p>
          <w:p>
            <w:pPr>
              <w:pStyle w:val="null3"/>
            </w:pPr>
            <w:r>
              <w:rPr/>
              <w:t>报价得分15.0分</w:t>
            </w:r>
          </w:p>
        </w:tc>
      </w:tr>
      <w:tr>
        <w:tc>
          <w:tcPr>
            <w:tcW w:type="dxa" w:w="922"/>
            <w:gridSpan w:val="2"/>
            <w:vMerge w:val="restart"/>
          </w:tcPr>
          <w:p>
            <w:pPr>
              <w:pStyle w:val="null3"/>
              <w:jc w:val="center"/>
            </w:pPr>
            <w:r>
              <w:rPr/>
              <w:t>技术部分</w:t>
            </w:r>
          </w:p>
        </w:tc>
        <w:tc>
          <w:tcPr>
            <w:tcW w:type="dxa" w:w="2307"/>
          </w:tcPr>
          <w:p>
            <w:pPr>
              <w:pStyle w:val="null3"/>
              <w:jc w:val="left"/>
            </w:pPr>
            <w:r>
              <w:rPr/>
              <w:t>项目理解程度 (8.0分)</w:t>
            </w:r>
          </w:p>
        </w:tc>
        <w:tc>
          <w:tcPr>
            <w:tcW w:type="dxa" w:w="5076"/>
          </w:tcPr>
          <w:p>
            <w:pPr>
              <w:pStyle w:val="null3"/>
              <w:jc w:val="left"/>
            </w:pPr>
            <w:r>
              <w:rPr/>
              <w:t>根据投标人对本项目的理解程度进行评审： 对本项目现场情况非常熟悉，非常了解本项目服务重点，对项目重点、难点的理解清晰，分析准确、到位且应对措施完善可行，得8分； 对本项目现场情况一般熟悉，常规性了解本项目服务重点，对项目重点、难点的理解及分析一般，应对措施基本可行，得5分； 对本项目现场情况不熟悉，不太了解本项目服务重点，对项目重点、难点的理解及分析模糊，应对措施较差，得2分； 未提供的不得分。</w:t>
            </w:r>
          </w:p>
        </w:tc>
      </w:tr>
      <w:tr>
        <w:tc>
          <w:tcPr>
            <w:tcW w:type="dxa" w:w="922"/>
            <w:gridSpan w:val="2"/>
            <w:vMerge/>
          </w:tcPr>
          <w:p/>
        </w:tc>
        <w:tc>
          <w:tcPr>
            <w:tcW w:type="dxa" w:w="2307"/>
          </w:tcPr>
          <w:p>
            <w:pPr>
              <w:pStyle w:val="null3"/>
              <w:jc w:val="left"/>
            </w:pPr>
            <w:r>
              <w:rPr/>
              <w:t>服务方案 (12.0分)</w:t>
            </w:r>
          </w:p>
        </w:tc>
        <w:tc>
          <w:tcPr>
            <w:tcW w:type="dxa" w:w="5076"/>
          </w:tcPr>
          <w:p>
            <w:pPr>
              <w:pStyle w:val="null3"/>
              <w:jc w:val="left"/>
            </w:pPr>
            <w:r>
              <w:rPr/>
              <w:t>根据投标人提供的总体服务方案（包括但不限于：垃圾中转站管理和生活垃圾清运服务的服务内容，服务流程，项目管理制度、安全生产、自律承诺等）进行评审： 总体管理设想及策划具有科学性，服务方案非常符合实际，非常具体详细，可行性、科学性非常高，非常有利于项目实施，得12分； 总体管理设想及策划具有科学性，服务方案比较符合实际，具体详细，可行性、科学性比较高，有利于项目实施的，得8分； 总体管理设想及策划的科学性一般，服务方案基本实际，较具体详细，可行性、科学性一般，基本有利于项目实施的，得4分； 总体管理设想及策划的科学性差，服务方案不太符合实际，不太具体详细，可行性、科学性较低，不利于项目实施的，得1分； 未提供对应方案不得分。</w:t>
            </w:r>
          </w:p>
        </w:tc>
      </w:tr>
      <w:tr>
        <w:tc>
          <w:tcPr>
            <w:tcW w:type="dxa" w:w="922"/>
            <w:gridSpan w:val="2"/>
            <w:vMerge/>
          </w:tcPr>
          <w:p/>
        </w:tc>
        <w:tc>
          <w:tcPr>
            <w:tcW w:type="dxa" w:w="2307"/>
          </w:tcPr>
          <w:p>
            <w:pPr>
              <w:pStyle w:val="null3"/>
              <w:jc w:val="left"/>
            </w:pPr>
            <w:r>
              <w:rPr/>
              <w:t>内部管理制度 (8.0分)</w:t>
            </w:r>
          </w:p>
        </w:tc>
        <w:tc>
          <w:tcPr>
            <w:tcW w:type="dxa" w:w="5076"/>
          </w:tcPr>
          <w:p>
            <w:pPr>
              <w:pStyle w:val="null3"/>
              <w:jc w:val="left"/>
            </w:pPr>
            <w:r>
              <w:rPr/>
              <w:t>根据投标人提供的内部管理制度进行评审： 内部管理制度及对员工的岗前培训、在岗培训、考勤、定期考核管理等方案完善齐全、切实可行，得8分； 内部管理制度及对员工的岗前培训、在岗培训、考勤、定期考核管理等方案基本完善、可行，得5分； 内部管理制度及对员工的岗前培训、在岗培训、考勤、定期考核管理等方案不够完善齐全或表述不清晰，得2分； 未提供的不得分。</w:t>
            </w:r>
          </w:p>
        </w:tc>
      </w:tr>
      <w:tr>
        <w:tc>
          <w:tcPr>
            <w:tcW w:type="dxa" w:w="922"/>
            <w:gridSpan w:val="2"/>
            <w:vMerge/>
          </w:tcPr>
          <w:p/>
        </w:tc>
        <w:tc>
          <w:tcPr>
            <w:tcW w:type="dxa" w:w="2307"/>
          </w:tcPr>
          <w:p>
            <w:pPr>
              <w:pStyle w:val="null3"/>
              <w:jc w:val="left"/>
            </w:pPr>
            <w:r>
              <w:rPr/>
              <w:t>人员工资及福利保障方案 (8.0分)</w:t>
            </w:r>
          </w:p>
        </w:tc>
        <w:tc>
          <w:tcPr>
            <w:tcW w:type="dxa" w:w="5076"/>
          </w:tcPr>
          <w:p>
            <w:pPr>
              <w:pStyle w:val="null3"/>
              <w:jc w:val="left"/>
            </w:pPr>
            <w:r>
              <w:rPr/>
              <w:t>根据投标人提供的人员工资及福利保障方案进行评审： 人员工资及福利保障方案完整合理，可行性强，得8分； 人员工资及福利保障方案基本完整，可行性一般，得5分； 人员工资及福利保障方案简陋，可行性差，得2分； 未提供的不得分。</w:t>
            </w:r>
          </w:p>
        </w:tc>
      </w:tr>
      <w:tr>
        <w:tc>
          <w:tcPr>
            <w:tcW w:type="dxa" w:w="922"/>
            <w:gridSpan w:val="2"/>
            <w:vMerge/>
          </w:tcPr>
          <w:p/>
        </w:tc>
        <w:tc>
          <w:tcPr>
            <w:tcW w:type="dxa" w:w="2307"/>
          </w:tcPr>
          <w:p>
            <w:pPr>
              <w:pStyle w:val="null3"/>
              <w:jc w:val="left"/>
            </w:pPr>
            <w:r>
              <w:rPr/>
              <w:t>安全管理及维护方案 (9.0分)</w:t>
            </w:r>
          </w:p>
        </w:tc>
        <w:tc>
          <w:tcPr>
            <w:tcW w:type="dxa" w:w="5076"/>
          </w:tcPr>
          <w:p>
            <w:pPr>
              <w:pStyle w:val="null3"/>
              <w:jc w:val="left"/>
            </w:pPr>
            <w:r>
              <w:rPr/>
              <w:t>根据投标人对本项目编制的安全作业措施方案包括但不限于安全文明管理、人员安全教育、安全体系方案等进行综合评审： 安全文明管理方案十分明确详细、具体可行，设备维修维护措施十分完善，有完整的人员安全教育培训制度，安全体系方案科学合理的，得9分； 安全文明管理方案基本明确、较详细、较具体，设备维修维护措施较完善，有较完善的人员安全教育培训制度，安全体系方案基本合理的，得6分； 安全文明管理方案完整性、可行性一般，设备维修维护措施完整性一般，有人员安全教育培训制度，安全体系方案合理性一般的，得3分； 安全文明管理方案简单、不明确、不可行，设备维修维护措施不完整，人员安全教育培训制度简单，安全体系方案不合理的，得1分； 未提供的不得分。</w:t>
            </w:r>
          </w:p>
        </w:tc>
      </w:tr>
      <w:tr>
        <w:tc>
          <w:tcPr>
            <w:tcW w:type="dxa" w:w="922"/>
            <w:gridSpan w:val="2"/>
            <w:vMerge/>
          </w:tcPr>
          <w:p/>
        </w:tc>
        <w:tc>
          <w:tcPr>
            <w:tcW w:type="dxa" w:w="2307"/>
          </w:tcPr>
          <w:p>
            <w:pPr>
              <w:pStyle w:val="null3"/>
              <w:jc w:val="left"/>
            </w:pPr>
            <w:r>
              <w:rPr/>
              <w:t>应急方案 (10.0分)</w:t>
            </w:r>
          </w:p>
        </w:tc>
        <w:tc>
          <w:tcPr>
            <w:tcW w:type="dxa" w:w="5076"/>
          </w:tcPr>
          <w:p>
            <w:pPr>
              <w:pStyle w:val="null3"/>
              <w:jc w:val="left"/>
            </w:pPr>
            <w:r>
              <w:rPr/>
              <w:t>根据投标人提供的应急方案（包含不限于针对台风、暴雨等极端天气影响；重大节假日或检查活动等特殊情况；以及停电、车辆或设备损坏、垃圾量突增、垃圾焚烧处理厂检修等情况；包括传达机制、人员和设备调配、责任分工等。）进行评审： 应急方案针对本项目提出合理、可行的特色服务应急管理方案，突发事件的处理措施和应急预案非常详细、准确，得10分； 应急方案针对本项目提出较合理、可行的特色服务应急管理方案，突发事件的处理措施和应急预案较详细、准确，得6分； 应急方案针对本项目提出的应急管理方案不够全面、特色服务条款不明确，突发事件的处理措施规范性一般和应急预案基本详细、准确，得2分； 未提供的不得分。</w:t>
            </w:r>
          </w:p>
        </w:tc>
      </w:tr>
      <w:tr>
        <w:tc>
          <w:tcPr>
            <w:tcW w:type="dxa" w:w="922"/>
            <w:gridSpan w:val="2"/>
            <w:vMerge w:val="restart"/>
          </w:tcPr>
          <w:p>
            <w:pPr>
              <w:pStyle w:val="null3"/>
              <w:jc w:val="center"/>
            </w:pPr>
            <w:r>
              <w:rPr/>
              <w:t>商务部分</w:t>
            </w:r>
          </w:p>
        </w:tc>
        <w:tc>
          <w:tcPr>
            <w:tcW w:type="dxa" w:w="2307"/>
          </w:tcPr>
          <w:p>
            <w:pPr>
              <w:pStyle w:val="null3"/>
              <w:jc w:val="left"/>
            </w:pPr>
            <w:r>
              <w:rPr/>
              <w:t>项目经验 (15.0分)</w:t>
            </w:r>
          </w:p>
        </w:tc>
        <w:tc>
          <w:tcPr>
            <w:tcW w:type="dxa" w:w="5076"/>
          </w:tcPr>
          <w:p>
            <w:pPr>
              <w:pStyle w:val="null3"/>
              <w:jc w:val="left"/>
            </w:pPr>
            <w:r>
              <w:rPr/>
              <w:t>根据投标人具有环卫保洁类或垃圾收运/转运类或垃圾中转站管理类业绩进行评审，每提供一个得5分，最高得15分。 注：须提供合同复印件加盖投标人公章，否则不得分。若为联合体投标，联合体任一成员具备相应资料均可计分。</w:t>
            </w:r>
          </w:p>
        </w:tc>
      </w:tr>
      <w:tr>
        <w:tc>
          <w:tcPr>
            <w:tcW w:type="dxa" w:w="922"/>
            <w:gridSpan w:val="2"/>
            <w:vMerge/>
          </w:tcPr>
          <w:p/>
        </w:tc>
        <w:tc>
          <w:tcPr>
            <w:tcW w:type="dxa" w:w="2307"/>
          </w:tcPr>
          <w:p>
            <w:pPr>
              <w:pStyle w:val="null3"/>
              <w:jc w:val="left"/>
            </w:pPr>
            <w:r>
              <w:rPr/>
              <w:t>拟投入本项目的作业车情况 (8.0分)</w:t>
            </w:r>
          </w:p>
        </w:tc>
        <w:tc>
          <w:tcPr>
            <w:tcW w:type="dxa" w:w="5076"/>
          </w:tcPr>
          <w:p>
            <w:pPr>
              <w:pStyle w:val="null3"/>
              <w:jc w:val="left"/>
            </w:pPr>
            <w:r>
              <w:rPr/>
              <w:t>为满足本项目应急（节假日）作业要求，在满足本项目设备的基本需求以外，投标人每额外提供一辆后置压缩车（特殊结构货车）的得2分： 1）全部作业车辆自有或租赁的，最高得8分； 2）部分作业车辆自有或租赁、部分承诺中标后配置的，最高得4分； 3）全部作业车辆只承诺中标后按上述要求配置的得1分。 4）未提供的不得分。 注：自有的须同时提供①车辆行驶证、②购车发票，复印件加盖投标人公章；租赁的须同时提供①车辆行驶证、②租赁车辆的租赁合同（租赁期限须覆盖本项目服务期），复印件加盖投标人公章。承诺中标后配置的则提供承诺函并加盖投标人公章。若为联合体投标，联合体任一成员具备相应资料均可计分。</w:t>
            </w:r>
          </w:p>
        </w:tc>
      </w:tr>
      <w:tr>
        <w:tc>
          <w:tcPr>
            <w:tcW w:type="dxa" w:w="922"/>
            <w:gridSpan w:val="2"/>
            <w:vMerge/>
          </w:tcPr>
          <w:p/>
        </w:tc>
        <w:tc>
          <w:tcPr>
            <w:tcW w:type="dxa" w:w="2307"/>
          </w:tcPr>
          <w:p>
            <w:pPr>
              <w:pStyle w:val="null3"/>
              <w:jc w:val="left"/>
            </w:pPr>
            <w:r>
              <w:rPr/>
              <w:t>拟投入本项目的人员 (7.0分)</w:t>
            </w:r>
          </w:p>
        </w:tc>
        <w:tc>
          <w:tcPr>
            <w:tcW w:type="dxa" w:w="5076"/>
          </w:tcPr>
          <w:p>
            <w:pPr>
              <w:pStyle w:val="null3"/>
              <w:jc w:val="left"/>
            </w:pPr>
            <w:r>
              <w:rPr/>
              <w:t>根据投标人拟投入本项目的人员进行评审： 1、投标人拟投入本项目的项目经理：具有中级或以上职称证书的，得5分，本小项最高得5分。 2、投标人拟投入本项目的服务人员具有助理或以上工程师职称的得2分，本小项最高得2分。 注：上述人员不得重复计分。须提供上述人员相关证书及投标截止日前3个月内(不含开标当月)任意1个月在投标人单位缴纳的社会保险证明复印件加盖投标人公章，未完整提供证明材料的不得分。若为联合体投标，联合体任一成员具备相应资料均可计分。</w:t>
            </w:r>
          </w:p>
        </w:tc>
      </w:tr>
      <w:tr>
        <w:tc>
          <w:tcPr>
            <w:tcW w:type="dxa" w:w="922"/>
            <w:gridSpan w:val="2"/>
          </w:tcPr>
          <w:p>
            <w:pPr>
              <w:pStyle w:val="null3"/>
              <w:jc w:val="center"/>
            </w:pPr>
            <w:r>
              <w:rPr/>
              <w:t>投标报价</w:t>
            </w:r>
          </w:p>
        </w:tc>
        <w:tc>
          <w:tcPr>
            <w:tcW w:type="dxa" w:w="2307"/>
          </w:tcPr>
          <w:p>
            <w:pPr>
              <w:pStyle w:val="null3"/>
              <w:jc w:val="left"/>
            </w:pPr>
            <w:r>
              <w:rPr/>
              <w:t>投标报价得分 (15.0分)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广东省政府采购</w:t>
      </w:r>
    </w:p>
    <w:p>
      <w:pPr>
        <w:pStyle w:val="null3"/>
        <w:jc w:val="center"/>
      </w:pPr>
      <w:r>
        <w:rPr>
          <w:sz w:val="48"/>
          <w:b/>
        </w:rPr>
        <w:t>合同书</w:t>
      </w:r>
    </w:p>
    <w:p>
      <w:pPr>
        <w:pStyle w:val="null3"/>
        <w:jc w:val="center"/>
      </w:pPr>
      <w:r>
        <w:rPr>
          <w:sz w:val="28"/>
        </w:rPr>
        <w:t>采购计划编号：</w:t>
      </w:r>
    </w:p>
    <w:p>
      <w:pPr>
        <w:pStyle w:val="null3"/>
        <w:jc w:val="center"/>
      </w:pPr>
      <w:r>
        <w:rPr>
          <w:sz w:val="28"/>
        </w:rPr>
        <w:t>项目编号：</w:t>
      </w:r>
    </w:p>
    <w:p>
      <w:pPr>
        <w:pStyle w:val="null3"/>
        <w:jc w:val="center"/>
      </w:pPr>
      <w:r>
        <w:rPr>
          <w:sz w:val="28"/>
        </w:rPr>
        <w:t>项目名称：</w:t>
      </w:r>
    </w:p>
    <w:p>
      <w:pPr>
        <w:pStyle w:val="null3"/>
        <w:jc w:val="both"/>
      </w:pPr>
      <w:r>
        <w:rPr>
          <w:sz w:val="21"/>
        </w:rPr>
        <w:t>甲方：</w:t>
      </w:r>
      <w:r>
        <w:rPr>
          <w:sz w:val="21"/>
        </w:rPr>
        <w:t xml:space="preserve">  </w:t>
      </w:r>
    </w:p>
    <w:p>
      <w:pPr>
        <w:pStyle w:val="null3"/>
      </w:pPr>
      <w:r>
        <w:rPr/>
        <w:t xml:space="preserve"> </w:t>
      </w:r>
    </w:p>
    <w:p>
      <w:pPr>
        <w:pStyle w:val="null3"/>
        <w:jc w:val="both"/>
      </w:pPr>
      <w:r>
        <w:rPr>
          <w:sz w:val="21"/>
        </w:rPr>
        <w:t>电话：</w:t>
      </w:r>
      <w:r>
        <w:rPr>
          <w:sz w:val="21"/>
        </w:rPr>
        <w:t xml:space="preserve">  </w:t>
      </w:r>
      <w:r>
        <w:rPr>
          <w:sz w:val="21"/>
        </w:rPr>
        <w:t>传真</w:t>
      </w:r>
      <w:r>
        <w:rPr>
          <w:sz w:val="21"/>
        </w:rPr>
        <w:t>：</w:t>
      </w:r>
      <w:r>
        <w:rPr>
          <w:sz w:val="21"/>
        </w:rPr>
        <w:t xml:space="preserve">  </w:t>
      </w:r>
      <w:r>
        <w:rPr>
          <w:sz w:val="21"/>
        </w:rPr>
        <w:t>地址：</w:t>
      </w:r>
      <w:r>
        <w:rPr>
          <w:sz w:val="21"/>
        </w:rPr>
        <w:t xml:space="preserve">   </w:t>
      </w:r>
    </w:p>
    <w:p>
      <w:pPr>
        <w:pStyle w:val="null3"/>
        <w:jc w:val="both"/>
      </w:pPr>
      <w:r>
        <w:rPr>
          <w:sz w:val="21"/>
        </w:rPr>
        <w:t>乙方：</w:t>
      </w:r>
      <w:r>
        <w:rPr>
          <w:sz w:val="21"/>
        </w:rPr>
        <w:t xml:space="preserve">  </w:t>
      </w:r>
    </w:p>
    <w:p>
      <w:pPr>
        <w:pStyle w:val="null3"/>
        <w:jc w:val="both"/>
      </w:pPr>
      <w:r>
        <w:rPr>
          <w:sz w:val="21"/>
        </w:rPr>
        <w:t>电话：</w:t>
      </w:r>
      <w:r>
        <w:rPr>
          <w:sz w:val="21"/>
        </w:rPr>
        <w:t xml:space="preserve">   </w:t>
      </w:r>
      <w:r>
        <w:rPr>
          <w:sz w:val="21"/>
        </w:rPr>
        <w:t>传真：　　　</w:t>
      </w:r>
      <w:r>
        <w:rPr>
          <w:sz w:val="21"/>
        </w:rPr>
        <w:t xml:space="preserve">   </w:t>
      </w:r>
      <w:r>
        <w:rPr>
          <w:sz w:val="21"/>
        </w:rPr>
        <w:t>地址：</w:t>
      </w:r>
      <w:r>
        <w:rPr>
          <w:sz w:val="21"/>
        </w:rPr>
        <w:t xml:space="preserve">   </w:t>
      </w:r>
    </w:p>
    <w:p>
      <w:pPr>
        <w:pStyle w:val="null3"/>
        <w:jc w:val="both"/>
      </w:pPr>
      <w:r>
        <w:rPr>
          <w:sz w:val="21"/>
        </w:rPr>
        <w:t xml:space="preserve"> </w:t>
      </w:r>
    </w:p>
    <w:p>
      <w:pPr>
        <w:pStyle w:val="null3"/>
        <w:jc w:val="both"/>
      </w:pPr>
      <w:r>
        <w:rPr>
          <w:sz w:val="21"/>
        </w:rPr>
        <w:t xml:space="preserve">  </w:t>
      </w:r>
      <w:r>
        <w:rPr>
          <w:sz w:val="21"/>
        </w:rPr>
        <w:t>根据</w:t>
      </w:r>
      <w:r>
        <w:rPr>
          <w:sz w:val="21"/>
        </w:rPr>
        <w:t xml:space="preserve">          </w:t>
      </w:r>
      <w:r>
        <w:rPr>
          <w:sz w:val="21"/>
        </w:rPr>
        <w:t>项目</w:t>
      </w:r>
      <w:r>
        <w:rPr>
          <w:sz w:val="21"/>
        </w:rPr>
        <w:t xml:space="preserve">/采购包  </w:t>
      </w:r>
      <w:r>
        <w:rPr>
          <w:sz w:val="21"/>
        </w:rPr>
        <w:t>的采购结果，按照《中华人民共和国政府采购法》，《中华人民共和国民法典</w:t>
      </w:r>
      <w:r>
        <w:rPr>
          <w:sz w:val="21"/>
        </w:rPr>
        <w:t>(合同编)》的规定，经双方协商，本着平等互利和诚实信用的原则，一致同意遵守本合同如下。</w:t>
      </w:r>
    </w:p>
    <w:p>
      <w:pPr>
        <w:pStyle w:val="null3"/>
        <w:jc w:val="both"/>
      </w:pPr>
      <w:r>
        <w:rPr>
          <w:sz w:val="21"/>
          <w:b/>
        </w:rPr>
        <w:t>一、合同金额</w:t>
      </w:r>
    </w:p>
    <w:p>
      <w:pPr>
        <w:pStyle w:val="null3"/>
        <w:ind w:firstLine="420"/>
      </w:pPr>
      <w:r>
        <w:rPr>
          <w:sz w:val="21"/>
        </w:rPr>
        <w:t>合同金额为（大写）：</w:t>
      </w:r>
      <w:r>
        <w:rPr>
          <w:sz w:val="21"/>
        </w:rPr>
        <w:t>_____________元（￥_________元）人民币。</w:t>
      </w:r>
      <w:r>
        <w:rPr>
          <w:sz w:val="21"/>
        </w:rPr>
        <w:t>包括但不限于以下全部费用：装备费、车辆费、管理费、人工费（包括工资、奖金、津贴补贴、节假日加班和日常加班加点工资、特殊情况下支付的工资等）、社保费（包括医疗、失业、养老、生育、工伤）、公积金、培训费、住宿费、利润、税金、相关设备使用费、人员培训费等费用、办公经费等以及合同实施过程中不可预见的其他费用。</w:t>
      </w:r>
      <w:r>
        <w:rPr>
          <w:sz w:val="21"/>
        </w:rPr>
        <w:t>4</w:t>
      </w:r>
      <w:r>
        <w:rPr>
          <w:sz w:val="21"/>
        </w:rPr>
        <w:t>个生活垃圾中转站的水电费由中标人自行承担。</w:t>
      </w:r>
    </w:p>
    <w:p>
      <w:pPr>
        <w:pStyle w:val="null3"/>
        <w:ind w:firstLine="420"/>
        <w:jc w:val="both"/>
      </w:pPr>
      <w:r>
        <w:rPr>
          <w:sz w:val="21"/>
          <w:b/>
        </w:rPr>
        <w:t>二、服务范围</w:t>
      </w:r>
      <w:r>
        <w:rPr>
          <w:sz w:val="21"/>
          <w:b/>
        </w:rPr>
        <w:t>及内容</w:t>
      </w:r>
    </w:p>
    <w:p>
      <w:pPr>
        <w:pStyle w:val="null3"/>
        <w:ind w:firstLine="420"/>
        <w:jc w:val="both"/>
      </w:pPr>
      <w:r>
        <w:rPr>
          <w:sz w:val="21"/>
        </w:rPr>
        <w:t>详见</w:t>
      </w:r>
      <w:r>
        <w:rPr>
          <w:sz w:val="21"/>
        </w:rPr>
        <w:t>招标文件第二章</w:t>
      </w:r>
      <w:r>
        <w:rPr>
          <w:sz w:val="21"/>
        </w:rPr>
        <w:t>《</w:t>
      </w:r>
      <w:r>
        <w:rPr>
          <w:sz w:val="21"/>
        </w:rPr>
        <w:t>采购</w:t>
      </w:r>
      <w:r>
        <w:rPr>
          <w:sz w:val="21"/>
        </w:rPr>
        <w:t>需求》</w:t>
      </w:r>
    </w:p>
    <w:p>
      <w:pPr>
        <w:pStyle w:val="null3"/>
        <w:jc w:val="both"/>
      </w:pPr>
      <w:r>
        <w:rPr>
          <w:sz w:val="21"/>
          <w:b/>
        </w:rPr>
        <w:t>三、甲方乙方的权利和义务</w:t>
      </w:r>
    </w:p>
    <w:p>
      <w:pPr>
        <w:pStyle w:val="null3"/>
        <w:ind w:firstLine="420"/>
        <w:jc w:val="both"/>
      </w:pPr>
      <w:r>
        <w:rPr>
          <w:sz w:val="21"/>
        </w:rPr>
        <w:t>1.甲方的权利和义务</w:t>
      </w:r>
    </w:p>
    <w:p>
      <w:pPr>
        <w:pStyle w:val="null3"/>
        <w:ind w:firstLine="420"/>
        <w:jc w:val="both"/>
      </w:pPr>
      <w:r>
        <w:rPr>
          <w:sz w:val="21"/>
        </w:rPr>
        <w:t>（</w:t>
      </w:r>
      <w:r>
        <w:rPr>
          <w:sz w:val="21"/>
        </w:rPr>
        <w:t>1）甲方应协助乙方开展本项目的相关工作，并提供相关资料。</w:t>
      </w:r>
    </w:p>
    <w:p>
      <w:pPr>
        <w:pStyle w:val="null3"/>
        <w:ind w:firstLine="420"/>
        <w:jc w:val="both"/>
      </w:pPr>
      <w:r>
        <w:rPr>
          <w:sz w:val="21"/>
        </w:rPr>
        <w:t>（</w:t>
      </w:r>
      <w:r>
        <w:rPr>
          <w:sz w:val="21"/>
        </w:rPr>
        <w:t>2）甲方应按本合同有关规定及时支付相关费用。</w:t>
      </w:r>
    </w:p>
    <w:p>
      <w:pPr>
        <w:pStyle w:val="null3"/>
        <w:ind w:firstLine="420"/>
        <w:jc w:val="both"/>
      </w:pPr>
      <w:r>
        <w:rPr>
          <w:sz w:val="21"/>
        </w:rPr>
        <w:t>（</w:t>
      </w:r>
      <w:r>
        <w:rPr>
          <w:sz w:val="21"/>
        </w:rPr>
        <w:t>3）甲方有权对乙方履行本合同情况进行监督，就乙方工作不足之处，甲方有权提出整改意见，乙方应当按甲方要求完成整改。</w:t>
      </w:r>
    </w:p>
    <w:p>
      <w:pPr>
        <w:pStyle w:val="null3"/>
        <w:ind w:firstLine="420"/>
        <w:jc w:val="both"/>
      </w:pPr>
      <w:r>
        <w:rPr>
          <w:sz w:val="21"/>
        </w:rPr>
        <w:t>2.乙方的权利和义务</w:t>
      </w:r>
    </w:p>
    <w:p>
      <w:pPr>
        <w:pStyle w:val="null3"/>
        <w:ind w:firstLine="420"/>
        <w:jc w:val="both"/>
      </w:pPr>
      <w:r>
        <w:rPr>
          <w:sz w:val="21"/>
        </w:rPr>
        <w:t>（</w:t>
      </w:r>
      <w:r>
        <w:rPr>
          <w:sz w:val="21"/>
        </w:rPr>
        <w:t>1）乙方必须根据采购文件及有关的技术要求、国家现行有关设计标准、技术规范、规程、甲方要求完成合同约定范围内的全部任务，并按规定向甲方交付合格</w:t>
      </w:r>
      <w:r>
        <w:rPr>
          <w:sz w:val="21"/>
        </w:rPr>
        <w:t>服务</w:t>
      </w:r>
      <w:r>
        <w:rPr>
          <w:sz w:val="21"/>
        </w:rPr>
        <w:t>，确保</w:t>
      </w:r>
      <w:r>
        <w:rPr>
          <w:sz w:val="21"/>
        </w:rPr>
        <w:t>服务</w:t>
      </w:r>
      <w:r>
        <w:rPr>
          <w:sz w:val="21"/>
        </w:rPr>
        <w:t>质量与进度。</w:t>
      </w:r>
    </w:p>
    <w:p>
      <w:pPr>
        <w:pStyle w:val="null3"/>
        <w:ind w:firstLine="420"/>
        <w:jc w:val="both"/>
      </w:pPr>
      <w:r>
        <w:rPr>
          <w:sz w:val="21"/>
        </w:rPr>
        <w:t>（</w:t>
      </w:r>
      <w:r>
        <w:rPr>
          <w:sz w:val="21"/>
        </w:rPr>
        <w:t>2）乙方应按时召开内部沟通会议，跟进项目进度，并及时向甲方汇报项目进展情况，及时参加甲方召开的项目会议。</w:t>
      </w:r>
    </w:p>
    <w:p>
      <w:pPr>
        <w:pStyle w:val="null3"/>
        <w:ind w:firstLine="420"/>
        <w:jc w:val="both"/>
      </w:pPr>
      <w:r>
        <w:rPr>
          <w:sz w:val="21"/>
        </w:rPr>
        <w:t>（</w:t>
      </w:r>
      <w:r>
        <w:rPr>
          <w:sz w:val="21"/>
        </w:rPr>
        <w:t>3）乙方应保证服务质量，因乙方自身原因出现错误或遗漏或甲方不满意之处，必须按甲方意见进行修改完善。</w:t>
      </w:r>
    </w:p>
    <w:p>
      <w:pPr>
        <w:pStyle w:val="null3"/>
        <w:ind w:firstLine="420"/>
        <w:jc w:val="both"/>
      </w:pPr>
      <w:r>
        <w:rPr>
          <w:sz w:val="21"/>
        </w:rPr>
        <w:t>（</w:t>
      </w:r>
      <w:r>
        <w:rPr>
          <w:sz w:val="21"/>
        </w:rPr>
        <w:t>4）乙方人员在委托服务期间造成甲方、第三方人身损害或财产损失的，由乙方承担民事赔偿责任。</w:t>
      </w:r>
    </w:p>
    <w:p>
      <w:pPr>
        <w:pStyle w:val="null3"/>
        <w:ind w:firstLine="420"/>
        <w:jc w:val="both"/>
      </w:pPr>
      <w:r>
        <w:rPr>
          <w:sz w:val="21"/>
        </w:rPr>
        <w:t>（</w:t>
      </w:r>
      <w:r>
        <w:rPr>
          <w:sz w:val="21"/>
        </w:rPr>
        <w:t>5）乙方人员在委托服务期间发生工伤事故及其他一切事故造成的损害均由乙方全部承担，与甲方无关。</w:t>
      </w:r>
    </w:p>
    <w:p>
      <w:pPr>
        <w:pStyle w:val="null3"/>
        <w:ind w:firstLine="420"/>
        <w:jc w:val="both"/>
      </w:pPr>
      <w:r>
        <w:rPr>
          <w:sz w:val="21"/>
        </w:rPr>
        <w:t>（</w:t>
      </w:r>
      <w:r>
        <w:rPr>
          <w:sz w:val="21"/>
        </w:rPr>
        <w:t>6）</w:t>
      </w:r>
      <w:r>
        <w:rPr>
          <w:sz w:val="21"/>
        </w:rPr>
        <w:t>在合同签订之日起</w:t>
      </w:r>
      <w:r>
        <w:rPr>
          <w:sz w:val="21"/>
        </w:rPr>
        <w:t>30日内，乙方须开立专用账户，签订资金管理三方(甲方、乙方、银行)协议，专用账户名称为乙方加厚街镇中心区生活垃圾收运项目加“环卫工人工资专用账户”，协议内容含环卫工人人工费用总额、拨付比例及拨款日期。专用账户开立后30日内，需报环境卫生主管部门备案。</w:t>
      </w:r>
    </w:p>
    <w:p>
      <w:pPr>
        <w:pStyle w:val="null3"/>
        <w:ind w:firstLine="420"/>
        <w:jc w:val="both"/>
      </w:pPr>
      <w:r>
        <w:rPr>
          <w:sz w:val="21"/>
        </w:rPr>
        <w:t>（</w:t>
      </w:r>
      <w:r>
        <w:rPr>
          <w:sz w:val="21"/>
        </w:rPr>
        <w:t>7</w:t>
      </w:r>
      <w:r>
        <w:rPr>
          <w:sz w:val="21"/>
        </w:rPr>
        <w:t>）乙方严禁转包，未经甲方书面同意不得分包。</w:t>
      </w:r>
    </w:p>
    <w:p>
      <w:pPr>
        <w:pStyle w:val="null3"/>
        <w:jc w:val="both"/>
      </w:pPr>
      <w:r>
        <w:rPr>
          <w:sz w:val="21"/>
          <w:b/>
        </w:rPr>
        <w:t>四、服务期间及服务地点（项目完成期限）</w:t>
      </w:r>
    </w:p>
    <w:p>
      <w:pPr>
        <w:pStyle w:val="null3"/>
        <w:ind w:firstLine="420"/>
        <w:jc w:val="both"/>
      </w:pPr>
      <w:r>
        <w:rPr>
          <w:sz w:val="21"/>
        </w:rPr>
        <w:t>1.服务期限：</w:t>
      </w:r>
      <w:r>
        <w:rPr>
          <w:sz w:val="21"/>
        </w:rPr>
        <w:t>自合同签订之日起</w:t>
      </w:r>
      <w:r>
        <w:rPr>
          <w:sz w:val="21"/>
        </w:rPr>
        <w:t>16个月（自2026年3月1日起至2027年6月30日），具体时间以合同签订为准</w:t>
      </w:r>
      <w:r>
        <w:rPr>
          <w:sz w:val="21"/>
        </w:rPr>
        <w:t>。</w:t>
      </w:r>
    </w:p>
    <w:p>
      <w:pPr>
        <w:pStyle w:val="null3"/>
        <w:ind w:firstLine="420"/>
        <w:jc w:val="both"/>
      </w:pPr>
      <w:r>
        <w:rPr>
          <w:sz w:val="21"/>
        </w:rPr>
        <w:t>2.服务地点：</w:t>
      </w:r>
      <w:r>
        <w:rPr>
          <w:sz w:val="21"/>
        </w:rPr>
        <w:t>东莞市内</w:t>
      </w:r>
      <w:r>
        <w:rPr>
          <w:sz w:val="21"/>
        </w:rPr>
        <w:t>。</w:t>
      </w:r>
    </w:p>
    <w:p>
      <w:pPr>
        <w:pStyle w:val="null3"/>
        <w:ind w:firstLine="420"/>
        <w:jc w:val="both"/>
      </w:pPr>
      <w:r>
        <w:rPr>
          <w:sz w:val="21"/>
        </w:rPr>
        <w:t>3.委托服务期间自______年______月______日至______年______月______日止。</w:t>
      </w:r>
    </w:p>
    <w:p>
      <w:pPr>
        <w:pStyle w:val="null3"/>
        <w:jc w:val="both"/>
      </w:pPr>
      <w:r>
        <w:rPr>
          <w:sz w:val="21"/>
          <w:b/>
        </w:rPr>
        <w:t>五、</w:t>
      </w:r>
      <w:r>
        <w:rPr>
          <w:sz w:val="21"/>
          <w:b/>
        </w:rPr>
        <w:t>验收要求</w:t>
      </w:r>
    </w:p>
    <w:p>
      <w:pPr>
        <w:pStyle w:val="null3"/>
        <w:ind w:firstLine="420"/>
        <w:jc w:val="both"/>
      </w:pPr>
      <w:r>
        <w:rPr>
          <w:sz w:val="21"/>
        </w:rPr>
        <w:t>1.</w:t>
      </w:r>
      <w:r>
        <w:rPr>
          <w:sz w:val="21"/>
        </w:rPr>
        <w:t>甲方</w:t>
      </w:r>
      <w:r>
        <w:rPr>
          <w:sz w:val="21"/>
        </w:rPr>
        <w:t>对</w:t>
      </w:r>
      <w:r>
        <w:rPr>
          <w:sz w:val="21"/>
        </w:rPr>
        <w:t>乙方</w:t>
      </w:r>
      <w:r>
        <w:rPr>
          <w:sz w:val="21"/>
        </w:rPr>
        <w:t>的服务实行每月综合考评，按百分制打分。综合考评得分为</w:t>
      </w:r>
      <w:r>
        <w:rPr>
          <w:sz w:val="21"/>
        </w:rPr>
        <w:t>[90分-100分]的，不扣减当月服务费；综合考评得分为[80分-90分）的，以90分为基准，每低于1分则扣减当月服务费用2000元；综合考评得分为[70分-80分）的，以80分为基准，每低于1分则扣减当月服务费用3000元；综合考评得分为[60分-70分），以70分为基准，每低于1分则扣减当月服务费用5000元；综合考评得分为（0分-60分）的，扣减当月运营费用30%，月底考评连续2个月出现60分以下的，</w:t>
      </w:r>
      <w:r>
        <w:rPr>
          <w:sz w:val="21"/>
        </w:rPr>
        <w:t>甲方</w:t>
      </w:r>
      <w:r>
        <w:rPr>
          <w:sz w:val="21"/>
        </w:rPr>
        <w:t>有权单方面解除合同，履约保证金不予退还，经济损失和法律责任由</w:t>
      </w:r>
      <w:r>
        <w:rPr>
          <w:sz w:val="21"/>
        </w:rPr>
        <w:t>乙方</w:t>
      </w:r>
      <w:r>
        <w:rPr>
          <w:sz w:val="21"/>
        </w:rPr>
        <w:t>自行承担。</w:t>
      </w:r>
    </w:p>
    <w:p>
      <w:pPr>
        <w:pStyle w:val="null3"/>
        <w:ind w:firstLine="420"/>
        <w:jc w:val="both"/>
      </w:pPr>
      <w:r>
        <w:rPr>
          <w:sz w:val="21"/>
        </w:rPr>
        <w:t>2.考核评分标准：按《厚街镇</w:t>
      </w:r>
      <w:r>
        <w:rPr>
          <w:sz w:val="21"/>
        </w:rPr>
        <w:t>中心区</w:t>
      </w:r>
      <w:r>
        <w:rPr>
          <w:sz w:val="21"/>
        </w:rPr>
        <w:t>生活垃圾</w:t>
      </w:r>
      <w:r>
        <w:rPr>
          <w:sz w:val="21"/>
        </w:rPr>
        <w:t>运输</w:t>
      </w:r>
      <w:r>
        <w:rPr>
          <w:sz w:val="21"/>
        </w:rPr>
        <w:t>服务考核评分表》执行。</w:t>
      </w:r>
    </w:p>
    <w:p>
      <w:pPr>
        <w:pStyle w:val="null3"/>
        <w:ind w:firstLine="420"/>
        <w:jc w:val="both"/>
      </w:pPr>
      <w:r>
        <w:rPr>
          <w:sz w:val="21"/>
        </w:rPr>
        <w:t>3.</w:t>
      </w:r>
      <w:r>
        <w:rPr>
          <w:sz w:val="21"/>
        </w:rPr>
        <w:t>甲方</w:t>
      </w:r>
      <w:r>
        <w:rPr>
          <w:sz w:val="21"/>
        </w:rPr>
        <w:t>可根据实际情况调整服务考核标准、管理制度、服务流程，</w:t>
      </w:r>
      <w:r>
        <w:rPr>
          <w:sz w:val="21"/>
        </w:rPr>
        <w:t>乙方</w:t>
      </w:r>
      <w:r>
        <w:rPr>
          <w:sz w:val="21"/>
        </w:rPr>
        <w:t>必须无条件遵守。</w:t>
      </w:r>
    </w:p>
    <w:p>
      <w:pPr>
        <w:pStyle w:val="null3"/>
        <w:jc w:val="both"/>
      </w:pPr>
      <w:r>
        <w:rPr>
          <w:sz w:val="21"/>
          <w:b/>
        </w:rPr>
        <w:t>六</w:t>
      </w:r>
      <w:r>
        <w:rPr>
          <w:sz w:val="21"/>
          <w:b/>
        </w:rPr>
        <w:t>、付款方式</w:t>
      </w:r>
    </w:p>
    <w:p>
      <w:pPr>
        <w:pStyle w:val="null3"/>
        <w:ind w:firstLine="420"/>
      </w:pPr>
      <w:r>
        <w:rPr>
          <w:sz w:val="21"/>
        </w:rPr>
        <w:t>1.本项目按每月支付，</w:t>
      </w:r>
      <w:r>
        <w:rPr>
          <w:sz w:val="21"/>
        </w:rPr>
        <w:t>甲方</w:t>
      </w:r>
      <w:r>
        <w:rPr>
          <w:sz w:val="21"/>
        </w:rPr>
        <w:t>按中标单价</w:t>
      </w:r>
      <w:r>
        <w:rPr>
          <w:sz w:val="21"/>
        </w:rPr>
        <w:t>×当月垃圾实际总焚烧量（总过磅量）进行结算，向</w:t>
      </w:r>
      <w:r>
        <w:rPr>
          <w:sz w:val="21"/>
        </w:rPr>
        <w:t>乙方</w:t>
      </w:r>
      <w:r>
        <w:rPr>
          <w:sz w:val="21"/>
        </w:rPr>
        <w:t>支付上月的服务费（如有因考核扣减费用，则以扣减后的费用支付）。</w:t>
      </w:r>
    </w:p>
    <w:p>
      <w:pPr>
        <w:pStyle w:val="null3"/>
        <w:ind w:firstLine="420"/>
        <w:jc w:val="both"/>
      </w:pPr>
      <w:r>
        <w:rPr>
          <w:sz w:val="21"/>
        </w:rPr>
        <w:t>2.付款前</w:t>
      </w:r>
      <w:r>
        <w:rPr>
          <w:sz w:val="21"/>
        </w:rPr>
        <w:t>乙方</w:t>
      </w:r>
      <w:r>
        <w:rPr>
          <w:sz w:val="21"/>
        </w:rPr>
        <w:t>应出具等额合法发票以及相关台账证明材料。</w:t>
      </w:r>
    </w:p>
    <w:p>
      <w:pPr>
        <w:pStyle w:val="null3"/>
        <w:jc w:val="both"/>
      </w:pPr>
      <w:r>
        <w:rPr>
          <w:sz w:val="21"/>
          <w:b/>
        </w:rPr>
        <w:t>七</w:t>
      </w:r>
      <w:r>
        <w:rPr>
          <w:sz w:val="21"/>
          <w:b/>
        </w:rPr>
        <w:t>、保密</w:t>
      </w:r>
    </w:p>
    <w:p>
      <w:pPr>
        <w:pStyle w:val="null3"/>
        <w:ind w:firstLine="420"/>
        <w:jc w:val="both"/>
      </w:pPr>
      <w:r>
        <w:rPr>
          <w:sz w:val="21"/>
        </w:rPr>
        <w:t>未经甲方事先书面同意，乙方不得将在签订、履行本合同过程中所获悉的属于甲方及其关联方的且无法自公开渠道获得的文件及资料提供给与本合同无关的任何第三方，不得将其用于履行本合同之外的其它用途。即使向与履行本合同有关的人员提供，也应注意保密并限于履行合同所必需的范围。本合同终止后，乙方仍须履行该保密义务，并须将甲方提供的所有资料予以归还，不得自行复制、留存。</w:t>
      </w:r>
    </w:p>
    <w:p>
      <w:pPr>
        <w:pStyle w:val="null3"/>
        <w:jc w:val="both"/>
      </w:pPr>
      <w:r>
        <w:rPr>
          <w:sz w:val="21"/>
          <w:b/>
        </w:rPr>
        <w:t>八、</w:t>
      </w:r>
      <w:r>
        <w:rPr>
          <w:sz w:val="21"/>
          <w:b/>
        </w:rPr>
        <w:t>知识产权和所有权</w:t>
      </w:r>
    </w:p>
    <w:p>
      <w:pPr>
        <w:pStyle w:val="null3"/>
        <w:ind w:firstLine="420"/>
        <w:jc w:val="both"/>
      </w:pPr>
      <w:r>
        <w:rPr>
          <w:sz w:val="21"/>
        </w:rPr>
        <w:t>本合同项下所有服务成果</w:t>
      </w:r>
      <w:r>
        <w:rPr>
          <w:sz w:val="21"/>
        </w:rPr>
        <w:t>(包括乙方在合同履行过程中形成的阶段性服务成果及最终交付的服务成果)的知识产权和所有权全部归属于甲方。未经甲方书面同意，乙方不得擅自将前述服务成果以及与之相关的任何资料用于本合同之外的任何场合或者向任何第三方转让、泄露;否则，由乙方承担全部的赔偿责任。</w:t>
      </w:r>
    </w:p>
    <w:p>
      <w:pPr>
        <w:pStyle w:val="null3"/>
        <w:jc w:val="both"/>
      </w:pPr>
      <w:r>
        <w:rPr>
          <w:sz w:val="21"/>
          <w:b/>
        </w:rPr>
        <w:t>九</w:t>
      </w:r>
      <w:r>
        <w:rPr>
          <w:sz w:val="21"/>
          <w:b/>
        </w:rPr>
        <w:t>、税费</w:t>
      </w:r>
    </w:p>
    <w:p>
      <w:pPr>
        <w:pStyle w:val="null3"/>
        <w:ind w:firstLine="420"/>
        <w:jc w:val="both"/>
      </w:pPr>
      <w:r>
        <w:rPr>
          <w:sz w:val="21"/>
        </w:rPr>
        <w:t>在中国境内、外发生的与本合同执行有关的一切税费均由乙方负担。</w:t>
      </w:r>
    </w:p>
    <w:p>
      <w:pPr>
        <w:pStyle w:val="null3"/>
        <w:jc w:val="both"/>
      </w:pPr>
      <w:r>
        <w:rPr>
          <w:sz w:val="21"/>
          <w:b/>
        </w:rPr>
        <w:t>十</w:t>
      </w:r>
      <w:r>
        <w:rPr>
          <w:sz w:val="21"/>
          <w:b/>
        </w:rPr>
        <w:t>、违约责任</w:t>
      </w:r>
    </w:p>
    <w:p>
      <w:pPr>
        <w:pStyle w:val="null3"/>
        <w:ind w:firstLine="480"/>
        <w:jc w:val="both"/>
      </w:pPr>
      <w:r>
        <w:rPr>
          <w:sz w:val="21"/>
        </w:rPr>
        <w:t>1.合同双方任何一方不履行合同条款或不按合同约定履行条款的其它情况，均属违约，由违约方承担违约责任，赔偿因其违约造成的损失，并支付合同价款总额3%的违约金。</w:t>
      </w:r>
    </w:p>
    <w:p>
      <w:pPr>
        <w:pStyle w:val="null3"/>
        <w:ind w:firstLine="480"/>
        <w:jc w:val="both"/>
      </w:pPr>
      <w:r>
        <w:rPr>
          <w:sz w:val="21"/>
        </w:rPr>
        <w:t>2.因乙方原因导致本合同解除或是无法履行的，乙方应向甲方支付合同总价3%的违约金。</w:t>
      </w:r>
    </w:p>
    <w:p>
      <w:pPr>
        <w:pStyle w:val="null3"/>
        <w:ind w:firstLine="480"/>
        <w:jc w:val="both"/>
      </w:pPr>
      <w:r>
        <w:rPr>
          <w:sz w:val="21"/>
        </w:rPr>
        <w:t>3.甲方有权自应付而未付款项中直接抵扣乙方应付之违约金、赔偿款等，并视为已足额付款。如因乙方的违约行为导致甲方遭受损失的，除支付违约金外，乙方还应当予以赔偿。</w:t>
      </w:r>
    </w:p>
    <w:p>
      <w:pPr>
        <w:pStyle w:val="null3"/>
        <w:ind w:firstLine="480"/>
        <w:jc w:val="both"/>
      </w:pPr>
      <w:r>
        <w:rPr>
          <w:sz w:val="21"/>
        </w:rPr>
        <w:t>4.</w:t>
      </w:r>
      <w:r>
        <w:rPr>
          <w:sz w:val="21"/>
        </w:rPr>
        <w:t>本承包合同的经费由政府拨款，如因特殊情况拨款未能及时到位，乙方不得以此为由而不履行本合同规定的义务。</w:t>
      </w:r>
    </w:p>
    <w:p>
      <w:pPr>
        <w:pStyle w:val="null3"/>
        <w:jc w:val="both"/>
      </w:pPr>
      <w:r>
        <w:rPr>
          <w:sz w:val="21"/>
          <w:b/>
        </w:rPr>
        <w:t>十</w:t>
      </w:r>
      <w:r>
        <w:rPr>
          <w:sz w:val="21"/>
          <w:b/>
        </w:rPr>
        <w:t>一</w:t>
      </w:r>
      <w:r>
        <w:rPr>
          <w:sz w:val="21"/>
          <w:b/>
        </w:rPr>
        <w:t>、争议的解决</w:t>
      </w:r>
    </w:p>
    <w:p>
      <w:pPr>
        <w:pStyle w:val="null3"/>
        <w:ind w:firstLine="480"/>
        <w:jc w:val="both"/>
      </w:pPr>
      <w:r>
        <w:rPr>
          <w:sz w:val="21"/>
        </w:rPr>
        <w:t>1.凡与本合同有关而引起的一切争议，甲乙双方应首先通过友好协商解决，如经协商后仍不能达成协议时，任何一方可以向法院提出诉讼。</w:t>
      </w:r>
    </w:p>
    <w:p>
      <w:pPr>
        <w:pStyle w:val="null3"/>
        <w:ind w:firstLine="480"/>
        <w:jc w:val="both"/>
      </w:pPr>
      <w:r>
        <w:rPr>
          <w:sz w:val="21"/>
        </w:rPr>
        <w:t>2.本合同发生的诉讼管辖地为东莞市有管辖权的法院。</w:t>
      </w:r>
    </w:p>
    <w:p>
      <w:pPr>
        <w:pStyle w:val="null3"/>
        <w:ind w:firstLine="480"/>
        <w:jc w:val="both"/>
      </w:pPr>
      <w:r>
        <w:rPr>
          <w:sz w:val="21"/>
        </w:rPr>
        <w:t>3.在进行法院审理期间，除提交法院审理的事项外，合同其他部分仍继续履行。</w:t>
      </w:r>
    </w:p>
    <w:p>
      <w:pPr>
        <w:pStyle w:val="null3"/>
        <w:ind w:firstLine="480"/>
        <w:jc w:val="both"/>
      </w:pPr>
      <w:r>
        <w:rPr>
          <w:sz w:val="21"/>
        </w:rPr>
        <w:t>4.本合同按照中华人民共和国的法律进行解释。</w:t>
      </w:r>
    </w:p>
    <w:p>
      <w:pPr>
        <w:pStyle w:val="null3"/>
        <w:jc w:val="both"/>
      </w:pPr>
      <w:r>
        <w:rPr>
          <w:sz w:val="21"/>
          <w:b/>
        </w:rPr>
        <w:t>十</w:t>
      </w:r>
      <w:r>
        <w:rPr>
          <w:sz w:val="21"/>
          <w:b/>
        </w:rPr>
        <w:t>二</w:t>
      </w:r>
      <w:r>
        <w:rPr>
          <w:sz w:val="21"/>
          <w:b/>
        </w:rPr>
        <w:t>、不可抗力</w:t>
      </w:r>
    </w:p>
    <w:p>
      <w:pPr>
        <w:pStyle w:val="null3"/>
        <w:ind w:firstLine="480"/>
        <w:jc w:val="both"/>
      </w:pPr>
      <w:r>
        <w:rPr>
          <w:sz w:val="21"/>
        </w:rPr>
        <w:t>1.甲乙双方如果任何一方因不可抗力如地震、风暴、洪水、火灾或其他自然灾害、瘟疫、战争、暴乱、敌对行动、公共骚乱、公共敌人的行为、政府或公共机关的禁止、劳资纠纷或其他双方无法控制、不可预见的事件，而无法履行本合同规定的义务时，应及时向对方通报不能履行或不能完全履行的理由，以减轻可能给对方造成的损失，在取得有关机构证明后，允许延期履行、部分履行或不履行合同，并根据情况可部分或全部免于承担违约责任。</w:t>
      </w:r>
    </w:p>
    <w:p>
      <w:pPr>
        <w:pStyle w:val="null3"/>
        <w:ind w:firstLine="480"/>
        <w:jc w:val="both"/>
      </w:pPr>
      <w:r>
        <w:rPr>
          <w:sz w:val="21"/>
        </w:rPr>
        <w:t>2.如果发生了不可抗力的事件，任何一方均不对另一方因不能履约或延误履约而遭受的任何损害，成本增加或损失负责。遇到不可抗力事件的一方应采取适当的措施以减少或消除不可抗力事件的影响，并在最短时间内努力重新履行因不可抗力事件而受影响的义务。通过协商，双方应根据不可抗力对合同履行的影响程度，决定是否修改或终止本合同。</w:t>
      </w:r>
    </w:p>
    <w:p>
      <w:pPr>
        <w:pStyle w:val="null3"/>
        <w:jc w:val="both"/>
      </w:pPr>
      <w:r>
        <w:rPr>
          <w:sz w:val="21"/>
          <w:b/>
        </w:rPr>
        <w:t>十</w:t>
      </w:r>
      <w:r>
        <w:rPr>
          <w:sz w:val="21"/>
          <w:b/>
        </w:rPr>
        <w:t>三</w:t>
      </w:r>
      <w:r>
        <w:rPr>
          <w:sz w:val="21"/>
          <w:b/>
        </w:rPr>
        <w:t>、合同生效</w:t>
      </w:r>
    </w:p>
    <w:p>
      <w:pPr>
        <w:pStyle w:val="null3"/>
        <w:ind w:firstLine="480"/>
        <w:jc w:val="both"/>
      </w:pPr>
      <w:r>
        <w:rPr>
          <w:sz w:val="21"/>
        </w:rPr>
        <w:t>1.本合同由双方法定代表人或委托代理人签字盖章后立即生效，具有同等法律效力。</w:t>
      </w:r>
    </w:p>
    <w:p>
      <w:pPr>
        <w:pStyle w:val="null3"/>
        <w:ind w:firstLine="480"/>
        <w:jc w:val="both"/>
      </w:pPr>
      <w:r>
        <w:rPr>
          <w:sz w:val="21"/>
        </w:rPr>
        <w:t>2.本合同一式六份，其中甲方2份、乙方3份，采购代理机构1份（须在合同签订之日起3个工作日内递交）。</w:t>
      </w:r>
    </w:p>
    <w:p>
      <w:pPr>
        <w:pStyle w:val="null3"/>
        <w:jc w:val="both"/>
      </w:pPr>
      <w:r>
        <w:rPr>
          <w:sz w:val="21"/>
          <w:b/>
        </w:rPr>
        <w:t>十</w:t>
      </w:r>
      <w:r>
        <w:rPr>
          <w:sz w:val="21"/>
          <w:b/>
        </w:rPr>
        <w:t>四</w:t>
      </w:r>
      <w:r>
        <w:rPr>
          <w:sz w:val="21"/>
          <w:b/>
        </w:rPr>
        <w:t>、其它</w:t>
      </w:r>
    </w:p>
    <w:p>
      <w:pPr>
        <w:pStyle w:val="null3"/>
        <w:ind w:firstLine="480"/>
        <w:jc w:val="both"/>
      </w:pPr>
      <w:r>
        <w:rPr>
          <w:sz w:val="21"/>
        </w:rPr>
        <w:t>1.本合同未尽事宜，双方可签订补充合同，补充合同与所有附件均为合同的有效组成部分，与本合同具有同等法律效力。但补充协议内容不能违反招标文件以及招标过程中的相关资料的约定。</w:t>
      </w:r>
    </w:p>
    <w:p>
      <w:pPr>
        <w:pStyle w:val="null3"/>
        <w:ind w:firstLine="480"/>
        <w:jc w:val="both"/>
      </w:pPr>
      <w:r>
        <w:rPr>
          <w:sz w:val="21"/>
        </w:rPr>
        <w:t>2.在执行本合同的过程中，所有经甲乙双方签署确认的文件（包括会议纪要、补充协议、往来信函、合同附件等）即成为本合同的有效组成部分，其生效日期为双方签字盖章或确认之日期。</w:t>
      </w:r>
    </w:p>
    <w:p>
      <w:pPr>
        <w:pStyle w:val="null3"/>
        <w:ind w:firstLine="480"/>
        <w:jc w:val="both"/>
      </w:pPr>
      <w:r>
        <w:rPr>
          <w:sz w:val="21"/>
        </w:rPr>
        <w:t>3.本合同合计【待定】页A4纸张，缺页之合同为无效合同。</w:t>
      </w: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甲方（盖章）：</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乙方（盖章）：</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法定代表</w:t>
            </w:r>
            <w:r>
              <w:rPr>
                <w:sz w:val="21"/>
              </w:rPr>
              <w:t>(签字)：</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法定代表</w:t>
            </w:r>
            <w:r>
              <w:rPr>
                <w:sz w:val="21"/>
              </w:rPr>
              <w:t>(签字)：</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地址：</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地址：</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电话：</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电话：</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传真：</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传真：</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开户银行：</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开户银行：</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账号：</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账号：</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签约时间：</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签约地点：</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441900029-2025-01107</w:t>
      </w:r>
    </w:p>
    <w:p>
      <w:pPr>
        <w:pStyle w:val="null3"/>
        <w:jc w:val="center"/>
        <w:outlineLvl w:val="3"/>
      </w:pPr>
      <w:r>
        <w:rPr>
          <w:sz w:val="24"/>
          <w:b/>
        </w:rPr>
        <w:t>采购项目编号：</w:t>
      </w:r>
      <w:r>
        <w:rPr>
          <w:sz w:val="24"/>
          <w:b/>
        </w:rPr>
        <w:t>441900029-2025-01107</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广东政通招标有限公司</w:t>
      </w:r>
    </w:p>
    <w:p>
      <w:pPr>
        <w:pStyle w:val="null3"/>
        <w:ind w:firstLine="480"/>
      </w:pPr>
      <w:r>
        <w:rPr/>
        <w:t xml:space="preserve"> 你方组织的</w:t>
      </w:r>
      <w:r>
        <w:rPr>
          <w:u w:val="single"/>
        </w:rPr>
        <w:t>“</w:t>
      </w:r>
      <w:r>
        <w:rPr>
          <w:u w:val="single"/>
        </w:rPr>
        <w:t>厚街镇中心区生活垃圾收运项目</w:t>
      </w:r>
      <w:r>
        <w:rPr>
          <w:u w:val="single"/>
        </w:rPr>
        <w:t>”</w:t>
      </w:r>
      <w:r>
        <w:rPr/>
        <w:t>项目的招标[采购项目编号为：</w:t>
      </w:r>
      <w:r>
        <w:rPr>
          <w:u w:val="single"/>
        </w:rPr>
        <w:t>441900029-2025-01107</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厚街镇中心区生活垃圾收运项目</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广东政通招标有限公司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厚街镇中心区生活垃圾收运项目</w:t>
      </w:r>
      <w:r>
        <w:rPr/>
        <w:t>”项目采购[采购项目编号为</w:t>
      </w:r>
      <w:r>
        <w:rPr/>
        <w:t>441900029-2025-01107</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东莞市厚街镇公用事业服务中心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广东政通招标有限公司</w:t>
      </w:r>
    </w:p>
    <w:p>
      <w:pPr>
        <w:pStyle w:val="null3"/>
        <w:ind w:firstLine="480"/>
      </w:pPr>
      <w:r>
        <w:rPr/>
        <w:t xml:space="preserve"> 如果我方在贵采购代理机构组织的</w:t>
      </w:r>
      <w:r>
        <w:rPr/>
        <w:t>厚街镇中心区生活垃圾收运项目</w:t>
      </w:r>
      <w:r>
        <w:rPr/>
        <w:t>招标中获中标（采购项目编号：</w:t>
      </w:r>
      <w:r>
        <w:rPr/>
        <w:t>441900029-2025-01107</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广东政通招标有限公司</w:t>
      </w:r>
    </w:p>
    <w:p>
      <w:pPr>
        <w:pStyle w:val="null3"/>
        <w:ind w:firstLine="480"/>
      </w:pPr>
      <w:r>
        <w:rPr/>
        <w:t>我单位已登记并准备参与“</w:t>
      </w:r>
      <w:r>
        <w:rPr/>
        <w:t>厚街镇中心区生活垃圾收运项目</w:t>
      </w:r>
      <w:r>
        <w:rPr/>
        <w:t>”项目（采购项目编号：</w:t>
      </w:r>
      <w:r>
        <w:rPr/>
        <w:t>441900029-2025-01107</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