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441900029-2025-00005</w:t>
      </w:r>
    </w:p>
    <w:p>
      <w:pPr>
        <w:pStyle w:val="null3"/>
        <w:jc w:val="center"/>
        <w:outlineLvl w:val="3"/>
      </w:pPr>
      <w:r>
        <w:rPr>
          <w:sz w:val="24"/>
          <w:b/>
        </w:rPr>
        <w:t>采购项目编号：</w:t>
      </w:r>
      <w:r>
        <w:rPr>
          <w:sz w:val="24"/>
          <w:b/>
        </w:rPr>
        <w:t>441900029-2025-00005</w:t>
      </w:r>
    </w:p>
    <w:p>
      <w:pPr>
        <w:pStyle w:val="null3"/>
        <w:jc w:val="center"/>
        <w:outlineLvl w:val="3"/>
      </w:pPr>
      <w:r>
        <w:rPr>
          <w:sz w:val="24"/>
          <w:b/>
        </w:rPr>
        <w:t>项目名称：</w:t>
      </w:r>
      <w:r>
        <w:rPr>
          <w:sz w:val="24"/>
          <w:b/>
        </w:rPr>
        <w:t>广东省东莞市厚街镇厚山保障性租赁住房及配套设施建设项目工程质量检测</w:t>
      </w:r>
    </w:p>
    <w:p>
      <w:pPr>
        <w:pStyle w:val="null3"/>
        <w:jc w:val="center"/>
        <w:outlineLvl w:val="3"/>
      </w:pPr>
      <w:r>
        <w:rPr>
          <w:sz w:val="24"/>
          <w:b/>
        </w:rPr>
        <w:t>采购人：</w:t>
      </w:r>
      <w:r>
        <w:rPr>
          <w:sz w:val="24"/>
          <w:b/>
        </w:rPr>
        <w:t>东莞市厚街镇工程建设中心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东莞市厚街镇工程建设中心</w:t>
      </w:r>
      <w:r>
        <w:rPr/>
        <w:t>的委托，采用</w:t>
      </w:r>
      <w:r>
        <w:rPr/>
        <w:t>公开招标</w:t>
      </w:r>
      <w:r>
        <w:rPr/>
        <w:t>方式组织采购</w:t>
      </w:r>
      <w:r>
        <w:rPr/>
        <w:t>广东省东莞市厚街镇厚山保障性租赁住房及配套设施建设项目工程质量检测</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广东省东莞市厚街镇厚山保障性租赁住房及配套设施建设项目工程质量检测</w:t>
      </w:r>
    </w:p>
    <w:p>
      <w:pPr>
        <w:pStyle w:val="null3"/>
        <w:ind w:firstLine="480"/>
      </w:pPr>
      <w:r>
        <w:rPr/>
        <w:t>采购计划编号：</w:t>
      </w:r>
      <w:r>
        <w:rPr/>
        <w:t>441900029-2025-00005</w:t>
      </w:r>
    </w:p>
    <w:p>
      <w:pPr>
        <w:pStyle w:val="null3"/>
        <w:ind w:firstLine="480"/>
      </w:pPr>
      <w:r>
        <w:rPr/>
        <w:t>采购项目编号：</w:t>
      </w:r>
      <w:r>
        <w:rPr/>
        <w:t>441900029-2025-00005</w:t>
      </w:r>
    </w:p>
    <w:p>
      <w:pPr>
        <w:pStyle w:val="null3"/>
        <w:ind w:firstLine="480"/>
      </w:pPr>
      <w:r>
        <w:rPr/>
        <w:t>采购方式：</w:t>
      </w:r>
      <w:r>
        <w:rPr/>
        <w:t>公开招标</w:t>
      </w:r>
    </w:p>
    <w:p>
      <w:pPr>
        <w:pStyle w:val="null3"/>
        <w:ind w:firstLine="480"/>
      </w:pPr>
      <w:r>
        <w:rPr/>
        <w:t>预算金额：</w:t>
      </w:r>
      <w:r>
        <w:rPr/>
        <w:t>3,087,251.20</w:t>
      </w:r>
      <w:r>
        <w:rPr/>
        <w:t>元</w:t>
      </w:r>
    </w:p>
    <w:p>
      <w:pPr>
        <w:pStyle w:val="null3"/>
        <w:outlineLvl w:val="3"/>
      </w:pPr>
      <w:r>
        <w:rPr>
          <w:sz w:val="24"/>
          <w:b/>
        </w:rPr>
        <w:t>2.项目内容及需求情况（采购项目技术规格、参数及要求）</w:t>
      </w:r>
    </w:p>
    <w:p>
      <w:pPr>
        <w:pStyle w:val="null3"/>
      </w:pPr>
      <w:r>
        <w:rPr/>
        <w:t>采购包1(广东省东莞市厚街镇厚山保障性租赁住房及配套设施建设项目工程质量检测):</w:t>
      </w:r>
    </w:p>
    <w:p>
      <w:pPr>
        <w:pStyle w:val="null3"/>
      </w:pPr>
      <w:r>
        <w:rPr/>
        <w:t>采购包预算金额：3,087,251.20元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其他专业技术服务</w:t>
            </w:r>
          </w:p>
        </w:tc>
        <w:tc>
          <w:tcPr>
            <w:tcW w:type="dxa" w:w="2052"/>
          </w:tcPr>
          <w:p>
            <w:pPr>
              <w:pStyle w:val="null3"/>
            </w:pPr>
            <w:r>
              <w:rPr/>
              <w:t>广东省东莞市厚街镇厚山保障性租赁住房及配套设施建设项目工程质量检测</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3,087,251.20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合同履行期限：合同生效之日起至本项目检测任务完成为止。具体开始工作的时间以书面通知为准，若工程施工工期滞后则本项目检测服务期顺延到所有内容进行完成为止。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采购包1（广东省东莞市厚街镇厚山保障性租赁住房及配套设施建设项目工程质量检测）：</w:t>
      </w: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采购包1（广东省东莞市厚街镇厚山保障性租赁住房及配套设施建设项目工程质量检测）：</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3)①投标人须具备建设行政主管部门颁发的建设工程质量检测机构资质证书且证书在有效期内（提供证书复印件）。②投标人须具备质量技术监督部门颁发的 CMA 计量认证合格证书或 CMA 检验检测机构资质认定证书且证书在有效期内（提供证书复印件）。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东莞市厚街镇工程建设中心</w:t>
      </w:r>
    </w:p>
    <w:p>
      <w:pPr>
        <w:pStyle w:val="null3"/>
        <w:ind w:firstLine="480"/>
      </w:pPr>
      <w:r>
        <w:rPr/>
        <w:t xml:space="preserve"> 地址：</w:t>
      </w:r>
      <w:r>
        <w:rPr/>
        <w:t>东莞市厚街镇家具研发楼西侧工程建设中心</w:t>
      </w:r>
    </w:p>
    <w:p>
      <w:pPr>
        <w:pStyle w:val="null3"/>
        <w:ind w:firstLine="480"/>
      </w:pPr>
      <w:r>
        <w:rPr/>
        <w:t xml:space="preserve"> 联系方式：</w:t>
      </w:r>
      <w:r>
        <w:rPr/>
        <w:t>0769-81695566</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广东省东莞市厚街镇厚山保障性租赁住房及配套设施建设项目工程质量检测</w:t>
      </w:r>
      <w:r>
        <w:rPr>
          <w:sz w:val="21"/>
        </w:rPr>
        <w:t>。</w:t>
      </w:r>
    </w:p>
    <w:p>
      <w:pPr>
        <w:pStyle w:val="null3"/>
      </w:pPr>
      <w:r>
        <w:rPr/>
        <w:t>采购包1（广东省东莞市厚街镇厚山保障性租赁住房及配套设施建设项目工程质量检测）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合同生效之日起至本项目检测任务完成为止。具体开始工作的时间以书面通知为准，若工程施工工期滞后则本项目检测服务期顺延到所有内容进行完成为止。</w:t>
            </w:r>
          </w:p>
        </w:tc>
      </w:tr>
      <w:tr>
        <w:tc>
          <w:tcPr>
            <w:tcW w:type="dxa" w:w="4153"/>
          </w:tcPr>
          <w:p>
            <w:pPr>
              <w:pStyle w:val="null3"/>
            </w:pPr>
            <w:r>
              <w:rPr/>
              <w:t>标的提供的地点</w:t>
            </w:r>
          </w:p>
        </w:tc>
        <w:tc>
          <w:tcPr>
            <w:tcW w:type="dxa" w:w="4153"/>
          </w:tcPr>
          <w:p>
            <w:pPr>
              <w:pStyle w:val="null3"/>
            </w:pPr>
            <w:r>
              <w:rPr/>
              <w:t>东莞市厚街镇。</w:t>
            </w:r>
          </w:p>
        </w:tc>
      </w:tr>
      <w:tr>
        <w:tc>
          <w:tcPr>
            <w:tcW w:type="dxa" w:w="4153"/>
          </w:tcPr>
          <w:p>
            <w:pPr>
              <w:pStyle w:val="null3"/>
            </w:pPr>
            <w:r>
              <w:rPr/>
              <w:t>付款方式</w:t>
            </w:r>
          </w:p>
        </w:tc>
        <w:tc>
          <w:tcPr>
            <w:tcW w:type="dxa" w:w="4153"/>
          </w:tcPr>
          <w:p>
            <w:pPr>
              <w:pStyle w:val="null3"/>
            </w:pPr>
            <w:r>
              <w:rPr/>
              <w:t>1期：支付比例100%,中标人提交《工程质量检测报告》及请款资料经审核无误后采购人按检测报告支付检测费用，累计支付费用不超过总合同金额的70%,待财政部门出具预算审核报告后签订补充协议，采购人支付剩余费用。</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1期：按国家标准和行业规范及招标文件规定进行验收。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投标人须按检测内容报出统一的投标下浮率（%），最终依据《东莞市建设工程检测行业参考收费标准（2023版）》（未涵盖项目参照《广东省房屋建筑和市政工程质量安全检测收费指导价》等）单价的80%计算检测费用*（1-中标下浮率）进行结算。投标下浮率应为具体值（精确到小数位两位），不得填报区间值（如0%-20%），0＜投标下浮率＜100% 备注：本项目中没有列明的检测项目，其价格按《东莞市建设工程检测行业参考收费标准（2023版）》（未涵盖项目参照《广东省房屋建筑和市政工程质量安全检测收费指导价》等）规定单价的80%执行，结合中标下浮率后进行结算。</w:t>
            </w:r>
          </w:p>
          <w:p>
            <w:pPr>
              <w:pStyle w:val="null3"/>
            </w:pPr>
            <w:r>
              <w:rPr/>
              <w:t>2、报价内容，报价应包含完成本次招标所有服务内容的费用，包括人工费、材料费、设备使用费、各种税务费、必须的辅助材料费及合同实施过程中不可预见费用等全部费用。</w:t>
            </w:r>
          </w:p>
          <w:p>
            <w:pPr>
              <w:pStyle w:val="null3"/>
            </w:pPr>
            <w:r>
              <w:rPr/>
              <w:t>3，投标人应充分结合本招标文件上下文了解项目招标需求、采购文件未尽事宜，将在合同签订或项目执行过程中双方协商确定，供应商须无条件满足采购单位的合理要求。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其他专业技术服务</w:t>
            </w:r>
          </w:p>
        </w:tc>
        <w:tc>
          <w:tcPr>
            <w:tcW w:type="dxa" w:w="831"/>
          </w:tcPr>
          <w:p>
            <w:pPr>
              <w:pStyle w:val="null3"/>
              <w:jc w:val="left"/>
            </w:pPr>
            <w:r>
              <w:rPr/>
              <w:t>广东省东莞市厚街镇厚山保障性租赁住房及配套设施建设项目工程质量检测</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3,087,251.20</w:t>
            </w:r>
          </w:p>
        </w:tc>
        <w:tc>
          <w:tcPr>
            <w:tcW w:type="dxa" w:w="831"/>
          </w:tcPr>
          <w:p>
            <w:pPr>
              <w:pStyle w:val="null3"/>
              <w:jc w:val="right"/>
            </w:pPr>
            <w:r>
              <w:rPr/>
              <w:t>3,087,251.20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广东省东莞市厚街镇厚山保障性租赁住房及配套设施建设项目工程质量检测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outlineLvl w:val="3"/>
            </w:pPr>
            <w:r>
              <w:rPr>
                <w:sz w:val="24"/>
                <w:b/>
              </w:rPr>
              <w:t>一、项目基本情况</w:t>
            </w:r>
          </w:p>
          <w:p>
            <w:pPr>
              <w:pStyle w:val="null3"/>
              <w:ind w:firstLine="420"/>
              <w:jc w:val="left"/>
            </w:pPr>
            <w:r>
              <w:rPr>
                <w:sz w:val="21"/>
              </w:rPr>
              <w:t>广东省东莞市厚街镇厚山保障性租赁住房及配套设施建设项目用地面积约</w:t>
            </w:r>
            <w:r>
              <w:rPr>
                <w:sz w:val="21"/>
              </w:rPr>
              <w:t>34035平方米，本项目总建筑面积约140791.00平方米，地下2层，地下室建筑面积约为44743.26平方米，最大建筑层数26层，最大规划建筑高度79.95米，建设内容主要包括:4栋宿舍楼、2层地下室、室外工程、市政工程及其他配套工程等。</w:t>
            </w:r>
          </w:p>
          <w:p>
            <w:pPr>
              <w:pStyle w:val="null3"/>
              <w:jc w:val="left"/>
            </w:pPr>
            <w:r>
              <w:rPr>
                <w:sz w:val="24"/>
                <w:b/>
              </w:rPr>
              <w:t>二、服务要求</w:t>
            </w:r>
            <w:r>
              <w:br/>
            </w:r>
            <w:r>
              <w:rPr>
                <w:sz w:val="21"/>
              </w:rPr>
              <w:t xml:space="preserve">    </w:t>
            </w:r>
            <w:r>
              <w:rPr>
                <w:sz w:val="21"/>
              </w:rPr>
              <w:t>1、中标人需配备足够的服务人员投入本项目提供服务，服务期内中标人须提供常设全天候24小时热线服务和技术支持。</w:t>
            </w:r>
            <w:r>
              <w:br/>
            </w:r>
            <w:r>
              <w:rPr>
                <w:sz w:val="21"/>
              </w:rPr>
              <w:t xml:space="preserve">    </w:t>
            </w:r>
            <w:r>
              <w:rPr>
                <w:sz w:val="21"/>
              </w:rPr>
              <w:t>2、在项目实施过程中采购人有权对检测内容及数量作出合理的调整。</w:t>
            </w:r>
            <w:r>
              <w:br/>
            </w:r>
            <w:r>
              <w:rPr>
                <w:sz w:val="21"/>
              </w:rPr>
              <w:t xml:space="preserve">    </w:t>
            </w:r>
            <w:r>
              <w:rPr>
                <w:sz w:val="21"/>
              </w:rPr>
              <w:t>3、中标人需按照工程进度及时组织检测人员对相应检测项目进行检测，并于15个工作日内出具正式的检测报告，密切与施工单位联系，确保施工质量与工程进度。</w:t>
            </w:r>
            <w:r>
              <w:br/>
            </w:r>
            <w:r>
              <w:rPr>
                <w:sz w:val="21"/>
              </w:rPr>
              <w:t xml:space="preserve">    </w:t>
            </w:r>
            <w:r>
              <w:rPr>
                <w:sz w:val="21"/>
              </w:rPr>
              <w:t>4、中标人必须做好服务人员的现场作业安全教育及相关安全措施工作，因中标人的原因导致任何安全事故、财产损失，一切责任由中标人承担，采购人概不负责。</w:t>
            </w:r>
            <w:r>
              <w:br/>
            </w:r>
            <w:r>
              <w:rPr>
                <w:sz w:val="21"/>
              </w:rPr>
              <w:t xml:space="preserve">    </w:t>
            </w:r>
            <w:r>
              <w:rPr>
                <w:sz w:val="21"/>
              </w:rPr>
              <w:t>5、中标人须制定检测方法及方案和项目实施进度计划，并做好检测信息管理。</w:t>
            </w:r>
            <w:r>
              <w:br/>
            </w:r>
            <w:r>
              <w:rPr>
                <w:sz w:val="21"/>
              </w:rPr>
              <w:t xml:space="preserve">    </w:t>
            </w:r>
            <w:r>
              <w:rPr>
                <w:sz w:val="21"/>
              </w:rPr>
              <w:t>6、在项目服务过程中，中标人不得因实施检测项目过少或者其他理由，而要求采购人提供任何形式的补偿或赔偿，或要求采购人所有的项目必须开展检测服务。</w:t>
            </w:r>
            <w:r>
              <w:br/>
            </w:r>
            <w:r>
              <w:rPr>
                <w:sz w:val="21"/>
              </w:rPr>
              <w:t xml:space="preserve">    </w:t>
            </w:r>
            <w:r>
              <w:rPr>
                <w:sz w:val="21"/>
              </w:rPr>
              <w:t>7、中标人须按照采购人的要求、相关规范及有关主管部门要求，优化并提出详细检测方案 ，经采购人批准，报有关主管部门审批通过后方可实施。中标人须综合考虑工程现场情况、设计 、检测服务期限、服务范围、现行相关规范规程及文件、主管部门等要求及相关风险因素等情况 。</w:t>
            </w:r>
            <w:r>
              <w:br/>
            </w:r>
            <w:r>
              <w:rPr>
                <w:sz w:val="21"/>
              </w:rPr>
              <w:t xml:space="preserve">    </w:t>
            </w:r>
            <w:r>
              <w:rPr>
                <w:sz w:val="21"/>
              </w:rPr>
              <w:t>8、项目服务过程中所需材料、设备、交通工具及临时辅助措施等均由中标人自行负责。所用材料、设备及仪器必须符合国家检测等规范要求。</w:t>
            </w:r>
            <w:r>
              <w:br/>
            </w:r>
            <w:r>
              <w:rPr>
                <w:sz w:val="24"/>
                <w:b/>
              </w:rPr>
              <w:t>三、检测依据（包括但不限于以下技术规范、标准）</w:t>
            </w:r>
          </w:p>
          <w:p>
            <w:pPr>
              <w:pStyle w:val="null3"/>
              <w:ind w:firstLine="420"/>
              <w:jc w:val="left"/>
            </w:pPr>
            <w:r>
              <w:rPr>
                <w:sz w:val="21"/>
              </w:rPr>
              <w:t>1.本工程施工设计图纸；</w:t>
            </w:r>
          </w:p>
          <w:p>
            <w:pPr>
              <w:pStyle w:val="null3"/>
              <w:ind w:firstLine="420"/>
              <w:jc w:val="left"/>
            </w:pPr>
            <w:r>
              <w:rPr>
                <w:sz w:val="21"/>
              </w:rPr>
              <w:t>2.《给水排水管道工程施工及验收规范》GB50268-2008；</w:t>
            </w:r>
          </w:p>
          <w:p>
            <w:pPr>
              <w:pStyle w:val="null3"/>
              <w:ind w:firstLine="420"/>
              <w:jc w:val="left"/>
            </w:pPr>
            <w:r>
              <w:rPr>
                <w:sz w:val="21"/>
              </w:rPr>
              <w:t>3.《城镇道路工程施工与质量验收规范》CJJ1-2008；</w:t>
            </w:r>
          </w:p>
          <w:p>
            <w:pPr>
              <w:pStyle w:val="null3"/>
              <w:ind w:firstLine="420"/>
              <w:jc w:val="left"/>
            </w:pPr>
            <w:r>
              <w:rPr>
                <w:sz w:val="21"/>
              </w:rPr>
              <w:t>4.《土方试验方法标准》GB/T 50123-2019；</w:t>
            </w:r>
          </w:p>
          <w:p>
            <w:pPr>
              <w:pStyle w:val="null3"/>
              <w:ind w:firstLine="420"/>
              <w:jc w:val="left"/>
            </w:pPr>
            <w:r>
              <w:rPr>
                <w:sz w:val="21"/>
              </w:rPr>
              <w:t>5.《混凝土物理力学性能试验方法标准》GB/T50081-2019；</w:t>
            </w:r>
          </w:p>
          <w:p>
            <w:pPr>
              <w:pStyle w:val="null3"/>
              <w:ind w:firstLine="420"/>
              <w:jc w:val="left"/>
            </w:pPr>
            <w:r>
              <w:rPr>
                <w:sz w:val="21"/>
              </w:rPr>
              <w:t>6.《建筑地基基础检测规范》DBJ/T 15-60-2019；</w:t>
            </w:r>
          </w:p>
          <w:p>
            <w:pPr>
              <w:pStyle w:val="null3"/>
              <w:ind w:firstLine="420"/>
              <w:jc w:val="left"/>
            </w:pPr>
            <w:r>
              <w:rPr>
                <w:sz w:val="21"/>
              </w:rPr>
              <w:t>7.《城镇排水管道检测与评估技术规程》CJJ 181-2012；</w:t>
            </w:r>
          </w:p>
          <w:p>
            <w:pPr>
              <w:pStyle w:val="null3"/>
              <w:ind w:firstLine="420"/>
              <w:jc w:val="left"/>
            </w:pPr>
            <w:r>
              <w:rPr>
                <w:sz w:val="21"/>
              </w:rPr>
              <w:t>8.《钻芯法检测混凝土强度技术规程》JGJ/T384-2016；</w:t>
            </w:r>
          </w:p>
          <w:p>
            <w:pPr>
              <w:pStyle w:val="null3"/>
              <w:ind w:firstLine="420"/>
              <w:jc w:val="left"/>
            </w:pPr>
            <w:r>
              <w:rPr>
                <w:sz w:val="21"/>
              </w:rPr>
              <w:t>9.《公路工程沥青及沥青混合料试验规程》JTG E20-2011；</w:t>
            </w:r>
          </w:p>
          <w:p>
            <w:pPr>
              <w:pStyle w:val="null3"/>
              <w:ind w:firstLine="420"/>
              <w:jc w:val="left"/>
            </w:pPr>
            <w:r>
              <w:rPr>
                <w:sz w:val="21"/>
              </w:rPr>
              <w:t>10.《混凝土和钢筋混凝土排水管标准》GB/T 11836-2009；</w:t>
            </w:r>
          </w:p>
          <w:p>
            <w:pPr>
              <w:pStyle w:val="null3"/>
              <w:ind w:firstLine="420"/>
              <w:jc w:val="left"/>
            </w:pPr>
            <w:r>
              <w:rPr>
                <w:sz w:val="21"/>
              </w:rPr>
              <w:t>11.《普通混凝土长期性能和耐久性能试验方法标准》GB/T 50082-2009；</w:t>
            </w:r>
          </w:p>
          <w:p>
            <w:pPr>
              <w:pStyle w:val="null3"/>
              <w:ind w:firstLine="420"/>
              <w:jc w:val="left"/>
            </w:pPr>
            <w:r>
              <w:rPr>
                <w:sz w:val="21"/>
              </w:rPr>
              <w:t>12.《回弹法检测混凝土抗压强度技术规程》JGJ/T 23-2011；</w:t>
            </w:r>
          </w:p>
          <w:p>
            <w:pPr>
              <w:pStyle w:val="null3"/>
              <w:ind w:firstLine="420"/>
              <w:jc w:val="left"/>
            </w:pPr>
            <w:r>
              <w:rPr>
                <w:sz w:val="21"/>
              </w:rPr>
              <w:t>13.《公路路基路面现场测试规程》JTG 3450-2019；</w:t>
            </w:r>
          </w:p>
          <w:p>
            <w:pPr>
              <w:pStyle w:val="null3"/>
              <w:ind w:firstLine="420"/>
              <w:jc w:val="left"/>
            </w:pPr>
            <w:r>
              <w:rPr>
                <w:sz w:val="21"/>
              </w:rPr>
              <w:t>14. 广东省标准《建筑地基基础检测规范(DBJ/T15-60-2019)</w:t>
            </w:r>
          </w:p>
          <w:p>
            <w:pPr>
              <w:pStyle w:val="null3"/>
              <w:ind w:firstLine="420"/>
              <w:jc w:val="left"/>
            </w:pPr>
            <w:r>
              <w:rPr>
                <w:sz w:val="21"/>
              </w:rPr>
              <w:t>15.《建筑地基基础检测规范》DBJ/T 15-60-2019;</w:t>
            </w:r>
          </w:p>
          <w:p>
            <w:pPr>
              <w:pStyle w:val="null3"/>
              <w:ind w:firstLine="420"/>
              <w:jc w:val="left"/>
            </w:pPr>
            <w:r>
              <w:rPr>
                <w:sz w:val="21"/>
              </w:rPr>
              <w:t>16.《岩土工程勘察规范》GB 50021-2001;</w:t>
            </w:r>
          </w:p>
          <w:p>
            <w:pPr>
              <w:pStyle w:val="null3"/>
              <w:ind w:firstLine="420"/>
              <w:jc w:val="left"/>
            </w:pPr>
            <w:r>
              <w:rPr>
                <w:sz w:val="21"/>
              </w:rPr>
              <w:t>17.《普通混凝土力学性能试验方法标准》GB/T-50081-2019</w:t>
            </w:r>
          </w:p>
          <w:p>
            <w:pPr>
              <w:pStyle w:val="null3"/>
              <w:ind w:firstLine="420"/>
              <w:jc w:val="left"/>
            </w:pPr>
            <w:r>
              <w:rPr>
                <w:sz w:val="21"/>
              </w:rPr>
              <w:t>18.其他相关现行的设计规范，规程及标准，如有国家或行业最新标准，则按最新标准执行。</w:t>
            </w:r>
          </w:p>
          <w:p>
            <w:pPr>
              <w:pStyle w:val="null3"/>
              <w:jc w:val="left"/>
            </w:pPr>
            <w:r>
              <w:rPr>
                <w:sz w:val="24"/>
                <w:b/>
              </w:rPr>
              <w:t>四、质量控制标准</w:t>
            </w:r>
            <w:r>
              <w:br/>
            </w:r>
            <w:r>
              <w:rPr>
                <w:sz w:val="21"/>
              </w:rPr>
              <w:t xml:space="preserve">    </w:t>
            </w:r>
            <w:r>
              <w:rPr>
                <w:sz w:val="21"/>
              </w:rPr>
              <w:t>1、项目检测工作质量控制标准：要求严格按照国家有关规范、技术标准进行工作，符合国家颁发的有关质量验评标准。</w:t>
            </w:r>
            <w:r>
              <w:br/>
            </w:r>
            <w:r>
              <w:rPr>
                <w:sz w:val="21"/>
              </w:rPr>
              <w:t xml:space="preserve">    </w:t>
            </w:r>
            <w:r>
              <w:rPr>
                <w:sz w:val="21"/>
              </w:rPr>
              <w:t>2、提供检定合格、手续完备的检测仪器，及时出具具有法律效应的检测报告。中标人须保证检测成果质量，对技术成果负完全责任，如因检测不实造成采购人经济损失，损失费用全部由中标人承担，并应负责重检。</w:t>
            </w:r>
            <w:r>
              <w:br/>
            </w:r>
            <w:r>
              <w:rPr>
                <w:sz w:val="21"/>
              </w:rPr>
              <w:t xml:space="preserve">    </w:t>
            </w:r>
            <w:r>
              <w:rPr>
                <w:sz w:val="21"/>
              </w:rPr>
              <w:t>3、执行国家、广东省以及东莞市有关工程检测标准规范的规定。</w:t>
            </w:r>
          </w:p>
          <w:p>
            <w:pPr>
              <w:pStyle w:val="null3"/>
              <w:jc w:val="left"/>
            </w:pPr>
            <w:r>
              <w:rPr>
                <w:sz w:val="24"/>
                <w:b/>
              </w:rPr>
              <w:t>五、成果文件及归档要求</w:t>
            </w:r>
            <w:r>
              <w:br/>
            </w:r>
            <w:r>
              <w:rPr>
                <w:sz w:val="21"/>
              </w:rPr>
              <w:t xml:space="preserve">    </w:t>
            </w:r>
            <w:r>
              <w:rPr>
                <w:sz w:val="21"/>
              </w:rPr>
              <w:t>1、中标人严格按照有关规范、规程、标准的要求进行检测，出具客观、准确、公正、真实的检测报告，并要对检测结果负责，对检测结果保密。若出现数据造假情况，给采购人造成损失的，应当承担损害赔偿责任及相应法律责任。</w:t>
            </w:r>
            <w:r>
              <w:br/>
            </w:r>
            <w:r>
              <w:rPr>
                <w:sz w:val="21"/>
              </w:rPr>
              <w:t xml:space="preserve">    </w:t>
            </w:r>
            <w:r>
              <w:rPr>
                <w:sz w:val="21"/>
              </w:rPr>
              <w:t>2、中标人提供的检测报告等文件，应符合国家规定的工程技术质量标准，满足合同约定的内容和质量要求。检测结束后，在规定的时间内提供专业的检测报告。</w:t>
            </w:r>
            <w:r>
              <w:br/>
            </w:r>
            <w:r>
              <w:rPr>
                <w:sz w:val="21"/>
              </w:rPr>
              <w:t xml:space="preserve">    </w:t>
            </w:r>
            <w:r>
              <w:rPr>
                <w:sz w:val="21"/>
              </w:rPr>
              <w:t>3、中标人负责检测全过程资料和报告的整理、打印、复印、装订等工作，须向采购人完整地提供4份纸质检测报告。若采购人要求对资料的数量进行补充时，中标人须予以服从，并按要求补充，其费用已包含在本次报价中，采购人不另行支付相关费用。</w:t>
            </w:r>
            <w:r>
              <w:br/>
            </w:r>
            <w:r>
              <w:rPr>
                <w:sz w:val="21"/>
              </w:rPr>
              <w:t xml:space="preserve">    </w:t>
            </w:r>
            <w:r>
              <w:rPr>
                <w:sz w:val="21"/>
              </w:rPr>
              <w:t>4、中标人的档案资料必须符合国家有关档案管理规定的要求，在检测过程应及时做好收集 、汇总和整理工作，并在各单位工程验收前30天内提交给采购人。</w:t>
            </w:r>
          </w:p>
          <w:p>
            <w:pPr>
              <w:pStyle w:val="null3"/>
              <w:jc w:val="left"/>
            </w:pPr>
            <w:r>
              <w:rPr>
                <w:sz w:val="24"/>
                <w:b/>
              </w:rPr>
              <w:t>六、其他要求</w:t>
            </w:r>
          </w:p>
          <w:p>
            <w:pPr>
              <w:pStyle w:val="null3"/>
              <w:ind w:firstLine="420"/>
              <w:jc w:val="left"/>
            </w:pPr>
            <w:r>
              <w:rPr>
                <w:sz w:val="21"/>
              </w:rPr>
              <w:t>投标人需根据项目需求，在投标文件中提供切实可行的项目重点难点分析、项目实施方案、安全作业措施方案、质量保证措施方案等。</w:t>
            </w:r>
          </w:p>
          <w:p>
            <w:pPr>
              <w:pStyle w:val="null3"/>
              <w:jc w:val="left"/>
            </w:pPr>
            <w:r>
              <w:rPr>
                <w:sz w:val="24"/>
                <w:b/>
              </w:rPr>
              <w:t>七、检测项目清单</w:t>
            </w:r>
          </w:p>
          <w:tbl>
            <w:tblPr>
              <w:tblBorders>
                <w:top w:val="none" w:color="000000" w:sz="4"/>
                <w:left w:val="none" w:color="000000" w:sz="4"/>
                <w:bottom w:val="none" w:color="000000" w:sz="4"/>
                <w:right w:val="none" w:color="000000" w:sz="4"/>
                <w:insideH w:val="none"/>
                <w:insideV w:val="none"/>
              </w:tblBorders>
            </w:tblPr>
            <w:tblGrid>
              <w:gridCol w:w="325"/>
              <w:gridCol w:w="431"/>
              <w:gridCol w:w="584"/>
              <w:gridCol w:w="632"/>
              <w:gridCol w:w="2348"/>
              <w:gridCol w:w="440"/>
              <w:gridCol w:w="364"/>
              <w:gridCol w:w="431"/>
            </w:tblGrid>
            <w:tr>
              <w:tc>
                <w:tcPr>
                  <w:tcW w:type="dxa" w:w="5555"/>
                  <w:gridSpan w:val="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b/>
                    </w:rPr>
                    <w:t>主体结构检测</w:t>
                  </w:r>
                </w:p>
              </w:tc>
            </w:tr>
            <w:tr>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分部</w:t>
                  </w:r>
                  <w:r>
                    <w:br/>
                  </w:r>
                  <w:r>
                    <w:rPr>
                      <w:sz w:val="21"/>
                    </w:rPr>
                    <w:t>工程</w:t>
                  </w:r>
                </w:p>
              </w:tc>
              <w:tc>
                <w:tcPr>
                  <w:tcW w:type="dxa" w:w="5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分项工程</w:t>
                  </w:r>
                </w:p>
              </w:tc>
              <w:tc>
                <w:tcPr>
                  <w:tcW w:type="dxa" w:w="6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常规检测</w:t>
                  </w:r>
                  <w:r>
                    <w:br/>
                  </w:r>
                  <w:r>
                    <w:rPr>
                      <w:sz w:val="21"/>
                    </w:rPr>
                    <w:t>项目</w:t>
                  </w:r>
                </w:p>
              </w:tc>
              <w:tc>
                <w:tcPr>
                  <w:tcW w:type="dxa" w:w="23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试验检测、取样频率</w:t>
                  </w:r>
                </w:p>
              </w:tc>
              <w:tc>
                <w:tcPr>
                  <w:tcW w:type="dxa" w:w="4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检测</w:t>
                  </w:r>
                  <w:r>
                    <w:br/>
                  </w:r>
                  <w:r>
                    <w:rPr>
                      <w:sz w:val="21"/>
                    </w:rPr>
                    <w:t>数量</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4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br/>
                  </w:r>
                  <w:r>
                    <w:rPr>
                      <w:sz w:val="21"/>
                    </w:rPr>
                    <w:t>（元）</w:t>
                  </w:r>
                </w:p>
              </w:tc>
            </w:tr>
            <w:tr>
              <w:tc>
                <w:tcPr>
                  <w:tcW w:type="dxa" w:w="325"/>
                  <w:vMerge/>
                  <w:tcBorders>
                    <w:top w:val="none" w:color="000000" w:sz="4"/>
                    <w:left w:val="single" w:color="000000" w:sz="4"/>
                    <w:bottom w:val="single" w:color="000000" w:sz="4"/>
                    <w:right w:val="single" w:color="000000" w:sz="4"/>
                  </w:tcBorders>
                </w:tcPr>
                <w:p/>
              </w:tc>
              <w:tc>
                <w:tcPr>
                  <w:tcW w:type="dxa" w:w="431"/>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632"/>
                  <w:vMerge/>
                  <w:tcBorders>
                    <w:top w:val="none" w:color="000000" w:sz="4"/>
                    <w:left w:val="none" w:color="000000" w:sz="4"/>
                    <w:bottom w:val="single" w:color="000000" w:sz="4"/>
                    <w:right w:val="single" w:color="000000" w:sz="4"/>
                  </w:tcBorders>
                </w:tcPr>
                <w:p/>
              </w:tc>
              <w:tc>
                <w:tcPr>
                  <w:tcW w:type="dxa" w:w="2348"/>
                  <w:vMerge/>
                  <w:tcBorders>
                    <w:top w:val="none" w:color="000000" w:sz="4"/>
                    <w:left w:val="none" w:color="000000" w:sz="4"/>
                    <w:bottom w:val="single" w:color="000000" w:sz="4"/>
                    <w:right w:val="single" w:color="000000" w:sz="4"/>
                  </w:tcBorders>
                </w:tcPr>
                <w:p/>
              </w:tc>
              <w:tc>
                <w:tcPr>
                  <w:tcW w:type="dxa" w:w="440"/>
                  <w:vMerge/>
                  <w:tcBorders>
                    <w:top w:val="none" w:color="000000" w:sz="4"/>
                    <w:left w:val="non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431"/>
                  <w:vMerge/>
                  <w:tcBorders>
                    <w:top w:val="none" w:color="000000" w:sz="4"/>
                    <w:left w:val="none" w:color="000000" w:sz="4"/>
                    <w:bottom w:val="single" w:color="000000" w:sz="4"/>
                    <w:right w:val="single" w:color="000000" w:sz="4"/>
                  </w:tcBorders>
                </w:tc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主体结构</w:t>
                  </w:r>
                </w:p>
              </w:tc>
              <w:tc>
                <w:tcPr>
                  <w:tcW w:type="dxa" w:w="5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1#保障房</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回弹法测混凝土强度</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抽检数量不宜少于同批构件总数的</w:t>
                  </w:r>
                  <w:r>
                    <w:rPr>
                      <w:sz w:val="21"/>
                    </w:rPr>
                    <w:t>30%且不宜少于10件。当检验批构件数量大于30个时，抽样构件数量可适当调整，并不得少于国家现行有关标准规定的最少抽样数量。</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1"/>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楼板厚度</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在同一检验批内板应按有代表性的自然间抽查</w:t>
                  </w:r>
                  <w:r>
                    <w:rPr>
                      <w:sz w:val="21"/>
                    </w:rPr>
                    <w:t>1%，且不少于3间</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构件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31"/>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砂浆拉拔</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w:t>
                  </w:r>
                  <w:r>
                    <w:rPr>
                      <w:sz w:val="21"/>
                    </w:rPr>
                    <w:t>5000m²应为一个检验批，每个检验批应取一组试件进行检测，不足5000m²的也应取一组。在抹灰层达到规定龄期时进行拉伸粘结强度试验取样，且取样面积不应小于2m²，取样数量应为7个。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主体结构</w:t>
                  </w:r>
                </w:p>
              </w:tc>
              <w:tc>
                <w:tcPr>
                  <w:tcW w:type="dxa" w:w="5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2#保障房</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回弹法测混凝土强度</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抽检数量不宜少于同批构件总数的</w:t>
                  </w:r>
                  <w:r>
                    <w:rPr>
                      <w:sz w:val="21"/>
                    </w:rPr>
                    <w:t>30%且不宜少于10件。当检验批构件数量大于30个时，抽样构件数量可适当调整，并不得少于国家现行有关标准规定的最少抽样数量。</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31"/>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楼板厚度</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在同一检验批内板应按有代表性的自然间抽查</w:t>
                  </w:r>
                  <w:r>
                    <w:rPr>
                      <w:sz w:val="21"/>
                    </w:rPr>
                    <w:t>1%，且不少于3间</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构件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1"/>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砂浆拉拔</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w:t>
                  </w:r>
                  <w:r>
                    <w:rPr>
                      <w:sz w:val="21"/>
                    </w:rPr>
                    <w:t>5000m²应为一个检验批，每个检验批应取一组试件进行检测，不足5000m²的也应取一组。在抹灰层达到规定龄期时进行拉伸粘结强度试验取样，且取样面积不应小于2m²，取样数量应为7个。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主体结构</w:t>
                  </w:r>
                </w:p>
              </w:tc>
              <w:tc>
                <w:tcPr>
                  <w:tcW w:type="dxa" w:w="5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3#保障房</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回弹法测混凝土强度</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抽检数量不宜少于同批构件总数的</w:t>
                  </w:r>
                  <w:r>
                    <w:rPr>
                      <w:sz w:val="21"/>
                    </w:rPr>
                    <w:t>30%且不宜少于10件。当检验批构件数量大于30个时，抽样构件数量可适当调整，并不得少于国家现行有关标准规定的最少抽样数量。</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31"/>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楼板厚度</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在同一检验批内板应按有代表性的自然间抽查</w:t>
                  </w:r>
                  <w:r>
                    <w:rPr>
                      <w:sz w:val="21"/>
                    </w:rPr>
                    <w:t>1%，且不少于3间</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构件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r>
            <w:tr>
              <w:tc>
                <w:tcPr>
                  <w:tcW w:type="dxa" w:w="32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31"/>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63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砂浆拉拔</w:t>
                  </w:r>
                </w:p>
              </w:tc>
              <w:tc>
                <w:tcPr>
                  <w:tcW w:type="dxa" w:w="234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每</w:t>
                  </w:r>
                  <w:r>
                    <w:rPr>
                      <w:sz w:val="21"/>
                    </w:rPr>
                    <w:t>5000m²应为一个检验批，每个检验批应取一组试件进行检测，不足5000m²的也应取一组。在抹灰层达到规定龄期时进行拉伸粘结强度试验取样，且取样面积不应小于2m²，取样数量应为7个。</w:t>
                  </w:r>
                </w:p>
              </w:tc>
              <w:tc>
                <w:tcPr>
                  <w:tcW w:type="dxa" w:w="44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6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43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2500</w:t>
                  </w:r>
                </w:p>
              </w:tc>
            </w:tr>
            <w:tr>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主体结构</w:t>
                  </w:r>
                </w:p>
              </w:tc>
              <w:tc>
                <w:tcPr>
                  <w:tcW w:type="dxa" w:w="5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4#保障房</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回弹法测混凝土强度</w:t>
                  </w:r>
                </w:p>
              </w:tc>
              <w:tc>
                <w:tcPr>
                  <w:tcW w:type="dxa" w:w="2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抽检数量不宜少于同批构件总数的</w:t>
                  </w:r>
                  <w:r>
                    <w:rPr>
                      <w:sz w:val="21"/>
                    </w:rPr>
                    <w:t>30%且不宜少于10件。当检验批构件数量大于30个时，抽样构件数量可适当调整，并不得少于国家现行有关标准规定的最少抽样数量。</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4200</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测区</w:t>
                  </w:r>
                </w:p>
              </w:tc>
              <w:tc>
                <w:tcPr>
                  <w:tcW w:type="dxa" w:w="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31"/>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楼板厚度</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在同一检验批内板应按有代表性的自然间抽查</w:t>
                  </w:r>
                  <w:r>
                    <w:rPr>
                      <w:sz w:val="21"/>
                    </w:rPr>
                    <w:t>1%，且不少于3间</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构件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31"/>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砂浆拉拔</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w:t>
                  </w:r>
                  <w:r>
                    <w:rPr>
                      <w:sz w:val="21"/>
                    </w:rPr>
                    <w:t>5000m²应为一个检验批，每个检验批应取一组试件进行检测，不足5000m²的也应取一组。在抹灰层达到规定龄期时进行拉伸粘结强度试验取样，且取样面积不应小于2m²，取样数量应为7个。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431"/>
                  <w:vMerge/>
                  <w:tcBorders>
                    <w:top w:val="none" w:color="000000" w:sz="4"/>
                    <w:left w:val="none" w:color="000000" w:sz="4"/>
                    <w:bottom w:val="single" w:color="000000" w:sz="4"/>
                    <w:right w:val="single" w:color="000000" w:sz="4"/>
                  </w:tcBorders>
                </w:tcPr>
                <w:p/>
              </w:tc>
              <w:tc>
                <w:tcPr>
                  <w:tcW w:type="dxa" w:w="5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1#保障房</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抽芯抗压强度</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芯样</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31"/>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节能抽芯</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31"/>
                  <w:vMerge/>
                  <w:tcBorders>
                    <w:top w:val="none" w:color="000000" w:sz="4"/>
                    <w:left w:val="none" w:color="000000" w:sz="4"/>
                    <w:bottom w:val="single" w:color="000000" w:sz="4"/>
                    <w:right w:val="single" w:color="000000" w:sz="4"/>
                  </w:tcBorders>
                </w:tcPr>
                <w:p/>
              </w:tc>
              <w:tc>
                <w:tcPr>
                  <w:tcW w:type="dxa" w:w="5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2#保障房</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抽芯抗压强度</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芯样</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31"/>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节能抽芯</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431"/>
                  <w:vMerge/>
                  <w:tcBorders>
                    <w:top w:val="none" w:color="000000" w:sz="4"/>
                    <w:left w:val="none" w:color="000000" w:sz="4"/>
                    <w:bottom w:val="single" w:color="000000" w:sz="4"/>
                    <w:right w:val="single" w:color="000000" w:sz="4"/>
                  </w:tcBorders>
                </w:tcPr>
                <w:p/>
              </w:tc>
              <w:tc>
                <w:tcPr>
                  <w:tcW w:type="dxa" w:w="5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3#保障房</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抽芯抗压强度</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芯样</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431"/>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节能抽芯</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431"/>
                  <w:vMerge/>
                  <w:tcBorders>
                    <w:top w:val="none" w:color="000000" w:sz="4"/>
                    <w:left w:val="none" w:color="000000" w:sz="4"/>
                    <w:bottom w:val="single" w:color="000000" w:sz="4"/>
                    <w:right w:val="single" w:color="000000" w:sz="4"/>
                  </w:tcBorders>
                </w:tcPr>
                <w:p/>
              </w:tc>
              <w:tc>
                <w:tcPr>
                  <w:tcW w:type="dxa" w:w="5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4#保障房</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抽芯抗压强度</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芯样</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1"/>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节能抽芯</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4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1#保障房压实度检测</w:t>
                  </w:r>
                </w:p>
              </w:tc>
              <w:tc>
                <w:tcPr>
                  <w:tcW w:type="dxa" w:w="5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室内回填</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压实度</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100平方不得少于一点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431"/>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原材击实</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每种类型</w:t>
                  </w:r>
                  <w:r>
                    <w:rPr>
                      <w:sz w:val="21"/>
                    </w:rPr>
                    <w:t>/1组、每填筑1000m³/组</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4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2#保障房压实度检测</w:t>
                  </w:r>
                </w:p>
              </w:tc>
              <w:tc>
                <w:tcPr>
                  <w:tcW w:type="dxa" w:w="5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室内回填</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压实度</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100平方不得少于一点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431"/>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原材击实</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每种类型</w:t>
                  </w:r>
                  <w:r>
                    <w:rPr>
                      <w:sz w:val="21"/>
                    </w:rPr>
                    <w:t>/1组、每填筑1000m³/组</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4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3#保障房压实度检测</w:t>
                  </w:r>
                </w:p>
              </w:tc>
              <w:tc>
                <w:tcPr>
                  <w:tcW w:type="dxa" w:w="5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室内回填</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压实度</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100平方不得少于一点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431"/>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原材击实</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每种类型</w:t>
                  </w:r>
                  <w:r>
                    <w:rPr>
                      <w:sz w:val="21"/>
                    </w:rPr>
                    <w:t>/1组、每填筑1000m³/组</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4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4#保障房压实度检测</w:t>
                  </w:r>
                </w:p>
              </w:tc>
              <w:tc>
                <w:tcPr>
                  <w:tcW w:type="dxa" w:w="5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室内回填</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压实度</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100平方不得少于一点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431"/>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原材击实</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每种类型</w:t>
                  </w:r>
                  <w:r>
                    <w:rPr>
                      <w:sz w:val="21"/>
                    </w:rPr>
                    <w:t>/1组、每填筑1000m³/组</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原材料</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Borders>
                <w:top w:val="none" w:color="000000" w:sz="4"/>
                <w:left w:val="none" w:color="000000" w:sz="4"/>
                <w:bottom w:val="none" w:color="000000" w:sz="4"/>
                <w:right w:val="none" w:color="000000" w:sz="4"/>
                <w:insideH w:val="none"/>
                <w:insideV w:val="none"/>
              </w:tblBorders>
            </w:tblPr>
            <w:tblGrid>
              <w:gridCol w:w="338"/>
              <w:gridCol w:w="437"/>
              <w:gridCol w:w="447"/>
              <w:gridCol w:w="974"/>
              <w:gridCol w:w="656"/>
              <w:gridCol w:w="1392"/>
              <w:gridCol w:w="377"/>
              <w:gridCol w:w="377"/>
              <w:gridCol w:w="556"/>
            </w:tblGrid>
            <w:tr>
              <w:tc>
                <w:tcPr>
                  <w:tcW w:type="dxa" w:w="5554"/>
                  <w:gridSpan w:val="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rPr>
                    <w:t>配套道路检测</w:t>
                  </w:r>
                </w:p>
              </w:tc>
            </w:tr>
            <w:tr>
              <w:tc>
                <w:tcPr>
                  <w:tcW w:type="dxa" w:w="33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3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r>
                    <w:br/>
                  </w:r>
                  <w:r>
                    <w:rPr>
                      <w:sz w:val="21"/>
                    </w:rPr>
                    <w:t>工程</w:t>
                  </w:r>
                </w:p>
              </w:tc>
              <w:tc>
                <w:tcPr>
                  <w:tcW w:type="dxa" w:w="44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分部</w:t>
                  </w:r>
                  <w:r>
                    <w:br/>
                  </w:r>
                  <w:r>
                    <w:rPr>
                      <w:sz w:val="21"/>
                    </w:rPr>
                    <w:t>工程</w:t>
                  </w:r>
                </w:p>
              </w:tc>
              <w:tc>
                <w:tcPr>
                  <w:tcW w:type="dxa" w:w="97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分项工程</w:t>
                  </w:r>
                </w:p>
              </w:tc>
              <w:tc>
                <w:tcPr>
                  <w:tcW w:type="dxa" w:w="65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常规检测</w:t>
                  </w:r>
                  <w:r>
                    <w:br/>
                  </w:r>
                  <w:r>
                    <w:rPr>
                      <w:sz w:val="21"/>
                    </w:rPr>
                    <w:t>项目</w:t>
                  </w:r>
                </w:p>
              </w:tc>
              <w:tc>
                <w:tcPr>
                  <w:tcW w:type="dxa" w:w="139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试验检测、取样频率</w:t>
                  </w:r>
                </w:p>
              </w:tc>
              <w:tc>
                <w:tcPr>
                  <w:tcW w:type="dxa" w:w="37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检测</w:t>
                  </w:r>
                  <w:r>
                    <w:br/>
                  </w:r>
                  <w:r>
                    <w:rPr>
                      <w:sz w:val="21"/>
                    </w:rPr>
                    <w:t>数量</w:t>
                  </w:r>
                </w:p>
              </w:tc>
              <w:tc>
                <w:tcPr>
                  <w:tcW w:type="dxa" w:w="37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55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br/>
                  </w:r>
                  <w:r>
                    <w:rPr>
                      <w:sz w:val="21"/>
                    </w:rPr>
                    <w:t>（元）</w:t>
                  </w:r>
                </w:p>
              </w:tc>
            </w:tr>
            <w:tr>
              <w:tc>
                <w:tcPr>
                  <w:tcW w:type="dxa" w:w="338"/>
                  <w:vMerge/>
                  <w:tcBorders>
                    <w:top w:val="single" w:color="000000" w:sz="4"/>
                    <w:left w:val="single" w:color="000000" w:sz="4"/>
                    <w:bottom w:val="single" w:color="000000" w:sz="4"/>
                    <w:right w:val="single" w:color="000000" w:sz="4"/>
                  </w:tcBorders>
                </w:tcPr>
                <w:p/>
              </w:tc>
              <w:tc>
                <w:tcPr>
                  <w:tcW w:type="dxa" w:w="437"/>
                  <w:vMerge/>
                  <w:tcBorders>
                    <w:top w:val="single" w:color="000000" w:sz="4"/>
                    <w:left w:val="none" w:color="000000" w:sz="4"/>
                    <w:bottom w:val="single" w:color="000000" w:sz="4"/>
                    <w:right w:val="single" w:color="000000" w:sz="4"/>
                  </w:tcBorders>
                </w:tcPr>
                <w:p/>
              </w:tc>
              <w:tc>
                <w:tcPr>
                  <w:tcW w:type="dxa" w:w="447"/>
                  <w:vMerge/>
                  <w:tcBorders>
                    <w:top w:val="single" w:color="000000" w:sz="4"/>
                    <w:left w:val="none" w:color="000000" w:sz="4"/>
                    <w:bottom w:val="single" w:color="000000" w:sz="4"/>
                    <w:right w:val="single" w:color="000000" w:sz="4"/>
                  </w:tcBorders>
                </w:tcPr>
                <w:p/>
              </w:tc>
              <w:tc>
                <w:tcPr>
                  <w:tcW w:type="dxa" w:w="974"/>
                  <w:vMerge/>
                  <w:tcBorders>
                    <w:top w:val="single" w:color="000000" w:sz="4"/>
                    <w:left w:val="none" w:color="000000" w:sz="4"/>
                    <w:bottom w:val="single" w:color="000000" w:sz="4"/>
                    <w:right w:val="single" w:color="000000" w:sz="4"/>
                  </w:tcBorders>
                </w:tcPr>
                <w:p/>
              </w:tc>
              <w:tc>
                <w:tcPr>
                  <w:tcW w:type="dxa" w:w="656"/>
                  <w:vMerge/>
                  <w:tcBorders>
                    <w:top w:val="single" w:color="000000" w:sz="4"/>
                    <w:left w:val="none" w:color="000000" w:sz="4"/>
                    <w:bottom w:val="single" w:color="000000" w:sz="4"/>
                    <w:right w:val="single" w:color="000000" w:sz="4"/>
                  </w:tcBorders>
                </w:tcPr>
                <w:p/>
              </w:tc>
              <w:tc>
                <w:tcPr>
                  <w:tcW w:type="dxa" w:w="1392"/>
                  <w:vMerge/>
                  <w:tcBorders>
                    <w:top w:val="single" w:color="000000" w:sz="4"/>
                    <w:left w:val="none" w:color="000000" w:sz="4"/>
                    <w:bottom w:val="single" w:color="000000" w:sz="4"/>
                    <w:right w:val="single" w:color="000000" w:sz="4"/>
                  </w:tcBorders>
                </w:tcPr>
                <w:p/>
              </w:tc>
              <w:tc>
                <w:tcPr>
                  <w:tcW w:type="dxa" w:w="377"/>
                  <w:vMerge/>
                  <w:tcBorders>
                    <w:top w:val="single" w:color="000000" w:sz="4"/>
                    <w:left w:val="none" w:color="000000" w:sz="4"/>
                    <w:bottom w:val="single" w:color="000000" w:sz="4"/>
                    <w:right w:val="single" w:color="000000" w:sz="4"/>
                  </w:tcBorders>
                </w:tcPr>
                <w:p/>
              </w:tc>
              <w:tc>
                <w:tcPr>
                  <w:tcW w:type="dxa" w:w="377"/>
                  <w:vMerge/>
                  <w:tcBorders>
                    <w:top w:val="single" w:color="000000" w:sz="4"/>
                    <w:left w:val="none" w:color="000000" w:sz="4"/>
                    <w:bottom w:val="single" w:color="000000" w:sz="4"/>
                    <w:right w:val="single" w:color="000000" w:sz="4"/>
                  </w:tcBorders>
                </w:tcPr>
                <w:p/>
              </w:tc>
              <w:tc>
                <w:tcPr>
                  <w:tcW w:type="dxa" w:w="556"/>
                  <w:vMerge/>
                  <w:tcBorders>
                    <w:top w:val="single" w:color="000000" w:sz="4"/>
                    <w:left w:val="non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东业路</w:t>
                  </w:r>
                </w:p>
              </w:tc>
              <w:tc>
                <w:tcPr>
                  <w:tcW w:type="dxa" w:w="4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路基</w:t>
                  </w:r>
                </w:p>
              </w:tc>
              <w:tc>
                <w:tcPr>
                  <w:tcW w:type="dxa" w:w="9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路基填筑</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路基压实度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1000㎡/测3点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vMerge/>
                  <w:tcBorders>
                    <w:top w:val="none" w:color="000000" w:sz="4"/>
                    <w:left w:val="none" w:color="000000" w:sz="4"/>
                    <w:bottom w:val="non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vMerge/>
                  <w:tcBorders>
                    <w:top w:val="none" w:color="000000" w:sz="4"/>
                    <w:left w:val="none" w:color="000000" w:sz="4"/>
                    <w:bottom w:val="singl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弯沉</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每车道、每</w:t>
                  </w:r>
                  <w:r>
                    <w:rPr>
                      <w:sz w:val="21"/>
                    </w:rPr>
                    <w:t>20m测1点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37"/>
                  <w:vMerge/>
                  <w:tcBorders>
                    <w:top w:val="none" w:color="000000" w:sz="4"/>
                    <w:left w:val="none" w:color="000000" w:sz="4"/>
                    <w:bottom w:val="none" w:color="000000" w:sz="4"/>
                    <w:right w:val="single" w:color="000000" w:sz="4"/>
                  </w:tcBorders>
                </w:tcPr>
                <w:p/>
              </w:tc>
              <w:tc>
                <w:tcPr>
                  <w:tcW w:type="dxa" w:w="44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基层、底基层</w:t>
                  </w:r>
                </w:p>
              </w:tc>
              <w:tc>
                <w:tcPr>
                  <w:tcW w:type="dxa" w:w="97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4%水泥稳定碎石（18cm）</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压实度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1000㎡/测1点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37"/>
                  <w:vMerge/>
                  <w:tcBorders>
                    <w:top w:val="none" w:color="000000" w:sz="4"/>
                    <w:left w:val="none" w:color="000000" w:sz="4"/>
                    <w:bottom w:val="none" w:color="000000" w:sz="4"/>
                    <w:right w:val="single" w:color="000000" w:sz="4"/>
                  </w:tcBorders>
                </w:tcPr>
                <w:p/>
              </w:tc>
              <w:tc>
                <w:tcPr>
                  <w:tcW w:type="dxa" w:w="447"/>
                  <w:vMerge/>
                  <w:tcBorders>
                    <w:top w:val="none" w:color="000000" w:sz="4"/>
                    <w:left w:val="none" w:color="000000" w:sz="4"/>
                    <w:bottom w:val="none" w:color="000000" w:sz="4"/>
                    <w:right w:val="single" w:color="000000" w:sz="4"/>
                  </w:tcBorders>
                </w:tcPr>
                <w:p/>
              </w:tc>
              <w:tc>
                <w:tcPr>
                  <w:tcW w:type="dxa" w:w="974"/>
                  <w:vMerge/>
                  <w:tcBorders>
                    <w:top w:val="none" w:color="000000" w:sz="4"/>
                    <w:left w:val="none" w:color="000000" w:sz="4"/>
                    <w:bottom w:val="non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弯沉</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每车道、每</w:t>
                  </w:r>
                  <w:r>
                    <w:rPr>
                      <w:sz w:val="21"/>
                    </w:rPr>
                    <w:t>20m测1点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37"/>
                  <w:vMerge/>
                  <w:tcBorders>
                    <w:top w:val="none" w:color="000000" w:sz="4"/>
                    <w:left w:val="none" w:color="000000" w:sz="4"/>
                    <w:bottom w:val="none" w:color="000000" w:sz="4"/>
                    <w:right w:val="single" w:color="000000" w:sz="4"/>
                  </w:tcBorders>
                </w:tcPr>
                <w:p/>
              </w:tc>
              <w:tc>
                <w:tcPr>
                  <w:tcW w:type="dxa" w:w="447"/>
                  <w:vMerge/>
                  <w:tcBorders>
                    <w:top w:val="none" w:color="000000" w:sz="4"/>
                    <w:left w:val="none" w:color="000000" w:sz="4"/>
                    <w:bottom w:val="none" w:color="000000" w:sz="4"/>
                    <w:right w:val="single" w:color="000000" w:sz="4"/>
                  </w:tcBorders>
                </w:tcPr>
                <w:p/>
              </w:tc>
              <w:tc>
                <w:tcPr>
                  <w:tcW w:type="dxa" w:w="97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5%水泥稳定碎石（36cm）</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压实度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1000㎡/测1点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7"/>
                  <w:vMerge/>
                  <w:tcBorders>
                    <w:top w:val="none" w:color="000000" w:sz="4"/>
                    <w:left w:val="none" w:color="000000" w:sz="4"/>
                    <w:bottom w:val="none" w:color="000000" w:sz="4"/>
                    <w:right w:val="single" w:color="000000" w:sz="4"/>
                  </w:tcBorders>
                </w:tcPr>
                <w:p/>
              </w:tc>
              <w:tc>
                <w:tcPr>
                  <w:tcW w:type="dxa" w:w="447"/>
                  <w:vMerge/>
                  <w:tcBorders>
                    <w:top w:val="none" w:color="000000" w:sz="4"/>
                    <w:left w:val="none" w:color="000000" w:sz="4"/>
                    <w:bottom w:val="none" w:color="000000" w:sz="4"/>
                    <w:right w:val="single" w:color="000000" w:sz="4"/>
                  </w:tcBorders>
                </w:tcPr>
                <w:p/>
              </w:tc>
              <w:tc>
                <w:tcPr>
                  <w:tcW w:type="dxa" w:w="974"/>
                  <w:vMerge/>
                  <w:tcBorders>
                    <w:top w:val="none" w:color="000000" w:sz="4"/>
                    <w:left w:val="none" w:color="000000" w:sz="4"/>
                    <w:bottom w:val="non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弯沉</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每车道、每</w:t>
                  </w:r>
                  <w:r>
                    <w:rPr>
                      <w:sz w:val="21"/>
                    </w:rPr>
                    <w:t>20m测1点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37"/>
                  <w:vMerge/>
                  <w:tcBorders>
                    <w:top w:val="none" w:color="000000" w:sz="4"/>
                    <w:left w:val="none" w:color="000000" w:sz="4"/>
                    <w:bottom w:val="none" w:color="000000" w:sz="4"/>
                    <w:right w:val="single" w:color="000000" w:sz="4"/>
                  </w:tcBorders>
                </w:tcPr>
                <w:p/>
              </w:tc>
              <w:tc>
                <w:tcPr>
                  <w:tcW w:type="dxa" w:w="44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沥青</w:t>
                  </w:r>
                  <w:r>
                    <w:br/>
                  </w:r>
                  <w:r>
                    <w:rPr>
                      <w:sz w:val="21"/>
                    </w:rPr>
                    <w:t>路面</w:t>
                  </w:r>
                </w:p>
              </w:tc>
              <w:tc>
                <w:tcPr>
                  <w:tcW w:type="dxa" w:w="974"/>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7cm粗粒式沥青砼AC-25C</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沥青厚度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1000㎡/测1点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37"/>
                  <w:vMerge/>
                  <w:tcBorders>
                    <w:top w:val="none" w:color="000000" w:sz="4"/>
                    <w:left w:val="none" w:color="000000" w:sz="4"/>
                    <w:bottom w:val="none" w:color="000000" w:sz="4"/>
                    <w:right w:val="single" w:color="000000" w:sz="4"/>
                  </w:tcBorders>
                </w:tcPr>
                <w:p/>
              </w:tc>
              <w:tc>
                <w:tcPr>
                  <w:tcW w:type="dxa" w:w="447"/>
                  <w:vMerge/>
                  <w:tcBorders>
                    <w:top w:val="single" w:color="000000" w:sz="4"/>
                    <w:left w:val="none" w:color="000000" w:sz="4"/>
                    <w:bottom w:val="single" w:color="000000" w:sz="4"/>
                    <w:right w:val="single" w:color="000000" w:sz="4"/>
                  </w:tcBorders>
                </w:tcPr>
                <w:p/>
              </w:tc>
              <w:tc>
                <w:tcPr>
                  <w:tcW w:type="dxa" w:w="974"/>
                  <w:vMerge/>
                  <w:tcBorders>
                    <w:top w:val="single" w:color="000000" w:sz="4"/>
                    <w:left w:val="none" w:color="000000" w:sz="4"/>
                    <w:bottom w:val="singl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沥青压实度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1000㎡/测1点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37"/>
                  <w:vMerge/>
                  <w:tcBorders>
                    <w:top w:val="none" w:color="000000" w:sz="4"/>
                    <w:left w:val="none" w:color="000000" w:sz="4"/>
                    <w:bottom w:val="none" w:color="000000" w:sz="4"/>
                    <w:right w:val="single" w:color="000000" w:sz="4"/>
                  </w:tcBorders>
                </w:tcPr>
                <w:p/>
              </w:tc>
              <w:tc>
                <w:tcPr>
                  <w:tcW w:type="dxa" w:w="447"/>
                  <w:vMerge/>
                  <w:tcBorders>
                    <w:top w:val="single" w:color="000000" w:sz="4"/>
                    <w:left w:val="none" w:color="000000" w:sz="4"/>
                    <w:bottom w:val="single" w:color="000000" w:sz="4"/>
                    <w:right w:val="single" w:color="000000" w:sz="4"/>
                  </w:tcBorders>
                </w:tcPr>
                <w:p/>
              </w:tc>
              <w:tc>
                <w:tcPr>
                  <w:tcW w:type="dxa" w:w="974"/>
                  <w:vMerge/>
                  <w:tcBorders>
                    <w:top w:val="single" w:color="000000" w:sz="4"/>
                    <w:left w:val="none" w:color="000000" w:sz="4"/>
                    <w:bottom w:val="singl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弯沉</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每车道、每</w:t>
                  </w:r>
                  <w:r>
                    <w:rPr>
                      <w:sz w:val="21"/>
                    </w:rPr>
                    <w:t>20m测1点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
                  <w:vMerge/>
                  <w:tcBorders>
                    <w:top w:val="none" w:color="000000" w:sz="4"/>
                    <w:left w:val="none" w:color="000000" w:sz="4"/>
                    <w:bottom w:val="none" w:color="000000" w:sz="4"/>
                    <w:right w:val="single" w:color="000000" w:sz="4"/>
                  </w:tcBorders>
                </w:tcPr>
                <w:p/>
              </w:tc>
              <w:tc>
                <w:tcPr>
                  <w:tcW w:type="dxa" w:w="447"/>
                  <w:vMerge/>
                  <w:tcBorders>
                    <w:top w:val="single" w:color="000000" w:sz="4"/>
                    <w:left w:val="none" w:color="000000" w:sz="4"/>
                    <w:bottom w:val="single" w:color="000000" w:sz="4"/>
                    <w:right w:val="single" w:color="000000" w:sz="4"/>
                  </w:tcBorders>
                </w:tcPr>
                <w:p/>
              </w:tc>
              <w:tc>
                <w:tcPr>
                  <w:tcW w:type="dxa" w:w="97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5cm中粒式沥青砼AC-20C</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沥青厚度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1000㎡/测1点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37"/>
                  <w:vMerge/>
                  <w:tcBorders>
                    <w:top w:val="none" w:color="000000" w:sz="4"/>
                    <w:left w:val="none" w:color="000000" w:sz="4"/>
                    <w:bottom w:val="none" w:color="000000" w:sz="4"/>
                    <w:right w:val="single" w:color="000000" w:sz="4"/>
                  </w:tcBorders>
                </w:tcPr>
                <w:p/>
              </w:tc>
              <w:tc>
                <w:tcPr>
                  <w:tcW w:type="dxa" w:w="447"/>
                  <w:vMerge/>
                  <w:tcBorders>
                    <w:top w:val="single" w:color="000000" w:sz="4"/>
                    <w:left w:val="none" w:color="000000" w:sz="4"/>
                    <w:bottom w:val="single" w:color="000000" w:sz="4"/>
                    <w:right w:val="single" w:color="000000" w:sz="4"/>
                  </w:tcBorders>
                </w:tcPr>
                <w:p/>
              </w:tc>
              <w:tc>
                <w:tcPr>
                  <w:tcW w:type="dxa" w:w="974"/>
                  <w:vMerge/>
                  <w:tcBorders>
                    <w:top w:val="none" w:color="000000" w:sz="4"/>
                    <w:left w:val="none" w:color="000000" w:sz="4"/>
                    <w:bottom w:val="singl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沥青压实度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1000㎡/测1点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37"/>
                  <w:vMerge/>
                  <w:tcBorders>
                    <w:top w:val="none" w:color="000000" w:sz="4"/>
                    <w:left w:val="none" w:color="000000" w:sz="4"/>
                    <w:bottom w:val="none" w:color="000000" w:sz="4"/>
                    <w:right w:val="single" w:color="000000" w:sz="4"/>
                  </w:tcBorders>
                </w:tcPr>
                <w:p/>
              </w:tc>
              <w:tc>
                <w:tcPr>
                  <w:tcW w:type="dxa" w:w="447"/>
                  <w:vMerge/>
                  <w:tcBorders>
                    <w:top w:val="single" w:color="000000" w:sz="4"/>
                    <w:left w:val="none" w:color="000000" w:sz="4"/>
                    <w:bottom w:val="single" w:color="000000" w:sz="4"/>
                    <w:right w:val="single" w:color="000000" w:sz="4"/>
                  </w:tcBorders>
                </w:tcPr>
                <w:p/>
              </w:tc>
              <w:tc>
                <w:tcPr>
                  <w:tcW w:type="dxa" w:w="974"/>
                  <w:vMerge/>
                  <w:tcBorders>
                    <w:top w:val="none" w:color="000000" w:sz="4"/>
                    <w:left w:val="none" w:color="000000" w:sz="4"/>
                    <w:bottom w:val="singl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弯沉</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每车道、每</w:t>
                  </w:r>
                  <w:r>
                    <w:rPr>
                      <w:sz w:val="21"/>
                    </w:rPr>
                    <w:t>20m测1点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437"/>
                  <w:vMerge/>
                  <w:tcBorders>
                    <w:top w:val="none" w:color="000000" w:sz="4"/>
                    <w:left w:val="none" w:color="000000" w:sz="4"/>
                    <w:bottom w:val="none" w:color="000000" w:sz="4"/>
                    <w:right w:val="single" w:color="000000" w:sz="4"/>
                  </w:tcBorders>
                </w:tcPr>
                <w:p/>
              </w:tc>
              <w:tc>
                <w:tcPr>
                  <w:tcW w:type="dxa" w:w="447"/>
                  <w:vMerge/>
                  <w:tcBorders>
                    <w:top w:val="single" w:color="000000" w:sz="4"/>
                    <w:left w:val="none" w:color="000000" w:sz="4"/>
                    <w:bottom w:val="single" w:color="000000" w:sz="4"/>
                    <w:right w:val="single" w:color="000000" w:sz="4"/>
                  </w:tcBorders>
                </w:tcPr>
                <w:p/>
              </w:tc>
              <w:tc>
                <w:tcPr>
                  <w:tcW w:type="dxa" w:w="9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4cmAC-13CSBS改性细粒式沥青砼</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沥青厚度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1000㎡/测1点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37"/>
                  <w:vMerge/>
                  <w:tcBorders>
                    <w:top w:val="none" w:color="000000" w:sz="4"/>
                    <w:left w:val="none" w:color="000000" w:sz="4"/>
                    <w:bottom w:val="none" w:color="000000" w:sz="4"/>
                    <w:right w:val="single" w:color="000000" w:sz="4"/>
                  </w:tcBorders>
                </w:tcPr>
                <w:p/>
              </w:tc>
              <w:tc>
                <w:tcPr>
                  <w:tcW w:type="dxa" w:w="447"/>
                  <w:vMerge/>
                  <w:tcBorders>
                    <w:top w:val="single" w:color="000000" w:sz="4"/>
                    <w:left w:val="none" w:color="000000" w:sz="4"/>
                    <w:bottom w:val="single" w:color="000000" w:sz="4"/>
                    <w:right w:val="single" w:color="000000" w:sz="4"/>
                  </w:tcBorders>
                </w:tcPr>
                <w:p/>
              </w:tc>
              <w:tc>
                <w:tcPr>
                  <w:tcW w:type="dxa" w:w="974"/>
                  <w:vMerge/>
                  <w:tcBorders>
                    <w:top w:val="none" w:color="000000" w:sz="4"/>
                    <w:left w:val="none" w:color="000000" w:sz="4"/>
                    <w:bottom w:val="singl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沥青压实度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1000㎡/测1点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37"/>
                  <w:vMerge/>
                  <w:tcBorders>
                    <w:top w:val="none" w:color="000000" w:sz="4"/>
                    <w:left w:val="none" w:color="000000" w:sz="4"/>
                    <w:bottom w:val="none" w:color="000000" w:sz="4"/>
                    <w:right w:val="single" w:color="000000" w:sz="4"/>
                  </w:tcBorders>
                </w:tcPr>
                <w:p/>
              </w:tc>
              <w:tc>
                <w:tcPr>
                  <w:tcW w:type="dxa" w:w="447"/>
                  <w:vMerge/>
                  <w:tcBorders>
                    <w:top w:val="single" w:color="000000" w:sz="4"/>
                    <w:left w:val="none" w:color="000000" w:sz="4"/>
                    <w:bottom w:val="single" w:color="000000" w:sz="4"/>
                    <w:right w:val="single" w:color="000000" w:sz="4"/>
                  </w:tcBorders>
                </w:tcPr>
                <w:p/>
              </w:tc>
              <w:tc>
                <w:tcPr>
                  <w:tcW w:type="dxa" w:w="974"/>
                  <w:vMerge/>
                  <w:tcBorders>
                    <w:top w:val="none" w:color="000000" w:sz="4"/>
                    <w:left w:val="none" w:color="000000" w:sz="4"/>
                    <w:bottom w:val="singl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弯沉</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每车道、每</w:t>
                  </w:r>
                  <w:r>
                    <w:rPr>
                      <w:sz w:val="21"/>
                    </w:rPr>
                    <w:t>20m测1点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37"/>
                  <w:vMerge/>
                  <w:tcBorders>
                    <w:top w:val="none" w:color="000000" w:sz="4"/>
                    <w:left w:val="none" w:color="000000" w:sz="4"/>
                    <w:bottom w:val="none" w:color="000000" w:sz="4"/>
                    <w:right w:val="single" w:color="000000" w:sz="4"/>
                  </w:tcBorders>
                </w:tcPr>
                <w:p/>
              </w:tc>
              <w:tc>
                <w:tcPr>
                  <w:tcW w:type="dxa" w:w="447"/>
                  <w:vMerge/>
                  <w:tcBorders>
                    <w:top w:val="single" w:color="000000" w:sz="4"/>
                    <w:left w:val="none" w:color="000000" w:sz="4"/>
                    <w:bottom w:val="single" w:color="000000" w:sz="4"/>
                    <w:right w:val="single" w:color="000000" w:sz="4"/>
                  </w:tcBorders>
                </w:tcPr>
                <w:p/>
              </w:tc>
              <w:tc>
                <w:tcPr>
                  <w:tcW w:type="dxa" w:w="974"/>
                  <w:vMerge/>
                  <w:tcBorders>
                    <w:top w:val="none" w:color="000000" w:sz="4"/>
                    <w:left w:val="none" w:color="000000" w:sz="4"/>
                    <w:bottom w:val="singl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构造深度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每幅</w:t>
                  </w:r>
                  <w:r>
                    <w:rPr>
                      <w:sz w:val="21"/>
                    </w:rPr>
                    <w:t>200m检查一点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437"/>
                  <w:vMerge/>
                  <w:tcBorders>
                    <w:top w:val="none" w:color="000000" w:sz="4"/>
                    <w:left w:val="none" w:color="000000" w:sz="4"/>
                    <w:bottom w:val="none" w:color="000000" w:sz="4"/>
                    <w:right w:val="single" w:color="000000" w:sz="4"/>
                  </w:tcBorders>
                </w:tcPr>
                <w:p/>
              </w:tc>
              <w:tc>
                <w:tcPr>
                  <w:tcW w:type="dxa" w:w="447"/>
                  <w:vMerge/>
                  <w:tcBorders>
                    <w:top w:val="single" w:color="000000" w:sz="4"/>
                    <w:left w:val="none" w:color="000000" w:sz="4"/>
                    <w:bottom w:val="single" w:color="000000" w:sz="4"/>
                    <w:right w:val="single" w:color="000000" w:sz="4"/>
                  </w:tcBorders>
                </w:tcPr>
                <w:p/>
              </w:tc>
              <w:tc>
                <w:tcPr>
                  <w:tcW w:type="dxa" w:w="974"/>
                  <w:vMerge/>
                  <w:tcBorders>
                    <w:top w:val="none" w:color="000000" w:sz="4"/>
                    <w:left w:val="none" w:color="000000" w:sz="4"/>
                    <w:bottom w:val="singl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摩擦系数</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每幅</w:t>
                  </w:r>
                  <w:r>
                    <w:rPr>
                      <w:sz w:val="21"/>
                    </w:rPr>
                    <w:t>200m检查一点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437"/>
                  <w:vMerge/>
                  <w:tcBorders>
                    <w:top w:val="none" w:color="000000" w:sz="4"/>
                    <w:left w:val="none" w:color="000000" w:sz="4"/>
                    <w:bottom w:val="none" w:color="000000" w:sz="4"/>
                    <w:right w:val="single" w:color="000000" w:sz="4"/>
                  </w:tcBorders>
                </w:tcPr>
                <w:p/>
              </w:tc>
              <w:tc>
                <w:tcPr>
                  <w:tcW w:type="dxa" w:w="447"/>
                  <w:vMerge/>
                  <w:tcBorders>
                    <w:top w:val="single" w:color="000000" w:sz="4"/>
                    <w:left w:val="none" w:color="000000" w:sz="4"/>
                    <w:bottom w:val="single" w:color="000000" w:sz="4"/>
                    <w:right w:val="single" w:color="000000" w:sz="4"/>
                  </w:tcBorders>
                </w:tcPr>
                <w:p/>
              </w:tc>
              <w:tc>
                <w:tcPr>
                  <w:tcW w:type="dxa" w:w="974"/>
                  <w:vMerge/>
                  <w:tcBorders>
                    <w:top w:val="none" w:color="000000" w:sz="4"/>
                    <w:left w:val="none" w:color="000000" w:sz="4"/>
                    <w:bottom w:val="singl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平整度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每车道、每</w:t>
                  </w:r>
                  <w:r>
                    <w:rPr>
                      <w:sz w:val="21"/>
                    </w:rPr>
                    <w:t>20m测1点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437"/>
                  <w:vMerge/>
                  <w:tcBorders>
                    <w:top w:val="none" w:color="000000" w:sz="4"/>
                    <w:left w:val="none" w:color="000000" w:sz="4"/>
                    <w:bottom w:val="none" w:color="000000" w:sz="4"/>
                    <w:right w:val="single" w:color="000000" w:sz="4"/>
                  </w:tcBorders>
                </w:tcP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人行道</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15cm C20水泥砼</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抽芯厚度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1000㎡/测1点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家具大道支路一</w:t>
                  </w:r>
                </w:p>
              </w:tc>
              <w:tc>
                <w:tcPr>
                  <w:tcW w:type="dxa" w:w="4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路基</w:t>
                  </w:r>
                </w:p>
              </w:tc>
              <w:tc>
                <w:tcPr>
                  <w:tcW w:type="dxa" w:w="9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路基填筑</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路基压实度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1000㎡/测3点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vMerge/>
                  <w:tcBorders>
                    <w:top w:val="none" w:color="000000" w:sz="4"/>
                    <w:left w:val="none" w:color="000000" w:sz="4"/>
                    <w:bottom w:val="singl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弯沉</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每车道、每</w:t>
                  </w:r>
                  <w:r>
                    <w:rPr>
                      <w:sz w:val="21"/>
                    </w:rPr>
                    <w:t>20m测1点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437"/>
                  <w:vMerge/>
                  <w:tcBorders>
                    <w:top w:val="none" w:color="000000" w:sz="4"/>
                    <w:left w:val="none" w:color="000000" w:sz="4"/>
                    <w:bottom w:val="single" w:color="000000" w:sz="4"/>
                    <w:right w:val="single" w:color="000000" w:sz="4"/>
                  </w:tcBorders>
                </w:tcPr>
                <w:p/>
              </w:tc>
              <w:tc>
                <w:tcPr>
                  <w:tcW w:type="dxa" w:w="44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基层、底基层</w:t>
                  </w:r>
                </w:p>
              </w:tc>
              <w:tc>
                <w:tcPr>
                  <w:tcW w:type="dxa" w:w="97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4%水泥稳定碎石（18cm）</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压实度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1000㎡/测1点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none" w:color="000000" w:sz="4"/>
                    <w:right w:val="single" w:color="000000" w:sz="4"/>
                  </w:tcBorders>
                </w:tcPr>
                <w:p/>
              </w:tc>
              <w:tc>
                <w:tcPr>
                  <w:tcW w:type="dxa" w:w="974"/>
                  <w:vMerge/>
                  <w:tcBorders>
                    <w:top w:val="none" w:color="000000" w:sz="4"/>
                    <w:left w:val="none" w:color="000000" w:sz="4"/>
                    <w:bottom w:val="non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弯沉</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每车道、每</w:t>
                  </w:r>
                  <w:r>
                    <w:rPr>
                      <w:sz w:val="21"/>
                    </w:rPr>
                    <w:t>20m测1点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none" w:color="000000" w:sz="4"/>
                    <w:right w:val="single" w:color="000000" w:sz="4"/>
                  </w:tcBorders>
                </w:tcPr>
                <w:p/>
              </w:tc>
              <w:tc>
                <w:tcPr>
                  <w:tcW w:type="dxa" w:w="97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5%水泥稳定碎石（36cm）</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压实度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1000㎡/测1点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none" w:color="000000" w:sz="4"/>
                    <w:right w:val="single" w:color="000000" w:sz="4"/>
                  </w:tcBorders>
                </w:tcPr>
                <w:p/>
              </w:tc>
              <w:tc>
                <w:tcPr>
                  <w:tcW w:type="dxa" w:w="974"/>
                  <w:vMerge/>
                  <w:tcBorders>
                    <w:top w:val="none" w:color="000000" w:sz="4"/>
                    <w:left w:val="none" w:color="000000" w:sz="4"/>
                    <w:bottom w:val="non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弯沉</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每车道、每</w:t>
                  </w:r>
                  <w:r>
                    <w:rPr>
                      <w:sz w:val="21"/>
                    </w:rPr>
                    <w:t>20m测1点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437"/>
                  <w:vMerge/>
                  <w:tcBorders>
                    <w:top w:val="none" w:color="000000" w:sz="4"/>
                    <w:left w:val="none" w:color="000000" w:sz="4"/>
                    <w:bottom w:val="single" w:color="000000" w:sz="4"/>
                    <w:right w:val="single" w:color="000000" w:sz="4"/>
                  </w:tcBorders>
                </w:tcPr>
                <w:p/>
              </w:tc>
              <w:tc>
                <w:tcPr>
                  <w:tcW w:type="dxa" w:w="44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沥青</w:t>
                  </w:r>
                  <w:r>
                    <w:br/>
                  </w:r>
                  <w:r>
                    <w:rPr>
                      <w:sz w:val="21"/>
                    </w:rPr>
                    <w:t>路面</w:t>
                  </w:r>
                </w:p>
              </w:tc>
              <w:tc>
                <w:tcPr>
                  <w:tcW w:type="dxa" w:w="97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8cm中粒式沥青砼AC-20C</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沥青厚度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1000㎡/测1点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single" w:color="000000" w:sz="4"/>
                    <w:left w:val="none" w:color="000000" w:sz="4"/>
                    <w:bottom w:val="single" w:color="000000" w:sz="4"/>
                    <w:right w:val="single" w:color="000000" w:sz="4"/>
                  </w:tcBorders>
                </w:tcPr>
                <w:p/>
              </w:tc>
              <w:tc>
                <w:tcPr>
                  <w:tcW w:type="dxa" w:w="974"/>
                  <w:vMerge/>
                  <w:tcBorders>
                    <w:top w:val="single" w:color="000000" w:sz="4"/>
                    <w:left w:val="none" w:color="000000" w:sz="4"/>
                    <w:bottom w:val="singl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沥青压实度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1000㎡/测1点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single" w:color="000000" w:sz="4"/>
                    <w:left w:val="none" w:color="000000" w:sz="4"/>
                    <w:bottom w:val="single" w:color="000000" w:sz="4"/>
                    <w:right w:val="single" w:color="000000" w:sz="4"/>
                  </w:tcBorders>
                </w:tcPr>
                <w:p/>
              </w:tc>
              <w:tc>
                <w:tcPr>
                  <w:tcW w:type="dxa" w:w="974"/>
                  <w:vMerge/>
                  <w:tcBorders>
                    <w:top w:val="single" w:color="000000" w:sz="4"/>
                    <w:left w:val="none" w:color="000000" w:sz="4"/>
                    <w:bottom w:val="singl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弯沉</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每车道、每</w:t>
                  </w:r>
                  <w:r>
                    <w:rPr>
                      <w:sz w:val="21"/>
                    </w:rPr>
                    <w:t>20m测1点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4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家具大道支路一</w:t>
                  </w:r>
                </w:p>
              </w:tc>
              <w:tc>
                <w:tcPr>
                  <w:tcW w:type="dxa" w:w="4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沥青</w:t>
                  </w:r>
                  <w:r>
                    <w:br/>
                  </w:r>
                  <w:r>
                    <w:rPr>
                      <w:sz w:val="21"/>
                    </w:rPr>
                    <w:t>路面</w:t>
                  </w:r>
                </w:p>
              </w:tc>
              <w:tc>
                <w:tcPr>
                  <w:tcW w:type="dxa" w:w="9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4cmAC-13CSBS改性细粒式沥青砼</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沥青厚度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1000㎡/测1点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vMerge/>
                  <w:tcBorders>
                    <w:top w:val="none" w:color="000000" w:sz="4"/>
                    <w:left w:val="none" w:color="000000" w:sz="4"/>
                    <w:bottom w:val="singl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沥青压实度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1000㎡/测1点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vMerge/>
                  <w:tcBorders>
                    <w:top w:val="none" w:color="000000" w:sz="4"/>
                    <w:left w:val="none" w:color="000000" w:sz="4"/>
                    <w:bottom w:val="singl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弯沉</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每车道、每</w:t>
                  </w:r>
                  <w:r>
                    <w:rPr>
                      <w:sz w:val="21"/>
                    </w:rPr>
                    <w:t>20m测1点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vMerge/>
                  <w:tcBorders>
                    <w:top w:val="none" w:color="000000" w:sz="4"/>
                    <w:left w:val="none" w:color="000000" w:sz="4"/>
                    <w:bottom w:val="singl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构造深度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每幅</w:t>
                  </w:r>
                  <w:r>
                    <w:rPr>
                      <w:sz w:val="21"/>
                    </w:rPr>
                    <w:t>200m检查一点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vMerge/>
                  <w:tcBorders>
                    <w:top w:val="none" w:color="000000" w:sz="4"/>
                    <w:left w:val="none" w:color="000000" w:sz="4"/>
                    <w:bottom w:val="singl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摩擦系数</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每幅</w:t>
                  </w:r>
                  <w:r>
                    <w:rPr>
                      <w:sz w:val="21"/>
                    </w:rPr>
                    <w:t>200m检查一点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vMerge/>
                  <w:tcBorders>
                    <w:top w:val="none" w:color="000000" w:sz="4"/>
                    <w:left w:val="none" w:color="000000" w:sz="4"/>
                    <w:bottom w:val="singl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平整度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每车道、每</w:t>
                  </w:r>
                  <w:r>
                    <w:rPr>
                      <w:sz w:val="21"/>
                    </w:rPr>
                    <w:t>20m测1点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437"/>
                  <w:vMerge/>
                  <w:tcBorders>
                    <w:top w:val="none" w:color="000000" w:sz="4"/>
                    <w:left w:val="none" w:color="000000" w:sz="4"/>
                    <w:bottom w:val="single" w:color="000000" w:sz="4"/>
                    <w:right w:val="single" w:color="000000" w:sz="4"/>
                  </w:tcBorders>
                </w:tcP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人行道</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15cm C20水泥砼</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抽芯厚度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1000㎡/测1点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43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东业路给水</w:t>
                  </w:r>
                  <w:r>
                    <w:br/>
                  </w:r>
                  <w:r>
                    <w:rPr>
                      <w:sz w:val="21"/>
                    </w:rPr>
                    <w:t>工程</w:t>
                  </w:r>
                </w:p>
              </w:tc>
              <w:tc>
                <w:tcPr>
                  <w:tcW w:type="dxa" w:w="44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给水管</w:t>
                  </w: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给水管基础</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轻型触探</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基槽每</w:t>
                  </w:r>
                  <w:r>
                    <w:rPr>
                      <w:sz w:val="21"/>
                    </w:rPr>
                    <w:t>20延米不得少于1孔</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给水管回填</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压实度</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管中两井之间，每层每侧</w:t>
                  </w:r>
                  <w:r>
                    <w:rPr>
                      <w:sz w:val="21"/>
                    </w:rPr>
                    <w:t>1点，管底每段1点管顶每层3点</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140</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给水管功能性</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水压检测</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全数检测</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368</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43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家具大道支路一给水</w:t>
                  </w:r>
                  <w:r>
                    <w:br/>
                  </w:r>
                  <w:r>
                    <w:rPr>
                      <w:sz w:val="21"/>
                    </w:rPr>
                    <w:t>工程</w:t>
                  </w:r>
                </w:p>
              </w:tc>
              <w:tc>
                <w:tcPr>
                  <w:tcW w:type="dxa" w:w="44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给水管</w:t>
                  </w: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给水管基础</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轻型触探</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基槽每</w:t>
                  </w:r>
                  <w:r>
                    <w:rPr>
                      <w:sz w:val="21"/>
                    </w:rPr>
                    <w:t>20延米不得少于1孔</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给水管回填</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压实度</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管中两井之间，每层每侧</w:t>
                  </w:r>
                  <w:r>
                    <w:rPr>
                      <w:sz w:val="21"/>
                    </w:rPr>
                    <w:t>1点，管底每段1点管顶每层3点</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给水管功能性</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水压检测</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全数检测</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101</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43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东业路排水</w:t>
                  </w:r>
                  <w:r>
                    <w:br/>
                  </w:r>
                  <w:r>
                    <w:rPr>
                      <w:sz w:val="21"/>
                    </w:rPr>
                    <w:t>工程</w:t>
                  </w:r>
                </w:p>
              </w:tc>
              <w:tc>
                <w:tcPr>
                  <w:tcW w:type="dxa" w:w="44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雨水管</w:t>
                  </w: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雨水管基础</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轻型触探</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基槽每</w:t>
                  </w:r>
                  <w:r>
                    <w:rPr>
                      <w:sz w:val="21"/>
                    </w:rPr>
                    <w:t>20延米不得少于1孔</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雨水管回填</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压实度</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管中两井之间，每层每侧</w:t>
                  </w:r>
                  <w:r>
                    <w:rPr>
                      <w:sz w:val="21"/>
                    </w:rPr>
                    <w:t>1点，管底每段1点管顶每层3点</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63</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雨水井功能性</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CCTV检测</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管道内径</w:t>
                  </w:r>
                  <w:r>
                    <w:rPr>
                      <w:sz w:val="21"/>
                    </w:rPr>
                    <w:t>≤700全线试验，管道内径﹥700按管道井段抽取1/3</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312</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42</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雨水管功能性</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闭水试验</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管道内径</w:t>
                  </w:r>
                  <w:r>
                    <w:rPr>
                      <w:sz w:val="21"/>
                    </w:rPr>
                    <w:t>≤700全线试验，管道内径﹥700按管道井段抽取1/3</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312</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437"/>
                  <w:vMerge/>
                  <w:tcBorders>
                    <w:top w:val="none" w:color="000000" w:sz="4"/>
                    <w:left w:val="none" w:color="000000" w:sz="4"/>
                    <w:bottom w:val="single" w:color="000000" w:sz="4"/>
                    <w:right w:val="single" w:color="000000" w:sz="4"/>
                  </w:tcBorders>
                </w:tcPr>
                <w:p/>
              </w:tc>
              <w:tc>
                <w:tcPr>
                  <w:tcW w:type="dxa" w:w="44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污水管</w:t>
                  </w: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污水管基础</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轻型触探</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基槽每</w:t>
                  </w:r>
                  <w:r>
                    <w:rPr>
                      <w:sz w:val="21"/>
                    </w:rPr>
                    <w:t>20延米不得少于1孔</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污水管回填</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压实度</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管中两井之间，每层每侧</w:t>
                  </w:r>
                  <w:r>
                    <w:rPr>
                      <w:sz w:val="21"/>
                    </w:rPr>
                    <w:t>1点，管底每段1点管顶每层3点</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49</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污水管功能性</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CCTV检测</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全数检测</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363</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42</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污水管功能性</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闭水试验</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全数检测</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363</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43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家具大道支路一排水</w:t>
                  </w:r>
                  <w:r>
                    <w:br/>
                  </w:r>
                  <w:r>
                    <w:rPr>
                      <w:sz w:val="21"/>
                    </w:rPr>
                    <w:t>工程</w:t>
                  </w:r>
                </w:p>
              </w:tc>
              <w:tc>
                <w:tcPr>
                  <w:tcW w:type="dxa" w:w="44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雨水管</w:t>
                  </w: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雨水管基础</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轻型触探</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基槽每</w:t>
                  </w:r>
                  <w:r>
                    <w:rPr>
                      <w:sz w:val="21"/>
                    </w:rPr>
                    <w:t>20延米不得少于1孔</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雨水管回填</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压实度</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管中两井之间，每层每侧</w:t>
                  </w:r>
                  <w:r>
                    <w:rPr>
                      <w:sz w:val="21"/>
                    </w:rPr>
                    <w:t>1点，管底每段1点管顶每层3点</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雨水井功能性</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CCTV检测</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管道内径</w:t>
                  </w:r>
                  <w:r>
                    <w:rPr>
                      <w:sz w:val="21"/>
                    </w:rPr>
                    <w:t>≤700全线试验，管道内径﹥700按管道井段抽取1/3</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153</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42</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雨水管功能性</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闭水试验</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管道内径</w:t>
                  </w:r>
                  <w:r>
                    <w:rPr>
                      <w:sz w:val="21"/>
                    </w:rPr>
                    <w:t>≤700全线试验，管道内径﹥700按管道井段抽取1/3</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153</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437"/>
                  <w:vMerge/>
                  <w:tcBorders>
                    <w:top w:val="none" w:color="000000" w:sz="4"/>
                    <w:left w:val="none" w:color="000000" w:sz="4"/>
                    <w:bottom w:val="single" w:color="000000" w:sz="4"/>
                    <w:right w:val="single" w:color="000000" w:sz="4"/>
                  </w:tcBorders>
                </w:tcPr>
                <w:p/>
              </w:tc>
              <w:tc>
                <w:tcPr>
                  <w:tcW w:type="dxa" w:w="44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污水管</w:t>
                  </w: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污水管基础</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轻型触探</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基槽每</w:t>
                  </w:r>
                  <w:r>
                    <w:rPr>
                      <w:sz w:val="21"/>
                    </w:rPr>
                    <w:t>20延米不得少于1孔</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污水管回填</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压实度</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管中两井之间，每层每侧</w:t>
                  </w:r>
                  <w:r>
                    <w:rPr>
                      <w:sz w:val="21"/>
                    </w:rPr>
                    <w:t>1点，管底每段1点管顶每层3点</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污水管功能性</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CCTV检测</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全数检测</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97</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42</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污水管功能性</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闭水试验</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全数检测</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97</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4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箱涵</w:t>
                  </w:r>
                  <w:r>
                    <w:br/>
                  </w:r>
                  <w:r>
                    <w:rPr>
                      <w:sz w:val="21"/>
                    </w:rPr>
                    <w:t>工程</w:t>
                  </w:r>
                </w:p>
              </w:tc>
              <w:tc>
                <w:tcPr>
                  <w:tcW w:type="dxa" w:w="4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雨水箱涵</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地基基础</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轻型触探</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w:t>
                  </w:r>
                  <w:r>
                    <w:rPr>
                      <w:sz w:val="21"/>
                    </w:rPr>
                    <w:t>200㎡不得少于1孔，且不得少于10孔</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台背回填</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压实度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50/段每压实层抽查3点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4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电气工程</w:t>
                  </w:r>
                </w:p>
              </w:tc>
              <w:tc>
                <w:tcPr>
                  <w:tcW w:type="dxa" w:w="4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路灯</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光照度</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按构件数抽检</w:t>
                  </w:r>
                  <w:r>
                    <w:rPr>
                      <w:sz w:val="21"/>
                    </w:rPr>
                    <w:t>10%</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照度均匀度</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按构件数抽检</w:t>
                  </w:r>
                  <w:r>
                    <w:rPr>
                      <w:sz w:val="21"/>
                    </w:rPr>
                    <w:t>10%</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437"/>
                  <w:vMerge/>
                  <w:tcBorders>
                    <w:top w:val="non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功率密度</w:t>
                  </w:r>
                </w:p>
              </w:tc>
              <w:tc>
                <w:tcPr>
                  <w:tcW w:type="dxa" w:w="1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按构件数抽检</w:t>
                  </w:r>
                  <w:r>
                    <w:rPr>
                      <w:sz w:val="21"/>
                    </w:rPr>
                    <w:t>10%</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43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家具大道支路一交通工程</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标志牌基础</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轻型触探</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每个基槽</w:t>
                  </w:r>
                  <w:r>
                    <w:rPr>
                      <w:sz w:val="21"/>
                    </w:rPr>
                    <w:t>1组（1点）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437"/>
                  <w:vMerge/>
                  <w:tcBorders>
                    <w:top w:val="none" w:color="000000" w:sz="4"/>
                    <w:left w:val="none" w:color="000000" w:sz="4"/>
                    <w:bottom w:val="none" w:color="000000" w:sz="4"/>
                    <w:right w:val="single" w:color="000000" w:sz="4"/>
                  </w:tcBorders>
                </w:tcP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标志面板</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逆反射</w:t>
                  </w:r>
                  <w:r>
                    <w:br/>
                  </w:r>
                  <w:r>
                    <w:rPr>
                      <w:sz w:val="21"/>
                    </w:rPr>
                    <w:t>系数</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每处测不少于</w:t>
                  </w:r>
                  <w:r>
                    <w:rPr>
                      <w:sz w:val="21"/>
                    </w:rPr>
                    <w:t>5点。每合同段不少于4处。</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处</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437"/>
                  <w:vMerge/>
                  <w:tcBorders>
                    <w:top w:val="none" w:color="000000" w:sz="4"/>
                    <w:left w:val="none" w:color="000000" w:sz="4"/>
                    <w:bottom w:val="none" w:color="000000" w:sz="4"/>
                    <w:right w:val="single" w:color="000000" w:sz="4"/>
                  </w:tcBorders>
                </w:tcPr>
                <w:p/>
              </w:tc>
              <w:tc>
                <w:tcPr>
                  <w:tcW w:type="dxa" w:w="4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交通安全设施</w:t>
                  </w:r>
                </w:p>
              </w:tc>
              <w:tc>
                <w:tcPr>
                  <w:tcW w:type="dxa" w:w="9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人行横道线、停止线、减速线、掉头线、车道分界线、双黄线</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标线厚度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每处测</w:t>
                  </w:r>
                  <w:r>
                    <w:rPr>
                      <w:sz w:val="21"/>
                    </w:rPr>
                    <w:t>5条标线，每条标线横向两侧各测1个点取平均值。每合同段不少于4处。</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处</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437"/>
                  <w:vMerge/>
                  <w:tcBorders>
                    <w:top w:val="none" w:color="000000" w:sz="4"/>
                    <w:left w:val="none" w:color="000000" w:sz="4"/>
                    <w:bottom w:val="non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vMerge/>
                  <w:tcBorders>
                    <w:top w:val="none" w:color="000000" w:sz="4"/>
                    <w:left w:val="none" w:color="000000" w:sz="4"/>
                    <w:bottom w:val="singl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标线逆反射系数</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每处测</w:t>
                  </w:r>
                  <w:r>
                    <w:rPr>
                      <w:sz w:val="21"/>
                    </w:rPr>
                    <w:t>5条标线，每条标线测1点。每合同段不少于4处。</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处</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43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东业路交通工程</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标志牌基础</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轻型触探</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每个基槽</w:t>
                  </w:r>
                  <w:r>
                    <w:rPr>
                      <w:sz w:val="21"/>
                    </w:rPr>
                    <w:t>1组（1点）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437"/>
                  <w:vMerge/>
                  <w:tcBorders>
                    <w:top w:val="single" w:color="000000" w:sz="4"/>
                    <w:left w:val="none" w:color="000000" w:sz="4"/>
                    <w:bottom w:val="single" w:color="000000" w:sz="4"/>
                    <w:right w:val="single" w:color="000000" w:sz="4"/>
                  </w:tcBorders>
                </w:tcP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标志面板</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逆反射</w:t>
                  </w:r>
                  <w:r>
                    <w:br/>
                  </w:r>
                  <w:r>
                    <w:rPr>
                      <w:sz w:val="21"/>
                    </w:rPr>
                    <w:t>系数</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每处测不少于</w:t>
                  </w:r>
                  <w:r>
                    <w:rPr>
                      <w:sz w:val="21"/>
                    </w:rPr>
                    <w:t>5点。每合同段不少于4处。</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处</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437"/>
                  <w:vMerge/>
                  <w:tcBorders>
                    <w:top w:val="single" w:color="000000" w:sz="4"/>
                    <w:left w:val="none" w:color="000000" w:sz="4"/>
                    <w:bottom w:val="single" w:color="000000" w:sz="4"/>
                    <w:right w:val="single" w:color="000000" w:sz="4"/>
                  </w:tcBorders>
                </w:tcPr>
                <w:p/>
              </w:tc>
              <w:tc>
                <w:tcPr>
                  <w:tcW w:type="dxa" w:w="4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交通安全设施</w:t>
                  </w:r>
                </w:p>
              </w:tc>
              <w:tc>
                <w:tcPr>
                  <w:tcW w:type="dxa" w:w="9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人行横道线、停止线、减速线、掉头线、车道分界线、双黄线</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标线厚度</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每处测</w:t>
                  </w:r>
                  <w:r>
                    <w:rPr>
                      <w:sz w:val="21"/>
                    </w:rPr>
                    <w:t>5条标线，每条标线横向两侧各测1个点取平均值。每合同段不少于4处。</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处</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437"/>
                  <w:vMerge/>
                  <w:tcBorders>
                    <w:top w:val="singl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974"/>
                  <w:vMerge/>
                  <w:tcBorders>
                    <w:top w:val="none" w:color="000000" w:sz="4"/>
                    <w:left w:val="none" w:color="000000" w:sz="4"/>
                    <w:bottom w:val="singl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标线逆反射系数</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每处测</w:t>
                  </w:r>
                  <w:r>
                    <w:rPr>
                      <w:sz w:val="21"/>
                    </w:rPr>
                    <w:t>5条标线，每条标线测1点。每合同段不少于4处。</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处</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原材料</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常规</w:t>
                  </w:r>
                  <w:r>
                    <w:br/>
                  </w:r>
                  <w:r>
                    <w:rPr>
                      <w:sz w:val="21"/>
                    </w:rPr>
                    <w:t>检测</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填筑回填</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击实</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每种类型</w:t>
                  </w:r>
                  <w:r>
                    <w:rPr>
                      <w:sz w:val="21"/>
                    </w:rPr>
                    <w:t>/1组、每填筑1000m³/组</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bl>
          <w:tbl>
            <w:tblPr>
              <w:tblBorders>
                <w:top w:val="none" w:color="000000" w:sz="4"/>
                <w:left w:val="none" w:color="000000" w:sz="4"/>
                <w:bottom w:val="none" w:color="000000" w:sz="4"/>
                <w:right w:val="none" w:color="000000" w:sz="4"/>
                <w:insideH w:val="none"/>
                <w:insideV w:val="none"/>
              </w:tblBorders>
            </w:tblPr>
            <w:tblGrid>
              <w:gridCol w:w="292"/>
              <w:gridCol w:w="387"/>
              <w:gridCol w:w="439"/>
              <w:gridCol w:w="648"/>
              <w:gridCol w:w="2301"/>
              <w:gridCol w:w="491"/>
              <w:gridCol w:w="397"/>
              <w:gridCol w:w="585"/>
            </w:tblGrid>
            <w:tr>
              <w:tc>
                <w:tcPr>
                  <w:tcW w:type="dxa" w:w="5540"/>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rPr>
                    <w:t>地基、基坑检测（低应变</w:t>
                  </w:r>
                  <w:r>
                    <w:rPr>
                      <w:sz w:val="21"/>
                      <w:b/>
                    </w:rPr>
                    <w:t>+声波等）</w:t>
                  </w:r>
                </w:p>
              </w:tc>
            </w:tr>
            <w:tr>
              <w:tc>
                <w:tcPr>
                  <w:tcW w:type="dxa" w:w="29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8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分部</w:t>
                  </w:r>
                  <w:r>
                    <w:br/>
                  </w:r>
                  <w:r>
                    <w:rPr>
                      <w:sz w:val="21"/>
                    </w:rPr>
                    <w:t>工程</w:t>
                  </w:r>
                </w:p>
              </w:tc>
              <w:tc>
                <w:tcPr>
                  <w:tcW w:type="dxa" w:w="43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分项工程</w:t>
                  </w:r>
                </w:p>
              </w:tc>
              <w:tc>
                <w:tcPr>
                  <w:tcW w:type="dxa" w:w="64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常规检测</w:t>
                  </w:r>
                  <w:r>
                    <w:br/>
                  </w:r>
                  <w:r>
                    <w:rPr>
                      <w:sz w:val="21"/>
                    </w:rPr>
                    <w:t>项目</w:t>
                  </w:r>
                </w:p>
              </w:tc>
              <w:tc>
                <w:tcPr>
                  <w:tcW w:type="dxa" w:w="230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试验检测、取样频率</w:t>
                  </w:r>
                </w:p>
              </w:tc>
              <w:tc>
                <w:tcPr>
                  <w:tcW w:type="dxa" w:w="49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检测</w:t>
                  </w:r>
                  <w:r>
                    <w:br/>
                  </w:r>
                  <w:r>
                    <w:rPr>
                      <w:sz w:val="21"/>
                    </w:rPr>
                    <w:t>数量</w:t>
                  </w:r>
                </w:p>
              </w:tc>
              <w:tc>
                <w:tcPr>
                  <w:tcW w:type="dxa" w:w="3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58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br/>
                  </w:r>
                  <w:r>
                    <w:rPr>
                      <w:sz w:val="21"/>
                    </w:rPr>
                    <w:t>（元）</w:t>
                  </w:r>
                </w:p>
              </w:tc>
            </w:tr>
            <w:tr>
              <w:tc>
                <w:tcPr>
                  <w:tcW w:type="dxa" w:w="292"/>
                  <w:vMerge/>
                  <w:tcBorders>
                    <w:top w:val="single" w:color="000000" w:sz="4"/>
                    <w:left w:val="single" w:color="000000" w:sz="4"/>
                    <w:bottom w:val="single" w:color="000000" w:sz="4"/>
                    <w:right w:val="single" w:color="000000" w:sz="4"/>
                  </w:tcBorders>
                </w:tcPr>
                <w:p/>
              </w:tc>
              <w:tc>
                <w:tcPr>
                  <w:tcW w:type="dxa" w:w="387"/>
                  <w:vMerge/>
                  <w:tcBorders>
                    <w:top w:val="single" w:color="000000" w:sz="4"/>
                    <w:left w:val="none" w:color="000000" w:sz="4"/>
                    <w:bottom w:val="single" w:color="000000" w:sz="4"/>
                    <w:right w:val="single" w:color="000000" w:sz="4"/>
                  </w:tcBorders>
                </w:tcPr>
                <w:p/>
              </w:tc>
              <w:tc>
                <w:tcPr>
                  <w:tcW w:type="dxa" w:w="439"/>
                  <w:vMerge/>
                  <w:tcBorders>
                    <w:top w:val="single" w:color="000000" w:sz="4"/>
                    <w:left w:val="none" w:color="000000" w:sz="4"/>
                    <w:bottom w:val="single" w:color="000000" w:sz="4"/>
                    <w:right w:val="single" w:color="000000" w:sz="4"/>
                  </w:tcBorders>
                </w:tcPr>
                <w:p/>
              </w:tc>
              <w:tc>
                <w:tcPr>
                  <w:tcW w:type="dxa" w:w="648"/>
                  <w:vMerge/>
                  <w:tcBorders>
                    <w:top w:val="single" w:color="000000" w:sz="4"/>
                    <w:left w:val="none" w:color="000000" w:sz="4"/>
                    <w:bottom w:val="single" w:color="000000" w:sz="4"/>
                    <w:right w:val="single" w:color="000000" w:sz="4"/>
                  </w:tcBorders>
                </w:tcPr>
                <w:p/>
              </w:tc>
              <w:tc>
                <w:tcPr>
                  <w:tcW w:type="dxa" w:w="2301"/>
                  <w:vMerge/>
                  <w:tcBorders>
                    <w:top w:val="single" w:color="000000" w:sz="4"/>
                    <w:left w:val="none" w:color="000000" w:sz="4"/>
                    <w:bottom w:val="single" w:color="000000" w:sz="4"/>
                    <w:right w:val="single" w:color="000000" w:sz="4"/>
                  </w:tcBorders>
                </w:tcPr>
                <w:p/>
              </w:tc>
              <w:tc>
                <w:tcPr>
                  <w:tcW w:type="dxa" w:w="491"/>
                  <w:vMerge/>
                  <w:tcBorders>
                    <w:top w:val="single" w:color="000000" w:sz="4"/>
                    <w:left w:val="none" w:color="000000" w:sz="4"/>
                    <w:bottom w:val="single" w:color="000000" w:sz="4"/>
                    <w:right w:val="single" w:color="000000" w:sz="4"/>
                  </w:tcBorders>
                </w:tcPr>
                <w:p/>
              </w:tc>
              <w:tc>
                <w:tcPr>
                  <w:tcW w:type="dxa" w:w="397"/>
                  <w:vMerge/>
                  <w:tcBorders>
                    <w:top w:val="single" w:color="000000" w:sz="4"/>
                    <w:left w:val="none" w:color="000000" w:sz="4"/>
                    <w:bottom w:val="single" w:color="000000" w:sz="4"/>
                    <w:right w:val="single" w:color="000000" w:sz="4"/>
                  </w:tcBorders>
                </w:tcPr>
                <w:p/>
              </w:tc>
              <w:tc>
                <w:tcPr>
                  <w:tcW w:type="dxa" w:w="585"/>
                  <w:vMerge/>
                  <w:tcBorders>
                    <w:top w:val="single" w:color="000000" w:sz="4"/>
                    <w:left w:val="none" w:color="000000" w:sz="4"/>
                    <w:bottom w:val="single" w:color="000000" w:sz="4"/>
                    <w:right w:val="single" w:color="000000" w:sz="4"/>
                  </w:tcBorders>
                </w:tc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基础</w:t>
                  </w:r>
                </w:p>
              </w:tc>
              <w:tc>
                <w:tcPr>
                  <w:tcW w:type="dxa" w:w="4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灌注桩</w:t>
                  </w:r>
                </w:p>
              </w:tc>
              <w:tc>
                <w:tcPr>
                  <w:tcW w:type="dxa" w:w="6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低应变</w:t>
                  </w:r>
                </w:p>
              </w:tc>
              <w:tc>
                <w:tcPr>
                  <w:tcW w:type="dxa" w:w="23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每个柱下承台抽检桩数不得少于</w:t>
                  </w:r>
                  <w:r>
                    <w:rPr>
                      <w:sz w:val="21"/>
                    </w:rPr>
                    <w:t>1根；</w:t>
                  </w:r>
                  <w:r>
                    <w:br/>
                  </w:r>
                  <w:r>
                    <w:rPr>
                      <w:sz w:val="21"/>
                    </w:rPr>
                    <w:t>地基基础设计等级为甲级（或说明中所列条件）的桩基工程：抽检桩数不应少于相应总桩数的</w:t>
                  </w:r>
                  <w:r>
                    <w:rPr>
                      <w:sz w:val="21"/>
                    </w:rPr>
                    <w:t>30％，且抽检总桩数不得少于20根。说明中所列条件外，抽检桩数不应少于相应总桩数的20％，且抽检总桩数不得少于10根。</w:t>
                  </w:r>
                </w:p>
              </w:tc>
              <w:tc>
                <w:tcPr>
                  <w:tcW w:type="dxa" w:w="4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3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5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87"/>
                  <w:vMerge/>
                  <w:tcBorders>
                    <w:top w:val="none" w:color="000000" w:sz="4"/>
                    <w:left w:val="none" w:color="000000" w:sz="4"/>
                    <w:bottom w:val="single" w:color="000000" w:sz="4"/>
                    <w:right w:val="single" w:color="000000" w:sz="4"/>
                  </w:tcBorders>
                </w:tcPr>
                <w:p/>
              </w:tc>
              <w:tc>
                <w:tcPr>
                  <w:tcW w:type="dxa" w:w="439"/>
                  <w:vMerge/>
                  <w:tcBorders>
                    <w:top w:val="none" w:color="000000" w:sz="4"/>
                    <w:left w:val="none" w:color="000000" w:sz="4"/>
                    <w:bottom w:val="single" w:color="000000" w:sz="4"/>
                    <w:right w:val="single" w:color="000000" w:sz="4"/>
                  </w:tcBorders>
                </w:tcPr>
                <w:p/>
              </w:tc>
              <w:tc>
                <w:tcPr>
                  <w:tcW w:type="dxa" w:w="648"/>
                  <w:vMerge/>
                  <w:tcBorders>
                    <w:top w:val="none" w:color="000000" w:sz="4"/>
                    <w:left w:val="none" w:color="000000" w:sz="4"/>
                    <w:bottom w:val="single" w:color="000000" w:sz="4"/>
                    <w:right w:val="single" w:color="000000" w:sz="4"/>
                  </w:tcBorders>
                </w:tcPr>
                <w:p/>
              </w:tc>
              <w:tc>
                <w:tcPr>
                  <w:tcW w:type="dxa" w:w="2301"/>
                  <w:vMerge/>
                  <w:tcBorders>
                    <w:top w:val="none" w:color="000000" w:sz="4"/>
                    <w:left w:val="none" w:color="000000" w:sz="4"/>
                    <w:bottom w:val="single" w:color="000000" w:sz="4"/>
                    <w:right w:val="single" w:color="000000" w:sz="4"/>
                  </w:tcBorders>
                </w:tcPr>
                <w:p/>
              </w:tc>
              <w:tc>
                <w:tcPr>
                  <w:tcW w:type="dxa" w:w="491"/>
                  <w:vMerge/>
                  <w:tcBorders>
                    <w:top w:val="none" w:color="000000" w:sz="4"/>
                    <w:left w:val="none" w:color="000000" w:sz="4"/>
                    <w:bottom w:val="single" w:color="000000" w:sz="4"/>
                    <w:right w:val="single" w:color="000000" w:sz="4"/>
                  </w:tcBorders>
                </w:tcPr>
                <w:p/>
              </w:tc>
              <w:tc>
                <w:tcPr>
                  <w:tcW w:type="dxa" w:w="397"/>
                  <w:vMerge/>
                  <w:tcBorders>
                    <w:top w:val="none" w:color="000000" w:sz="4"/>
                    <w:left w:val="none" w:color="000000" w:sz="4"/>
                    <w:bottom w:val="single" w:color="000000" w:sz="4"/>
                    <w:right w:val="single" w:color="000000" w:sz="4"/>
                  </w:tcBorders>
                </w:tcPr>
                <w:p/>
              </w:tc>
              <w:tc>
                <w:tcPr>
                  <w:tcW w:type="dxa" w:w="585"/>
                  <w:vMerge/>
                  <w:tcBorders>
                    <w:top w:val="none" w:color="000000" w:sz="4"/>
                    <w:left w:val="none" w:color="000000" w:sz="4"/>
                    <w:bottom w:val="single" w:color="000000" w:sz="4"/>
                    <w:right w:val="single" w:color="000000" w:sz="4"/>
                  </w:tcBorders>
                </w:tc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87"/>
                  <w:vMerge/>
                  <w:tcBorders>
                    <w:top w:val="none" w:color="000000" w:sz="4"/>
                    <w:left w:val="none" w:color="000000" w:sz="4"/>
                    <w:bottom w:val="single" w:color="000000" w:sz="4"/>
                    <w:right w:val="single" w:color="000000" w:sz="4"/>
                  </w:tcBorders>
                </w:tcPr>
                <w:p/>
              </w:tc>
              <w:tc>
                <w:tcPr>
                  <w:tcW w:type="dxa" w:w="439"/>
                  <w:vMerge/>
                  <w:tcBorders>
                    <w:top w:val="none" w:color="000000" w:sz="4"/>
                    <w:left w:val="none" w:color="000000" w:sz="4"/>
                    <w:bottom w:val="single" w:color="000000" w:sz="4"/>
                    <w:right w:val="single" w:color="000000" w:sz="4"/>
                  </w:tcBorders>
                </w:tcPr>
                <w:p/>
              </w:tc>
              <w:tc>
                <w:tcPr>
                  <w:tcW w:type="dxa" w:w="648"/>
                  <w:vMerge/>
                  <w:tcBorders>
                    <w:top w:val="none" w:color="000000" w:sz="4"/>
                    <w:left w:val="none" w:color="000000" w:sz="4"/>
                    <w:bottom w:val="single" w:color="000000" w:sz="4"/>
                    <w:right w:val="single" w:color="000000" w:sz="4"/>
                  </w:tcBorders>
                </w:tcPr>
                <w:p/>
              </w:tc>
              <w:tc>
                <w:tcPr>
                  <w:tcW w:type="dxa" w:w="2301"/>
                  <w:vMerge/>
                  <w:tcBorders>
                    <w:top w:val="none" w:color="000000" w:sz="4"/>
                    <w:left w:val="none" w:color="000000" w:sz="4"/>
                    <w:bottom w:val="single" w:color="000000" w:sz="4"/>
                    <w:right w:val="single" w:color="000000" w:sz="4"/>
                  </w:tcBorders>
                </w:tcPr>
                <w:p/>
              </w:tc>
              <w:tc>
                <w:tcPr>
                  <w:tcW w:type="dxa" w:w="491"/>
                  <w:vMerge/>
                  <w:tcBorders>
                    <w:top w:val="none" w:color="000000" w:sz="4"/>
                    <w:left w:val="none" w:color="000000" w:sz="4"/>
                    <w:bottom w:val="single" w:color="000000" w:sz="4"/>
                    <w:right w:val="single" w:color="000000" w:sz="4"/>
                  </w:tcBorders>
                </w:tcPr>
                <w:p/>
              </w:tc>
              <w:tc>
                <w:tcPr>
                  <w:tcW w:type="dxa" w:w="397"/>
                  <w:vMerge/>
                  <w:tcBorders>
                    <w:top w:val="none" w:color="000000" w:sz="4"/>
                    <w:left w:val="none" w:color="000000" w:sz="4"/>
                    <w:bottom w:val="single" w:color="000000" w:sz="4"/>
                    <w:right w:val="single" w:color="000000" w:sz="4"/>
                  </w:tcBorders>
                </w:tcPr>
                <w:p/>
              </w:tc>
              <w:tc>
                <w:tcPr>
                  <w:tcW w:type="dxa" w:w="585"/>
                  <w:vMerge/>
                  <w:tcBorders>
                    <w:top w:val="none" w:color="000000" w:sz="4"/>
                    <w:left w:val="none" w:color="000000" w:sz="4"/>
                    <w:bottom w:val="single" w:color="000000" w:sz="4"/>
                    <w:right w:val="single" w:color="000000" w:sz="4"/>
                  </w:tcBorders>
                </w:tc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87"/>
                  <w:vMerge/>
                  <w:tcBorders>
                    <w:top w:val="none" w:color="000000" w:sz="4"/>
                    <w:left w:val="none" w:color="000000" w:sz="4"/>
                    <w:bottom w:val="single" w:color="000000" w:sz="4"/>
                    <w:right w:val="single" w:color="000000" w:sz="4"/>
                  </w:tcBorders>
                </w:tcP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灌注桩</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声波</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抽检数量不少于总桩数的</w:t>
                  </w:r>
                  <w:r>
                    <w:rPr>
                      <w:sz w:val="21"/>
                    </w:rPr>
                    <w:t>5％</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87"/>
                  <w:vMerge/>
                  <w:tcBorders>
                    <w:top w:val="none" w:color="000000" w:sz="4"/>
                    <w:left w:val="none" w:color="000000" w:sz="4"/>
                    <w:bottom w:val="single" w:color="000000" w:sz="4"/>
                    <w:right w:val="single" w:color="000000" w:sz="4"/>
                  </w:tcBorders>
                </w:tcP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底板</w:t>
                  </w:r>
                  <w:r>
                    <w:rPr>
                      <w:sz w:val="21"/>
                    </w:rPr>
                    <w:t>/独基</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平板荷载</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500 m2不应少于1个点，且不得少于3点；对于复杂场地或重要建筑地基应增加抽检数量。</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7800</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基坑</w:t>
                  </w:r>
                </w:p>
              </w:tc>
              <w:tc>
                <w:tcPr>
                  <w:tcW w:type="dxa" w:w="4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基坑</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锚索锁定力</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锚索抗拔验收试验数量为锚索总数的</w:t>
                  </w:r>
                  <w:r>
                    <w:rPr>
                      <w:sz w:val="21"/>
                    </w:rPr>
                    <w:t>5%，且不得少于6根。</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87"/>
                  <w:vMerge/>
                  <w:tcBorders>
                    <w:top w:val="none" w:color="000000" w:sz="4"/>
                    <w:left w:val="none" w:color="000000" w:sz="4"/>
                    <w:bottom w:val="single" w:color="000000" w:sz="4"/>
                    <w:right w:val="single" w:color="000000" w:sz="4"/>
                  </w:tcBorders>
                </w:tcPr>
                <w:p/>
              </w:tc>
              <w:tc>
                <w:tcPr>
                  <w:tcW w:type="dxa" w:w="439"/>
                  <w:vMerge/>
                  <w:tcBorders>
                    <w:top w:val="none" w:color="000000" w:sz="4"/>
                    <w:left w:val="non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锚索抗拔力</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锚索抗拔验收试验数量为锚索总数的</w:t>
                  </w:r>
                  <w:r>
                    <w:rPr>
                      <w:sz w:val="21"/>
                    </w:rPr>
                    <w:t>5%，且不得少于6根。</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87"/>
                  <w:vMerge/>
                  <w:tcBorders>
                    <w:top w:val="none" w:color="000000" w:sz="4"/>
                    <w:left w:val="none" w:color="000000" w:sz="4"/>
                    <w:bottom w:val="single" w:color="000000" w:sz="4"/>
                    <w:right w:val="single" w:color="000000" w:sz="4"/>
                  </w:tcBorders>
                </w:tcPr>
                <w:p/>
              </w:tc>
              <w:tc>
                <w:tcPr>
                  <w:tcW w:type="dxa" w:w="439"/>
                  <w:vMerge/>
                  <w:tcBorders>
                    <w:top w:val="none" w:color="000000" w:sz="4"/>
                    <w:left w:val="non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土钉抗拔力</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土钉抗拔力验收试验数量为土钉总数的</w:t>
                  </w:r>
                  <w:r>
                    <w:rPr>
                      <w:sz w:val="21"/>
                    </w:rPr>
                    <w:t>1%，且不得少于10根。</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87"/>
                  <w:vMerge/>
                  <w:tcBorders>
                    <w:top w:val="none" w:color="000000" w:sz="4"/>
                    <w:left w:val="none" w:color="000000" w:sz="4"/>
                    <w:bottom w:val="single" w:color="000000" w:sz="4"/>
                    <w:right w:val="single" w:color="000000" w:sz="4"/>
                  </w:tcBorders>
                </w:tcPr>
                <w:p/>
              </w:tc>
              <w:tc>
                <w:tcPr>
                  <w:tcW w:type="dxa" w:w="439"/>
                  <w:vMerge/>
                  <w:tcBorders>
                    <w:top w:val="none" w:color="000000" w:sz="4"/>
                    <w:left w:val="non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喷锚厚度</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500㎡墙面积1组，每组不少于3点进行钻孔检测。</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1350</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87"/>
                  <w:vMerge/>
                  <w:tcBorders>
                    <w:top w:val="none" w:color="000000" w:sz="4"/>
                    <w:left w:val="none" w:color="000000" w:sz="4"/>
                    <w:bottom w:val="single" w:color="000000" w:sz="4"/>
                    <w:right w:val="single" w:color="000000" w:sz="4"/>
                  </w:tcBorders>
                </w:tcPr>
                <w:p/>
              </w:tc>
              <w:tc>
                <w:tcPr>
                  <w:tcW w:type="dxa" w:w="439"/>
                  <w:vMerge/>
                  <w:tcBorders>
                    <w:top w:val="none" w:color="000000" w:sz="4"/>
                    <w:left w:val="non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灌注桩低应变</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对灌注桩进行低应变动测法检测桩身完整性，检测数量为总桩数的</w:t>
                  </w:r>
                  <w:r>
                    <w:rPr>
                      <w:sz w:val="21"/>
                    </w:rPr>
                    <w:t>20%，且不得少于10根。</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87"/>
                  <w:vMerge/>
                  <w:tcBorders>
                    <w:top w:val="none" w:color="000000" w:sz="4"/>
                    <w:left w:val="none" w:color="000000" w:sz="4"/>
                    <w:bottom w:val="single" w:color="000000" w:sz="4"/>
                    <w:right w:val="single" w:color="000000" w:sz="4"/>
                  </w:tcBorders>
                </w:tcPr>
                <w:p/>
              </w:tc>
              <w:tc>
                <w:tcPr>
                  <w:tcW w:type="dxa" w:w="439"/>
                  <w:vMerge/>
                  <w:tcBorders>
                    <w:top w:val="none" w:color="000000" w:sz="4"/>
                    <w:left w:val="non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旋喷桩抽芯</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抽检不宜少于总桩数</w:t>
                  </w:r>
                  <w:r>
                    <w:rPr>
                      <w:sz w:val="21"/>
                    </w:rPr>
                    <w:t>1%，且不少于6根进行钻芯法检测。</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bl>
          <w:p>
            <w:pPr>
              <w:pStyle w:val="null3"/>
              <w:jc w:val="both"/>
            </w:pPr>
            <w:r>
              <w:rPr/>
              <w:t xml:space="preserve"> </w:t>
            </w:r>
          </w:p>
        </w:tc>
      </w:tr>
      <w:tr>
        <w:tc>
          <w:tcPr>
            <w:tcW w:type="dxa" w:w="2076"/>
          </w:tcPr>
          <w:p/>
        </w:tc>
        <w:tc>
          <w:tcPr>
            <w:tcW w:type="dxa" w:w="415"/>
          </w:tcPr>
          <w:p>
            <w:pPr>
              <w:pStyle w:val="null3"/>
            </w:pPr>
            <w:r>
              <w:rPr/>
              <w:t>2</w:t>
            </w:r>
          </w:p>
        </w:tc>
        <w:tc>
          <w:tcPr>
            <w:tcW w:type="dxa" w:w="5814"/>
          </w:tcPr>
          <w:p>
            <w:pPr>
              <w:pStyle w:val="null3"/>
            </w:pPr>
            <w:r>
              <w:rPr>
                <w:sz w:val="21"/>
              </w:rPr>
              <w:t>注：以上检测项目和数量为暂估量，最终检测项目和数量以实际检测项目和数量为准。如检测范围或数量需要调整的，中标人需提前通知采购人，经采购人同意后方可进行检测。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东莞市厚街镇工程建设中心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下浮20%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东莞市厚街镇厚山保障性租赁住房及配套设施建设项目工程质量检测)：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采购包1（广东省东莞市厚街镇厚山保障性租赁住房及配套设施建设项目工程质量检测）：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采购包1（广东省东莞市厚街镇厚山保障性租赁住房及配套设施建设项目工程质量检测）：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①投标人须具备建设行政主管部门颁发的建设工程质量检测机构资质证书且证书在有效期内（提供证书复印件）。②投标人须具备质量技术监督部门颁发的 CMA 计量认证合格证书或 CMA 检验检测机构资质认定证书且证书在有效期内（提供证书复印件）。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采购包1（广东省东莞市厚街镇厚山保障性租赁住房及配套设施建设项目工程质量检测）：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采购包1(广东省东莞市厚街镇厚山保障性租赁住房及配套设施建设项目工程质量检测):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项目重点难点分析 (10.0分)</w:t>
            </w:r>
            <w:r>
              <w:rPr/>
              <w:t>，（等次分值选择：</w:t>
            </w:r>
            <w:r>
              <w:rPr/>
              <w:t>0.0;</w:t>
            </w:r>
            <w:r>
              <w:rPr/>
              <w:t>1.0;</w:t>
            </w:r>
            <w:r>
              <w:rPr/>
              <w:t>3.0;</w:t>
            </w:r>
            <w:r>
              <w:rPr/>
              <w:t>6.0;</w:t>
            </w:r>
            <w:r>
              <w:rPr/>
              <w:t>10.0;</w:t>
            </w:r>
            <w:r>
              <w:rPr/>
              <w:t>）</w:t>
            </w:r>
          </w:p>
        </w:tc>
        <w:tc>
          <w:tcPr>
            <w:tcW w:type="dxa" w:w="5076"/>
          </w:tcPr>
          <w:p>
            <w:pPr>
              <w:pStyle w:val="null3"/>
              <w:jc w:val="left"/>
            </w:pPr>
            <w:r>
              <w:rPr/>
              <w:t>根据各投标人对本项目的熟悉程度、理解及项目重点和难点的分析，以及根据项目重点和难点所采取的措施等进行综合评审： 对本项目的熟悉程度深入，重点和难点分析清晰具体且对应措施完善详细具体、有针对性、操作性强，得10分； 对本项目的熟悉程度深入，重点和难点分析基本清晰具体且对应措施完善详细具体、有针对性、操作性较强，得6分； 对本项目的熟悉程度一般，重点和难点分析基本合理、对应措施可行性一般，得3分； 对本项目的熟悉程度、重点和难点分析不清晰不具体，得1分； 无提供相关分析的，不得分。</w:t>
            </w:r>
          </w:p>
        </w:tc>
      </w:tr>
      <w:tr>
        <w:tc>
          <w:tcPr>
            <w:tcW w:type="dxa" w:w="922"/>
            <w:gridSpan w:val="2"/>
            <w:vMerge/>
          </w:tcPr>
          <w:p/>
        </w:tc>
        <w:tc>
          <w:tcPr>
            <w:tcW w:type="dxa" w:w="2307"/>
          </w:tcPr>
          <w:p>
            <w:pPr>
              <w:pStyle w:val="null3"/>
              <w:jc w:val="left"/>
            </w:pPr>
            <w:r>
              <w:rPr/>
              <w:t>项目实施方案 (15.0分)</w:t>
            </w:r>
            <w:r>
              <w:rPr/>
              <w:t>，（等次分值选择：</w:t>
            </w:r>
            <w:r>
              <w:rPr/>
              <w:t>0.0;</w:t>
            </w:r>
            <w:r>
              <w:rPr/>
              <w:t>1.0;</w:t>
            </w:r>
            <w:r>
              <w:rPr/>
              <w:t>5.0;</w:t>
            </w:r>
            <w:r>
              <w:rPr/>
              <w:t>10.0;</w:t>
            </w:r>
            <w:r>
              <w:rPr/>
              <w:t>15.0;</w:t>
            </w:r>
            <w:r>
              <w:rPr/>
              <w:t>）</w:t>
            </w:r>
          </w:p>
        </w:tc>
        <w:tc>
          <w:tcPr>
            <w:tcW w:type="dxa" w:w="5076"/>
          </w:tcPr>
          <w:p>
            <w:pPr>
              <w:pStyle w:val="null3"/>
              <w:jc w:val="left"/>
            </w:pPr>
            <w:r>
              <w:rPr/>
              <w:t>根据各投标人针对本项目作出的项目实施方案进行综合评审： 项目实施方案完善具体、可行性强的，得15分； 项目实施方案比较完善、可行性较强的，得10分； 项目实施方案不够完善、可行性一般的，得5分； 项目实施方案不完善、可行性差的，得1分； 无提供相关方案的，不得分。</w:t>
            </w:r>
          </w:p>
        </w:tc>
      </w:tr>
      <w:tr>
        <w:tc>
          <w:tcPr>
            <w:tcW w:type="dxa" w:w="922"/>
            <w:gridSpan w:val="2"/>
            <w:vMerge/>
          </w:tcPr>
          <w:p/>
        </w:tc>
        <w:tc>
          <w:tcPr>
            <w:tcW w:type="dxa" w:w="2307"/>
          </w:tcPr>
          <w:p>
            <w:pPr>
              <w:pStyle w:val="null3"/>
              <w:jc w:val="left"/>
            </w:pPr>
            <w:r>
              <w:rPr/>
              <w:t>安全作业措施方案 (15.0分)</w:t>
            </w:r>
            <w:r>
              <w:rPr/>
              <w:t>，（等次分值选择：</w:t>
            </w:r>
            <w:r>
              <w:rPr/>
              <w:t>0.0;</w:t>
            </w:r>
            <w:r>
              <w:rPr/>
              <w:t>1.0;</w:t>
            </w:r>
            <w:r>
              <w:rPr/>
              <w:t>5.0;</w:t>
            </w:r>
            <w:r>
              <w:rPr/>
              <w:t>10.0;</w:t>
            </w:r>
            <w:r>
              <w:rPr/>
              <w:t>15.0;</w:t>
            </w:r>
            <w:r>
              <w:rPr/>
              <w:t>）</w:t>
            </w:r>
          </w:p>
        </w:tc>
        <w:tc>
          <w:tcPr>
            <w:tcW w:type="dxa" w:w="5076"/>
          </w:tcPr>
          <w:p>
            <w:pPr>
              <w:pStyle w:val="null3"/>
              <w:jc w:val="left"/>
            </w:pPr>
            <w:r>
              <w:rPr/>
              <w:t>根据投标人对本项目编制的安全作业措施方案进行综合评审： 安全作业措施方案周到，操作性强、可行性高，得15分； 安全作业措施方案较周到，操作性较强、可行性较高，得10分； 安全作业措施方案基本完整，操作性、可行性一般，得5分； 安全作业措施方案不完整，操作性,、可行性差，得1分； 无提供相关方案的，不得分。</w:t>
            </w:r>
          </w:p>
        </w:tc>
      </w:tr>
      <w:tr>
        <w:tc>
          <w:tcPr>
            <w:tcW w:type="dxa" w:w="922"/>
            <w:gridSpan w:val="2"/>
            <w:vMerge/>
          </w:tcPr>
          <w:p/>
        </w:tc>
        <w:tc>
          <w:tcPr>
            <w:tcW w:type="dxa" w:w="2307"/>
          </w:tcPr>
          <w:p>
            <w:pPr>
              <w:pStyle w:val="null3"/>
              <w:jc w:val="left"/>
            </w:pPr>
            <w:r>
              <w:rPr/>
              <w:t>质量保证措施方案 (15.0分)</w:t>
            </w:r>
            <w:r>
              <w:rPr/>
              <w:t>，（等次分值选择：</w:t>
            </w:r>
            <w:r>
              <w:rPr/>
              <w:t>0.0;</w:t>
            </w:r>
            <w:r>
              <w:rPr/>
              <w:t>1.0;</w:t>
            </w:r>
            <w:r>
              <w:rPr/>
              <w:t>5.0;</w:t>
            </w:r>
            <w:r>
              <w:rPr/>
              <w:t>10.0;</w:t>
            </w:r>
            <w:r>
              <w:rPr/>
              <w:t>15.0;</w:t>
            </w:r>
            <w:r>
              <w:rPr/>
              <w:t>）</w:t>
            </w:r>
          </w:p>
        </w:tc>
        <w:tc>
          <w:tcPr>
            <w:tcW w:type="dxa" w:w="5076"/>
          </w:tcPr>
          <w:p>
            <w:pPr>
              <w:pStyle w:val="null3"/>
              <w:jc w:val="left"/>
            </w:pPr>
            <w:r>
              <w:rPr/>
              <w:t>根据投标人是否能根据本项目要求提供质量保证措施方案进行综合评审： 质量保证措施方案科学合理，可行性强，得15分。 质量保证措施方案较为合理，可行性较强，得10分 质量保证措施方案基本合理，可行性一般，得5分。 质量保证措施方案简单，可行性差，得1分。 无提供相关方案的，不得分。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(18.0分)</w:t>
            </w:r>
          </w:p>
        </w:tc>
        <w:tc>
          <w:tcPr>
            <w:tcW w:type="dxa" w:w="5076"/>
          </w:tcPr>
          <w:p>
            <w:pPr>
              <w:pStyle w:val="null3"/>
              <w:jc w:val="left"/>
            </w:pPr>
            <w:r>
              <w:rPr/>
              <w:t>投标人具有建筑工程类检测项目业绩的，每提供一个业绩合同得3分，本项最高得18分。 注：须提供合同复印件加盖投标人公章，否则不得分。</w:t>
            </w:r>
          </w:p>
        </w:tc>
      </w:tr>
      <w:tr>
        <w:tc>
          <w:tcPr>
            <w:tcW w:type="dxa" w:w="922"/>
            <w:gridSpan w:val="2"/>
            <w:vMerge/>
          </w:tcPr>
          <w:p/>
        </w:tc>
        <w:tc>
          <w:tcPr>
            <w:tcW w:type="dxa" w:w="2307"/>
          </w:tcPr>
          <w:p>
            <w:pPr>
              <w:pStyle w:val="null3"/>
              <w:jc w:val="left"/>
            </w:pPr>
            <w:r>
              <w:rPr/>
              <w:t>项目负责人 (5.0分)</w:t>
            </w:r>
          </w:p>
        </w:tc>
        <w:tc>
          <w:tcPr>
            <w:tcW w:type="dxa" w:w="5076"/>
          </w:tcPr>
          <w:p>
            <w:pPr>
              <w:pStyle w:val="null3"/>
              <w:jc w:val="left"/>
            </w:pPr>
            <w:r>
              <w:rPr/>
              <w:t>投标人投入的项目负责人具有建筑工程类高级（或以上）工程师职称的，得5分，本项最高得5分。 注：须提供人员证书复印件及投标人为其缴纳的距开标前六个月（不含开标当月）内任意一个月社保证明复印件加盖投标人公章，否则不得分。</w:t>
            </w:r>
          </w:p>
        </w:tc>
      </w:tr>
      <w:tr>
        <w:tc>
          <w:tcPr>
            <w:tcW w:type="dxa" w:w="922"/>
            <w:gridSpan w:val="2"/>
            <w:vMerge/>
          </w:tcPr>
          <w:p/>
        </w:tc>
        <w:tc>
          <w:tcPr>
            <w:tcW w:type="dxa" w:w="2307"/>
          </w:tcPr>
          <w:p>
            <w:pPr>
              <w:pStyle w:val="null3"/>
              <w:jc w:val="left"/>
            </w:pPr>
            <w:r>
              <w:rPr/>
              <w:t>项目人员配备 (12.0分)</w:t>
            </w:r>
          </w:p>
        </w:tc>
        <w:tc>
          <w:tcPr>
            <w:tcW w:type="dxa" w:w="5076"/>
          </w:tcPr>
          <w:p>
            <w:pPr>
              <w:pStyle w:val="null3"/>
              <w:jc w:val="left"/>
            </w:pPr>
            <w:r>
              <w:rPr/>
              <w:t>拟投入本项目的技术人员（不含项目负责人）： 具有建筑工程类中级（或以上）职称的，每提供一人得2分，本项最高得12分。 注：须提供人员证书复印件及投标人为其缴纳的距开标前六个月（不含开标当月）内任意一个月社保证明复印件加盖投标人公章，否则不得分。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center"/>
      </w:pPr>
      <w:r>
        <w:rPr>
          <w:sz w:val="48"/>
          <w:b/>
        </w:rPr>
        <w:t>合同书</w:t>
      </w:r>
    </w:p>
    <w:p>
      <w:pPr>
        <w:pStyle w:val="null3"/>
        <w:jc w:val="center"/>
      </w:pPr>
      <w:r>
        <w:rPr>
          <w:sz w:val="28"/>
        </w:rPr>
        <w:t>采购计划编号：</w:t>
      </w:r>
    </w:p>
    <w:p>
      <w:pPr>
        <w:pStyle w:val="null3"/>
        <w:jc w:val="center"/>
      </w:pPr>
      <w:r>
        <w:rPr>
          <w:sz w:val="28"/>
        </w:rPr>
        <w:t>项目编号：</w:t>
      </w:r>
    </w:p>
    <w:p>
      <w:pPr>
        <w:pStyle w:val="null3"/>
        <w:jc w:val="center"/>
      </w:pPr>
      <w:r>
        <w:rPr>
          <w:sz w:val="28"/>
        </w:rPr>
        <w:t>项目名称：</w:t>
      </w:r>
    </w:p>
    <w:p>
      <w:pPr>
        <w:pStyle w:val="null3"/>
        <w:jc w:val="both"/>
      </w:pPr>
      <w:r>
        <w:rPr>
          <w:sz w:val="21"/>
        </w:rPr>
        <w:t>甲方：</w:t>
      </w:r>
      <w:r>
        <w:rPr>
          <w:sz w:val="21"/>
        </w:rPr>
        <w:t xml:space="preserve">  </w:t>
      </w:r>
    </w:p>
    <w:p>
      <w:pPr>
        <w:pStyle w:val="null3"/>
      </w:pPr>
      <w:r>
        <w:rPr/>
        <w:t xml:space="preserve"> </w:t>
      </w:r>
    </w:p>
    <w:p>
      <w:pPr>
        <w:pStyle w:val="null3"/>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pStyle w:val="null3"/>
        <w:jc w:val="both"/>
      </w:pPr>
      <w:r>
        <w:rPr>
          <w:sz w:val="21"/>
        </w:rPr>
        <w:t>乙方：</w:t>
      </w:r>
      <w:r>
        <w:rPr>
          <w:sz w:val="21"/>
        </w:rPr>
        <w:t xml:space="preserve">  </w:t>
      </w:r>
    </w:p>
    <w:p>
      <w:pPr>
        <w:pStyle w:val="null3"/>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pStyle w:val="null3"/>
        <w:jc w:val="both"/>
      </w:pPr>
      <w:r>
        <w:rPr>
          <w:sz w:val="21"/>
        </w:rPr>
        <w:t xml:space="preserve"> </w:t>
      </w:r>
    </w:p>
    <w:p>
      <w:pPr>
        <w:pStyle w:val="null3"/>
        <w:jc w:val="both"/>
      </w:pPr>
      <w:r>
        <w:rPr>
          <w:sz w:val="21"/>
        </w:rPr>
        <w:t xml:space="preserve">  </w:t>
      </w:r>
      <w:r>
        <w:rPr>
          <w:sz w:val="21"/>
        </w:rPr>
        <w:t>根据</w:t>
      </w:r>
      <w:r>
        <w:rPr>
          <w:sz w:val="21"/>
        </w:rPr>
        <w:t xml:space="preserve">          </w:t>
      </w:r>
      <w:r>
        <w:rPr>
          <w:sz w:val="21"/>
        </w:rPr>
        <w:t>项目</w:t>
      </w:r>
      <w:r>
        <w:rPr>
          <w:sz w:val="21"/>
        </w:rPr>
        <w:t xml:space="preserve">/采购包  </w:t>
      </w:r>
      <w:r>
        <w:rPr>
          <w:sz w:val="21"/>
        </w:rPr>
        <w:t>的采购结果，按照《中华人民共和国政府采购法》，《中华人民共和国民法典</w:t>
      </w:r>
      <w:r>
        <w:rPr>
          <w:sz w:val="21"/>
        </w:rPr>
        <w:t>(合同编)》的规定，经双方协商，本着平等互利和诚实信用的原则，一致同意遵守本合同如下。</w:t>
      </w:r>
    </w:p>
    <w:p>
      <w:pPr>
        <w:pStyle w:val="null3"/>
        <w:jc w:val="both"/>
      </w:pPr>
      <w:r>
        <w:rPr>
          <w:sz w:val="21"/>
          <w:b/>
        </w:rPr>
        <w:t>一、合同金额</w:t>
      </w:r>
    </w:p>
    <w:p>
      <w:pPr>
        <w:pStyle w:val="null3"/>
        <w:ind w:firstLine="420"/>
        <w:jc w:val="both"/>
      </w:pPr>
      <w:r>
        <w:rPr>
          <w:sz w:val="21"/>
        </w:rPr>
        <w:t>1、中标下浮率为：__%。最终依据《东莞市建设工程检测行业参考收费标准（2023版）》（未涵盖项目参照《广东省房屋建筑和市政工程质量安全检测收费指导价》等）单价的80%计算检测费用*（1-中标下浮率）进行结算。</w:t>
      </w:r>
    </w:p>
    <w:p>
      <w:pPr>
        <w:pStyle w:val="null3"/>
        <w:ind w:firstLine="420"/>
        <w:jc w:val="both"/>
      </w:pPr>
      <w:r>
        <w:rPr>
          <w:sz w:val="21"/>
        </w:rPr>
        <w:t>备注：本项目中没有列明的检测项目，其价格按《东莞市建设工程检测行业参考收费标准（</w:t>
      </w:r>
      <w:r>
        <w:rPr>
          <w:sz w:val="21"/>
        </w:rPr>
        <w:t>2023版）》（未涵盖项目参照《广东省房屋建筑和市政工程质量安全检测收费指导价》等）规定单价的80%执行，结合投标下浮率后进行结算。</w:t>
      </w:r>
    </w:p>
    <w:p>
      <w:pPr>
        <w:pStyle w:val="null3"/>
        <w:ind w:firstLine="420"/>
        <w:jc w:val="both"/>
      </w:pPr>
      <w:r>
        <w:rPr>
          <w:sz w:val="21"/>
        </w:rPr>
        <w:t>价格应包含完成本次招标所有服务内容的费用，包括人工费、材料费、设备使用费、各种税务费、必须的辅助材料费及合同实施过程中不可预见费用等全部费用。</w:t>
      </w:r>
    </w:p>
    <w:p>
      <w:pPr>
        <w:pStyle w:val="null3"/>
        <w:jc w:val="both"/>
      </w:pPr>
      <w:r>
        <w:rPr>
          <w:sz w:val="21"/>
          <w:b/>
        </w:rPr>
        <w:t>二、服务范围</w:t>
      </w:r>
      <w:r>
        <w:rPr>
          <w:sz w:val="21"/>
          <w:b/>
        </w:rPr>
        <w:t>及内容</w:t>
      </w:r>
    </w:p>
    <w:p>
      <w:pPr>
        <w:pStyle w:val="null3"/>
        <w:ind w:firstLine="420"/>
        <w:jc w:val="both"/>
      </w:pPr>
      <w:r>
        <w:rPr>
          <w:sz w:val="21"/>
        </w:rPr>
        <w:t>详见</w:t>
      </w:r>
      <w:r>
        <w:rPr>
          <w:sz w:val="21"/>
        </w:rPr>
        <w:t>招标文件第二章</w:t>
      </w:r>
      <w:r>
        <w:rPr>
          <w:sz w:val="21"/>
        </w:rPr>
        <w:t>《</w:t>
      </w:r>
      <w:r>
        <w:rPr>
          <w:sz w:val="21"/>
        </w:rPr>
        <w:t>采购</w:t>
      </w:r>
      <w:r>
        <w:rPr>
          <w:sz w:val="21"/>
        </w:rPr>
        <w:t>需求》</w:t>
      </w:r>
    </w:p>
    <w:p>
      <w:pPr>
        <w:pStyle w:val="null3"/>
        <w:jc w:val="both"/>
      </w:pPr>
      <w:r>
        <w:rPr>
          <w:sz w:val="21"/>
          <w:b/>
        </w:rPr>
        <w:t>三、甲方乙方的权利和义务</w:t>
      </w:r>
    </w:p>
    <w:p>
      <w:pPr>
        <w:pStyle w:val="null3"/>
        <w:ind w:firstLine="420"/>
        <w:jc w:val="both"/>
      </w:pPr>
      <w:r>
        <w:rPr>
          <w:sz w:val="21"/>
        </w:rPr>
        <w:t>1.甲方的权利和义务</w:t>
      </w:r>
    </w:p>
    <w:p>
      <w:pPr>
        <w:pStyle w:val="null3"/>
        <w:ind w:firstLine="420"/>
        <w:jc w:val="both"/>
      </w:pPr>
      <w:r>
        <w:rPr>
          <w:sz w:val="21"/>
        </w:rPr>
        <w:t>（</w:t>
      </w:r>
      <w:r>
        <w:rPr>
          <w:sz w:val="21"/>
        </w:rPr>
        <w:t>1）甲方应协助乙方开展本项目的相关工作，并提供相关资料。</w:t>
      </w:r>
    </w:p>
    <w:p>
      <w:pPr>
        <w:pStyle w:val="null3"/>
        <w:ind w:firstLine="420"/>
        <w:jc w:val="both"/>
      </w:pPr>
      <w:r>
        <w:rPr>
          <w:sz w:val="21"/>
        </w:rPr>
        <w:t>（</w:t>
      </w:r>
      <w:r>
        <w:rPr>
          <w:sz w:val="21"/>
        </w:rPr>
        <w:t>2）甲方应按本合同有关规定及时支付相关费用。</w:t>
      </w:r>
    </w:p>
    <w:p>
      <w:pPr>
        <w:pStyle w:val="null3"/>
        <w:ind w:firstLine="420"/>
        <w:jc w:val="both"/>
      </w:pPr>
      <w:r>
        <w:rPr>
          <w:sz w:val="21"/>
        </w:rPr>
        <w:t>（</w:t>
      </w:r>
      <w:r>
        <w:rPr>
          <w:sz w:val="21"/>
        </w:rPr>
        <w:t>3）甲方有权对乙方履行本合同情况进行监督，就乙方工作不足之处，甲方有权提出整改意见，乙方应当按甲方要求完成整改。</w:t>
      </w:r>
    </w:p>
    <w:p>
      <w:pPr>
        <w:pStyle w:val="null3"/>
        <w:ind w:firstLine="420"/>
        <w:jc w:val="both"/>
      </w:pPr>
      <w:r>
        <w:rPr>
          <w:sz w:val="21"/>
        </w:rPr>
        <w:t>2.乙方的权利和义务</w:t>
      </w:r>
    </w:p>
    <w:p>
      <w:pPr>
        <w:pStyle w:val="null3"/>
        <w:ind w:firstLine="420"/>
        <w:jc w:val="both"/>
      </w:pPr>
      <w:r>
        <w:rPr>
          <w:sz w:val="21"/>
        </w:rPr>
        <w:t>（</w:t>
      </w:r>
      <w:r>
        <w:rPr>
          <w:sz w:val="21"/>
        </w:rPr>
        <w:t>1）乙方必须根据采购文件及有关的技术要求、国家现行有关设计标准、技术规范、规程、甲方要求完成合同约定范围内的全部任务，并按规定向甲方交付合格</w:t>
      </w:r>
      <w:r>
        <w:rPr>
          <w:sz w:val="21"/>
        </w:rPr>
        <w:t>服务</w:t>
      </w:r>
      <w:r>
        <w:rPr>
          <w:sz w:val="21"/>
        </w:rPr>
        <w:t>，确保</w:t>
      </w:r>
      <w:r>
        <w:rPr>
          <w:sz w:val="21"/>
        </w:rPr>
        <w:t>服务</w:t>
      </w:r>
      <w:r>
        <w:rPr>
          <w:sz w:val="21"/>
        </w:rPr>
        <w:t>质量与进度。</w:t>
      </w:r>
    </w:p>
    <w:p>
      <w:pPr>
        <w:pStyle w:val="null3"/>
        <w:ind w:firstLine="420"/>
        <w:jc w:val="both"/>
      </w:pPr>
      <w:r>
        <w:rPr>
          <w:sz w:val="21"/>
        </w:rPr>
        <w:t>（</w:t>
      </w:r>
      <w:r>
        <w:rPr>
          <w:sz w:val="21"/>
        </w:rPr>
        <w:t>2）乙方应按时召开内部沟通会议，跟进项目进度，并及时向甲方汇报项目进展情况，及时参加甲方召开的项目会议。</w:t>
      </w:r>
    </w:p>
    <w:p>
      <w:pPr>
        <w:pStyle w:val="null3"/>
        <w:ind w:firstLine="420"/>
        <w:jc w:val="both"/>
      </w:pPr>
      <w:r>
        <w:rPr>
          <w:sz w:val="21"/>
        </w:rPr>
        <w:t>（</w:t>
      </w:r>
      <w:r>
        <w:rPr>
          <w:sz w:val="21"/>
        </w:rPr>
        <w:t>3）乙方应保证服务质量，因乙方自身原因出现错误或遗漏或甲方不满意之处，必须按甲方意见进行修改完善。</w:t>
      </w:r>
    </w:p>
    <w:p>
      <w:pPr>
        <w:pStyle w:val="null3"/>
        <w:ind w:firstLine="420"/>
        <w:jc w:val="both"/>
      </w:pPr>
      <w:r>
        <w:rPr>
          <w:sz w:val="21"/>
        </w:rPr>
        <w:t>（</w:t>
      </w:r>
      <w:r>
        <w:rPr>
          <w:sz w:val="21"/>
        </w:rPr>
        <w:t>4）乙方人员在委托服务期间造成甲方、第三方人身损害或财产损失的，由乙方承担民事赔偿责任。</w:t>
      </w:r>
    </w:p>
    <w:p>
      <w:pPr>
        <w:pStyle w:val="null3"/>
        <w:ind w:firstLine="420"/>
        <w:jc w:val="both"/>
      </w:pPr>
      <w:r>
        <w:rPr>
          <w:sz w:val="21"/>
        </w:rPr>
        <w:t>（</w:t>
      </w:r>
      <w:r>
        <w:rPr>
          <w:sz w:val="21"/>
        </w:rPr>
        <w:t>5）乙方人员在委托服务期间发生工伤事故及其他一切事故造成的损害均由乙方全部承担，与甲方无关。</w:t>
      </w:r>
    </w:p>
    <w:p>
      <w:pPr>
        <w:pStyle w:val="null3"/>
        <w:ind w:firstLine="420"/>
        <w:jc w:val="both"/>
      </w:pPr>
      <w:r>
        <w:rPr>
          <w:sz w:val="21"/>
        </w:rPr>
        <w:t>（</w:t>
      </w:r>
      <w:r>
        <w:rPr>
          <w:sz w:val="21"/>
        </w:rPr>
        <w:t>6）乙方严禁转包，未经甲方书面同意不得分包。</w:t>
      </w:r>
    </w:p>
    <w:p>
      <w:pPr>
        <w:pStyle w:val="null3"/>
        <w:jc w:val="both"/>
      </w:pPr>
      <w:r>
        <w:rPr>
          <w:sz w:val="21"/>
          <w:b/>
        </w:rPr>
        <w:t>四、服务期间及服务地点（项目完成期限）</w:t>
      </w:r>
    </w:p>
    <w:p>
      <w:pPr>
        <w:pStyle w:val="null3"/>
        <w:ind w:firstLine="420"/>
        <w:jc w:val="both"/>
      </w:pPr>
      <w:r>
        <w:rPr>
          <w:sz w:val="21"/>
        </w:rPr>
        <w:t>1.服务期限：</w:t>
      </w:r>
      <w:r>
        <w:rPr>
          <w:sz w:val="21"/>
        </w:rPr>
        <w:t>合同生效之日起至本项目检测任务完成为止。具体开始工作的时间以书面通知为准，若工程施工工期滞后则本项目检测服务期顺延到所有内容进行完成为止。</w:t>
      </w:r>
    </w:p>
    <w:p>
      <w:pPr>
        <w:pStyle w:val="null3"/>
        <w:ind w:firstLine="420"/>
        <w:jc w:val="both"/>
      </w:pPr>
      <w:r>
        <w:rPr>
          <w:sz w:val="21"/>
        </w:rPr>
        <w:t>2.服务地点：</w:t>
      </w:r>
      <w:r>
        <w:rPr>
          <w:sz w:val="21"/>
        </w:rPr>
        <w:t>东莞市厚街镇</w:t>
      </w:r>
      <w:r>
        <w:rPr>
          <w:sz w:val="21"/>
        </w:rPr>
        <w:t>。</w:t>
      </w:r>
    </w:p>
    <w:p>
      <w:pPr>
        <w:pStyle w:val="null3"/>
        <w:ind w:firstLine="420"/>
        <w:jc w:val="both"/>
      </w:pPr>
      <w:r>
        <w:rPr>
          <w:sz w:val="21"/>
        </w:rPr>
        <w:t>3.委托服务期间自______年______月______日至______年______月______日止。</w:t>
      </w:r>
    </w:p>
    <w:p>
      <w:pPr>
        <w:pStyle w:val="null3"/>
        <w:jc w:val="both"/>
      </w:pPr>
      <w:r>
        <w:rPr>
          <w:sz w:val="21"/>
          <w:b/>
        </w:rPr>
        <w:t>五、</w:t>
      </w:r>
      <w:r>
        <w:rPr>
          <w:sz w:val="21"/>
          <w:b/>
        </w:rPr>
        <w:t>验收要求</w:t>
      </w:r>
    </w:p>
    <w:p>
      <w:pPr>
        <w:pStyle w:val="null3"/>
        <w:ind w:firstLine="420"/>
        <w:jc w:val="both"/>
      </w:pPr>
      <w:r>
        <w:rPr>
          <w:sz w:val="21"/>
        </w:rPr>
        <w:t>按国家标准和行业规范及招标文件规定进行验收。</w:t>
      </w:r>
    </w:p>
    <w:p>
      <w:pPr>
        <w:pStyle w:val="null3"/>
        <w:jc w:val="both"/>
      </w:pPr>
      <w:r>
        <w:rPr>
          <w:sz w:val="21"/>
          <w:b/>
        </w:rPr>
        <w:t>六</w:t>
      </w:r>
      <w:r>
        <w:rPr>
          <w:sz w:val="21"/>
          <w:b/>
        </w:rPr>
        <w:t>、付款方式</w:t>
      </w:r>
    </w:p>
    <w:p>
      <w:pPr>
        <w:pStyle w:val="null3"/>
        <w:ind w:firstLine="420"/>
        <w:jc w:val="both"/>
      </w:pPr>
      <w:r>
        <w:rPr>
          <w:sz w:val="21"/>
        </w:rPr>
        <w:t>乙方提交《工程质量检测报告》及请款资料经审核无误后</w:t>
      </w:r>
      <w:r>
        <w:rPr>
          <w:sz w:val="21"/>
        </w:rPr>
        <w:t>甲方</w:t>
      </w:r>
      <w:r>
        <w:rPr>
          <w:sz w:val="21"/>
        </w:rPr>
        <w:t>按检测报告支付</w:t>
      </w:r>
      <w:r>
        <w:rPr>
          <w:sz w:val="21"/>
        </w:rPr>
        <w:t>检测费用，累计支付费用不超过总合同</w:t>
      </w:r>
      <w:r>
        <w:rPr>
          <w:sz w:val="21"/>
        </w:rPr>
        <w:t>金额</w:t>
      </w:r>
      <w:r>
        <w:rPr>
          <w:sz w:val="21"/>
        </w:rPr>
        <w:t>的</w:t>
      </w:r>
      <w:r>
        <w:rPr>
          <w:sz w:val="21"/>
        </w:rPr>
        <w:t>70%,待财政部门出具预算</w:t>
      </w:r>
      <w:r>
        <w:rPr>
          <w:sz w:val="21"/>
        </w:rPr>
        <w:t>审核</w:t>
      </w:r>
      <w:r>
        <w:rPr>
          <w:sz w:val="21"/>
        </w:rPr>
        <w:t>报告后签订补充协议，甲方支付剩余费用。</w:t>
      </w:r>
    </w:p>
    <w:p>
      <w:pPr>
        <w:pStyle w:val="null3"/>
        <w:jc w:val="both"/>
      </w:pPr>
      <w:r>
        <w:rPr>
          <w:sz w:val="21"/>
          <w:b/>
        </w:rPr>
        <w:t>七</w:t>
      </w:r>
      <w:r>
        <w:rPr>
          <w:sz w:val="21"/>
          <w:b/>
        </w:rPr>
        <w:t>、保密</w:t>
      </w:r>
    </w:p>
    <w:p>
      <w:pPr>
        <w:pStyle w:val="null3"/>
        <w:ind w:firstLine="420"/>
        <w:jc w:val="both"/>
      </w:pPr>
      <w:r>
        <w:rPr>
          <w:sz w:val="21"/>
        </w:rPr>
        <w:t>未经甲方事先书面同意，乙方不得将在签订、履行本合同过程中所获悉的属于甲方及其关联方的且无法自公开渠道获得的文件及资料提供给与本合同无关的任何第三方，不得将其用于履行本合同之外的其它用途。即使向与履行本合同有关的人员提供，也应注意保密并限于履行合同所必需的范围。本合同终止后，乙方仍须履行该保密义务，并须将甲方提供的所有资料予以归还，不得自行复制、留存。</w:t>
      </w:r>
    </w:p>
    <w:p>
      <w:pPr>
        <w:pStyle w:val="null3"/>
        <w:jc w:val="both"/>
      </w:pPr>
      <w:r>
        <w:rPr>
          <w:sz w:val="21"/>
          <w:b/>
        </w:rPr>
        <w:t>八、</w:t>
      </w:r>
      <w:r>
        <w:rPr>
          <w:sz w:val="21"/>
          <w:b/>
        </w:rPr>
        <w:t>知识产权和所有权</w:t>
      </w:r>
    </w:p>
    <w:p>
      <w:pPr>
        <w:pStyle w:val="null3"/>
        <w:ind w:firstLine="480"/>
        <w:jc w:val="both"/>
      </w:pPr>
      <w:r>
        <w:rPr>
          <w:sz w:val="21"/>
        </w:rPr>
        <w:t>本合同项下所有服务成果</w:t>
      </w:r>
      <w:r>
        <w:rPr>
          <w:sz w:val="21"/>
        </w:rPr>
        <w:t>(包括乙方在合同履行过程中形成的阶段性服务成果及最终交付的服务成果)的知识产权和所有权全部归属于甲方。未经甲方书面同意，乙方不得擅自将前述服务成果以及与之相关的任何资料用于本合同之外的任何场合或者向任何第三方转让、泄露;否则，由乙方承担全部的赔偿责任。</w:t>
      </w:r>
    </w:p>
    <w:p>
      <w:pPr>
        <w:pStyle w:val="null3"/>
        <w:jc w:val="both"/>
      </w:pPr>
      <w:r>
        <w:rPr>
          <w:sz w:val="21"/>
          <w:b/>
        </w:rPr>
        <w:t>九</w:t>
      </w:r>
      <w:r>
        <w:rPr>
          <w:sz w:val="21"/>
          <w:b/>
        </w:rPr>
        <w:t>、税费</w:t>
      </w:r>
    </w:p>
    <w:p>
      <w:pPr>
        <w:pStyle w:val="null3"/>
        <w:ind w:firstLine="420"/>
        <w:jc w:val="both"/>
      </w:pPr>
      <w:r>
        <w:rPr>
          <w:sz w:val="21"/>
        </w:rPr>
        <w:t>在中国境内、外发生的与本合同执行有关的一切税费均由乙方负担。</w:t>
      </w:r>
    </w:p>
    <w:p>
      <w:pPr>
        <w:pStyle w:val="null3"/>
        <w:jc w:val="both"/>
      </w:pPr>
      <w:r>
        <w:rPr>
          <w:sz w:val="21"/>
          <w:b/>
        </w:rPr>
        <w:t>十</w:t>
      </w:r>
      <w:r>
        <w:rPr>
          <w:sz w:val="21"/>
          <w:b/>
        </w:rPr>
        <w:t>、违约责任</w:t>
      </w:r>
    </w:p>
    <w:p>
      <w:pPr>
        <w:pStyle w:val="null3"/>
        <w:ind w:firstLine="480"/>
        <w:jc w:val="both"/>
      </w:pPr>
      <w:r>
        <w:rPr>
          <w:sz w:val="21"/>
        </w:rPr>
        <w:t>1.合同双方任何一方不履行合同条款或不按合同约定履行条款的其它情况，均属违约，由违约方承担违约责任，赔偿因其违约造成的损失，并支付合同价款总额3%的违约金。</w:t>
      </w:r>
    </w:p>
    <w:p>
      <w:pPr>
        <w:pStyle w:val="null3"/>
        <w:ind w:firstLine="480"/>
        <w:jc w:val="both"/>
      </w:pPr>
      <w:r>
        <w:rPr>
          <w:sz w:val="21"/>
        </w:rPr>
        <w:t>2.因乙方原因导致本合同解除或是无法履行的，乙方应向甲方支付合同总价3%的违约金。</w:t>
      </w:r>
    </w:p>
    <w:p>
      <w:pPr>
        <w:pStyle w:val="null3"/>
        <w:ind w:firstLine="480"/>
        <w:jc w:val="both"/>
      </w:pPr>
      <w:r>
        <w:rPr>
          <w:sz w:val="21"/>
        </w:rPr>
        <w:t>3.甲方有权自应付而未付款项中直接抵扣乙方应付之违约金、赔偿款等，并视为已足额付款。如因乙方的违约行为导致甲方遭受损失的，除支付违约金外，乙方还应当予以赔偿。</w:t>
      </w:r>
    </w:p>
    <w:p>
      <w:pPr>
        <w:pStyle w:val="null3"/>
        <w:ind w:firstLine="480"/>
        <w:jc w:val="both"/>
      </w:pPr>
      <w:r>
        <w:rPr>
          <w:sz w:val="21"/>
        </w:rPr>
        <w:t>4.</w:t>
      </w:r>
      <w:r>
        <w:rPr>
          <w:sz w:val="21"/>
        </w:rPr>
        <w:t>本承包合同的经费由政府拨款，如因特殊情况拨款未能及时到位，乙方不得以此为由而不履行本合同规定的义务。</w:t>
      </w:r>
    </w:p>
    <w:p>
      <w:pPr>
        <w:pStyle w:val="null3"/>
        <w:jc w:val="both"/>
      </w:pPr>
      <w:r>
        <w:rPr>
          <w:sz w:val="21"/>
          <w:b/>
        </w:rPr>
        <w:t>十</w:t>
      </w:r>
      <w:r>
        <w:rPr>
          <w:sz w:val="21"/>
          <w:b/>
        </w:rPr>
        <w:t>一</w:t>
      </w:r>
      <w:r>
        <w:rPr>
          <w:sz w:val="21"/>
          <w:b/>
        </w:rPr>
        <w:t>、争议的解决</w:t>
      </w:r>
    </w:p>
    <w:p>
      <w:pPr>
        <w:pStyle w:val="null3"/>
        <w:ind w:firstLine="480"/>
        <w:jc w:val="both"/>
      </w:pPr>
      <w:r>
        <w:rPr>
          <w:sz w:val="21"/>
        </w:rPr>
        <w:t>1.凡与本合同有关而引起的一切争议，甲乙双方应首先通过友好协商解决，如经协商后仍不能达成协议时，任何一方可以向法院提出诉讼。</w:t>
      </w:r>
    </w:p>
    <w:p>
      <w:pPr>
        <w:pStyle w:val="null3"/>
        <w:ind w:firstLine="480"/>
        <w:jc w:val="both"/>
      </w:pPr>
      <w:r>
        <w:rPr>
          <w:sz w:val="21"/>
        </w:rPr>
        <w:t>2.本合同发生的诉讼管辖地为东莞市有管辖权的法院。</w:t>
      </w:r>
    </w:p>
    <w:p>
      <w:pPr>
        <w:pStyle w:val="null3"/>
        <w:ind w:firstLine="480"/>
        <w:jc w:val="both"/>
      </w:pPr>
      <w:r>
        <w:rPr>
          <w:sz w:val="21"/>
        </w:rPr>
        <w:t>3.在进行法院审理期间，除提交法院审理的事项外，合同其他部分仍继续履行。</w:t>
      </w:r>
    </w:p>
    <w:p>
      <w:pPr>
        <w:pStyle w:val="null3"/>
        <w:ind w:firstLine="480"/>
        <w:jc w:val="both"/>
      </w:pPr>
      <w:r>
        <w:rPr>
          <w:sz w:val="21"/>
        </w:rPr>
        <w:t>4.本合同按照中华人民共和国的法律进行解释。</w:t>
      </w:r>
    </w:p>
    <w:p>
      <w:pPr>
        <w:pStyle w:val="null3"/>
        <w:jc w:val="both"/>
      </w:pPr>
      <w:r>
        <w:rPr>
          <w:sz w:val="21"/>
          <w:b/>
        </w:rPr>
        <w:t>十</w:t>
      </w:r>
      <w:r>
        <w:rPr>
          <w:sz w:val="21"/>
          <w:b/>
        </w:rPr>
        <w:t>二</w:t>
      </w:r>
      <w:r>
        <w:rPr>
          <w:sz w:val="21"/>
          <w:b/>
        </w:rPr>
        <w:t>、不可抗力</w:t>
      </w:r>
    </w:p>
    <w:p>
      <w:pPr>
        <w:pStyle w:val="null3"/>
        <w:ind w:firstLine="480"/>
        <w:jc w:val="both"/>
      </w:pPr>
      <w:r>
        <w:rPr>
          <w:sz w:val="21"/>
        </w:rPr>
        <w:t>1.甲乙双方如果任何一方因不可抗力如地震、风暴、洪水、火灾或其他自然灾害、瘟疫、战争、暴乱、敌对行动、公共骚乱、公共敌人的行为、政府或公共机关的禁止、劳资纠纷或其他双方无法控制、不可预见的事件，而无法履行本合同规定的义务时，应及时向对方通报不能履行或不能完全履行的理由，以减轻可能给对方造成的损失，在取得有关机构证明后，允许延期履行、部分履行或不履行合同，并根据情况可部分或全部免于承担违约责任。</w:t>
      </w:r>
    </w:p>
    <w:p>
      <w:pPr>
        <w:pStyle w:val="null3"/>
        <w:ind w:firstLine="480"/>
        <w:jc w:val="both"/>
      </w:pPr>
      <w:r>
        <w:rPr>
          <w:sz w:val="21"/>
        </w:rPr>
        <w:t>2.如果发生了不可抗力的事件，任何一方均不对另一方因不能履约或延误履约而遭受的任何损害，成本增加或损失负责。遇到不可抗力事件的一方应采取适当的措施以减少或消除不可抗力事件的影响，并在最短时间内努力重新履行因不可抗力事件而受影响的义务。通过协商，双方应根据不可抗力对合同履行的影响程度，决定是否修改或终止本合同。</w:t>
      </w:r>
    </w:p>
    <w:p>
      <w:pPr>
        <w:pStyle w:val="null3"/>
        <w:jc w:val="both"/>
      </w:pPr>
      <w:r>
        <w:rPr>
          <w:sz w:val="21"/>
          <w:b/>
        </w:rPr>
        <w:t>十</w:t>
      </w:r>
      <w:r>
        <w:rPr>
          <w:sz w:val="21"/>
          <w:b/>
        </w:rPr>
        <w:t>三</w:t>
      </w:r>
      <w:r>
        <w:rPr>
          <w:sz w:val="21"/>
          <w:b/>
        </w:rPr>
        <w:t>、合同生效</w:t>
      </w:r>
    </w:p>
    <w:p>
      <w:pPr>
        <w:pStyle w:val="null3"/>
        <w:ind w:firstLine="480"/>
        <w:jc w:val="both"/>
      </w:pPr>
      <w:r>
        <w:rPr>
          <w:sz w:val="21"/>
        </w:rPr>
        <w:t>1.本合同由双方法定代表人或委托代理人签字盖章后立即生效，具有同等法律效力。</w:t>
      </w:r>
    </w:p>
    <w:p>
      <w:pPr>
        <w:pStyle w:val="null3"/>
        <w:ind w:firstLine="480"/>
        <w:jc w:val="both"/>
      </w:pPr>
      <w:r>
        <w:rPr>
          <w:sz w:val="21"/>
        </w:rPr>
        <w:t>2.本合同一式六份，其中甲方2份、乙方3份，采购代理机构1份（须在合同签订之日起3个工作日内递交）。</w:t>
      </w:r>
    </w:p>
    <w:p>
      <w:pPr>
        <w:pStyle w:val="null3"/>
        <w:jc w:val="both"/>
      </w:pPr>
      <w:r>
        <w:rPr>
          <w:sz w:val="21"/>
          <w:b/>
        </w:rPr>
        <w:t>十</w:t>
      </w:r>
      <w:r>
        <w:rPr>
          <w:sz w:val="21"/>
          <w:b/>
        </w:rPr>
        <w:t>四</w:t>
      </w:r>
      <w:r>
        <w:rPr>
          <w:sz w:val="21"/>
          <w:b/>
        </w:rPr>
        <w:t>、其它</w:t>
      </w:r>
    </w:p>
    <w:p>
      <w:pPr>
        <w:pStyle w:val="null3"/>
        <w:ind w:firstLine="480"/>
        <w:jc w:val="both"/>
      </w:pPr>
      <w:r>
        <w:rPr>
          <w:sz w:val="21"/>
        </w:rPr>
        <w:t>1.本合同未尽事宜，双方可签订补充合同，补充合同与所有附件均为合同的有效组成部分，与本合同具有同等法律效力。但补充协议内容不能违反招标文件以及招标过程中的相关资料的约定。</w:t>
      </w:r>
    </w:p>
    <w:p>
      <w:pPr>
        <w:pStyle w:val="null3"/>
        <w:ind w:firstLine="480"/>
        <w:jc w:val="both"/>
      </w:pPr>
      <w:r>
        <w:rPr>
          <w:sz w:val="21"/>
        </w:rPr>
        <w:t>2.在执行本合同的过程中，所有经甲乙双方签署确认的文件（包括会议纪要、补充协议、往来信函、合同附件等）即成为本合同的有效组成部分，其生效日期为双方签字盖章或确认之日期。</w:t>
      </w:r>
    </w:p>
    <w:p>
      <w:pPr>
        <w:pStyle w:val="null3"/>
        <w:ind w:firstLine="480"/>
        <w:jc w:val="both"/>
      </w:pPr>
      <w:r>
        <w:rPr>
          <w:sz w:val="21"/>
        </w:rPr>
        <w:t>3.本合同合计【待定】页A4纸张，缺页之合同为无效合同。</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w:t>
            </w:r>
            <w:r>
              <w:rPr>
                <w:sz w:val="21"/>
              </w:rPr>
              <w:t>(签字)：</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w:t>
            </w:r>
            <w:r>
              <w:rPr>
                <w:sz w:val="21"/>
              </w:rPr>
              <w:t>(签字)：</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传真：</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传真：</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签约时间：</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签约地点：</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441900029-2025-00005</w:t>
      </w:r>
    </w:p>
    <w:p>
      <w:pPr>
        <w:pStyle w:val="null3"/>
        <w:jc w:val="center"/>
        <w:outlineLvl w:val="3"/>
      </w:pPr>
      <w:r>
        <w:rPr>
          <w:sz w:val="24"/>
          <w:b/>
        </w:rPr>
        <w:t>采购项目编号：</w:t>
      </w:r>
      <w:r>
        <w:rPr>
          <w:sz w:val="24"/>
          <w:b/>
        </w:rPr>
        <w:t>441900029-2025-00005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广东省东莞市厚街镇厚山保障性租赁住房及配套设施建设项目工程质量检测</w:t>
      </w:r>
      <w:r>
        <w:rPr>
          <w:u w:val="single"/>
        </w:rPr>
        <w:t>”</w:t>
      </w:r>
      <w:r>
        <w:rPr/>
        <w:t>项目的招标[采购项目编号为：</w:t>
      </w:r>
      <w:r>
        <w:rPr>
          <w:u w:val="single"/>
        </w:rPr>
        <w:t>441900029-2025-00005</w:t>
      </w:r>
      <w:r>
        <w:rPr/>
        <w:t>]，我方愿参与投标。</w:t>
      </w:r>
    </w:p>
    <w:p>
      <w:pPr>
        <w:pStyle w:val="null3"/>
        <w:ind w:firstLine="480"/>
      </w:pPr>
      <w:r>
        <w:rPr/>
        <w:t>我方确认收到贵方提供的</w:t>
      </w:r>
      <w:r>
        <w:rPr>
          <w:u w:val="single"/>
        </w:rPr>
        <w:t>“</w:t>
      </w:r>
      <w:r>
        <w:rPr>
          <w:u w:val="single"/>
        </w:rPr>
        <w:t>广东省东莞市厚街镇厚山保障性租赁住房及配套设施建设项目工程质量检测</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广东省东莞市厚街镇厚山保障性租赁住房及配套设施建设项目工程质量检测</w:t>
      </w:r>
      <w:r>
        <w:rPr/>
        <w:t>”项目采购[采购项目编号为</w:t>
      </w:r>
      <w:r>
        <w:rPr/>
        <w:t>441900029-2025-00005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东莞市厚街镇工程建设中心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广东省东莞市厚街镇厚山保障性租赁住房及配套设施建设项目工程质量检测</w:t>
      </w:r>
      <w:r>
        <w:rPr/>
        <w:t>招标中获中标（采购项目编号：</w:t>
      </w:r>
      <w:r>
        <w:rPr/>
        <w:t>441900029-2025-00005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广东省东莞市厚街镇厚山保障性租赁住房及配套设施建设项目工程质量检测</w:t>
      </w:r>
      <w:r>
        <w:rPr/>
        <w:t>”项目（采购项目编号：</w:t>
      </w:r>
      <w:r>
        <w:rPr/>
        <w:t>441900029-2025-00005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