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441900011-2024-00211</w:t>
      </w:r>
    </w:p>
    <w:p>
      <w:pPr>
        <w:pStyle w:val="null3"/>
        <w:jc w:val="center"/>
        <w:outlineLvl w:val="3"/>
      </w:pPr>
      <w:r>
        <w:rPr>
          <w:sz w:val="24"/>
          <w:b/>
        </w:rPr>
        <w:t>采购项目编号：</w:t>
      </w:r>
      <w:r>
        <w:rPr>
          <w:sz w:val="24"/>
          <w:b/>
        </w:rPr>
        <w:t>441900011-2024-00211</w:t>
      </w:r>
    </w:p>
    <w:p>
      <w:pPr>
        <w:pStyle w:val="null3"/>
        <w:jc w:val="center"/>
        <w:outlineLvl w:val="3"/>
      </w:pPr>
      <w:r>
        <w:rPr>
          <w:sz w:val="24"/>
          <w:b/>
        </w:rPr>
        <w:t>项目名称：</w:t>
      </w:r>
      <w:r>
        <w:rPr>
          <w:sz w:val="24"/>
          <w:b/>
        </w:rPr>
        <w:t>东莞滨海湾新区征拆项目管理系统</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东莞滨海湾新区管理委员会</w:t>
      </w:r>
      <w:r>
        <w:rPr/>
        <w:t>的委托，采用</w:t>
      </w:r>
      <w:r>
        <w:rPr/>
        <w:t>竞争性磋商</w:t>
      </w:r>
      <w:r>
        <w:rPr/>
        <w:t>方式组织采购</w:t>
      </w:r>
      <w:r>
        <w:rPr/>
        <w:t>东莞滨海湾新区征拆项目管理系统</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东莞滨海湾新区征拆项目管理系统</w:t>
      </w:r>
    </w:p>
    <w:p>
      <w:pPr>
        <w:pStyle w:val="null3"/>
        <w:ind w:firstLine="480"/>
      </w:pPr>
      <w:r>
        <w:rPr/>
        <w:t>采购计划编号：</w:t>
      </w:r>
      <w:r>
        <w:rPr/>
        <w:t>441900011-2024-00211</w:t>
      </w:r>
    </w:p>
    <w:p>
      <w:pPr>
        <w:pStyle w:val="null3"/>
        <w:ind w:firstLine="480"/>
      </w:pPr>
      <w:r>
        <w:rPr/>
        <w:t>采购项目编号：</w:t>
      </w:r>
      <w:r>
        <w:rPr/>
        <w:t>441900011-2024-00211</w:t>
      </w:r>
    </w:p>
    <w:p>
      <w:pPr>
        <w:pStyle w:val="null3"/>
        <w:ind w:firstLine="480"/>
      </w:pPr>
      <w:r>
        <w:rPr/>
        <w:t>采购方式：</w:t>
      </w:r>
      <w:r>
        <w:rPr/>
        <w:t>竞争性磋商</w:t>
      </w:r>
    </w:p>
    <w:p>
      <w:pPr>
        <w:pStyle w:val="null3"/>
        <w:ind w:firstLine="480"/>
      </w:pPr>
      <w:r>
        <w:rPr/>
        <w:t>预算金额：</w:t>
      </w:r>
      <w:r>
        <w:rPr/>
        <w:t>1,751,216.10</w:t>
      </w:r>
      <w:r>
        <w:rPr/>
        <w:t>元</w:t>
      </w:r>
    </w:p>
    <w:p>
      <w:pPr>
        <w:pStyle w:val="null3"/>
        <w:outlineLvl w:val="3"/>
      </w:pPr>
      <w:r>
        <w:rPr>
          <w:sz w:val="24"/>
          <w:b/>
        </w:rPr>
        <w:t>2.项目内容及需求情况（采购项目技术规格、参数及要求）</w:t>
      </w:r>
    </w:p>
    <w:p>
      <w:pPr>
        <w:pStyle w:val="null3"/>
      </w:pPr>
      <w:r>
        <w:rPr/>
        <w:t>采购包1(东莞滨海湾新区征拆项目管理系统):</w:t>
      </w:r>
    </w:p>
    <w:p>
      <w:pPr>
        <w:pStyle w:val="null3"/>
      </w:pPr>
      <w:r>
        <w:rPr/>
        <w:t>采购包预算金额：1,751,216.10元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软件集成实施服务</w:t>
            </w:r>
          </w:p>
        </w:tc>
        <w:tc>
          <w:tcPr>
            <w:tcW w:type="dxa" w:w="2136"/>
          </w:tcPr>
          <w:p>
            <w:pPr>
              <w:pStyle w:val="null3"/>
            </w:pPr>
            <w:r>
              <w:rPr/>
              <w:t>项目总览、进度监管、资金监管、私宅厂房动迁流程管理、城中村改造、安置房管理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合同履行期限：自签订合同后，90个自然日内完工。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采购包1（东莞滨海湾新区征拆项目管理系统）：</w:t>
      </w:r>
      <w:r>
        <w:rPr/>
        <w:t>本项目不属于专门面向中小企业采购项目。</w:t>
      </w:r>
    </w:p>
    <w:p>
      <w:pPr>
        <w:pStyle w:val="null3"/>
        <w:outlineLvl w:val="3"/>
      </w:pPr>
      <w:r>
        <w:rPr>
          <w:sz w:val="24"/>
          <w:b/>
        </w:rPr>
        <w:t>3.本项目特定的资格要求：</w:t>
      </w:r>
    </w:p>
    <w:p>
      <w:pPr>
        <w:pStyle w:val="null3"/>
      </w:pPr>
      <w:r>
        <w:rPr/>
        <w:t>采购包1（东莞滨海湾新区征拆项目管理系统）：</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东莞滨海湾新区管理委员会</w:t>
      </w:r>
    </w:p>
    <w:p>
      <w:pPr>
        <w:pStyle w:val="null3"/>
        <w:ind w:firstLine="480"/>
      </w:pPr>
      <w:r>
        <w:rPr/>
        <w:t>地址：</w:t>
      </w:r>
      <w:r>
        <w:rPr/>
        <w:t>东莞滨海湾新区湾区1号</w:t>
      </w:r>
    </w:p>
    <w:p>
      <w:pPr>
        <w:pStyle w:val="null3"/>
        <w:ind w:firstLine="480"/>
      </w:pPr>
      <w:r>
        <w:rPr/>
        <w:t>联系方式：</w:t>
      </w:r>
      <w:r>
        <w:rPr/>
        <w:t>13592706997</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东莞滨海湾新区征拆项目管理系统</w:t>
      </w:r>
    </w:p>
    <w:p>
      <w:pPr>
        <w:pStyle w:val="null3"/>
      </w:pPr>
      <w:r>
        <w:rPr/>
        <w:t>采购包1（东莞滨海湾新区征拆项目管理系统）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自签订合同后，90个自然日内完工。</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1期：支付比例30%,签订合同后成交人向采购人提供项目实施方案并通过采购人审核确认后，采购人在收到成交人提供的等额发票等付款资料后30个工作日内支付合同总价30%。</w:t>
            </w:r>
          </w:p>
          <w:p>
            <w:pPr>
              <w:pStyle w:val="null3"/>
            </w:pPr>
            <w:r>
              <w:rPr/>
              <w:t>2期：支付比例50%,项目初验后，采购人在收到成交人提供的等额发票等付款资料后，采购人在30个工作日内支付合同总价的50%。</w:t>
            </w:r>
          </w:p>
          <w:p>
            <w:pPr>
              <w:pStyle w:val="null3"/>
            </w:pPr>
            <w:r>
              <w:rPr/>
              <w:t>3期：支付比例20%,经采购人最终验收合格后、进行项目实际结算时，成交人向采购人提供等额发票，采购人在30个工作日内支付至实际结算价的100%。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收取比例：5%,说明：成交人应在领取成交通知书之后签订合同之前递交履约保证金，履约保证金金额为合同金额的5%，履约保证金可采用保证金（银行转账、电汇）方式，或采用银行出具的履约担保函方式。①以银行转账形式提供履约担保的，履约保证金在合同期满后或验收合格后，成交人向采购人提交退回履约保证金的申请、履约保证金汇款凭证复印件、采购合同、采购项目验收报告原件、成交通知书复印件，前往采购人办理履约保证金退还手续。在本项目合同执行期间，如因成交人的过失或工作不配合的原因造成采购人经济损失的，采购人有权根据损失的数额直接在履约保证金中扣除并书面通知成交人。发生下列情况之一的，履约保证金不予退还： （1）成交人将本项目转让给他人，或者在响应文件中未说明，且未经采购人同意，将成交项目分包给他人的，采购人可依法不予退还其履约保证金； （2）成交人在履行采购合同期间，违反有关法律法规的规定及合同约定的条款，损害了采购人的利益，采购人可依法不予退还其履约保证金。 ②以履约保函形式提供履约担保的，成交人履行完毕合同义务后，及履约保证函到期时，采购人将履约保函退回给成交人。在本项目合同执行期间，如因成交人的过失或工作不配合的原因造成采购人经济损失的，采购人有权按照履约保函中的条款执行并书面通知成交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1、报价要求，报价应包括材料、工具、人工、管理费、利润、税金、风险、招标代理费用等一切因素所有应该和可能发生的费用因素。</w:t>
            </w:r>
          </w:p>
          <w:p>
            <w:pPr>
              <w:pStyle w:val="null3"/>
            </w:pPr>
            <w:r>
              <w:rPr/>
              <w:t>2、合同条款，供应商实质响应合同条款。</w:t>
            </w:r>
          </w:p>
          <w:p>
            <w:pPr>
              <w:pStyle w:val="null3"/>
            </w:pPr>
            <w:r>
              <w:rPr/>
              <w:t>3、其他要求，供应商应充分结合本磋商文件上下文了解项目招标需求、采购文件未尽事宜，将在合同签订或项目执行过程中双方协商确定，供应商须无条件满足采购单位的合理要求。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软件集成实施服务</w:t>
            </w:r>
          </w:p>
        </w:tc>
        <w:tc>
          <w:tcPr>
            <w:tcW w:type="dxa" w:w="933"/>
          </w:tcPr>
          <w:p>
            <w:pPr>
              <w:pStyle w:val="null3"/>
              <w:jc w:val="left"/>
            </w:pPr>
            <w:r>
              <w:rPr/>
              <w:t>项目总览、进度监管、资金监管、私宅厂房动迁流程管理、城中村改造、安置房管理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1,751,216.10</w:t>
            </w:r>
          </w:p>
        </w:tc>
        <w:tc>
          <w:tcPr>
            <w:tcW w:type="dxa" w:w="933"/>
          </w:tcPr>
          <w:p>
            <w:pPr>
              <w:pStyle w:val="null3"/>
              <w:jc w:val="right"/>
            </w:pPr>
            <w:r>
              <w:rPr/>
              <w:t>1,751,216.10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项目总览、进度监管、资金监管、私宅厂房动迁流程管理、城中村改造、安置房管理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left"/>
            </w:pPr>
            <w:r>
              <w:rPr>
                <w:sz w:val="21"/>
              </w:rPr>
              <w:t>随着东莞滨海湾新区城市化进程的快速推进，产业结构调整步骤加快，重点项目及公益性事业建设增长，供、用地矛盾的日益加剧，土地整备作为自然资源集约利用和优化配置的重要作用更加凸显出来。土地整备制度的发展和完善，不仅包括业务管理内容本身，还必须运用信息技术手段进一步提升征拆业务管理能力，推进业务管理创新。</w:t>
            </w:r>
          </w:p>
          <w:p>
            <w:pPr>
              <w:pStyle w:val="null3"/>
              <w:jc w:val="left"/>
            </w:pPr>
            <w:r>
              <w:rPr>
                <w:sz w:val="24"/>
                <w:b/>
              </w:rPr>
              <w:t>二、</w:t>
            </w:r>
            <w:r>
              <w:rPr>
                <w:sz w:val="24"/>
                <w:b/>
              </w:rPr>
              <w:t>建设目标</w:t>
            </w:r>
          </w:p>
          <w:p>
            <w:pPr>
              <w:pStyle w:val="null3"/>
              <w:ind w:firstLine="420"/>
              <w:jc w:val="left"/>
            </w:pPr>
            <w:r>
              <w:rPr>
                <w:sz w:val="21"/>
              </w:rPr>
              <w:t>1</w:t>
            </w:r>
            <w:r>
              <w:rPr>
                <w:sz w:val="21"/>
              </w:rPr>
              <w:t>、提高数据报送效率，减轻征拆工作负担</w:t>
            </w:r>
          </w:p>
          <w:p>
            <w:pPr>
              <w:pStyle w:val="null3"/>
              <w:ind w:firstLine="420"/>
              <w:jc w:val="left"/>
            </w:pPr>
            <w:r>
              <w:rPr>
                <w:sz w:val="21"/>
              </w:rPr>
              <w:t>通过实施东莞滨海湾新区征拆项目管理系统项目，全面统筹规划全区征拆业务的信息化建设，赋能自然资源优化配置。构建全区征拆项目业务</w:t>
            </w:r>
            <w:r>
              <w:rPr>
                <w:sz w:val="21"/>
              </w:rPr>
              <w:t>“一个平台”，统一规范、统一汇交、更新土地数据，统一数据资源的更新维护，避免数据资源的重复采集和建设，降低数据更新和运维成本。</w:t>
            </w:r>
          </w:p>
          <w:p>
            <w:pPr>
              <w:pStyle w:val="null3"/>
              <w:ind w:firstLine="420"/>
              <w:jc w:val="left"/>
            </w:pPr>
            <w:r>
              <w:rPr>
                <w:sz w:val="21"/>
              </w:rPr>
              <w:t>2</w:t>
            </w:r>
            <w:r>
              <w:rPr>
                <w:sz w:val="21"/>
              </w:rPr>
              <w:t>、促进新区征拆业务全流程规范化和协同管理</w:t>
            </w:r>
          </w:p>
          <w:p>
            <w:pPr>
              <w:pStyle w:val="null3"/>
              <w:ind w:firstLine="420"/>
              <w:jc w:val="left"/>
            </w:pPr>
            <w:r>
              <w:rPr>
                <w:sz w:val="21"/>
              </w:rPr>
              <w:t>通过将新区征拆业务的全流程进行规范化管理，打破了部门之间的信息壁垒，促进了各相关部门的协同合作。系统与滨海湾新区财务管理系统、滨海湾新区合同管理系统、滨海湾新区滨海湾一张图、工建系统、资产管理系统对接，不同部门可以实时获取及推送，迅速响应和解决业务之间的数据不一致的问题，加快信息流转的速度，缩短了协调时间。</w:t>
            </w:r>
          </w:p>
          <w:p>
            <w:pPr>
              <w:pStyle w:val="null3"/>
              <w:ind w:firstLine="420"/>
              <w:jc w:val="left"/>
            </w:pPr>
            <w:r>
              <w:rPr>
                <w:sz w:val="21"/>
              </w:rPr>
              <w:t>3</w:t>
            </w:r>
            <w:r>
              <w:rPr>
                <w:sz w:val="21"/>
              </w:rPr>
              <w:t>、全面统筹管理新区征拆项目，实时动态监管新区征拆项目</w:t>
            </w:r>
          </w:p>
          <w:p>
            <w:pPr>
              <w:pStyle w:val="null3"/>
              <w:ind w:firstLine="420"/>
              <w:jc w:val="left"/>
            </w:pPr>
            <w:r>
              <w:rPr>
                <w:sz w:val="21"/>
              </w:rPr>
              <w:t>借助先进的监管平台和技术手段，能够全面统筹管理新区的征拆项目，实时掌握项目的最新动态与准确数据。通过实时监控，可以及时获取征拆项目的各类信息，包括进展情况、财务数据等，确保各项工作按计划推进。</w:t>
            </w:r>
          </w:p>
          <w:p>
            <w:pPr>
              <w:pStyle w:val="null3"/>
              <w:jc w:val="left"/>
            </w:pPr>
            <w:r>
              <w:rPr>
                <w:sz w:val="22"/>
                <w:b/>
              </w:rPr>
              <w:t>三、建设内容</w:t>
            </w:r>
          </w:p>
          <w:p>
            <w:pPr>
              <w:pStyle w:val="null3"/>
              <w:ind w:firstLine="420"/>
              <w:jc w:val="left"/>
            </w:pPr>
            <w:r>
              <w:rPr>
                <w:sz w:val="21"/>
              </w:rPr>
              <w:t>本项目规划的总体建设任务包括建立征拆项目管理系统、数据建设两部分。</w:t>
            </w:r>
          </w:p>
          <w:p>
            <w:pPr>
              <w:pStyle w:val="null3"/>
              <w:numPr>
                <w:ilvl w:val="0"/>
                <w:numId w:val="1"/>
              </w:numPr>
              <w:jc w:val="left"/>
            </w:pPr>
            <w:r>
              <w:rPr>
                <w:sz w:val="21"/>
              </w:rPr>
              <w:t>征拆项目管理系统。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jc w:val="left"/>
            </w:pPr>
            <w:r>
              <w:rPr>
                <w:sz w:val="21"/>
              </w:rPr>
              <w:t xml:space="preserve">    </w:t>
            </w:r>
            <w:r>
              <w:rPr>
                <w:sz w:val="21"/>
              </w:rPr>
              <w:t>（</w:t>
            </w:r>
            <w:r>
              <w:rPr>
                <w:sz w:val="21"/>
              </w:rPr>
              <w:t>2</w:t>
            </w:r>
            <w:r>
              <w:rPr>
                <w:sz w:val="21"/>
              </w:rPr>
              <w:t>）数据整合建设。通过对截至</w:t>
            </w:r>
            <w:r>
              <w:rPr>
                <w:sz w:val="21"/>
              </w:rPr>
              <w:t>2024</w:t>
            </w:r>
            <w:r>
              <w:rPr>
                <w:sz w:val="21"/>
              </w:rPr>
              <w:t>年征拆项目相关数据进行整合，实现对新区范围内的征拆项目数据全覆盖管理，强化征拆项目业务信息化与数字化管理能力。</w:t>
            </w:r>
          </w:p>
          <w:p>
            <w:pPr>
              <w:pStyle w:val="null3"/>
              <w:jc w:val="left"/>
            </w:pPr>
            <w:r>
              <w:rPr>
                <w:sz w:val="22"/>
                <w:b/>
              </w:rPr>
              <w:t>四、征拆项目管理系统建设</w:t>
            </w:r>
          </w:p>
          <w:p>
            <w:pPr>
              <w:pStyle w:val="null3"/>
              <w:ind w:firstLine="420"/>
              <w:jc w:val="left"/>
            </w:pPr>
            <w:r>
              <w:rPr>
                <w:sz w:val="21"/>
              </w:rPr>
              <w:t>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ind w:firstLine="420"/>
              <w:jc w:val="left"/>
            </w:pPr>
            <w:r>
              <w:rPr>
                <w:sz w:val="21"/>
              </w:rPr>
              <w:t>①综合监管子系统：基于项目大量的业务数据，建立综合监管模块，展示征拆项目的总体情况，用于辅助管理层快速掌握关键数据指标和项目实时动态，包括项目总览、项目进度监管、资金监管等关键内容。</w:t>
            </w:r>
          </w:p>
          <w:p>
            <w:pPr>
              <w:pStyle w:val="null3"/>
              <w:ind w:firstLine="420"/>
              <w:jc w:val="left"/>
            </w:pPr>
            <w:r>
              <w:rPr>
                <w:sz w:val="21"/>
              </w:rPr>
              <w:t>②项目信息管理子系统：项目信息管理主要对滨海湾新区私宅动迁工作、企业动迁工作、城中村征拆工作流程进行全流程管理，其中，私宅动迁工作流程管理包括测绘、评估及信息收集阶段管理、信息核查及土地认定阶段管理、签约阶段管理、房屋移交阶段管理、产权注销阶段管理、档案移交归档阶段管理等；企业动迁工作流程管理包括信息核查及方案研究阶段管理、测绘、评估阶段管理、补偿方案确认阶段管理、签约及交地阶段管理、企业安置阶段管理等。</w:t>
            </w:r>
          </w:p>
          <w:p>
            <w:pPr>
              <w:pStyle w:val="null3"/>
              <w:ind w:firstLine="420"/>
              <w:jc w:val="left"/>
            </w:pPr>
            <w:r>
              <w:rPr>
                <w:sz w:val="21"/>
              </w:rPr>
              <w:t>③一张图子系统：一张图提供全区征拆项目地块矢量图形、影像各类数据资源的浏览和地图操作功能，提供全过程查看征收各业务审批数据及相关的附件材料，针对征收全业务域提供属性筛选、空间筛选、图查数、数查图等查询方式获得图数一体查询结果，满足多源数据的集成浏览展示与查询应用需求。</w:t>
            </w:r>
          </w:p>
          <w:p>
            <w:pPr>
              <w:pStyle w:val="null3"/>
              <w:ind w:firstLine="420"/>
              <w:jc w:val="left"/>
            </w:pPr>
            <w:r>
              <w:rPr>
                <w:sz w:val="21"/>
              </w:rPr>
              <w:t>④系统管理子系统：系统管理主要实现对系统运行的管理，主要包括认证管理、权限管理、日志管理、地图服务引擎等功能。</w:t>
            </w:r>
          </w:p>
          <w:p>
            <w:pPr>
              <w:pStyle w:val="null3"/>
              <w:ind w:firstLine="420"/>
              <w:jc w:val="left"/>
            </w:pPr>
            <w:r>
              <w:rPr>
                <w:sz w:val="21"/>
              </w:rPr>
              <w:t>⑤电子档案管理子系统：电子档案管理提供对与征拆项目关联上传的电子档案进行集中管理、查询、统计，满足零星存放的电子档案进行按目录归类存放、统一管理、查询、展示的应用需求。</w:t>
            </w:r>
          </w:p>
          <w:p>
            <w:pPr>
              <w:pStyle w:val="null3"/>
              <w:ind w:firstLine="420"/>
              <w:jc w:val="left"/>
            </w:pPr>
            <w:r>
              <w:rPr>
                <w:sz w:val="21"/>
              </w:rPr>
              <w:t>另外，预留系统对接：通过与东莞市自然资源政务信息融合一体化平台（国土空间基础信息平台）对接，实现各类数据和服务的共享应用；通过与东莞滨海湾新区财务管理系统对接，实现经过数据规整、系统计算的资金支付资金的共享；同时，本项目预留和滨海湾新区滨海湾一张图、工程建设项目全过程管理信息系统、资产管理系统对接接口，避免信息孤岛，提高相关委办局的办事能力和效率，进而提高征拆管理的决策能力。</w:t>
            </w:r>
          </w:p>
          <w:p>
            <w:pPr>
              <w:pStyle w:val="null3"/>
              <w:jc w:val="left"/>
            </w:pPr>
            <w:r>
              <w:rPr>
                <w:sz w:val="22"/>
                <w:b/>
              </w:rPr>
              <w:t>五、数据整合建设</w:t>
            </w:r>
          </w:p>
          <w:p>
            <w:pPr>
              <w:pStyle w:val="null3"/>
              <w:ind w:firstLine="420"/>
              <w:jc w:val="left"/>
            </w:pPr>
            <w:r>
              <w:rPr>
                <w:sz w:val="21"/>
              </w:rPr>
              <w:t>征拆项目综合数据库整合建设包括电子档案数据和征拆管理专题数据进行整合建设两部分。</w:t>
            </w:r>
          </w:p>
          <w:p>
            <w:pPr>
              <w:pStyle w:val="null3"/>
              <w:ind w:firstLine="420"/>
              <w:jc w:val="left"/>
            </w:pPr>
            <w:r>
              <w:rPr>
                <w:sz w:val="21"/>
              </w:rPr>
              <w:t>①电子档案专题数据整合：根据土地整备项目档案数字化规范性要求，按系统管理需求电子档案数字编码、建立数字目录、档案与项目挂接。</w:t>
            </w:r>
          </w:p>
          <w:p>
            <w:pPr>
              <w:pStyle w:val="null3"/>
              <w:ind w:firstLine="420"/>
              <w:jc w:val="left"/>
            </w:pPr>
            <w:r>
              <w:rPr>
                <w:sz w:val="21"/>
              </w:rPr>
              <w:t>②征拆管理专题数据整合：对征拆相关的数据包括项目地块数据、征地红线数据进行整合，对接滨海湾新区财务管理系统资金数据，建设征拆项目财务专题数据。</w:t>
            </w:r>
          </w:p>
          <w:p>
            <w:pPr>
              <w:pStyle w:val="null3"/>
              <w:jc w:val="left"/>
            </w:pPr>
            <w:r>
              <w:rPr>
                <w:sz w:val="22"/>
                <w:b/>
              </w:rPr>
              <w:t>六、非功能要求</w:t>
            </w:r>
          </w:p>
          <w:p>
            <w:pPr>
              <w:pStyle w:val="null3"/>
              <w:ind w:firstLine="420"/>
              <w:jc w:val="left"/>
            </w:pPr>
            <w:r>
              <w:rPr>
                <w:sz w:val="21"/>
              </w:rPr>
              <w:t>1</w:t>
            </w:r>
            <w:r>
              <w:rPr>
                <w:sz w:val="21"/>
              </w:rPr>
              <w:t>、信息技术应用创新适配</w:t>
            </w:r>
          </w:p>
          <w:p>
            <w:pPr>
              <w:pStyle w:val="null3"/>
              <w:ind w:firstLine="420"/>
              <w:jc w:val="left"/>
            </w:pPr>
            <w:r>
              <w:rPr>
                <w:sz w:val="21"/>
              </w:rPr>
              <w:t>（</w:t>
            </w:r>
            <w:r>
              <w:rPr>
                <w:sz w:val="21"/>
              </w:rPr>
              <w:t>1</w:t>
            </w:r>
            <w:r>
              <w:rPr>
                <w:sz w:val="21"/>
              </w:rPr>
              <w:t>）▲适配以鲲鹏、飞腾为代表的</w:t>
            </w:r>
            <w:r>
              <w:rPr>
                <w:sz w:val="21"/>
              </w:rPr>
              <w:t>ARM</w:t>
            </w:r>
            <w:r>
              <w:rPr>
                <w:sz w:val="21"/>
              </w:rPr>
              <w:t>路线和以海光为代表的</w:t>
            </w:r>
            <w:r>
              <w:rPr>
                <w:sz w:val="21"/>
              </w:rPr>
              <w:t>X86</w:t>
            </w:r>
            <w:r>
              <w:rPr>
                <w:sz w:val="21"/>
              </w:rPr>
              <w:t>路线国产化芯片；</w:t>
            </w:r>
          </w:p>
          <w:p>
            <w:pPr>
              <w:pStyle w:val="null3"/>
              <w:ind w:firstLine="420"/>
              <w:jc w:val="left"/>
            </w:pPr>
            <w:r>
              <w:rPr>
                <w:sz w:val="21"/>
              </w:rPr>
              <w:t>（</w:t>
            </w:r>
            <w:r>
              <w:rPr>
                <w:sz w:val="21"/>
              </w:rPr>
              <w:t>2</w:t>
            </w:r>
            <w:r>
              <w:rPr>
                <w:sz w:val="21"/>
              </w:rPr>
              <w:t>）▲适配以麒麟和统信为代表的国产操作系统；</w:t>
            </w:r>
          </w:p>
          <w:p>
            <w:pPr>
              <w:pStyle w:val="null3"/>
              <w:ind w:firstLine="420"/>
              <w:jc w:val="left"/>
            </w:pPr>
            <w:r>
              <w:rPr>
                <w:sz w:val="21"/>
              </w:rPr>
              <w:t>（</w:t>
            </w:r>
            <w:r>
              <w:rPr>
                <w:sz w:val="21"/>
              </w:rPr>
              <w:t>3</w:t>
            </w:r>
            <w:r>
              <w:rPr>
                <w:sz w:val="21"/>
              </w:rPr>
              <w:t>）▲适配以达梦、金仓、瀚高为代表的国产数据库；</w:t>
            </w:r>
          </w:p>
          <w:p>
            <w:pPr>
              <w:pStyle w:val="null3"/>
              <w:ind w:firstLine="420"/>
              <w:jc w:val="left"/>
            </w:pPr>
            <w:r>
              <w:rPr>
                <w:sz w:val="21"/>
              </w:rPr>
              <w:t>（</w:t>
            </w:r>
            <w:r>
              <w:rPr>
                <w:sz w:val="21"/>
              </w:rPr>
              <w:t>4</w:t>
            </w:r>
            <w:r>
              <w:rPr>
                <w:sz w:val="21"/>
              </w:rPr>
              <w:t>）▲适配以东方通、金蝶为代表的国产中间件。</w:t>
            </w:r>
          </w:p>
          <w:p>
            <w:pPr>
              <w:pStyle w:val="null3"/>
              <w:ind w:firstLine="420"/>
              <w:jc w:val="left"/>
            </w:pPr>
            <w:r>
              <w:rPr>
                <w:sz w:val="21"/>
              </w:rPr>
              <w:t>以适应本项目对于安全可信数据环境的要求，实际适配环境主要以东莞滨海湾新区政务云平台为主体进行适配，要求芯片、操作系统、数据库、中间件各提供至少</w:t>
            </w:r>
            <w:r>
              <w:rPr>
                <w:sz w:val="21"/>
              </w:rPr>
              <w:t>1</w:t>
            </w:r>
            <w:r>
              <w:rPr>
                <w:sz w:val="21"/>
              </w:rPr>
              <w:t>个兼容证书。</w:t>
            </w:r>
          </w:p>
          <w:p>
            <w:pPr>
              <w:pStyle w:val="null3"/>
              <w:ind w:firstLine="420"/>
              <w:jc w:val="left"/>
            </w:pPr>
            <w:r>
              <w:rPr>
                <w:sz w:val="21"/>
              </w:rPr>
              <w:t>2</w:t>
            </w:r>
            <w:r>
              <w:rPr>
                <w:sz w:val="21"/>
              </w:rPr>
              <w:t>、部署及安全需求</w:t>
            </w:r>
          </w:p>
          <w:p>
            <w:pPr>
              <w:pStyle w:val="null3"/>
              <w:ind w:firstLine="420"/>
              <w:jc w:val="left"/>
            </w:pPr>
            <w:r>
              <w:rPr>
                <w:sz w:val="21"/>
              </w:rPr>
              <w:t>本项目使用东莞滨海湾新区政务云平台和网络服务资源。云平台服务包括云平台提供的基础设施服务、灾备资源服务、安全服务、密码服务、云平台综合管理服务等。</w:t>
            </w:r>
          </w:p>
          <w:p>
            <w:pPr>
              <w:pStyle w:val="null3"/>
              <w:ind w:firstLine="420"/>
              <w:jc w:val="left"/>
            </w:pPr>
            <w:r>
              <w:rPr>
                <w:sz w:val="21"/>
              </w:rPr>
              <w:t>（</w:t>
            </w:r>
            <w:r>
              <w:rPr>
                <w:sz w:val="21"/>
              </w:rPr>
              <w:t>1</w:t>
            </w:r>
            <w:r>
              <w:rPr>
                <w:sz w:val="21"/>
              </w:rPr>
              <w:t>）网络安全等级要求：系统部署满足等保二级要求。</w:t>
            </w:r>
          </w:p>
          <w:p>
            <w:pPr>
              <w:pStyle w:val="null3"/>
              <w:ind w:firstLine="420"/>
              <w:jc w:val="left"/>
            </w:pPr>
            <w:r>
              <w:rPr>
                <w:sz w:val="21"/>
              </w:rPr>
              <w:t>（</w:t>
            </w:r>
            <w:r>
              <w:rPr>
                <w:sz w:val="21"/>
              </w:rPr>
              <w:t>2</w:t>
            </w:r>
            <w:r>
              <w:rPr>
                <w:sz w:val="21"/>
              </w:rPr>
              <w:t>）商业密码服务要求：满足商用密码测评二级要求。</w:t>
            </w:r>
          </w:p>
          <w:p>
            <w:pPr>
              <w:pStyle w:val="null3"/>
              <w:ind w:firstLine="420"/>
              <w:jc w:val="left"/>
            </w:pPr>
            <w:r>
              <w:rPr>
                <w:sz w:val="21"/>
              </w:rPr>
              <w:t>（</w:t>
            </w:r>
            <w:r>
              <w:rPr>
                <w:sz w:val="21"/>
              </w:rPr>
              <w:t>3</w:t>
            </w:r>
            <w:r>
              <w:rPr>
                <w:sz w:val="21"/>
              </w:rPr>
              <w:t>）响应要求：系统应具有可靠性和安全性，能够</w:t>
            </w:r>
            <w:r>
              <w:rPr>
                <w:sz w:val="21"/>
              </w:rPr>
              <w:t>7</w:t>
            </w:r>
            <w:r>
              <w:rPr>
                <w:sz w:val="21"/>
              </w:rPr>
              <w:t>天×</w:t>
            </w:r>
            <w:r>
              <w:rPr>
                <w:sz w:val="21"/>
              </w:rPr>
              <w:t>24</w:t>
            </w:r>
            <w:r>
              <w:rPr>
                <w:sz w:val="21"/>
              </w:rPr>
              <w:t>小时持续可靠的处理需求访问，并确保系统能在负荷增加的情况下，各应用及相关的所有业务响应处理的完整性和一致性的能力。</w:t>
            </w:r>
          </w:p>
          <w:p>
            <w:pPr>
              <w:pStyle w:val="null3"/>
              <w:ind w:firstLine="420"/>
              <w:jc w:val="left"/>
            </w:pPr>
            <w:r>
              <w:rPr>
                <w:sz w:val="21"/>
              </w:rPr>
              <w:t>3</w:t>
            </w:r>
            <w:r>
              <w:rPr>
                <w:sz w:val="21"/>
              </w:rPr>
              <w:t>、性能需求</w:t>
            </w:r>
          </w:p>
          <w:p>
            <w:pPr>
              <w:pStyle w:val="null3"/>
              <w:ind w:firstLine="420"/>
              <w:jc w:val="left"/>
            </w:pPr>
            <w:r>
              <w:rPr>
                <w:sz w:val="21"/>
              </w:rPr>
              <w:t>本项目运行于东莞滨海湾新区电子政务外网，需满足用户使用数在</w:t>
            </w:r>
            <w:r>
              <w:rPr>
                <w:sz w:val="21"/>
              </w:rPr>
              <w:t>500</w:t>
            </w:r>
            <w:r>
              <w:rPr>
                <w:sz w:val="21"/>
              </w:rPr>
              <w:t>人以上，支持</w:t>
            </w:r>
            <w:r>
              <w:rPr>
                <w:sz w:val="21"/>
              </w:rPr>
              <w:t>100</w:t>
            </w:r>
            <w:r>
              <w:rPr>
                <w:sz w:val="21"/>
              </w:rPr>
              <w:t>人以上用户同时在线，最少支持</w:t>
            </w:r>
            <w:r>
              <w:rPr>
                <w:sz w:val="21"/>
              </w:rPr>
              <w:t>20</w:t>
            </w:r>
            <w:r>
              <w:rPr>
                <w:sz w:val="21"/>
              </w:rPr>
              <w:t>用户的并发处理。</w:t>
            </w:r>
          </w:p>
          <w:p>
            <w:pPr>
              <w:pStyle w:val="null3"/>
              <w:ind w:firstLine="420"/>
              <w:jc w:val="left"/>
            </w:pPr>
            <w:r>
              <w:rPr>
                <w:sz w:val="21"/>
              </w:rPr>
              <w:t>4</w:t>
            </w:r>
            <w:r>
              <w:rPr>
                <w:sz w:val="21"/>
              </w:rPr>
              <w:t>、技术需求</w:t>
            </w:r>
          </w:p>
          <w:p>
            <w:pPr>
              <w:pStyle w:val="null3"/>
              <w:ind w:firstLine="420"/>
              <w:jc w:val="left"/>
            </w:pPr>
            <w:r>
              <w:rPr>
                <w:sz w:val="21"/>
              </w:rPr>
              <w:t>本项目采用微服务架构，前后端分离模式。项目基于低代码技术快速搭建应用，减少开发和运维成本。</w:t>
            </w:r>
          </w:p>
          <w:p>
            <w:pPr>
              <w:pStyle w:val="null3"/>
              <w:ind w:firstLine="420"/>
              <w:jc w:val="left"/>
            </w:pPr>
            <w:r>
              <w:rPr>
                <w:sz w:val="21"/>
              </w:rPr>
              <w:t>（</w:t>
            </w:r>
            <w:r>
              <w:rPr>
                <w:sz w:val="21"/>
              </w:rPr>
              <w:t>1</w:t>
            </w:r>
            <w:r>
              <w:rPr>
                <w:sz w:val="21"/>
              </w:rPr>
              <w:t>）采用</w:t>
            </w:r>
            <w:r>
              <w:rPr>
                <w:sz w:val="21"/>
              </w:rPr>
              <w:t>Java</w:t>
            </w:r>
            <w:r>
              <w:rPr>
                <w:sz w:val="21"/>
              </w:rPr>
              <w:t>语言开发</w:t>
            </w:r>
          </w:p>
          <w:p>
            <w:pPr>
              <w:pStyle w:val="null3"/>
              <w:ind w:firstLine="420"/>
              <w:jc w:val="left"/>
            </w:pPr>
            <w:r>
              <w:rPr>
                <w:sz w:val="21"/>
              </w:rPr>
              <w:t>采用</w:t>
            </w:r>
            <w:r>
              <w:rPr>
                <w:sz w:val="21"/>
              </w:rPr>
              <w:t>Java</w:t>
            </w:r>
            <w:r>
              <w:rPr>
                <w:sz w:val="21"/>
              </w:rPr>
              <w:t>开发语言，满足跨平台部署运行的要求；为保障系统稳定性和安全性，本项目所有相关软件都需要部署于</w:t>
            </w:r>
            <w:r>
              <w:rPr>
                <w:sz w:val="21"/>
              </w:rPr>
              <w:t>Linux</w:t>
            </w:r>
            <w:r>
              <w:rPr>
                <w:sz w:val="21"/>
              </w:rPr>
              <w:t>环境。</w:t>
            </w:r>
          </w:p>
          <w:p>
            <w:pPr>
              <w:pStyle w:val="null3"/>
              <w:ind w:firstLine="420"/>
              <w:jc w:val="left"/>
            </w:pPr>
            <w:r>
              <w:rPr>
                <w:sz w:val="21"/>
              </w:rPr>
              <w:t>（</w:t>
            </w:r>
            <w:r>
              <w:rPr>
                <w:sz w:val="21"/>
              </w:rPr>
              <w:t>2</w:t>
            </w:r>
            <w:r>
              <w:rPr>
                <w:sz w:val="21"/>
              </w:rPr>
              <w:t>）采用微服务架构</w:t>
            </w:r>
          </w:p>
          <w:p>
            <w:pPr>
              <w:pStyle w:val="null3"/>
              <w:jc w:val="both"/>
            </w:pPr>
            <w:r>
              <w:rPr>
                <w:sz w:val="21"/>
              </w:rPr>
              <w:t>本项目采用成熟的微服务架构进行开发，增强系统的扩展性、提高系统的可用性、促进持续交付和迭代。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滨海湾新区征拆项目管理系统)：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采购包1（东莞滨海湾新区征拆项目管理系统）：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采购包1（东莞滨海湾新区征拆项目管理系统）：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采购包1（东莞滨海湾新区征拆项目管理系统）：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采购包1(东莞滨海湾新区征拆项目管理系统):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(4.0分)</w:t>
            </w:r>
          </w:p>
        </w:tc>
        <w:tc>
          <w:tcPr>
            <w:tcW w:type="dxa" w:w="5076"/>
          </w:tcPr>
          <w:p>
            <w:pPr>
              <w:pStyle w:val="null3"/>
              <w:jc w:val="left"/>
            </w:pPr>
            <w:r>
              <w:rPr/>
              <w:t>对用户需求书中带“▲”技术要求条款的技术指标进行响应，若全部响应为满足或优于的得4分，不满足或者不响应的每一个扣1分，扣完为止，本项最低得0分。 （对用户需求中的带“▲”技术指标条款，投标人必须按实际响应情况填写《技术和服务要求响应表》以及提供相关证明资料的并加盖投标人公章）。</w:t>
            </w:r>
          </w:p>
        </w:tc>
      </w:tr>
      <w:tr>
        <w:tc>
          <w:tcPr>
            <w:tcW w:type="dxa" w:w="922"/>
            <w:gridSpan w:val="2"/>
            <w:vMerge/>
          </w:tcPr>
          <w:p/>
        </w:tc>
        <w:tc>
          <w:tcPr>
            <w:tcW w:type="dxa" w:w="2307"/>
          </w:tcPr>
          <w:p>
            <w:pPr>
              <w:pStyle w:val="null3"/>
              <w:jc w:val="left"/>
            </w:pPr>
            <w:r>
              <w:rPr/>
              <w:t>对本项目的理解 (5.0分)</w:t>
            </w:r>
            <w:r>
              <w:rPr/>
              <w:t>，（等次分值选择：</w:t>
            </w:r>
            <w:r>
              <w:rPr/>
              <w:t>0.0;</w:t>
            </w:r>
            <w:r>
              <w:rPr/>
              <w:t>1.0;</w:t>
            </w:r>
            <w:r>
              <w:rPr/>
              <w:t>3.0;</w:t>
            </w:r>
            <w:r>
              <w:rPr/>
              <w:t>5.0;</w:t>
            </w:r>
            <w:r>
              <w:rPr/>
              <w:t>）</w:t>
            </w:r>
          </w:p>
        </w:tc>
        <w:tc>
          <w:tcPr>
            <w:tcW w:type="dxa" w:w="5076"/>
          </w:tcPr>
          <w:p>
            <w:pPr>
              <w:pStyle w:val="null3"/>
              <w:jc w:val="left"/>
            </w:pPr>
            <w:r>
              <w:rPr/>
              <w:t>根据投标人结合本项目采购需求，对本项目的背景、现状、目标、需求、政策要求等分析进行综合评审： 能完全理解项目需求，对本项目的背景、现状、目标、需求、政策要求等分析清楚的，得5分； 基本理解项目需求，对本项目的背景、现状、目标、需求、政策要求等较为清楚的，得3分； 本项目的背景、现状、目标、需求、政策要求等分析简单或内容不齐全的，得1分； 未提供以上对应方案或相关内容的得0分。</w:t>
            </w:r>
          </w:p>
        </w:tc>
      </w:tr>
      <w:tr>
        <w:tc>
          <w:tcPr>
            <w:tcW w:type="dxa" w:w="922"/>
            <w:gridSpan w:val="2"/>
            <w:vMerge/>
          </w:tcPr>
          <w:p/>
        </w:tc>
        <w:tc>
          <w:tcPr>
            <w:tcW w:type="dxa" w:w="2307"/>
          </w:tcPr>
          <w:p>
            <w:pPr>
              <w:pStyle w:val="null3"/>
              <w:jc w:val="left"/>
            </w:pPr>
            <w:r>
              <w:rPr/>
              <w:t>项目重点难点分析、应对措施及相关的合理化建议 (5.0分)</w:t>
            </w:r>
            <w:r>
              <w:rPr/>
              <w:t>，（等次分值选择：</w:t>
            </w:r>
            <w:r>
              <w:rPr/>
              <w:t>0.0;</w:t>
            </w:r>
            <w:r>
              <w:rPr/>
              <w:t>0.5;</w:t>
            </w:r>
            <w:r>
              <w:rPr/>
              <w:t>1.0;</w:t>
            </w:r>
            <w:r>
              <w:rPr/>
              <w:t>3.0;</w:t>
            </w:r>
            <w:r>
              <w:rPr/>
              <w:t>5.0;</w:t>
            </w:r>
            <w:r>
              <w:rPr/>
              <w:t>）</w:t>
            </w:r>
          </w:p>
        </w:tc>
        <w:tc>
          <w:tcPr>
            <w:tcW w:type="dxa" w:w="5076"/>
          </w:tcPr>
          <w:p>
            <w:pPr>
              <w:pStyle w:val="null3"/>
              <w:jc w:val="left"/>
            </w:pPr>
            <w:r>
              <w:rPr/>
              <w:t>根据投标人所提供的项目重点难点分析、应对措施及相关的合理化建议进行综合评审： 项目重点难点分析、应对措施及相关的合理化建议详尽完善、合理性强、针对性强、有效性高，得5分; 项目重点难点分析、应对措施及相关的合理化建议较完善、合理性较强、针对性较强、有效性较高，得3分; 项目重点难点分析、应对措施及相关的合理化建议基本完善、合理性、针对性、有效性一般，得1分; 项目重点难点分析、应对措施及相关的合理化建议不完善，合理性、针对性及有效性差，得0.5分; 未提供以上对应方案或相关内容的得0分。</w:t>
            </w:r>
          </w:p>
        </w:tc>
      </w:tr>
      <w:tr>
        <w:tc>
          <w:tcPr>
            <w:tcW w:type="dxa" w:w="922"/>
            <w:gridSpan w:val="2"/>
            <w:vMerge/>
          </w:tcPr>
          <w:p/>
        </w:tc>
        <w:tc>
          <w:tcPr>
            <w:tcW w:type="dxa" w:w="2307"/>
          </w:tcPr>
          <w:p>
            <w:pPr>
              <w:pStyle w:val="null3"/>
              <w:jc w:val="left"/>
            </w:pPr>
            <w:r>
              <w:rPr/>
              <w:t>项目总体设计方案 (5.0分)</w:t>
            </w:r>
            <w:r>
              <w:rPr/>
              <w:t>，（等次分值选择：</w:t>
            </w:r>
            <w:r>
              <w:rPr/>
              <w:t>0.0;</w:t>
            </w:r>
            <w:r>
              <w:rPr/>
              <w:t>0.5;</w:t>
            </w:r>
            <w:r>
              <w:rPr/>
              <w:t>1.0;</w:t>
            </w:r>
            <w:r>
              <w:rPr/>
              <w:t>3.0;</w:t>
            </w:r>
            <w:r>
              <w:rPr/>
              <w:t>5.0;</w:t>
            </w:r>
            <w:r>
              <w:rPr/>
              <w:t>）</w:t>
            </w:r>
          </w:p>
        </w:tc>
        <w:tc>
          <w:tcPr>
            <w:tcW w:type="dxa" w:w="5076"/>
          </w:tcPr>
          <w:p>
            <w:pPr>
              <w:pStyle w:val="null3"/>
              <w:jc w:val="left"/>
            </w:pPr>
            <w:r>
              <w:rPr/>
              <w:t>根据投标人针对本项目制定的项目总体设计方案（包括但不限于设计依据、总体架构、业务架构、技术架构、网络设计、安全设计、关键技术等）进行综合评审： 项目总体设计方案内容完善、合理性强、可行性强的，得5分； 项目总体设计方案内容较为完整、合理性较强、可行性较强的，得3分； 项目总体设计方案内容基本完整、合理性一般、可行性一般的，得1分； 项目总体设计方案内容不完整、合理性差、可行性差的，得0.5分； 未提供以上对应方案或相关内容的得0分。</w:t>
            </w:r>
          </w:p>
        </w:tc>
      </w:tr>
      <w:tr>
        <w:tc>
          <w:tcPr>
            <w:tcW w:type="dxa" w:w="922"/>
            <w:gridSpan w:val="2"/>
            <w:vMerge/>
          </w:tcPr>
          <w:p/>
        </w:tc>
        <w:tc>
          <w:tcPr>
            <w:tcW w:type="dxa" w:w="2307"/>
          </w:tcPr>
          <w:p>
            <w:pPr>
              <w:pStyle w:val="null3"/>
              <w:jc w:val="left"/>
            </w:pPr>
            <w:r>
              <w:rPr/>
              <w:t>系统功能设计方案 (10.0分)</w:t>
            </w:r>
            <w:r>
              <w:rPr/>
              <w:t>，（等次分值选择：</w:t>
            </w:r>
            <w:r>
              <w:rPr/>
              <w:t>0.0;</w:t>
            </w:r>
            <w:r>
              <w:rPr/>
              <w:t>1.0;</w:t>
            </w:r>
            <w:r>
              <w:rPr/>
              <w:t>3.0;</w:t>
            </w:r>
            <w:r>
              <w:rPr/>
              <w:t>6.0;</w:t>
            </w:r>
            <w:r>
              <w:rPr/>
              <w:t>10.0;</w:t>
            </w:r>
            <w:r>
              <w:rPr/>
              <w:t>）</w:t>
            </w:r>
          </w:p>
        </w:tc>
        <w:tc>
          <w:tcPr>
            <w:tcW w:type="dxa" w:w="5076"/>
          </w:tcPr>
          <w:p>
            <w:pPr>
              <w:pStyle w:val="null3"/>
              <w:jc w:val="left"/>
            </w:pPr>
            <w:r>
              <w:rPr/>
              <w:t>根据投标人针对征拆项目管理系统功能需求设计方案的详细程度、合理性、可行性等进行综合评审： 系统功能设计方案内容完善、合理性强、可行性强的，得10分； 系统功能设计方案内容较为完整、合理性较强、可行性较强的，得6分； 系统功能设计方案内容基本完整、合理性一般、可行性一般的，得3分； 系统功能设计方案内容不完整、合理性差、可行性差的，得1分； 未提供以上对应方案或相关内容的得0分。</w:t>
            </w:r>
          </w:p>
        </w:tc>
      </w:tr>
      <w:tr>
        <w:tc>
          <w:tcPr>
            <w:tcW w:type="dxa" w:w="922"/>
            <w:gridSpan w:val="2"/>
            <w:vMerge/>
          </w:tcPr>
          <w:p/>
        </w:tc>
        <w:tc>
          <w:tcPr>
            <w:tcW w:type="dxa" w:w="2307"/>
          </w:tcPr>
          <w:p>
            <w:pPr>
              <w:pStyle w:val="null3"/>
              <w:jc w:val="left"/>
            </w:pPr>
            <w:r>
              <w:rPr/>
              <w:t>数据整合方案 (6.0分)</w:t>
            </w:r>
            <w:r>
              <w:rPr/>
              <w:t>，（等次分值选择：</w:t>
            </w:r>
            <w:r>
              <w:rPr/>
              <w:t>0.0;</w:t>
            </w:r>
            <w:r>
              <w:rPr/>
              <w:t>2.0;</w:t>
            </w:r>
            <w:r>
              <w:rPr/>
              <w:t>4.0;</w:t>
            </w:r>
            <w:r>
              <w:rPr/>
              <w:t>6.0;</w:t>
            </w:r>
            <w:r>
              <w:rPr/>
              <w:t>）</w:t>
            </w:r>
          </w:p>
        </w:tc>
        <w:tc>
          <w:tcPr>
            <w:tcW w:type="dxa" w:w="5076"/>
          </w:tcPr>
          <w:p>
            <w:pPr>
              <w:pStyle w:val="null3"/>
              <w:jc w:val="left"/>
            </w:pPr>
            <w:r>
              <w:rPr/>
              <w:t>根据投标人针对数据整合方案的详细程度、合理性、可行性等进行综合评审： 方案内容完善、合理性强、可行性强的，得6分； 方案内容较为完整、合理性较强、可行性较强的，得4分； 方案内容基本完整、合理性一般、可行性一般的，得2分； 方案内容不完整、合理性差、可行性差的，得1分；未提供以上对应方案或相关内容的得0分。</w:t>
            </w:r>
          </w:p>
        </w:tc>
      </w:tr>
      <w:tr>
        <w:tc>
          <w:tcPr>
            <w:tcW w:type="dxa" w:w="922"/>
            <w:gridSpan w:val="2"/>
            <w:vMerge/>
          </w:tcPr>
          <w:p/>
        </w:tc>
        <w:tc>
          <w:tcPr>
            <w:tcW w:type="dxa" w:w="2307"/>
          </w:tcPr>
          <w:p>
            <w:pPr>
              <w:pStyle w:val="null3"/>
              <w:jc w:val="left"/>
            </w:pPr>
            <w:r>
              <w:rPr/>
              <w:t>项目实施方案 (6.0分)</w:t>
            </w:r>
            <w:r>
              <w:rPr/>
              <w:t>，（等次分值选择：</w:t>
            </w:r>
            <w:r>
              <w:rPr/>
              <w:t>0.0;</w:t>
            </w:r>
            <w:r>
              <w:rPr/>
              <w:t>1.0;</w:t>
            </w:r>
            <w:r>
              <w:rPr/>
              <w:t>2.0;</w:t>
            </w:r>
            <w:r>
              <w:rPr/>
              <w:t>4.0;</w:t>
            </w:r>
            <w:r>
              <w:rPr/>
              <w:t>6.0;</w:t>
            </w:r>
            <w:r>
              <w:rPr/>
              <w:t>）</w:t>
            </w:r>
          </w:p>
        </w:tc>
        <w:tc>
          <w:tcPr>
            <w:tcW w:type="dxa" w:w="5076"/>
          </w:tcPr>
          <w:p>
            <w:pPr>
              <w:pStyle w:val="null3"/>
              <w:jc w:val="left"/>
            </w:pPr>
            <w:r>
              <w:rPr/>
              <w:t>根据投标人针对本项目制定的项目实施方案（包括但不仅限于：项目进度计划、项目组织架构、质量保障措施、进度保障措施、风险控制措施、项目验收方案、项目培训方案等）进行综合评审： 项目实施方案内容完整、合理性强、可行性强的，得6分； 项目实施方案内容较为完整、合理性较强、可行性较强的，得4分； 项目实施方案内容基本完整、合理性一般、可行性一般的，得2分； 项目实施方案内容不完整、合理性差、可行性差的，得1分； 未提供以上对应方案或相关内容的得0分。</w:t>
            </w:r>
          </w:p>
        </w:tc>
      </w:tr>
      <w:tr>
        <w:tc>
          <w:tcPr>
            <w:tcW w:type="dxa" w:w="922"/>
            <w:gridSpan w:val="2"/>
            <w:vMerge/>
          </w:tcPr>
          <w:p/>
        </w:tc>
        <w:tc>
          <w:tcPr>
            <w:tcW w:type="dxa" w:w="2307"/>
          </w:tcPr>
          <w:p>
            <w:pPr>
              <w:pStyle w:val="null3"/>
              <w:jc w:val="left"/>
            </w:pPr>
            <w:r>
              <w:rPr/>
              <w:t>售后服务方案 (4.0分)</w:t>
            </w:r>
            <w:r>
              <w:rPr/>
              <w:t>，（等次分值选择：</w:t>
            </w:r>
            <w:r>
              <w:rPr/>
              <w:t>0.0;</w:t>
            </w:r>
            <w:r>
              <w:rPr/>
              <w:t>1.0;</w:t>
            </w:r>
            <w:r>
              <w:rPr/>
              <w:t>2.0;</w:t>
            </w:r>
            <w:r>
              <w:rPr/>
              <w:t>4.0;</w:t>
            </w:r>
            <w:r>
              <w:rPr/>
              <w:t>）</w:t>
            </w:r>
          </w:p>
        </w:tc>
        <w:tc>
          <w:tcPr>
            <w:tcW w:type="dxa" w:w="5076"/>
          </w:tcPr>
          <w:p>
            <w:pPr>
              <w:pStyle w:val="null3"/>
              <w:jc w:val="left"/>
            </w:pPr>
            <w:r>
              <w:rPr/>
              <w:t>根据投标人针对本项目制定的售后服务方案（包括但不限于服务内容、服务响应时间、售后服务机构、保障措施、服务人员配置等）进行综合评审： 售后服务方案内容完整、合理性强、可行性强的，得4分； 售后服务方案内容基本完整、合理性一般、可行性一般的，得2分； 售后服务方案内容不完整、合理性差、可行性差的，得1分； 未提供以上对应方案或相关内容的得0分。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(4.0分)</w:t>
            </w:r>
          </w:p>
        </w:tc>
        <w:tc>
          <w:tcPr>
            <w:tcW w:type="dxa" w:w="5076"/>
          </w:tcPr>
          <w:p>
            <w:pPr>
              <w:pStyle w:val="null3"/>
              <w:jc w:val="left"/>
            </w:pPr>
            <w:r>
              <w:rPr/>
              <w:t>投标人具有国家认证认可监督管理部门批准设立的认证机构颁发并在有效期内的以下认证证书： （1）质量管理体系认证证书； （2）售后服务认证证书； （3）环境管理体系认证证书； （4）职业健康安全管理体系认证证书 以上证书每提供一个得1分，最高得4分。 注：须提供在有效期内的认证证书复印件加盖投标人公章，否则不得分。</w:t>
            </w:r>
          </w:p>
        </w:tc>
      </w:tr>
      <w:tr>
        <w:tc>
          <w:tcPr>
            <w:tcW w:type="dxa" w:w="922"/>
            <w:gridSpan w:val="2"/>
            <w:vMerge/>
          </w:tcPr>
          <w:p/>
        </w:tc>
        <w:tc>
          <w:tcPr>
            <w:tcW w:type="dxa" w:w="2307"/>
          </w:tcPr>
          <w:p>
            <w:pPr>
              <w:pStyle w:val="null3"/>
              <w:jc w:val="left"/>
            </w:pPr>
            <w:r>
              <w:rPr/>
              <w:t>业绩一 (3.0分)</w:t>
            </w:r>
          </w:p>
        </w:tc>
        <w:tc>
          <w:tcPr>
            <w:tcW w:type="dxa" w:w="5076"/>
          </w:tcPr>
          <w:p>
            <w:pPr>
              <w:pStyle w:val="null3"/>
              <w:jc w:val="left"/>
            </w:pPr>
            <w:r>
              <w:rPr/>
              <w:t>投标人承担过“征地监管”类信息化项目，每提供一个业绩得3分，最高得3分。 注：须提供合同复印件并加盖投标人公章，否则不得分。</w:t>
            </w:r>
          </w:p>
        </w:tc>
      </w:tr>
      <w:tr>
        <w:tc>
          <w:tcPr>
            <w:tcW w:type="dxa" w:w="922"/>
            <w:gridSpan w:val="2"/>
            <w:vMerge/>
          </w:tcPr>
          <w:p/>
        </w:tc>
        <w:tc>
          <w:tcPr>
            <w:tcW w:type="dxa" w:w="2307"/>
          </w:tcPr>
          <w:p>
            <w:pPr>
              <w:pStyle w:val="null3"/>
              <w:jc w:val="left"/>
            </w:pPr>
            <w:r>
              <w:rPr/>
              <w:t>业绩二 (6.0分)</w:t>
            </w:r>
          </w:p>
        </w:tc>
        <w:tc>
          <w:tcPr>
            <w:tcW w:type="dxa" w:w="5076"/>
          </w:tcPr>
          <w:p>
            <w:pPr>
              <w:pStyle w:val="null3"/>
              <w:jc w:val="left"/>
            </w:pPr>
            <w:r>
              <w:rPr/>
              <w:t>投标人承担过“征地业务档案数字化”类项目，每提供1项有效业绩得3分，最高得6分。 注：须提供合同复印件加盖投标人公章，否则不得分。</w:t>
            </w:r>
          </w:p>
        </w:tc>
      </w:tr>
      <w:tr>
        <w:tc>
          <w:tcPr>
            <w:tcW w:type="dxa" w:w="922"/>
            <w:gridSpan w:val="2"/>
            <w:vMerge/>
          </w:tcPr>
          <w:p/>
        </w:tc>
        <w:tc>
          <w:tcPr>
            <w:tcW w:type="dxa" w:w="2307"/>
          </w:tcPr>
          <w:p>
            <w:pPr>
              <w:pStyle w:val="null3"/>
              <w:jc w:val="left"/>
            </w:pPr>
            <w:r>
              <w:rPr/>
              <w:t>业绩三 (3.0分)</w:t>
            </w:r>
          </w:p>
        </w:tc>
        <w:tc>
          <w:tcPr>
            <w:tcW w:type="dxa" w:w="5076"/>
          </w:tcPr>
          <w:p>
            <w:pPr>
              <w:pStyle w:val="null3"/>
              <w:jc w:val="left"/>
            </w:pPr>
            <w:r>
              <w:rPr/>
              <w:t>投标人承担过“土地和房屋征收”类信息化项目，每提供1项有效业绩得3分，最高得3分。 注：须提供合同复印件并加盖投标人公章，否则不得分。</w:t>
            </w:r>
          </w:p>
        </w:tc>
      </w:tr>
      <w:tr>
        <w:tc>
          <w:tcPr>
            <w:tcW w:type="dxa" w:w="922"/>
            <w:gridSpan w:val="2"/>
            <w:vMerge/>
          </w:tcPr>
          <w:p/>
        </w:tc>
        <w:tc>
          <w:tcPr>
            <w:tcW w:type="dxa" w:w="2307"/>
          </w:tcPr>
          <w:p>
            <w:pPr>
              <w:pStyle w:val="null3"/>
              <w:jc w:val="left"/>
            </w:pPr>
            <w:r>
              <w:rPr/>
              <w:t>团队实力一 (3.0分)</w:t>
            </w:r>
          </w:p>
        </w:tc>
        <w:tc>
          <w:tcPr>
            <w:tcW w:type="dxa" w:w="5076"/>
          </w:tcPr>
          <w:p>
            <w:pPr>
              <w:pStyle w:val="null3"/>
              <w:jc w:val="left"/>
            </w:pPr>
            <w:r>
              <w:rPr/>
              <w:t>根据供应商拟投入的项目经理（仅1人）投入本项目人员情况进行评审： 1、具有正高级工程师职称证书，得2分； 2、具有信息系统项目管理师证书，得1分； 本项最高3分。 注：必须提供人员相关证书的复印件及开标前3个月（不含开标当月）内任意一个月投标人为其购买的社会保险证明材料复印件并加盖投标人公章，否则不得分。</w:t>
            </w:r>
          </w:p>
        </w:tc>
      </w:tr>
      <w:tr>
        <w:tc>
          <w:tcPr>
            <w:tcW w:type="dxa" w:w="922"/>
            <w:gridSpan w:val="2"/>
            <w:vMerge/>
          </w:tcPr>
          <w:p/>
        </w:tc>
        <w:tc>
          <w:tcPr>
            <w:tcW w:type="dxa" w:w="2307"/>
          </w:tcPr>
          <w:p>
            <w:pPr>
              <w:pStyle w:val="null3"/>
              <w:jc w:val="left"/>
            </w:pPr>
            <w:r>
              <w:rPr/>
              <w:t>团队实力二 (16.0分)</w:t>
            </w:r>
          </w:p>
        </w:tc>
        <w:tc>
          <w:tcPr>
            <w:tcW w:type="dxa" w:w="5076"/>
          </w:tcPr>
          <w:p>
            <w:pPr>
              <w:pStyle w:val="null3"/>
              <w:jc w:val="left"/>
            </w:pPr>
            <w:r>
              <w:rPr/>
              <w:t>根据供应商拟投入本项目团队成员（除项目经理外）情况进行评审： 1、具有中级及以上工程师职称证书的，每提供一个得0.5分，本项最高4分； 2、具有信息系统项目管理师证书的，每提供一个得1分，本项最高6分； 3、具有软件设计师证书的，每提供一个得0.5分，本项最高4分； 4、具有地理信息安全保密培训合格证的，每提供一个得0.5分，本项最高2分。 注：必须提供人员相关证书的复印件及开标前3个月（不含开标当月）内任意一个月投标人为其购买的社会保险证明材料复印件并加盖投标人公章，否则不得分。</w:t>
            </w:r>
          </w:p>
        </w:tc>
      </w:tr>
      <w:tr>
        <w:tc>
          <w:tcPr>
            <w:tcW w:type="dxa" w:w="922"/>
            <w:gridSpan w:val="2"/>
            <w:vMerge/>
          </w:tcPr>
          <w:p/>
        </w:tc>
        <w:tc>
          <w:tcPr>
            <w:tcW w:type="dxa" w:w="2307"/>
          </w:tcPr>
          <w:p>
            <w:pPr>
              <w:pStyle w:val="null3"/>
              <w:jc w:val="left"/>
            </w:pPr>
            <w:r>
              <w:rPr/>
              <w:t>研发实力 (10.0分)</w:t>
            </w:r>
          </w:p>
        </w:tc>
        <w:tc>
          <w:tcPr>
            <w:tcW w:type="dxa" w:w="5076"/>
          </w:tcPr>
          <w:p>
            <w:pPr>
              <w:pStyle w:val="null3"/>
              <w:jc w:val="left"/>
            </w:pPr>
            <w:r>
              <w:rPr/>
              <w:t>投标人具有国家版权局颁发的并在有效期内的以下认证证书： ①空间数据集成类的计算机软件著作权登记证书 ②档案管理类的计算机软件著作权登记证书 ③项目管理类的计算机软件著作权登记证书 ④一张图类的计算机软件著作权登记证书 ⑤综合监管类的计算机软件著作权登记证书 以上证书每提供一个得2分，最高分得10分。【必须提供上述有效的证书复印件并加盖投标人公章，否则不得分。】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jc w:val="both"/>
      </w:pPr>
      <w:r>
        <w:rPr>
          <w:sz w:val="44"/>
          <w:b/>
        </w:rPr>
        <w:t>东莞滨海湾新区征拆项目管理系统</w:t>
      </w:r>
    </w:p>
    <w:p>
      <w:pPr>
        <w:pStyle w:val="null3"/>
        <w:jc w:val="center"/>
      </w:pPr>
      <w:r>
        <w:rPr/>
        <w:t xml:space="preserve"> </w:t>
      </w:r>
    </w:p>
    <w:p>
      <w:pPr>
        <w:pStyle w:val="null3"/>
        <w:ind w:left="2520"/>
        <w:jc w:val="center"/>
      </w:pPr>
      <w:r>
        <w:rPr/>
        <w:t xml:space="preserve"> </w:t>
      </w:r>
    </w:p>
    <w:p>
      <w:pPr>
        <w:pStyle w:val="null3"/>
        <w:ind w:left="2520"/>
        <w:jc w:val="center"/>
      </w:pPr>
      <w:r>
        <w:rPr/>
        <w:t xml:space="preserve"> </w:t>
      </w:r>
    </w:p>
    <w:p>
      <w:pPr>
        <w:pStyle w:val="null3"/>
        <w:ind w:left="2520"/>
        <w:jc w:val="center"/>
      </w:pPr>
      <w:r>
        <w:rPr>
          <w:sz w:val="84"/>
          <w:b/>
        </w:rPr>
        <w:t>合</w:t>
      </w:r>
    </w:p>
    <w:p>
      <w:pPr>
        <w:pStyle w:val="null3"/>
        <w:ind w:left="2520"/>
        <w:jc w:val="center"/>
      </w:pPr>
      <w:r>
        <w:rPr/>
        <w:t xml:space="preserve"> </w:t>
      </w:r>
    </w:p>
    <w:p>
      <w:pPr>
        <w:pStyle w:val="null3"/>
        <w:ind w:left="2520"/>
        <w:jc w:val="center"/>
      </w:pPr>
      <w:r>
        <w:rPr/>
        <w:t xml:space="preserve"> </w:t>
      </w:r>
    </w:p>
    <w:p>
      <w:pPr>
        <w:pStyle w:val="null3"/>
        <w:ind w:left="2520"/>
        <w:jc w:val="center"/>
      </w:pPr>
      <w:r>
        <w:rPr/>
        <w:t xml:space="preserve"> </w:t>
      </w:r>
    </w:p>
    <w:p>
      <w:pPr>
        <w:pStyle w:val="null3"/>
        <w:ind w:left="2520"/>
        <w:jc w:val="center"/>
      </w:pPr>
      <w:r>
        <w:rPr/>
        <w:t xml:space="preserve"> </w:t>
      </w:r>
    </w:p>
    <w:p>
      <w:pPr>
        <w:pStyle w:val="null3"/>
        <w:ind w:left="2520"/>
        <w:jc w:val="center"/>
      </w:pPr>
      <w:r>
        <w:rPr>
          <w:sz w:val="84"/>
          <w:b/>
        </w:rPr>
        <w:t>同</w:t>
      </w:r>
    </w:p>
    <w:p>
      <w:pPr>
        <w:pStyle w:val="null3"/>
        <w:ind w:left="2160"/>
        <w:jc w:val="center"/>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签约地点：东莞滨海湾新区湾区</w:t>
      </w:r>
      <w:r>
        <w:rPr>
          <w:sz w:val="30"/>
        </w:rPr>
        <w:t>1</w:t>
      </w:r>
      <w:r>
        <w:rPr>
          <w:sz w:val="30"/>
        </w:rPr>
        <w:t>号</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4"/>
          <w:b/>
        </w:rPr>
        <w:t>东莞滨海湾新区征拆项目管理系统</w:t>
      </w:r>
      <w:r>
        <w:rPr>
          <w:sz w:val="44"/>
          <w:b/>
        </w:rPr>
        <w:t>合同</w:t>
      </w:r>
    </w:p>
    <w:p>
      <w:pPr>
        <w:pStyle w:val="null3"/>
        <w:jc w:val="both"/>
      </w:pPr>
      <w:r>
        <w:rPr>
          <w:sz w:val="24"/>
        </w:rPr>
        <w:t>甲方：</w:t>
      </w:r>
      <w:r>
        <w:rPr>
          <w:sz w:val="24"/>
          <w:u w:val="single"/>
        </w:rPr>
        <w:t xml:space="preserve">  </w:t>
      </w:r>
      <w:r>
        <w:rPr>
          <w:sz w:val="24"/>
          <w:u w:val="single"/>
        </w:rPr>
        <w:t>东莞滨海湾新区管理委员会</w:t>
      </w:r>
      <w:r>
        <w:rPr>
          <w:sz w:val="24"/>
          <w:u w:val="single"/>
        </w:rPr>
        <w:t xml:space="preserve">    </w:t>
      </w:r>
      <w:r>
        <w:rPr>
          <w:sz w:val="21"/>
          <w:u w:val="single"/>
        </w:rPr>
        <w:t xml:space="preserve"> </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jc w:val="both"/>
      </w:pPr>
      <w:r>
        <w:rPr>
          <w:sz w:val="21"/>
        </w:rPr>
        <w:t>受甲方委托，广东政通招标有限公司组织对</w:t>
      </w:r>
      <w:r>
        <w:rPr>
          <w:sz w:val="21"/>
        </w:rPr>
        <w:t>东莞滨海湾新区征拆项目管理系统</w:t>
      </w:r>
      <w:r>
        <w:rPr>
          <w:sz w:val="21"/>
        </w:rPr>
        <w:t>（采购项目编号：</w:t>
      </w:r>
      <w:r>
        <w:rPr>
          <w:sz w:val="21"/>
        </w:rPr>
        <w:t>***）进行采购，于 *年*月*日通过竞争性磋商，经评标委员会评定乙方*公司为中标单位。根据《中华人民共和国政府采购法》及其实施条例、《中华人民共和国民法典》，经双方协商一致，签订本合同，</w:t>
      </w:r>
      <w:r>
        <w:rPr>
          <w:sz w:val="21"/>
        </w:rPr>
        <w:t>以资共同遵照执行</w:t>
      </w:r>
      <w:r>
        <w:rPr>
          <w:sz w:val="21"/>
        </w:rPr>
        <w:t>。</w:t>
      </w:r>
    </w:p>
    <w:p>
      <w:pPr>
        <w:pStyle w:val="null3"/>
        <w:ind w:firstLine="420"/>
        <w:jc w:val="both"/>
      </w:pPr>
      <w:r>
        <w:rPr>
          <w:sz w:val="21"/>
          <w:b/>
        </w:rPr>
        <w:t>一、合同基本信息</w:t>
      </w:r>
    </w:p>
    <w:p>
      <w:pPr>
        <w:pStyle w:val="null3"/>
        <w:ind w:firstLine="420"/>
        <w:jc w:val="both"/>
      </w:pPr>
      <w:r>
        <w:rPr>
          <w:sz w:val="21"/>
        </w:rPr>
        <w:t>（一）合同名称：</w:t>
      </w:r>
      <w:r>
        <w:rPr>
          <w:sz w:val="21"/>
        </w:rPr>
        <w:t>东莞滨海湾新区征拆项目管理系统</w:t>
      </w:r>
      <w:r>
        <w:rPr>
          <w:sz w:val="21"/>
        </w:rPr>
        <w:t>合同</w:t>
      </w:r>
    </w:p>
    <w:p>
      <w:pPr>
        <w:pStyle w:val="null3"/>
        <w:ind w:left="480"/>
        <w:jc w:val="both"/>
      </w:pPr>
      <w:r>
        <w:rPr>
          <w:sz w:val="21"/>
        </w:rPr>
        <w:t>（二）项目实施地点：甲方指定地点。</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r>
        <w:rPr>
          <w:sz w:val="21"/>
        </w:rPr>
        <w:t xml:space="preserve">          </w:t>
      </w:r>
    </w:p>
    <w:p>
      <w:pPr>
        <w:pStyle w:val="null3"/>
        <w:ind w:firstLine="422"/>
        <w:jc w:val="both"/>
      </w:pPr>
      <w:r>
        <w:rPr>
          <w:sz w:val="21"/>
          <w:b/>
        </w:rPr>
        <w:t>二、合同实施范围</w:t>
      </w:r>
    </w:p>
    <w:p>
      <w:pPr>
        <w:pStyle w:val="null3"/>
        <w:jc w:val="both"/>
        <w:outlineLvl w:val="3"/>
      </w:pPr>
      <w:r>
        <w:rPr>
          <w:sz w:val="21"/>
          <w:b/>
        </w:rPr>
        <w:t>（一）项目</w:t>
      </w:r>
      <w:r>
        <w:rPr>
          <w:sz w:val="21"/>
          <w:b/>
        </w:rPr>
        <w:t>概况</w:t>
      </w:r>
    </w:p>
    <w:p>
      <w:pPr>
        <w:pStyle w:val="null3"/>
        <w:ind w:firstLine="420"/>
        <w:jc w:val="both"/>
      </w:pPr>
      <w:r>
        <w:rPr>
          <w:sz w:val="21"/>
        </w:rPr>
        <w:t>随着东莞滨海湾新区城市化进程的快速推进，产业结构调整步骤加快，重点项目及公益性事业建设增长，供、用地矛盾的日益加剧，土地整备作为自然资源集约利用和优化配置的重要作用更加凸显出来。土地整备制度的发展和完善，不仅包括业务管理内容本身，还必须运用信息技术手段进一步提升征拆业务管理能力，推进业务管理创新。</w:t>
      </w:r>
    </w:p>
    <w:p>
      <w:pPr>
        <w:pStyle w:val="null3"/>
        <w:jc w:val="both"/>
        <w:outlineLvl w:val="3"/>
      </w:pPr>
      <w:r>
        <w:rPr>
          <w:sz w:val="21"/>
          <w:b/>
        </w:rPr>
        <w:t>（二）</w:t>
      </w:r>
      <w:r>
        <w:rPr>
          <w:sz w:val="21"/>
          <w:b/>
        </w:rPr>
        <w:t>建设目标</w:t>
      </w:r>
    </w:p>
    <w:p>
      <w:pPr>
        <w:pStyle w:val="null3"/>
        <w:ind w:firstLine="420"/>
        <w:jc w:val="left"/>
      </w:pPr>
      <w:r>
        <w:rPr>
          <w:sz w:val="21"/>
        </w:rPr>
        <w:t>1</w:t>
      </w:r>
      <w:r>
        <w:rPr>
          <w:sz w:val="21"/>
        </w:rPr>
        <w:t>、提高数据报送效率，减轻征拆工作负担</w:t>
      </w:r>
    </w:p>
    <w:p>
      <w:pPr>
        <w:pStyle w:val="null3"/>
        <w:ind w:firstLine="420"/>
        <w:jc w:val="left"/>
      </w:pPr>
      <w:r>
        <w:rPr>
          <w:sz w:val="21"/>
        </w:rPr>
        <w:t>通过实施东莞滨海湾新区征拆项目管理系统项目，全面统筹规划全区征拆业务的信息化建设，赋能自然资源优化配置。构建全区征拆项目业务</w:t>
      </w:r>
      <w:r>
        <w:rPr>
          <w:sz w:val="21"/>
        </w:rPr>
        <w:t>“一个平台”，统一规范、统一汇交、更新土地数据，统一数据资源的更新维护，避免数据资源的重复采集和建设，降低数据更新和运维成本。</w:t>
      </w:r>
    </w:p>
    <w:p>
      <w:pPr>
        <w:pStyle w:val="null3"/>
        <w:ind w:firstLine="420"/>
        <w:jc w:val="left"/>
      </w:pPr>
      <w:r>
        <w:rPr>
          <w:sz w:val="21"/>
        </w:rPr>
        <w:t>2</w:t>
      </w:r>
      <w:r>
        <w:rPr>
          <w:sz w:val="21"/>
        </w:rPr>
        <w:t>、促进新区征拆业务全流程规范化和协同管理</w:t>
      </w:r>
    </w:p>
    <w:p>
      <w:pPr>
        <w:pStyle w:val="null3"/>
        <w:ind w:firstLine="420"/>
        <w:jc w:val="left"/>
      </w:pPr>
      <w:r>
        <w:rPr>
          <w:sz w:val="21"/>
        </w:rPr>
        <w:t>通过将新区征拆业务的全流程进行规范化管理，打破了部门之间的信息壁垒，促进了各相关部门的协同合作。系统与滨海湾新区财务管理系统、滨海湾新区合同管理系统、滨海湾新区滨海湾一张图、工建系统、资产管理系统对接，不同部门可以实时获取及推送，迅速响应和解决业务之间的数据不一致的问题，加快信息流转的速度，缩短了协调时间。</w:t>
      </w:r>
    </w:p>
    <w:p>
      <w:pPr>
        <w:pStyle w:val="null3"/>
        <w:ind w:firstLine="420"/>
        <w:jc w:val="left"/>
      </w:pPr>
      <w:r>
        <w:rPr>
          <w:sz w:val="21"/>
        </w:rPr>
        <w:t>3</w:t>
      </w:r>
      <w:r>
        <w:rPr>
          <w:sz w:val="21"/>
        </w:rPr>
        <w:t>、全面统筹管理新区征拆项目，实时动态监管新区征拆项目</w:t>
      </w:r>
    </w:p>
    <w:p>
      <w:pPr>
        <w:pStyle w:val="null3"/>
        <w:ind w:firstLine="420"/>
        <w:jc w:val="both"/>
      </w:pPr>
      <w:r>
        <w:rPr>
          <w:sz w:val="21"/>
        </w:rPr>
        <w:t>借助先进的监管平台和技术手段，能够全面统筹管理新区的征拆项目，实时掌握项目的最新动态与准确数据。通过实时监控，可以及时获取征拆项目的各类信息，包括进展情况、财务数据等，确保各项工作按计划推进。</w:t>
      </w:r>
    </w:p>
    <w:p>
      <w:pPr>
        <w:pStyle w:val="null3"/>
        <w:jc w:val="both"/>
        <w:outlineLvl w:val="3"/>
      </w:pPr>
      <w:r>
        <w:rPr>
          <w:sz w:val="21"/>
          <w:b/>
        </w:rPr>
        <w:t>（三）</w:t>
      </w:r>
      <w:r>
        <w:rPr>
          <w:sz w:val="21"/>
          <w:b/>
        </w:rPr>
        <w:t>建设内容</w:t>
      </w:r>
    </w:p>
    <w:p>
      <w:pPr>
        <w:pStyle w:val="null3"/>
        <w:ind w:firstLine="420"/>
        <w:jc w:val="left"/>
      </w:pPr>
      <w:r>
        <w:rPr>
          <w:sz w:val="21"/>
        </w:rPr>
        <w:t>本项目规划的总体建设任务包括建立征拆项目管理系统、数据建设两部分。</w:t>
      </w:r>
    </w:p>
    <w:p>
      <w:pPr>
        <w:pStyle w:val="null3"/>
        <w:numPr>
          <w:ilvl w:val="0"/>
          <w:numId w:val="1"/>
        </w:numPr>
        <w:jc w:val="left"/>
      </w:pPr>
      <w:r>
        <w:rPr>
          <w:sz w:val="21"/>
        </w:rPr>
        <w:t>征拆项目管理系统。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ind w:firstLine="420"/>
        <w:jc w:val="both"/>
      </w:pPr>
      <w:r>
        <w:rPr>
          <w:sz w:val="21"/>
        </w:rPr>
        <w:t>（</w:t>
      </w:r>
      <w:r>
        <w:rPr>
          <w:sz w:val="21"/>
        </w:rPr>
        <w:t>2</w:t>
      </w:r>
      <w:r>
        <w:rPr>
          <w:sz w:val="21"/>
        </w:rPr>
        <w:t>）数据整合建设。通过对截至</w:t>
      </w:r>
      <w:r>
        <w:rPr>
          <w:sz w:val="21"/>
        </w:rPr>
        <w:t>2024</w:t>
      </w:r>
      <w:r>
        <w:rPr>
          <w:sz w:val="21"/>
        </w:rPr>
        <w:t>年征拆项目相关数据进行整合，实现对新区范围内的征拆项目数据全覆盖管理，强化征拆项目业务信息化与数字化管理能力。</w:t>
      </w:r>
    </w:p>
    <w:p>
      <w:pPr>
        <w:pStyle w:val="null3"/>
        <w:jc w:val="both"/>
        <w:outlineLvl w:val="3"/>
      </w:pPr>
      <w:r>
        <w:rPr>
          <w:sz w:val="21"/>
          <w:b/>
        </w:rPr>
        <w:t>（四）征拆项目管理系统建设</w:t>
      </w:r>
    </w:p>
    <w:p>
      <w:pPr>
        <w:pStyle w:val="null3"/>
        <w:ind w:firstLine="420"/>
        <w:jc w:val="left"/>
      </w:pPr>
      <w:r>
        <w:rPr>
          <w:sz w:val="21"/>
        </w:rPr>
        <w:t>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ind w:firstLine="420"/>
        <w:jc w:val="left"/>
      </w:pPr>
      <w:r>
        <w:rPr>
          <w:sz w:val="21"/>
        </w:rPr>
        <w:t>①综合监管子系统：基于项目大量的业务数据，建立综合监管模块，展示征拆项目的总体情况，用于辅助管理层快速掌握关键数据指标和项目实时动态，包括项目总览、项目进度监管、资金监管等关键内容。</w:t>
      </w:r>
    </w:p>
    <w:p>
      <w:pPr>
        <w:pStyle w:val="null3"/>
        <w:ind w:firstLine="420"/>
        <w:jc w:val="left"/>
      </w:pPr>
      <w:r>
        <w:rPr>
          <w:sz w:val="21"/>
        </w:rPr>
        <w:t>②项目信息管理子系统：项目信息管理主要对滨海湾新区私宅动迁工作、企业动迁工作、城中村征拆工作流程进行全流程管理，其中，私宅动迁工作流程管理包括测绘、评估及信息收集阶段管理、信息核查及土地认定阶段管理、签约阶段管理、房屋移交阶段管理、产权注销阶段管理、档案移交归档阶段管理等；企业动迁工作流程管理包括信息核查及方案研究阶段管理、测绘、评估阶段管理、补偿方案确认阶段管理、签约及交地阶段管理、企业安置阶段管理等。</w:t>
      </w:r>
    </w:p>
    <w:p>
      <w:pPr>
        <w:pStyle w:val="null3"/>
        <w:ind w:firstLine="420"/>
        <w:jc w:val="left"/>
      </w:pPr>
      <w:r>
        <w:rPr>
          <w:sz w:val="21"/>
        </w:rPr>
        <w:t>③一张图子系统：一张图提供全区征拆项目地块矢量图形、影像各类数据资源的浏览和地图操作功能，提供全过程查看征收各业务审批数据及相关的附件材料，针对征收全业务域提供属性筛选、空间筛选、图查数、数查图等查询方式获得图数一体查询结果，满足多源数据的集成浏览展示与查询应用需求。</w:t>
      </w:r>
    </w:p>
    <w:p>
      <w:pPr>
        <w:pStyle w:val="null3"/>
        <w:ind w:firstLine="420"/>
        <w:jc w:val="left"/>
      </w:pPr>
      <w:r>
        <w:rPr>
          <w:sz w:val="21"/>
        </w:rPr>
        <w:t>④系统管理子系统：系统管理主要实现对系统运行的管理，主要包括认证管理、权限管理、日志管理、地图服务引擎等功能。</w:t>
      </w:r>
    </w:p>
    <w:p>
      <w:pPr>
        <w:pStyle w:val="null3"/>
        <w:ind w:firstLine="420"/>
        <w:jc w:val="left"/>
      </w:pPr>
      <w:r>
        <w:rPr>
          <w:sz w:val="21"/>
        </w:rPr>
        <w:t>⑤电子档案管理子系统：电子档案管理提供对与征拆项目关联上传的电子档案进行集中管理、查询、统计，满足零星存放的电子档案进行按目录归类存放、统一管理、查询、展示的应用需求。</w:t>
      </w:r>
    </w:p>
    <w:p>
      <w:pPr>
        <w:pStyle w:val="null3"/>
        <w:ind w:firstLine="420"/>
        <w:jc w:val="both"/>
      </w:pPr>
      <w:r>
        <w:rPr>
          <w:sz w:val="21"/>
          <w:color w:val="000000"/>
        </w:rPr>
        <w:t>另外，预留系统对接：通过与东莞市自然资源政务信息融合一体化平台（国土空间基础信息平台）对接，实现各类数据和服务的共享应用；通过与东莞滨海湾新区财务管理系统对接，实现经过数据规整、系统计算的资金支付资金的共享；同时，本项目预留和滨海湾新区滨海湾一张图、工程建设项目全过程管理信息系统、资产管理系统对接接口，避免信息孤岛，提高相关委办局的办事能力和效率，进而提高征拆管理的决策能力。</w:t>
      </w:r>
    </w:p>
    <w:p>
      <w:pPr>
        <w:pStyle w:val="null3"/>
        <w:jc w:val="both"/>
        <w:outlineLvl w:val="3"/>
      </w:pPr>
      <w:r>
        <w:rPr>
          <w:sz w:val="21"/>
          <w:b/>
        </w:rPr>
        <w:t>（五）数据整合建设</w:t>
      </w:r>
    </w:p>
    <w:p>
      <w:pPr>
        <w:pStyle w:val="null3"/>
        <w:ind w:firstLine="420"/>
        <w:jc w:val="left"/>
      </w:pPr>
      <w:r>
        <w:rPr>
          <w:sz w:val="21"/>
        </w:rPr>
        <w:t>征拆项目综合数据库整合建设包括电子档案数据和征拆管理专题数据进行整合建设两部分。</w:t>
      </w:r>
    </w:p>
    <w:p>
      <w:pPr>
        <w:pStyle w:val="null3"/>
        <w:ind w:firstLine="420"/>
        <w:jc w:val="left"/>
      </w:pPr>
      <w:r>
        <w:rPr>
          <w:sz w:val="21"/>
        </w:rPr>
        <w:t>①电子档案专题数据整合：根据土地整备项目档案数字化规范性要求，按系统管理需求电子档案数字编码、建立数字目录、档案与项目挂接。</w:t>
      </w:r>
    </w:p>
    <w:p>
      <w:pPr>
        <w:pStyle w:val="null3"/>
        <w:ind w:firstLine="525"/>
        <w:jc w:val="both"/>
      </w:pPr>
      <w:r>
        <w:rPr>
          <w:sz w:val="21"/>
        </w:rPr>
        <w:t>②征拆管理专题数据整合：对征拆相关的数据包括项目地块数据、征地红线数据进行整合，对接滨</w:t>
      </w:r>
      <w:r>
        <w:rPr>
          <w:sz w:val="21"/>
        </w:rPr>
        <w:t>海湾新区财务管理系统资金数据，建设征拆项目财务专题数据。</w:t>
      </w:r>
    </w:p>
    <w:p>
      <w:pPr>
        <w:pStyle w:val="null3"/>
        <w:ind w:firstLine="422"/>
        <w:jc w:val="both"/>
      </w:pPr>
      <w:r>
        <w:rPr>
          <w:sz w:val="21"/>
          <w:b/>
        </w:rPr>
        <w:t>（六）</w:t>
      </w:r>
      <w:r>
        <w:rPr>
          <w:sz w:val="21"/>
          <w:b/>
        </w:rPr>
        <w:t>非功能要求</w:t>
      </w:r>
    </w:p>
    <w:p>
      <w:pPr>
        <w:pStyle w:val="null3"/>
        <w:ind w:firstLine="420"/>
        <w:jc w:val="left"/>
      </w:pPr>
      <w:r>
        <w:rPr>
          <w:sz w:val="21"/>
        </w:rPr>
        <w:t>1</w:t>
      </w:r>
      <w:r>
        <w:rPr>
          <w:sz w:val="21"/>
        </w:rPr>
        <w:t>、信息技术应用创新适配</w:t>
      </w:r>
    </w:p>
    <w:p>
      <w:pPr>
        <w:pStyle w:val="null3"/>
        <w:ind w:firstLine="420"/>
        <w:jc w:val="left"/>
      </w:pPr>
      <w:r>
        <w:rPr>
          <w:sz w:val="21"/>
        </w:rPr>
        <w:t>（</w:t>
      </w:r>
      <w:r>
        <w:rPr>
          <w:sz w:val="21"/>
        </w:rPr>
        <w:t>1</w:t>
      </w:r>
      <w:r>
        <w:rPr>
          <w:sz w:val="21"/>
        </w:rPr>
        <w:t>）▲适配以鲲鹏、飞腾为代表的</w:t>
      </w:r>
      <w:r>
        <w:rPr>
          <w:sz w:val="21"/>
        </w:rPr>
        <w:t>ARM</w:t>
      </w:r>
      <w:r>
        <w:rPr>
          <w:sz w:val="21"/>
        </w:rPr>
        <w:t>路线和以海光为代表的</w:t>
      </w:r>
      <w:r>
        <w:rPr>
          <w:sz w:val="21"/>
        </w:rPr>
        <w:t>X86</w:t>
      </w:r>
      <w:r>
        <w:rPr>
          <w:sz w:val="21"/>
        </w:rPr>
        <w:t>路线国产化芯片；</w:t>
      </w:r>
    </w:p>
    <w:p>
      <w:pPr>
        <w:pStyle w:val="null3"/>
        <w:ind w:firstLine="420"/>
        <w:jc w:val="left"/>
      </w:pPr>
      <w:r>
        <w:rPr>
          <w:sz w:val="21"/>
        </w:rPr>
        <w:t>（</w:t>
      </w:r>
      <w:r>
        <w:rPr>
          <w:sz w:val="21"/>
        </w:rPr>
        <w:t>2</w:t>
      </w:r>
      <w:r>
        <w:rPr>
          <w:sz w:val="21"/>
        </w:rPr>
        <w:t>）▲适配以麒麟和统信为代表的国产操作系统；</w:t>
      </w:r>
    </w:p>
    <w:p>
      <w:pPr>
        <w:pStyle w:val="null3"/>
        <w:ind w:firstLine="420"/>
        <w:jc w:val="left"/>
      </w:pPr>
      <w:r>
        <w:rPr>
          <w:sz w:val="21"/>
        </w:rPr>
        <w:t>（</w:t>
      </w:r>
      <w:r>
        <w:rPr>
          <w:sz w:val="21"/>
        </w:rPr>
        <w:t>3</w:t>
      </w:r>
      <w:r>
        <w:rPr>
          <w:sz w:val="21"/>
        </w:rPr>
        <w:t>）▲适配以达梦、金仓、瀚高为代表的国产数据库；</w:t>
      </w:r>
    </w:p>
    <w:p>
      <w:pPr>
        <w:pStyle w:val="null3"/>
        <w:ind w:firstLine="420"/>
        <w:jc w:val="left"/>
      </w:pPr>
      <w:r>
        <w:rPr>
          <w:sz w:val="21"/>
        </w:rPr>
        <w:t>（</w:t>
      </w:r>
      <w:r>
        <w:rPr>
          <w:sz w:val="21"/>
        </w:rPr>
        <w:t>4</w:t>
      </w:r>
      <w:r>
        <w:rPr>
          <w:sz w:val="21"/>
        </w:rPr>
        <w:t>）▲适配以东方通、金蝶为代表的国产中间件。</w:t>
      </w:r>
    </w:p>
    <w:p>
      <w:pPr>
        <w:pStyle w:val="null3"/>
        <w:ind w:firstLine="420"/>
        <w:jc w:val="left"/>
      </w:pPr>
      <w:r>
        <w:rPr>
          <w:sz w:val="21"/>
        </w:rPr>
        <w:t>以适应本项目对于安全可信数据环境的要求，实际适配环境主要以东莞滨海湾新区政务云平台为主体进行适配，要求芯片、操作系统、数据库、中间件各提供至少</w:t>
      </w:r>
      <w:r>
        <w:rPr>
          <w:sz w:val="21"/>
        </w:rPr>
        <w:t>1</w:t>
      </w:r>
      <w:r>
        <w:rPr>
          <w:sz w:val="21"/>
        </w:rPr>
        <w:t>个兼容证书。</w:t>
      </w:r>
    </w:p>
    <w:p>
      <w:pPr>
        <w:pStyle w:val="null3"/>
        <w:ind w:firstLine="420"/>
        <w:jc w:val="left"/>
      </w:pPr>
      <w:r>
        <w:rPr>
          <w:sz w:val="21"/>
        </w:rPr>
        <w:t>2</w:t>
      </w:r>
      <w:r>
        <w:rPr>
          <w:sz w:val="21"/>
        </w:rPr>
        <w:t>、部署及安全需求</w:t>
      </w:r>
    </w:p>
    <w:p>
      <w:pPr>
        <w:pStyle w:val="null3"/>
        <w:ind w:firstLine="420"/>
        <w:jc w:val="left"/>
      </w:pPr>
      <w:r>
        <w:rPr>
          <w:sz w:val="21"/>
        </w:rPr>
        <w:t>本项目使用东莞滨海湾新区政务云平台和网络服务资源。云平台服务包括云平台提供的基础设施服务、灾备资源服务、安全服务、密码服务、云平台综合管理服务等。</w:t>
      </w:r>
    </w:p>
    <w:p>
      <w:pPr>
        <w:pStyle w:val="null3"/>
        <w:ind w:firstLine="420"/>
        <w:jc w:val="left"/>
      </w:pPr>
      <w:r>
        <w:rPr>
          <w:sz w:val="21"/>
        </w:rPr>
        <w:t>（</w:t>
      </w:r>
      <w:r>
        <w:rPr>
          <w:sz w:val="21"/>
        </w:rPr>
        <w:t>1</w:t>
      </w:r>
      <w:r>
        <w:rPr>
          <w:sz w:val="21"/>
        </w:rPr>
        <w:t>）网络安全等级要求：系统部署满足等保二级要求。</w:t>
      </w:r>
    </w:p>
    <w:p>
      <w:pPr>
        <w:pStyle w:val="null3"/>
        <w:ind w:firstLine="420"/>
        <w:jc w:val="left"/>
      </w:pPr>
      <w:r>
        <w:rPr>
          <w:sz w:val="21"/>
        </w:rPr>
        <w:t>（</w:t>
      </w:r>
      <w:r>
        <w:rPr>
          <w:sz w:val="21"/>
        </w:rPr>
        <w:t>2</w:t>
      </w:r>
      <w:r>
        <w:rPr>
          <w:sz w:val="21"/>
        </w:rPr>
        <w:t>）商业密码服务要求：满足商用密码测评二级要求。</w:t>
      </w:r>
    </w:p>
    <w:p>
      <w:pPr>
        <w:pStyle w:val="null3"/>
        <w:ind w:firstLine="420"/>
        <w:jc w:val="left"/>
      </w:pPr>
      <w:r>
        <w:rPr>
          <w:sz w:val="21"/>
        </w:rPr>
        <w:t>（</w:t>
      </w:r>
      <w:r>
        <w:rPr>
          <w:sz w:val="21"/>
        </w:rPr>
        <w:t>3</w:t>
      </w:r>
      <w:r>
        <w:rPr>
          <w:sz w:val="21"/>
        </w:rPr>
        <w:t>）响应要求：系统应具有可靠性和安全性，能够</w:t>
      </w:r>
      <w:r>
        <w:rPr>
          <w:sz w:val="21"/>
        </w:rPr>
        <w:t>7</w:t>
      </w:r>
      <w:r>
        <w:rPr>
          <w:sz w:val="21"/>
        </w:rPr>
        <w:t>天×</w:t>
      </w:r>
      <w:r>
        <w:rPr>
          <w:sz w:val="21"/>
        </w:rPr>
        <w:t>24</w:t>
      </w:r>
      <w:r>
        <w:rPr>
          <w:sz w:val="21"/>
        </w:rPr>
        <w:t>小时持续可靠的处理需求访问，并确保系统能在负荷增加的情况下，各应用及相关的所有业务响应处理的完整性和一致性的能力。</w:t>
      </w:r>
    </w:p>
    <w:p>
      <w:pPr>
        <w:pStyle w:val="null3"/>
        <w:ind w:firstLine="420"/>
        <w:jc w:val="left"/>
      </w:pPr>
      <w:r>
        <w:rPr>
          <w:sz w:val="21"/>
        </w:rPr>
        <w:t>3</w:t>
      </w:r>
      <w:r>
        <w:rPr>
          <w:sz w:val="21"/>
        </w:rPr>
        <w:t>、性能需求</w:t>
      </w:r>
    </w:p>
    <w:p>
      <w:pPr>
        <w:pStyle w:val="null3"/>
        <w:ind w:firstLine="420"/>
        <w:jc w:val="left"/>
      </w:pPr>
      <w:r>
        <w:rPr>
          <w:sz w:val="21"/>
        </w:rPr>
        <w:t>本项目运行于东莞滨海湾新区电子政务外网，需满足用户使用数在</w:t>
      </w:r>
      <w:r>
        <w:rPr>
          <w:sz w:val="21"/>
        </w:rPr>
        <w:t>500</w:t>
      </w:r>
      <w:r>
        <w:rPr>
          <w:sz w:val="21"/>
        </w:rPr>
        <w:t>人以上，支持</w:t>
      </w:r>
      <w:r>
        <w:rPr>
          <w:sz w:val="21"/>
        </w:rPr>
        <w:t>100</w:t>
      </w:r>
      <w:r>
        <w:rPr>
          <w:sz w:val="21"/>
        </w:rPr>
        <w:t>人以上用户同时在线，最少支持</w:t>
      </w:r>
      <w:r>
        <w:rPr>
          <w:sz w:val="21"/>
        </w:rPr>
        <w:t>20</w:t>
      </w:r>
      <w:r>
        <w:rPr>
          <w:sz w:val="21"/>
        </w:rPr>
        <w:t>用户的并发处理。</w:t>
      </w:r>
    </w:p>
    <w:p>
      <w:pPr>
        <w:pStyle w:val="null3"/>
        <w:ind w:firstLine="420"/>
        <w:jc w:val="left"/>
      </w:pPr>
      <w:r>
        <w:rPr>
          <w:sz w:val="21"/>
        </w:rPr>
        <w:t>4</w:t>
      </w:r>
      <w:r>
        <w:rPr>
          <w:sz w:val="21"/>
        </w:rPr>
        <w:t>、技术需求</w:t>
      </w:r>
    </w:p>
    <w:p>
      <w:pPr>
        <w:pStyle w:val="null3"/>
        <w:ind w:firstLine="420"/>
        <w:jc w:val="left"/>
      </w:pPr>
      <w:r>
        <w:rPr>
          <w:sz w:val="21"/>
        </w:rPr>
        <w:t>本项目采用微服务架构，前后端分离模式。项目基于低代码技术快速搭建应用，减少开发和运维成本。</w:t>
      </w:r>
    </w:p>
    <w:p>
      <w:pPr>
        <w:pStyle w:val="null3"/>
        <w:ind w:firstLine="420"/>
        <w:jc w:val="left"/>
      </w:pPr>
      <w:r>
        <w:rPr>
          <w:sz w:val="21"/>
        </w:rPr>
        <w:t>（</w:t>
      </w:r>
      <w:r>
        <w:rPr>
          <w:sz w:val="21"/>
        </w:rPr>
        <w:t>1</w:t>
      </w:r>
      <w:r>
        <w:rPr>
          <w:sz w:val="21"/>
        </w:rPr>
        <w:t>）采用</w:t>
      </w:r>
      <w:r>
        <w:rPr>
          <w:sz w:val="21"/>
        </w:rPr>
        <w:t>Java</w:t>
      </w:r>
      <w:r>
        <w:rPr>
          <w:sz w:val="21"/>
        </w:rPr>
        <w:t>语言开发</w:t>
      </w:r>
    </w:p>
    <w:p>
      <w:pPr>
        <w:pStyle w:val="null3"/>
        <w:ind w:firstLine="420"/>
        <w:jc w:val="left"/>
      </w:pPr>
      <w:r>
        <w:rPr>
          <w:sz w:val="21"/>
        </w:rPr>
        <w:t>采用</w:t>
      </w:r>
      <w:r>
        <w:rPr>
          <w:sz w:val="21"/>
        </w:rPr>
        <w:t>Java</w:t>
      </w:r>
      <w:r>
        <w:rPr>
          <w:sz w:val="21"/>
        </w:rPr>
        <w:t>开发语言，满足跨平台部署运行的要求；为保障系统稳定性和安全性，本项目所有相关软件都需要部署于</w:t>
      </w:r>
      <w:r>
        <w:rPr>
          <w:sz w:val="21"/>
        </w:rPr>
        <w:t>Linux</w:t>
      </w:r>
      <w:r>
        <w:rPr>
          <w:sz w:val="21"/>
        </w:rPr>
        <w:t>环境。</w:t>
      </w:r>
    </w:p>
    <w:p>
      <w:pPr>
        <w:pStyle w:val="null3"/>
        <w:ind w:firstLine="420"/>
        <w:jc w:val="left"/>
      </w:pPr>
      <w:r>
        <w:rPr>
          <w:sz w:val="21"/>
        </w:rPr>
        <w:t>（</w:t>
      </w:r>
      <w:r>
        <w:rPr>
          <w:sz w:val="21"/>
        </w:rPr>
        <w:t>2</w:t>
      </w:r>
      <w:r>
        <w:rPr>
          <w:sz w:val="21"/>
        </w:rPr>
        <w:t>）采用微服务架构</w:t>
      </w:r>
    </w:p>
    <w:p>
      <w:pPr>
        <w:pStyle w:val="null3"/>
        <w:ind w:firstLine="420"/>
        <w:jc w:val="left"/>
      </w:pPr>
      <w:r>
        <w:rPr>
          <w:sz w:val="21"/>
        </w:rPr>
        <w:t>本项目采用成熟的微服务架构进行开发，增强系统的扩展性、提高系统的可用性、促进持续交付和迭代。</w:t>
      </w:r>
    </w:p>
    <w:p>
      <w:pPr>
        <w:pStyle w:val="null3"/>
        <w:ind w:firstLine="422"/>
        <w:jc w:val="both"/>
      </w:pPr>
      <w:r>
        <w:rPr>
          <w:sz w:val="21"/>
          <w:b/>
        </w:rPr>
        <w:t>三、项目验收方式及标准</w:t>
      </w:r>
    </w:p>
    <w:p>
      <w:pPr>
        <w:pStyle w:val="null3"/>
        <w:ind w:firstLine="420"/>
        <w:jc w:val="both"/>
      </w:pPr>
      <w:r>
        <w:rPr>
          <w:sz w:val="21"/>
        </w:rPr>
        <w:t>按国家及相关行业标准进行验收。</w:t>
      </w:r>
    </w:p>
    <w:p>
      <w:pPr>
        <w:pStyle w:val="null3"/>
        <w:ind w:firstLine="422"/>
        <w:jc w:val="both"/>
      </w:pPr>
      <w:r>
        <w:rPr>
          <w:sz w:val="21"/>
          <w:b/>
        </w:rPr>
        <w:t>四、合同价款</w:t>
      </w:r>
    </w:p>
    <w:p>
      <w:pPr>
        <w:pStyle w:val="null3"/>
        <w:ind w:firstLine="420"/>
        <w:jc w:val="both"/>
      </w:pPr>
      <w:r>
        <w:rPr>
          <w:sz w:val="21"/>
        </w:rPr>
        <w:t>（一）合同总价：（人民币）大写</w:t>
      </w:r>
      <w:r>
        <w:rPr>
          <w:sz w:val="21"/>
          <w:u w:val="single"/>
        </w:rPr>
        <w:t xml:space="preserve">      </w:t>
      </w:r>
      <w:r>
        <w:rPr>
          <w:sz w:val="21"/>
        </w:rPr>
        <w:t>（</w:t>
      </w:r>
      <w:r>
        <w:rPr>
          <w:sz w:val="21"/>
        </w:rPr>
        <w:t>¥</w:t>
      </w:r>
      <w:r>
        <w:rPr>
          <w:sz w:val="21"/>
          <w:u w:val="single"/>
        </w:rPr>
        <w:t xml:space="preserve">      </w:t>
      </w:r>
      <w:r>
        <w:rPr>
          <w:sz w:val="21"/>
          <w:u w:val="single"/>
        </w:rPr>
        <w:t>元</w:t>
      </w:r>
      <w:r>
        <w:rPr>
          <w:sz w:val="21"/>
        </w:rPr>
        <w:t>）。（视实际情况而定是否附价格清单表格。）</w:t>
      </w:r>
    </w:p>
    <w:p>
      <w:pPr>
        <w:pStyle w:val="null3"/>
        <w:ind w:firstLine="420"/>
        <w:jc w:val="both"/>
      </w:pPr>
      <w:r>
        <w:rPr>
          <w:sz w:val="21"/>
        </w:rPr>
        <w:t>（二）合同总价包含：</w:t>
      </w:r>
      <w:r>
        <w:rPr>
          <w:sz w:val="21"/>
        </w:rPr>
        <w:t>包括材料、工具、人工、管理费、利润、税金、风险、招标代理费用等一切因素所有应该和可能发生的费用因素。</w:t>
      </w:r>
    </w:p>
    <w:p>
      <w:pPr>
        <w:pStyle w:val="null3"/>
        <w:ind w:firstLine="422"/>
        <w:jc w:val="both"/>
      </w:pPr>
      <w:r>
        <w:rPr>
          <w:sz w:val="21"/>
          <w:b/>
        </w:rPr>
        <w:t>五、合同支付方式</w:t>
      </w:r>
    </w:p>
    <w:p>
      <w:pPr>
        <w:pStyle w:val="null3"/>
        <w:ind w:firstLine="420"/>
        <w:jc w:val="both"/>
      </w:pPr>
      <w:r>
        <w:rPr>
          <w:sz w:val="21"/>
        </w:rPr>
        <w:t>1期：支付比例30%,</w:t>
      </w:r>
      <w:r>
        <w:rPr>
          <w:sz w:val="21"/>
        </w:rPr>
        <w:t>签订合同后</w:t>
      </w:r>
      <w:r>
        <w:rPr>
          <w:sz w:val="21"/>
        </w:rPr>
        <w:t>成交人</w:t>
      </w:r>
      <w:r>
        <w:rPr>
          <w:sz w:val="21"/>
        </w:rPr>
        <w:t>向</w:t>
      </w:r>
      <w:r>
        <w:rPr>
          <w:sz w:val="21"/>
        </w:rPr>
        <w:t>采购人</w:t>
      </w:r>
      <w:r>
        <w:rPr>
          <w:sz w:val="21"/>
        </w:rPr>
        <w:t>提供项目实施方案并通过</w:t>
      </w:r>
      <w:r>
        <w:rPr>
          <w:sz w:val="21"/>
        </w:rPr>
        <w:t>采购人</w:t>
      </w:r>
      <w:r>
        <w:rPr>
          <w:sz w:val="21"/>
        </w:rPr>
        <w:t>审核确认后，</w:t>
      </w:r>
      <w:r>
        <w:rPr>
          <w:sz w:val="21"/>
        </w:rPr>
        <w:t>采购人</w:t>
      </w:r>
      <w:r>
        <w:rPr>
          <w:sz w:val="21"/>
        </w:rPr>
        <w:t>在收到</w:t>
      </w:r>
      <w:r>
        <w:rPr>
          <w:sz w:val="21"/>
        </w:rPr>
        <w:t>成交人</w:t>
      </w:r>
      <w:r>
        <w:rPr>
          <w:sz w:val="21"/>
        </w:rPr>
        <w:t>提供的等额发票等付款资料后</w:t>
      </w:r>
      <w:r>
        <w:rPr>
          <w:sz w:val="21"/>
        </w:rPr>
        <w:t>30个工作日内支付合同总价30%。</w:t>
      </w:r>
    </w:p>
    <w:p>
      <w:pPr>
        <w:pStyle w:val="null3"/>
        <w:ind w:firstLine="420"/>
        <w:jc w:val="both"/>
      </w:pPr>
      <w:r>
        <w:rPr>
          <w:sz w:val="21"/>
        </w:rPr>
        <w:t>2期：支付比例</w:t>
      </w:r>
      <w:r>
        <w:rPr>
          <w:sz w:val="21"/>
        </w:rPr>
        <w:t>5</w:t>
      </w:r>
      <w:r>
        <w:rPr>
          <w:sz w:val="21"/>
        </w:rPr>
        <w:t>0%,</w:t>
      </w:r>
      <w:r>
        <w:rPr>
          <w:sz w:val="21"/>
        </w:rPr>
        <w:t>项目初验后，</w:t>
      </w:r>
      <w:r>
        <w:rPr>
          <w:sz w:val="21"/>
        </w:rPr>
        <w:t>采购人</w:t>
      </w:r>
      <w:r>
        <w:rPr>
          <w:sz w:val="21"/>
        </w:rPr>
        <w:t>在收到</w:t>
      </w:r>
      <w:r>
        <w:rPr>
          <w:sz w:val="21"/>
        </w:rPr>
        <w:t>成交人</w:t>
      </w:r>
      <w:r>
        <w:rPr>
          <w:sz w:val="21"/>
        </w:rPr>
        <w:t>提供的等额发票等付款资料后，</w:t>
      </w:r>
      <w:r>
        <w:rPr>
          <w:sz w:val="21"/>
        </w:rPr>
        <w:t>采购人</w:t>
      </w:r>
      <w:r>
        <w:rPr>
          <w:sz w:val="21"/>
        </w:rPr>
        <w:t>在</w:t>
      </w:r>
      <w:r>
        <w:rPr>
          <w:sz w:val="21"/>
        </w:rPr>
        <w:t>30个工作日内支付合同总价的50%。</w:t>
      </w:r>
    </w:p>
    <w:p>
      <w:pPr>
        <w:pStyle w:val="null3"/>
        <w:ind w:right="-60" w:firstLine="420"/>
        <w:jc w:val="both"/>
      </w:pPr>
      <w:r>
        <w:rPr>
          <w:sz w:val="21"/>
        </w:rPr>
        <w:t>3期：支付比例</w:t>
      </w:r>
      <w:r>
        <w:rPr>
          <w:sz w:val="21"/>
        </w:rPr>
        <w:t>2</w:t>
      </w:r>
      <w:r>
        <w:rPr>
          <w:sz w:val="21"/>
        </w:rPr>
        <w:t>0%,</w:t>
      </w:r>
      <w:r>
        <w:rPr>
          <w:sz w:val="21"/>
        </w:rPr>
        <w:t>经</w:t>
      </w:r>
      <w:r>
        <w:rPr>
          <w:sz w:val="21"/>
        </w:rPr>
        <w:t>采购人</w:t>
      </w:r>
      <w:r>
        <w:rPr>
          <w:sz w:val="21"/>
        </w:rPr>
        <w:t>最终验收合格后、进行项目实际结算时，</w:t>
      </w:r>
      <w:r>
        <w:rPr>
          <w:sz w:val="21"/>
        </w:rPr>
        <w:t>成交人</w:t>
      </w:r>
      <w:r>
        <w:rPr>
          <w:sz w:val="21"/>
        </w:rPr>
        <w:t>向</w:t>
      </w:r>
      <w:r>
        <w:rPr>
          <w:sz w:val="21"/>
        </w:rPr>
        <w:t>采购人</w:t>
      </w:r>
      <w:r>
        <w:rPr>
          <w:sz w:val="21"/>
        </w:rPr>
        <w:t>提供等额发票，</w:t>
      </w:r>
      <w:r>
        <w:rPr>
          <w:sz w:val="21"/>
        </w:rPr>
        <w:t>采购人</w:t>
      </w:r>
      <w:r>
        <w:rPr>
          <w:sz w:val="21"/>
        </w:rPr>
        <w:t>在</w:t>
      </w:r>
      <w:r>
        <w:rPr>
          <w:sz w:val="21"/>
        </w:rPr>
        <w:t>30个工作日内支付至实际结算价的100%。</w:t>
      </w:r>
    </w:p>
    <w:p>
      <w:pPr>
        <w:pStyle w:val="null3"/>
        <w:ind w:right="-60" w:firstLine="420"/>
        <w:jc w:val="both"/>
      </w:pPr>
      <w:r>
        <w:rPr>
          <w:sz w:val="21"/>
        </w:rPr>
        <w:t>注：本项目资金来源为财政资金，相关付款程序严格遵守滨海湾政府财政资金支付程序规定，且涉及财政审核的，财政审核期间不视为甲方逾期付款。</w:t>
      </w:r>
    </w:p>
    <w:p>
      <w:pPr>
        <w:pStyle w:val="null3"/>
        <w:ind w:right="-60" w:firstLine="420"/>
        <w:jc w:val="both"/>
      </w:pPr>
      <w:r>
        <w:rPr>
          <w:sz w:val="21"/>
        </w:rPr>
        <w:t>乙方收款银行信息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firstLine="422"/>
        <w:jc w:val="both"/>
      </w:pPr>
      <w:r>
        <w:rPr>
          <w:sz w:val="21"/>
          <w:b/>
        </w:rPr>
        <w:t>六、知识产权</w:t>
      </w:r>
    </w:p>
    <w:p>
      <w:pPr>
        <w:pStyle w:val="null3"/>
        <w:ind w:firstLine="210"/>
        <w:jc w:val="both"/>
      </w:pPr>
      <w:r>
        <w:rPr>
          <w:sz w:val="21"/>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210"/>
        <w:jc w:val="both"/>
      </w:pPr>
      <w:r>
        <w:rPr>
          <w:sz w:val="21"/>
        </w:rPr>
        <w:t>（二）甲</w:t>
      </w:r>
      <w:r>
        <w:rPr>
          <w:sz w:val="21"/>
        </w:rPr>
        <w:t>方</w:t>
      </w:r>
      <w:r>
        <w:rPr>
          <w:sz w:val="21"/>
        </w:rPr>
        <w:t>享有本项目实施过程中产生的知识成果及知识产权。</w:t>
      </w:r>
    </w:p>
    <w:p>
      <w:pPr>
        <w:pStyle w:val="null3"/>
        <w:ind w:firstLine="422"/>
        <w:jc w:val="both"/>
      </w:pPr>
      <w:r>
        <w:rPr>
          <w:sz w:val="21"/>
          <w:b/>
        </w:rPr>
        <w:t>七、甲方权利和义务</w:t>
      </w:r>
    </w:p>
    <w:p>
      <w:pPr>
        <w:pStyle w:val="null3"/>
        <w:ind w:firstLine="420"/>
        <w:jc w:val="both"/>
      </w:pPr>
      <w:r>
        <w:rPr>
          <w:sz w:val="21"/>
        </w:rPr>
        <w:t>（一）甲方权利</w:t>
      </w:r>
    </w:p>
    <w:p>
      <w:pPr>
        <w:pStyle w:val="null3"/>
        <w:ind w:firstLine="420"/>
        <w:jc w:val="both"/>
      </w:pPr>
      <w:r>
        <w:rPr>
          <w:sz w:val="21"/>
        </w:rPr>
        <w:t>1、对乙方在滨海湾新区湾区1号信息化基础设施运维服务工作进行监督。</w:t>
      </w:r>
    </w:p>
    <w:p>
      <w:pPr>
        <w:pStyle w:val="null3"/>
        <w:ind w:firstLine="420"/>
        <w:jc w:val="both"/>
      </w:pPr>
      <w:r>
        <w:rPr>
          <w:sz w:val="21"/>
        </w:rPr>
        <w:t>2、对滨海湾新区湾区1号信息化基础设施运维服务工作成果进行审核确认。</w:t>
      </w:r>
    </w:p>
    <w:p>
      <w:pPr>
        <w:pStyle w:val="null3"/>
        <w:ind w:firstLine="420"/>
        <w:jc w:val="both"/>
      </w:pPr>
      <w:r>
        <w:rPr>
          <w:sz w:val="21"/>
        </w:rPr>
        <w:t>3、对乙方在服务期内有违规行为的，甲方有权终止本合同，并追究乙方的违约责任。</w:t>
      </w:r>
    </w:p>
    <w:p>
      <w:pPr>
        <w:pStyle w:val="null3"/>
        <w:ind w:firstLine="371"/>
        <w:jc w:val="both"/>
      </w:pPr>
      <w:r>
        <w:rPr>
          <w:sz w:val="21"/>
        </w:rPr>
        <w:t>4、对于</w:t>
      </w:r>
      <w:r>
        <w:rPr>
          <w:sz w:val="21"/>
        </w:rPr>
        <w:t>甲方提出</w:t>
      </w:r>
      <w:r>
        <w:rPr>
          <w:sz w:val="21"/>
        </w:rPr>
        <w:t>的</w:t>
      </w:r>
      <w:r>
        <w:rPr>
          <w:sz w:val="21"/>
        </w:rPr>
        <w:t>修改意见，乙方</w:t>
      </w:r>
      <w:r>
        <w:rPr>
          <w:sz w:val="21"/>
        </w:rPr>
        <w:t>必须在</w:t>
      </w:r>
      <w:r>
        <w:rPr>
          <w:sz w:val="21"/>
        </w:rPr>
        <w:t>5个工作日内完成修改，每拖延一天，甲方可向乙方扣除合同总额的0.1%违约金。</w:t>
      </w:r>
    </w:p>
    <w:p>
      <w:pPr>
        <w:pStyle w:val="null3"/>
        <w:ind w:firstLine="420"/>
        <w:jc w:val="both"/>
      </w:pPr>
      <w:r>
        <w:rPr>
          <w:sz w:val="21"/>
        </w:rPr>
        <w:t>（二）甲方义务</w:t>
      </w:r>
    </w:p>
    <w:p>
      <w:pPr>
        <w:pStyle w:val="null3"/>
        <w:ind w:firstLine="420"/>
        <w:jc w:val="both"/>
      </w:pPr>
      <w:r>
        <w:rPr>
          <w:sz w:val="21"/>
        </w:rPr>
        <w:t>1、协助乙方收集项目相关资料，向乙方提供本项目的以下相关背景资料：</w:t>
      </w:r>
      <w:r>
        <w:rPr>
          <w:sz w:val="21"/>
        </w:rPr>
        <w:t xml:space="preserve"> </w:t>
      </w:r>
    </w:p>
    <w:p>
      <w:pPr>
        <w:pStyle w:val="null3"/>
        <w:ind w:firstLine="420"/>
        <w:jc w:val="both"/>
      </w:pPr>
      <w:r>
        <w:rPr>
          <w:sz w:val="21"/>
        </w:rPr>
        <w:t>（</w:t>
      </w:r>
      <w:r>
        <w:rPr>
          <w:sz w:val="21"/>
        </w:rPr>
        <w:t>1）业务流程规范。</w:t>
      </w:r>
    </w:p>
    <w:p>
      <w:pPr>
        <w:pStyle w:val="null3"/>
        <w:ind w:firstLine="420"/>
        <w:jc w:val="both"/>
      </w:pPr>
      <w:r>
        <w:rPr>
          <w:sz w:val="21"/>
        </w:rPr>
        <w:t>（</w:t>
      </w:r>
      <w:r>
        <w:rPr>
          <w:sz w:val="21"/>
        </w:rPr>
        <w:t>2）相关项目要求及专题材料。</w:t>
      </w:r>
    </w:p>
    <w:p>
      <w:pPr>
        <w:pStyle w:val="null3"/>
        <w:ind w:firstLine="420"/>
        <w:jc w:val="both"/>
      </w:pPr>
      <w:r>
        <w:rPr>
          <w:sz w:val="21"/>
        </w:rPr>
        <w:t>（</w:t>
      </w:r>
      <w:r>
        <w:rPr>
          <w:sz w:val="21"/>
        </w:rPr>
        <w:t>3）数据类材料。</w:t>
      </w:r>
    </w:p>
    <w:p>
      <w:pPr>
        <w:pStyle w:val="null3"/>
        <w:ind w:firstLine="420"/>
        <w:jc w:val="both"/>
      </w:pPr>
      <w:r>
        <w:rPr>
          <w:sz w:val="21"/>
        </w:rPr>
        <w:t>（</w:t>
      </w:r>
      <w:r>
        <w:rPr>
          <w:sz w:val="21"/>
        </w:rPr>
        <w:t>4）各系统相关材料。</w:t>
      </w:r>
    </w:p>
    <w:p>
      <w:pPr>
        <w:pStyle w:val="null3"/>
        <w:ind w:firstLine="420"/>
        <w:jc w:val="both"/>
      </w:pPr>
      <w:r>
        <w:rPr>
          <w:sz w:val="21"/>
        </w:rPr>
        <w:t>（</w:t>
      </w:r>
      <w:r>
        <w:rPr>
          <w:sz w:val="21"/>
        </w:rPr>
        <w:t>5）基础设施相关材料。</w:t>
      </w:r>
    </w:p>
    <w:p>
      <w:pPr>
        <w:pStyle w:val="null3"/>
        <w:ind w:firstLine="420"/>
        <w:jc w:val="both"/>
      </w:pPr>
      <w:r>
        <w:rPr>
          <w:sz w:val="21"/>
        </w:rPr>
        <w:t>（</w:t>
      </w:r>
      <w:r>
        <w:rPr>
          <w:sz w:val="21"/>
        </w:rPr>
        <w:t>6）交流过的厂商方案及资料。</w:t>
      </w:r>
    </w:p>
    <w:p>
      <w:pPr>
        <w:pStyle w:val="null3"/>
        <w:ind w:firstLine="420"/>
        <w:jc w:val="both"/>
      </w:pPr>
      <w:r>
        <w:rPr>
          <w:sz w:val="21"/>
        </w:rPr>
        <w:t>（</w:t>
      </w:r>
      <w:r>
        <w:rPr>
          <w:sz w:val="21"/>
        </w:rPr>
        <w:t>7）其它可提供的相关资料。</w:t>
      </w:r>
    </w:p>
    <w:p>
      <w:pPr>
        <w:pStyle w:val="null3"/>
        <w:ind w:firstLine="420"/>
        <w:jc w:val="both"/>
      </w:pPr>
      <w:r>
        <w:rPr>
          <w:sz w:val="21"/>
        </w:rPr>
        <w:t>2、为乙方提供滨海湾新区湾区1号信息化基础设施运维服务工作成果所需的材料格式和有关政策规定文件。</w:t>
      </w:r>
    </w:p>
    <w:p>
      <w:pPr>
        <w:pStyle w:val="null3"/>
        <w:ind w:firstLine="420"/>
        <w:jc w:val="both"/>
      </w:pPr>
      <w:r>
        <w:rPr>
          <w:sz w:val="21"/>
        </w:rPr>
        <w:t>3、解决项目开展中出现的问题。</w:t>
      </w:r>
    </w:p>
    <w:p>
      <w:pPr>
        <w:pStyle w:val="null3"/>
        <w:ind w:firstLine="420"/>
        <w:jc w:val="both"/>
      </w:pPr>
      <w:r>
        <w:rPr>
          <w:sz w:val="21"/>
        </w:rPr>
        <w:t>4、对乙方提交的项目服务成果提出修改意见。</w:t>
      </w:r>
    </w:p>
    <w:p>
      <w:pPr>
        <w:pStyle w:val="null3"/>
        <w:ind w:firstLine="420"/>
        <w:jc w:val="both"/>
      </w:pPr>
      <w:r>
        <w:rPr>
          <w:sz w:val="21"/>
        </w:rPr>
        <w:t>5、按本合同书的规定支付</w:t>
      </w:r>
      <w:r>
        <w:rPr>
          <w:sz w:val="21"/>
        </w:rPr>
        <w:t>服务</w:t>
      </w:r>
      <w:r>
        <w:rPr>
          <w:sz w:val="21"/>
        </w:rPr>
        <w:t>费用。</w:t>
      </w:r>
    </w:p>
    <w:p>
      <w:pPr>
        <w:pStyle w:val="null3"/>
        <w:ind w:firstLine="420"/>
        <w:jc w:val="both"/>
      </w:pPr>
      <w:r>
        <w:rPr>
          <w:sz w:val="21"/>
        </w:rPr>
        <w:t>6、合理、安全、正确地使用设备。</w:t>
      </w:r>
    </w:p>
    <w:p>
      <w:pPr>
        <w:pStyle w:val="null3"/>
        <w:ind w:firstLine="420"/>
        <w:jc w:val="both"/>
      </w:pPr>
      <w:r>
        <w:rPr>
          <w:sz w:val="21"/>
        </w:rPr>
        <w:t>7、甲方在系统设备使用过程中，一旦发现系统设备的故障或出现异常情况，应及时通知乙方，乙方到达后，甲方有义务说明事故发生经过。</w:t>
      </w:r>
    </w:p>
    <w:p>
      <w:pPr>
        <w:pStyle w:val="null3"/>
        <w:ind w:firstLine="422"/>
        <w:jc w:val="both"/>
      </w:pPr>
      <w:r>
        <w:rPr>
          <w:sz w:val="21"/>
          <w:b/>
        </w:rPr>
        <w:t>八、乙方权利和义务</w:t>
      </w:r>
    </w:p>
    <w:p>
      <w:pPr>
        <w:pStyle w:val="null3"/>
        <w:ind w:firstLine="420"/>
        <w:jc w:val="both"/>
      </w:pPr>
      <w:r>
        <w:rPr>
          <w:sz w:val="21"/>
        </w:rPr>
        <w:t>（一）乙方权利</w:t>
      </w:r>
    </w:p>
    <w:p>
      <w:pPr>
        <w:pStyle w:val="null3"/>
        <w:ind w:firstLine="420"/>
        <w:jc w:val="both"/>
      </w:pPr>
      <w:r>
        <w:rPr>
          <w:sz w:val="21"/>
        </w:rPr>
        <w:t>1、乙方享有滨海湾新区湾区1号信息化基础设施运维服务工作运维服务项目的服务费用。</w:t>
      </w:r>
    </w:p>
    <w:p>
      <w:pPr>
        <w:pStyle w:val="null3"/>
        <w:ind w:firstLine="420"/>
        <w:jc w:val="both"/>
      </w:pPr>
      <w:r>
        <w:rPr>
          <w:sz w:val="21"/>
        </w:rPr>
        <w:t>2、乙方履行本合同的技术支持与维护服务时，甲方应提供必要的便利条件，积极配合。</w:t>
      </w:r>
    </w:p>
    <w:p>
      <w:pPr>
        <w:pStyle w:val="null3"/>
        <w:ind w:firstLine="420"/>
        <w:jc w:val="both"/>
      </w:pPr>
      <w:r>
        <w:rPr>
          <w:sz w:val="21"/>
        </w:rPr>
        <w:t>（二）乙方义务</w:t>
      </w:r>
    </w:p>
    <w:p>
      <w:pPr>
        <w:pStyle w:val="null3"/>
        <w:ind w:firstLine="420"/>
        <w:jc w:val="both"/>
      </w:pPr>
      <w:r>
        <w:rPr>
          <w:sz w:val="21"/>
        </w:rPr>
        <w:t>1、乙方提供给甲方的服务，必须按照合同规定的服务内容进行。</w:t>
      </w:r>
    </w:p>
    <w:p>
      <w:pPr>
        <w:pStyle w:val="null3"/>
        <w:ind w:firstLine="420"/>
        <w:jc w:val="both"/>
      </w:pPr>
      <w:r>
        <w:rPr>
          <w:sz w:val="21"/>
        </w:rPr>
        <w:t>2、为设备正常运转提供技术支持和保障，确保设备的正常稳定运转。</w:t>
      </w:r>
    </w:p>
    <w:p>
      <w:pPr>
        <w:pStyle w:val="null3"/>
        <w:ind w:firstLine="420"/>
        <w:jc w:val="both"/>
      </w:pPr>
      <w:r>
        <w:rPr>
          <w:sz w:val="21"/>
        </w:rPr>
        <w:t>3、乙方服务人员应严格遵守甲方的各项规章制度。</w:t>
      </w:r>
    </w:p>
    <w:p>
      <w:pPr>
        <w:pStyle w:val="null3"/>
        <w:ind w:firstLine="420"/>
        <w:jc w:val="both"/>
      </w:pPr>
      <w:r>
        <w:rPr>
          <w:sz w:val="21"/>
        </w:rPr>
        <w:t>4、未经过甲方的书面同意，不得转让本合同项下的任何一项权力和义务。</w:t>
      </w:r>
    </w:p>
    <w:p>
      <w:pPr>
        <w:pStyle w:val="null3"/>
        <w:ind w:firstLine="422"/>
        <w:jc w:val="both"/>
      </w:pPr>
      <w:r>
        <w:rPr>
          <w:sz w:val="21"/>
          <w:b/>
        </w:rPr>
        <w:t>九、违约与责任</w:t>
      </w:r>
    </w:p>
    <w:p>
      <w:pPr>
        <w:pStyle w:val="null3"/>
        <w:ind w:firstLine="420"/>
        <w:jc w:val="both"/>
      </w:pPr>
      <w:r>
        <w:rPr>
          <w:sz w:val="21"/>
        </w:rPr>
        <w:t>（一）甲方应按规定及时向乙方办理服务费用的支付手续，每拖延一天，乙方可向甲方加收合同总额</w:t>
      </w:r>
      <w:r>
        <w:rPr>
          <w:sz w:val="21"/>
        </w:rPr>
        <w:t>1‰的违约金，最高不得超过本合同金额的5%。如拖延超过30天的，乙方有权暂停履行下阶段工作，并书面通知甲方。</w:t>
      </w:r>
    </w:p>
    <w:p>
      <w:pPr>
        <w:pStyle w:val="null3"/>
        <w:ind w:firstLine="420"/>
        <w:jc w:val="both"/>
      </w:pPr>
      <w:r>
        <w:rPr>
          <w:sz w:val="21"/>
        </w:rPr>
        <w:t>（二）乙方未能按期提交服务成果，每延误</w:t>
      </w:r>
      <w:r>
        <w:rPr>
          <w:sz w:val="21"/>
        </w:rPr>
        <w:t>1天，乙方向甲方支付合同总额1‰的违约金，工期延误超过30天，甲方有权单方面终止合同，由此造成甲方经济损失的，乙方应给予经济赔偿，赔偿金额不超过本合同金额的5%，但由于甲方原因导致乙方逾期的，乙方不承担违约责任。</w:t>
      </w:r>
    </w:p>
    <w:p>
      <w:pPr>
        <w:pStyle w:val="null3"/>
        <w:ind w:firstLine="420"/>
        <w:jc w:val="both"/>
      </w:pPr>
      <w:r>
        <w:rPr>
          <w:sz w:val="21"/>
        </w:rPr>
        <w:t>（三）</w:t>
      </w:r>
      <w:r>
        <w:rPr>
          <w:sz w:val="21"/>
        </w:rPr>
        <w:t>乙方</w:t>
      </w:r>
      <w:r>
        <w:rPr>
          <w:sz w:val="21"/>
        </w:rPr>
        <w:t>须与甲方签署保密协议书，保证不向外涉露本系统的所有资料及用作其他用途。</w:t>
      </w:r>
      <w:r>
        <w:rPr>
          <w:sz w:val="21"/>
        </w:rPr>
        <w:t>乙方</w:t>
      </w:r>
      <w:r>
        <w:rPr>
          <w:sz w:val="21"/>
        </w:rPr>
        <w:t>负责约束其所属员工。如维护服务人员发生泄密事件，一切后果由</w:t>
      </w:r>
      <w:r>
        <w:rPr>
          <w:sz w:val="21"/>
        </w:rPr>
        <w:t>乙方</w:t>
      </w:r>
      <w:r>
        <w:rPr>
          <w:sz w:val="21"/>
        </w:rPr>
        <w:t>承担。</w:t>
      </w:r>
    </w:p>
    <w:p>
      <w:pPr>
        <w:pStyle w:val="null3"/>
        <w:ind w:firstLine="420"/>
        <w:jc w:val="both"/>
      </w:pPr>
      <w:r>
        <w:rPr>
          <w:sz w:val="21"/>
        </w:rPr>
        <w:t>（四）如因乙方的违约行为导致甲方遭受损失（包括但不限于甲方为本合同履行而发生的支出、诉讼费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（五）不可抗力及免责</w:t>
      </w:r>
    </w:p>
    <w:p>
      <w:pPr>
        <w:pStyle w:val="null3"/>
        <w:ind w:firstLine="420"/>
        <w:jc w:val="both"/>
      </w:pPr>
      <w:r>
        <w:rPr>
          <w:sz w:val="21"/>
        </w:rPr>
        <w:t>如由于战争、骚乱、恐怖主义、自然灾害、罢工、政府行为、国家法律法规或规章变动、网络安全、网络无法覆盖、停电、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因上述不可抗力及免责事项引起的设备更换或维修的成本由双方对等分担。</w:t>
      </w:r>
    </w:p>
    <w:p>
      <w:pPr>
        <w:pStyle w:val="null3"/>
        <w:ind w:firstLine="420"/>
        <w:jc w:val="both"/>
      </w:pPr>
      <w:r>
        <w:rPr>
          <w:sz w:val="21"/>
        </w:rPr>
        <w:t>（六）合同纠纷解决</w:t>
      </w:r>
    </w:p>
    <w:p>
      <w:pPr>
        <w:pStyle w:val="null3"/>
        <w:ind w:firstLine="420"/>
        <w:jc w:val="both"/>
      </w:pPr>
      <w:r>
        <w:rPr>
          <w:sz w:val="21"/>
        </w:rPr>
        <w:t>在履行合同的过程中，甲、乙双方如产生合同纠纷，协商不成的情况下，可向甲方所在地人民法院提起诉讼。</w:t>
      </w:r>
    </w:p>
    <w:p>
      <w:pPr>
        <w:pStyle w:val="null3"/>
        <w:ind w:firstLine="422"/>
        <w:jc w:val="both"/>
      </w:pPr>
      <w:r>
        <w:rPr>
          <w:sz w:val="21"/>
          <w:b/>
        </w:rPr>
        <w:t>十、保密条款</w:t>
      </w:r>
    </w:p>
    <w:p>
      <w:pPr>
        <w:pStyle w:val="null3"/>
        <w:ind w:left="420"/>
        <w:jc w:val="both"/>
      </w:pPr>
      <w:r>
        <w:rPr>
          <w:sz w:val="21"/>
        </w:rPr>
        <w:t>保密的有关内容按双方签订的《保密协议》（附件）执行。</w:t>
      </w:r>
    </w:p>
    <w:p>
      <w:pPr>
        <w:pStyle w:val="null3"/>
        <w:ind w:firstLine="422"/>
        <w:jc w:val="both"/>
      </w:pPr>
      <w:r>
        <w:rPr>
          <w:sz w:val="21"/>
          <w:b/>
        </w:rPr>
        <w:t>十一、其他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w:t>
      </w:r>
      <w:r>
        <w:rPr>
          <w:sz w:val="21"/>
        </w:rPr>
        <w:t>*份，甲方执叁份，乙方执*份，具有同等法律效力。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2"/>
        <w:jc w:val="both"/>
      </w:pPr>
      <w:r>
        <w:rPr>
          <w:sz w:val="21"/>
          <w:b/>
        </w:rPr>
        <w:t>十二、合同附件</w:t>
      </w:r>
    </w:p>
    <w:p>
      <w:pPr>
        <w:pStyle w:val="null3"/>
        <w:ind w:firstLine="420"/>
        <w:jc w:val="both"/>
      </w:pPr>
      <w:r>
        <w:rPr>
          <w:sz w:val="21"/>
        </w:rPr>
        <w:t>附件</w:t>
      </w:r>
      <w:r>
        <w:rPr>
          <w:sz w:val="21"/>
        </w:rPr>
        <w:t>1</w:t>
      </w:r>
      <w:r>
        <w:rPr>
          <w:sz w:val="21"/>
        </w:rPr>
        <w:t xml:space="preserve"> </w:t>
      </w:r>
      <w:r>
        <w:rPr>
          <w:sz w:val="21"/>
        </w:rPr>
        <w:t>：</w:t>
      </w:r>
      <w:r>
        <w:rPr>
          <w:sz w:val="21"/>
        </w:rPr>
        <w:t>《保密协议》</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pPr>
      <w:r>
        <w:rPr>
          <w:sz w:val="24"/>
        </w:rPr>
        <w:t>附件</w:t>
      </w:r>
      <w:r>
        <w:rPr>
          <w:sz w:val="24"/>
        </w:rPr>
        <w:t>1</w:t>
      </w:r>
      <w:r>
        <w:rPr>
          <w:sz w:val="24"/>
        </w:rPr>
        <w:t>：</w:t>
      </w:r>
    </w:p>
    <w:p>
      <w:pPr>
        <w:pStyle w:val="null3"/>
        <w:jc w:val="center"/>
      </w:pPr>
      <w:r>
        <w:rPr>
          <w:sz w:val="44"/>
          <w:b/>
        </w:rPr>
        <w:t>东莞滨海湾新区征拆项目管理系统</w:t>
      </w:r>
      <w:r>
        <w:rPr>
          <w:sz w:val="44"/>
          <w:b/>
        </w:rPr>
        <w:t>合同</w:t>
      </w:r>
    </w:p>
    <w:p>
      <w:pPr>
        <w:pStyle w:val="null3"/>
        <w:jc w:val="center"/>
      </w:pPr>
      <w:r>
        <w:rPr>
          <w:sz w:val="44"/>
          <w:b/>
        </w:rPr>
        <w:t>保密协议</w:t>
      </w:r>
    </w:p>
    <w:p>
      <w:pPr>
        <w:pStyle w:val="null3"/>
        <w:ind w:firstLine="480"/>
        <w:jc w:val="both"/>
      </w:pPr>
      <w:r>
        <w:rPr>
          <w:sz w:val="24"/>
        </w:rPr>
        <w:t>甲方：</w:t>
      </w:r>
      <w:r>
        <w:rPr>
          <w:sz w:val="24"/>
          <w:u w:val="single"/>
        </w:rPr>
        <w:t>东莞滨海湾新区管理委员会</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ind w:firstLine="480"/>
        <w:jc w:val="both"/>
      </w:pPr>
      <w:r>
        <w:rPr>
          <w:sz w:val="21"/>
        </w:rPr>
        <w:t>一</w:t>
      </w:r>
      <w:r>
        <w:rPr>
          <w:sz w:val="21"/>
        </w:rPr>
        <w:t>、</w:t>
      </w:r>
      <w:r>
        <w:rPr>
          <w:sz w:val="21"/>
        </w:rPr>
        <w:t>保密信息</w:t>
      </w:r>
    </w:p>
    <w:p>
      <w:pPr>
        <w:pStyle w:val="null3"/>
        <w:ind w:firstLine="420"/>
        <w:jc w:val="both"/>
      </w:pPr>
      <w:r>
        <w:rPr>
          <w:sz w:val="21"/>
        </w:rPr>
        <w:t>本协议所称保密信息为甲乙双方在洽谈、协商或合作中，乙方知晓甲方的以下信息：</w:t>
      </w:r>
    </w:p>
    <w:p>
      <w:pPr>
        <w:pStyle w:val="null3"/>
        <w:ind w:firstLine="420"/>
        <w:jc w:val="both"/>
      </w:pPr>
      <w:r>
        <w:rPr>
          <w:sz w:val="21"/>
        </w:rPr>
        <w:t>（一）</w:t>
      </w:r>
      <w:r>
        <w:rPr>
          <w:sz w:val="21"/>
        </w:rPr>
        <w:t>技术信息：技术方案、工程设计、技术报告、检测报告、实验数据、试验结果、图纸、样品等。</w:t>
      </w:r>
    </w:p>
    <w:p>
      <w:pPr>
        <w:pStyle w:val="null3"/>
        <w:ind w:firstLine="420"/>
        <w:jc w:val="both"/>
      </w:pPr>
      <w:r>
        <w:rPr>
          <w:sz w:val="21"/>
        </w:rPr>
        <w:t>（二）</w:t>
      </w:r>
      <w:r>
        <w:rPr>
          <w:sz w:val="21"/>
        </w:rPr>
        <w:t>经营信息：包括经营方针、投资决策意向、产品服务定价、市场分析、广告策略等</w:t>
      </w:r>
    </w:p>
    <w:p>
      <w:pPr>
        <w:pStyle w:val="null3"/>
        <w:ind w:firstLine="420"/>
        <w:jc w:val="both"/>
      </w:pPr>
      <w:r>
        <w:rPr>
          <w:sz w:val="21"/>
        </w:rPr>
        <w:t>（三）</w:t>
      </w:r>
      <w:r>
        <w:rPr>
          <w:sz w:val="21"/>
        </w:rPr>
        <w:t>财务信息：包括营.业收入、利润、净资产等数据。</w:t>
      </w:r>
    </w:p>
    <w:p>
      <w:pPr>
        <w:pStyle w:val="null3"/>
        <w:ind w:firstLine="420"/>
        <w:jc w:val="both"/>
      </w:pPr>
      <w:r>
        <w:rPr>
          <w:sz w:val="21"/>
        </w:rPr>
        <w:t>（四）</w:t>
      </w:r>
      <w:r>
        <w:rPr>
          <w:sz w:val="21"/>
        </w:rPr>
        <w:t>甲方与乙方所洽谈、协商或合作事宜本身及相关内容。</w:t>
      </w:r>
    </w:p>
    <w:p>
      <w:pPr>
        <w:pStyle w:val="null3"/>
        <w:ind w:firstLine="420"/>
        <w:jc w:val="both"/>
      </w:pPr>
      <w:r>
        <w:rPr>
          <w:sz w:val="21"/>
        </w:rPr>
        <w:t>（五）</w:t>
      </w:r>
      <w:r>
        <w:rPr>
          <w:sz w:val="21"/>
        </w:rPr>
        <w:t>甲方依照法律规定或者有关协议的约定对外承担保密义务的事项。</w:t>
      </w:r>
    </w:p>
    <w:p>
      <w:pPr>
        <w:pStyle w:val="null3"/>
        <w:ind w:firstLine="420"/>
        <w:jc w:val="both"/>
      </w:pPr>
      <w:r>
        <w:rPr>
          <w:sz w:val="21"/>
        </w:rPr>
        <w:t>（六）</w:t>
      </w:r>
      <w:r>
        <w:rPr>
          <w:sz w:val="21"/>
        </w:rPr>
        <w:t>甲方尚未对外公开披露的信息。</w:t>
      </w:r>
    </w:p>
    <w:p>
      <w:pPr>
        <w:pStyle w:val="null3"/>
        <w:ind w:firstLine="420"/>
        <w:jc w:val="both"/>
      </w:pPr>
      <w:r>
        <w:rPr>
          <w:sz w:val="21"/>
        </w:rPr>
        <w:t>二</w:t>
      </w:r>
      <w:r>
        <w:rPr>
          <w:sz w:val="21"/>
        </w:rPr>
        <w:t>、</w:t>
      </w:r>
      <w:r>
        <w:rPr>
          <w:sz w:val="21"/>
        </w:rPr>
        <w:t>保密义务</w:t>
      </w:r>
    </w:p>
    <w:p>
      <w:pPr>
        <w:pStyle w:val="null3"/>
        <w:ind w:firstLine="420"/>
        <w:jc w:val="both"/>
      </w:pPr>
      <w:r>
        <w:rPr>
          <w:sz w:val="21"/>
        </w:rPr>
        <w:t>（一）</w:t>
      </w:r>
      <w:r>
        <w:rPr>
          <w:sz w:val="21"/>
        </w:rPr>
        <w:t>乙方应当严格遵守保密义务，禁止将保密信息对外披露、公布或泄露。</w:t>
      </w:r>
    </w:p>
    <w:p>
      <w:pPr>
        <w:pStyle w:val="null3"/>
        <w:ind w:firstLine="420"/>
        <w:jc w:val="both"/>
      </w:pPr>
      <w:r>
        <w:rPr>
          <w:sz w:val="21"/>
        </w:rPr>
        <w:t>（二）</w:t>
      </w:r>
      <w:r>
        <w:rPr>
          <w:sz w:val="21"/>
        </w:rPr>
        <w:t>乙方应采取一切合理且不低于乙方对其自身类似保密信息所采取的措施来保护甲方向其披露的保密信息，以防止保密信息被盗窃及</w:t>
      </w:r>
      <w:r>
        <w:rPr>
          <w:sz w:val="21"/>
        </w:rPr>
        <w:t>/或泄露、未经授权的使用、因任何第三人的疏忽导致保密信息的泄露。</w:t>
      </w:r>
    </w:p>
    <w:p>
      <w:pPr>
        <w:pStyle w:val="null3"/>
        <w:ind w:firstLine="420"/>
        <w:jc w:val="both"/>
      </w:pPr>
      <w:r>
        <w:rPr>
          <w:sz w:val="21"/>
        </w:rPr>
        <w:t>（三）</w:t>
      </w:r>
      <w:r>
        <w:rPr>
          <w:sz w:val="21"/>
        </w:rPr>
        <w:t>乙方保证其在合作中有必要知晓保密信息的雇员及关联方，受到与本协议同等严格保密义务的约束。</w:t>
      </w:r>
    </w:p>
    <w:p>
      <w:pPr>
        <w:pStyle w:val="null3"/>
        <w:ind w:firstLine="420"/>
        <w:jc w:val="both"/>
      </w:pPr>
      <w:r>
        <w:rPr>
          <w:sz w:val="21"/>
        </w:rPr>
        <w:t>（四）</w:t>
      </w:r>
      <w:r>
        <w:rPr>
          <w:sz w:val="21"/>
        </w:rPr>
        <w:t>乙方对下列信息可免于承担保密义务：</w:t>
      </w:r>
    </w:p>
    <w:p>
      <w:pPr>
        <w:pStyle w:val="null3"/>
        <w:ind w:firstLine="420"/>
        <w:jc w:val="both"/>
      </w:pPr>
      <w:r>
        <w:rPr>
          <w:sz w:val="21"/>
        </w:rPr>
        <w:t>1.</w:t>
      </w:r>
      <w:r>
        <w:rPr>
          <w:sz w:val="21"/>
        </w:rPr>
        <w:t>在甲方披露时，该保密信息已经合法公开；</w:t>
      </w:r>
    </w:p>
    <w:p>
      <w:pPr>
        <w:pStyle w:val="null3"/>
        <w:ind w:firstLine="420"/>
        <w:jc w:val="both"/>
      </w:pPr>
      <w:r>
        <w:rPr>
          <w:sz w:val="21"/>
        </w:rPr>
        <w:t>2.</w:t>
      </w:r>
      <w:r>
        <w:rPr>
          <w:sz w:val="21"/>
        </w:rPr>
        <w:t>非因违反本协议约定的行为，保密信息已经被公开</w:t>
      </w:r>
      <w:r>
        <w:rPr>
          <w:sz w:val="21"/>
        </w:rPr>
        <w:t>(但因第三方违反相关保密义务导致公开的除外)；</w:t>
      </w:r>
    </w:p>
    <w:p>
      <w:pPr>
        <w:pStyle w:val="null3"/>
        <w:ind w:firstLine="420"/>
        <w:jc w:val="both"/>
      </w:pPr>
      <w:r>
        <w:rPr>
          <w:sz w:val="21"/>
        </w:rPr>
        <w:t>3.</w:t>
      </w:r>
      <w:r>
        <w:rPr>
          <w:sz w:val="21"/>
        </w:rPr>
        <w:t>因中华人民共和国法律法规</w:t>
      </w:r>
      <w:r>
        <w:rPr>
          <w:sz w:val="21"/>
        </w:rPr>
        <w:t>、金融、证券等监管部门要求提供或者司法机关依权职要求乙方提供的相关信息。</w:t>
      </w:r>
    </w:p>
    <w:p>
      <w:pPr>
        <w:pStyle w:val="null3"/>
        <w:ind w:firstLine="420"/>
        <w:jc w:val="both"/>
      </w:pPr>
      <w:r>
        <w:rPr>
          <w:sz w:val="21"/>
        </w:rPr>
        <w:t>（五）在乙方因本条第四款第（</w:t>
      </w:r>
      <w:r>
        <w:rPr>
          <w:sz w:val="21"/>
        </w:rPr>
        <w:t>3）项之约定提供相关信息时，应在接到通知之日当天告知甲方。</w:t>
      </w:r>
    </w:p>
    <w:p>
      <w:pPr>
        <w:pStyle w:val="null3"/>
        <w:ind w:firstLine="420"/>
        <w:jc w:val="both"/>
      </w:pPr>
      <w:r>
        <w:rPr>
          <w:sz w:val="21"/>
        </w:rPr>
        <w:t>（六）</w:t>
      </w:r>
      <w:r>
        <w:rPr>
          <w:sz w:val="21"/>
        </w:rPr>
        <w:t>无论因为何种原因导致甲乙双方合作的目的未予实现</w:t>
      </w:r>
      <w:r>
        <w:rPr>
          <w:sz w:val="21"/>
        </w:rPr>
        <w:t>，</w:t>
      </w:r>
      <w:r>
        <w:rPr>
          <w:sz w:val="21"/>
        </w:rPr>
        <w:t>乙方应当在甲方通知之日起</w:t>
      </w:r>
      <w:r>
        <w:rPr>
          <w:sz w:val="21"/>
        </w:rPr>
        <w:t>3日内反还并销毁其所获取的所有保密信息（包括但不限于相关文件、资料等），不得以任何理由和形式保留。</w:t>
      </w:r>
    </w:p>
    <w:p>
      <w:pPr>
        <w:pStyle w:val="null3"/>
        <w:ind w:firstLine="420"/>
        <w:jc w:val="both"/>
      </w:pPr>
      <w:r>
        <w:rPr>
          <w:sz w:val="21"/>
        </w:rPr>
        <w:t>三、保密期限</w:t>
      </w:r>
    </w:p>
    <w:p>
      <w:pPr>
        <w:pStyle w:val="null3"/>
        <w:ind w:firstLine="420"/>
        <w:jc w:val="both"/>
      </w:pPr>
      <w:r>
        <w:rPr>
          <w:sz w:val="21"/>
        </w:rPr>
        <w:t>（一）本协议项下的保密期限，自本协议签订生效之日起至保密信息被甲方依法公开披露或成为公开信息之日止。</w:t>
      </w:r>
    </w:p>
    <w:p>
      <w:pPr>
        <w:pStyle w:val="null3"/>
        <w:ind w:firstLine="420"/>
        <w:jc w:val="both"/>
      </w:pPr>
      <w:r>
        <w:rPr>
          <w:sz w:val="21"/>
        </w:rPr>
        <w:t>（二）</w:t>
      </w:r>
      <w:r>
        <w:rPr>
          <w:sz w:val="21"/>
        </w:rPr>
        <w:t>不论以何种方式解除或终止甲乙双方之间的合作事宜已经及</w:t>
      </w:r>
      <w:r>
        <w:rPr>
          <w:sz w:val="21"/>
        </w:rPr>
        <w:t>/或将要签署的协议，本保密协议仍然有效，直至相关保密信息被甲方依法公开披露或成为公开信息。</w:t>
      </w:r>
    </w:p>
    <w:p>
      <w:pPr>
        <w:pStyle w:val="null3"/>
        <w:ind w:firstLine="420"/>
        <w:jc w:val="both"/>
      </w:pPr>
      <w:r>
        <w:rPr>
          <w:sz w:val="21"/>
        </w:rPr>
        <w:t>四</w:t>
      </w:r>
      <w:r>
        <w:rPr>
          <w:sz w:val="21"/>
        </w:rPr>
        <w:t>、</w:t>
      </w:r>
      <w:r>
        <w:rPr>
          <w:sz w:val="21"/>
        </w:rPr>
        <w:t>违约责任</w:t>
      </w:r>
    </w:p>
    <w:p>
      <w:pPr>
        <w:pStyle w:val="null3"/>
        <w:ind w:firstLine="420"/>
        <w:jc w:val="both"/>
      </w:pPr>
      <w:r>
        <w:rPr>
          <w:sz w:val="21"/>
        </w:rPr>
        <w:t>（一）</w:t>
      </w:r>
      <w:r>
        <w:rPr>
          <w:sz w:val="21"/>
        </w:rPr>
        <w:t>乙方未遵守本协议约定的保密义务，应向甲方承担违约责任</w:t>
      </w:r>
      <w:r>
        <w:rPr>
          <w:sz w:val="21"/>
        </w:rPr>
        <w:t>。</w:t>
      </w:r>
    </w:p>
    <w:p>
      <w:pPr>
        <w:pStyle w:val="null3"/>
        <w:ind w:firstLine="420"/>
        <w:jc w:val="both"/>
      </w:pPr>
      <w:r>
        <w:rPr>
          <w:sz w:val="21"/>
        </w:rPr>
        <w:t>（二）</w:t>
      </w:r>
      <w:r>
        <w:rPr>
          <w:sz w:val="21"/>
        </w:rPr>
        <w:t>乙方因其违约行为而致使甲方遭受损失的，乙方应承担全部赔偿责任。如乙方因违约而受有利益，则应将所得利益支付给甲方。</w:t>
      </w:r>
    </w:p>
    <w:p>
      <w:pPr>
        <w:pStyle w:val="null3"/>
        <w:ind w:firstLine="420"/>
        <w:jc w:val="both"/>
      </w:pPr>
      <w:r>
        <w:rPr>
          <w:sz w:val="21"/>
        </w:rPr>
        <w:t>五</w:t>
      </w:r>
      <w:r>
        <w:rPr>
          <w:sz w:val="21"/>
        </w:rPr>
        <w:t>、</w:t>
      </w:r>
      <w:r>
        <w:rPr>
          <w:sz w:val="21"/>
        </w:rPr>
        <w:t>法律适用及争议解决</w:t>
      </w:r>
    </w:p>
    <w:p>
      <w:pPr>
        <w:pStyle w:val="null3"/>
        <w:ind w:firstLine="420"/>
        <w:jc w:val="both"/>
      </w:pPr>
      <w:r>
        <w:rPr>
          <w:sz w:val="21"/>
        </w:rPr>
        <w:t>（一）</w:t>
      </w:r>
      <w:r>
        <w:rPr>
          <w:sz w:val="21"/>
        </w:rPr>
        <w:t>本协议适用中华人民共和国法律并按其解释。</w:t>
      </w:r>
    </w:p>
    <w:p>
      <w:pPr>
        <w:pStyle w:val="null3"/>
        <w:ind w:firstLine="420"/>
        <w:jc w:val="both"/>
      </w:pPr>
      <w:r>
        <w:rPr>
          <w:sz w:val="21"/>
        </w:rPr>
        <w:t>（二）</w:t>
      </w:r>
      <w:r>
        <w:rPr>
          <w:sz w:val="21"/>
        </w:rPr>
        <w:t>因本协议引起的或与本协议有关的任何争议，通过友好协商解决；不能通过友好协商解决的，均可向甲方所在地有管辖权的人民法院提起诉讼。</w:t>
      </w:r>
    </w:p>
    <w:p>
      <w:pPr>
        <w:pStyle w:val="null3"/>
        <w:ind w:firstLine="420"/>
        <w:jc w:val="both"/>
      </w:pPr>
      <w:r>
        <w:rPr>
          <w:sz w:val="21"/>
        </w:rPr>
        <w:t>六、</w:t>
      </w:r>
      <w:r>
        <w:rPr>
          <w:sz w:val="21"/>
        </w:rPr>
        <w:t>附则</w:t>
      </w:r>
    </w:p>
    <w:p>
      <w:pPr>
        <w:pStyle w:val="null3"/>
        <w:ind w:firstLine="420"/>
        <w:jc w:val="both"/>
      </w:pPr>
      <w:r>
        <w:rPr>
          <w:sz w:val="21"/>
        </w:rPr>
        <w:t>（一）</w:t>
      </w:r>
      <w:r>
        <w:rPr>
          <w:sz w:val="21"/>
        </w:rPr>
        <w:t>本协议经双方签字盖章生效。</w:t>
      </w:r>
    </w:p>
    <w:p>
      <w:pPr>
        <w:pStyle w:val="null3"/>
        <w:ind w:firstLine="420"/>
        <w:jc w:val="both"/>
      </w:pPr>
      <w:r>
        <w:rPr>
          <w:sz w:val="21"/>
        </w:rPr>
        <w:t>（二）</w:t>
      </w:r>
      <w:r>
        <w:rPr>
          <w:sz w:val="21"/>
        </w:rPr>
        <w:t>本协议一式</w:t>
      </w:r>
      <w:r>
        <w:rPr>
          <w:sz w:val="21"/>
        </w:rPr>
        <w:t>肆</w:t>
      </w:r>
      <w:r>
        <w:rPr>
          <w:sz w:val="21"/>
        </w:rPr>
        <w:t>份，双方各持两份</w:t>
      </w:r>
      <w:r>
        <w:rPr>
          <w:sz w:val="21"/>
        </w:rPr>
        <w:t>，</w:t>
      </w:r>
      <w:r>
        <w:rPr>
          <w:sz w:val="21"/>
        </w:rPr>
        <w:t>各份具有同等法律效力。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4115"/>
        <w:gridCol w:w="4191"/>
      </w:tblGrid>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210"/>
              <w:jc w:val="both"/>
            </w:pPr>
            <w:r>
              <w:rPr>
                <w:sz w:val="24"/>
              </w:rPr>
              <w:t>乙方（盖章）：</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地址：</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法定代表人或授权代表人：</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法定代表人或授权代表人：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1"/>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441900011-2024-00211</w:t>
      </w:r>
    </w:p>
    <w:p>
      <w:pPr>
        <w:pStyle w:val="null3"/>
        <w:jc w:val="center"/>
        <w:outlineLvl w:val="3"/>
      </w:pPr>
      <w:r>
        <w:rPr>
          <w:sz w:val="24"/>
          <w:b/>
        </w:rPr>
        <w:t>采购项目编号：</w:t>
      </w:r>
      <w:r>
        <w:rPr>
          <w:sz w:val="24"/>
          <w:b/>
        </w:rPr>
        <w:t>441900011-2024-00211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东莞滨海湾新区征拆项目管理系统</w:t>
      </w:r>
      <w:r>
        <w:rPr>
          <w:u w:val="single"/>
        </w:rPr>
        <w:t>”</w:t>
      </w:r>
      <w:r>
        <w:rPr/>
        <w:t>项目的竞争性磋商[采购项目编号为：</w:t>
      </w:r>
      <w:r>
        <w:rPr>
          <w:u w:val="single"/>
        </w:rPr>
        <w:t>441900011-2024-00211</w:t>
      </w:r>
      <w:r>
        <w:rPr/>
        <w:t>]，我方愿参与响应。</w:t>
      </w:r>
    </w:p>
    <w:p>
      <w:pPr>
        <w:pStyle w:val="null3"/>
        <w:ind w:firstLine="480"/>
      </w:pPr>
      <w:r>
        <w:rPr/>
        <w:t>我方确认收到贵方提供的</w:t>
      </w:r>
      <w:r>
        <w:rPr>
          <w:u w:val="single"/>
        </w:rPr>
        <w:t>“</w:t>
      </w:r>
      <w:r>
        <w:rPr>
          <w:u w:val="single"/>
        </w:rPr>
        <w:t>东莞滨海湾新区征拆项目管理系统</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东莞滨海湾新区征拆项目管理系统</w:t>
      </w:r>
      <w:r>
        <w:rPr/>
        <w:t>”项目采购[采购项目编号为</w:t>
      </w:r>
      <w:r>
        <w:rPr/>
        <w:t>441900011-2024-00211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东莞滨海湾新区征拆项目管理系统</w:t>
      </w:r>
      <w:r>
        <w:rPr/>
        <w:t>（采购项目编号：</w:t>
      </w:r>
      <w:r>
        <w:rPr/>
        <w:t>441900011-2024-00211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东莞滨海湾新区征拆项目管理系统</w:t>
      </w:r>
      <w:r>
        <w:rPr/>
        <w:t>”项目（采购项目编号：</w:t>
      </w:r>
      <w:r>
        <w:rPr/>
        <w:t>441900011-2024-00211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