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441900014-2024-00475</w:t>
      </w:r>
    </w:p>
    <w:p>
      <w:pPr>
        <w:pStyle w:val="null3"/>
        <w:jc w:val="center"/>
        <w:outlineLvl w:val="3"/>
      </w:pPr>
      <w:r>
        <w:rPr>
          <w:sz w:val="24"/>
          <w:b/>
        </w:rPr>
        <w:t>采购项目编号：</w:t>
      </w:r>
      <w:r>
        <w:rPr>
          <w:sz w:val="24"/>
          <w:b/>
        </w:rPr>
        <w:t>441900014-2024-00475</w:t>
      </w:r>
    </w:p>
    <w:p>
      <w:pPr>
        <w:pStyle w:val="null3"/>
        <w:jc w:val="center"/>
        <w:outlineLvl w:val="3"/>
      </w:pPr>
      <w:r>
        <w:rPr>
          <w:sz w:val="24"/>
          <w:b/>
        </w:rPr>
        <w:t>项目名称：</w:t>
      </w:r>
      <w:r>
        <w:rPr>
          <w:sz w:val="24"/>
          <w:b/>
        </w:rPr>
        <w:t>东莞市横沥镇敬老院食堂食材配送服务采购项目</w:t>
      </w:r>
    </w:p>
    <w:p>
      <w:pPr>
        <w:pStyle w:val="null3"/>
        <w:jc w:val="center"/>
        <w:outlineLvl w:val="3"/>
      </w:pPr>
      <w:r>
        <w:rPr>
          <w:sz w:val="24"/>
          <w:b/>
        </w:rPr>
        <w:t>采购人：</w:t>
      </w:r>
      <w:r>
        <w:rPr>
          <w:sz w:val="24"/>
          <w:b/>
        </w:rPr>
        <w:t>东莞市横沥镇敬老院</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东莞市横沥镇敬老院</w:t>
      </w:r>
      <w:r>
        <w:rPr/>
        <w:t>的委托，采用</w:t>
      </w:r>
      <w:r>
        <w:rPr/>
        <w:t>公开招标</w:t>
      </w:r>
      <w:r>
        <w:rPr/>
        <w:t>方式组织采购</w:t>
      </w:r>
      <w:r>
        <w:rPr/>
        <w:t>东莞市横沥镇敬老院食堂食材配送服务采购项目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东莞市横沥镇敬老院食堂食材配送服务采购项目</w:t>
      </w:r>
    </w:p>
    <w:p>
      <w:pPr>
        <w:pStyle w:val="null3"/>
        <w:ind w:firstLine="480"/>
      </w:pPr>
      <w:r>
        <w:rPr/>
        <w:t>采购计划编号：</w:t>
      </w:r>
      <w:r>
        <w:rPr/>
        <w:t>441900014-2024-00475</w:t>
      </w:r>
    </w:p>
    <w:p>
      <w:pPr>
        <w:pStyle w:val="null3"/>
        <w:ind w:firstLine="480"/>
      </w:pPr>
      <w:r>
        <w:rPr/>
        <w:t>采购项目编号：</w:t>
      </w:r>
      <w:r>
        <w:rPr/>
        <w:t>441900014-2024-00475</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采购包1(东莞市横沥镇敬老院食堂食材配送服务采购项目):</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东莞市横沥镇敬老院食堂食材配送服务采购项目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采购包1（东莞市横沥镇敬老院食堂食材配送服务采购项目）：</w:t>
      </w:r>
      <w:r>
        <w:rPr/>
        <w:t>本项目整体专门面向中小企业采购。供应商须符合本项目采购标的对应行业（本项目行业为：批发业）的政策划分标准。监狱企业、残疾人福利单位视同小型、微型企业。（注：中小企业以供应商填写的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采购包1（东莞市横沥镇敬老院食堂食材配送服务采购项目）：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东莞市横沥镇敬老院</w:t>
      </w:r>
    </w:p>
    <w:p>
      <w:pPr>
        <w:pStyle w:val="null3"/>
        <w:ind w:firstLine="480"/>
      </w:pPr>
      <w:r>
        <w:rPr/>
        <w:t xml:space="preserve"> 地址：</w:t>
      </w:r>
      <w:r>
        <w:rPr/>
        <w:t>东莞市横沥镇康和路1号</w:t>
      </w:r>
    </w:p>
    <w:p>
      <w:pPr>
        <w:pStyle w:val="null3"/>
        <w:ind w:firstLine="480"/>
      </w:pPr>
      <w:r>
        <w:rPr/>
        <w:t xml:space="preserve"> 联系方式：</w:t>
      </w:r>
      <w:r>
        <w:rPr/>
        <w:t>0769-83379933</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东莞市横沥镇敬老院食堂食材配送服务采购项目</w:t>
      </w:r>
    </w:p>
    <w:p>
      <w:pPr>
        <w:pStyle w:val="null3"/>
      </w:pPr>
      <w:r>
        <w:rPr/>
        <w:t>采购包1（东莞市横沥镇敬老院食堂食材配送服务采购项目）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双方采取先送货后结款的方式，从第一次送货之日起，采购人每个月向中标人结清货款一次；双方应在合同有效期内每月1日前对好上期货款（遇节假日顺延）。中标人根据双方核对无误确认好的金额开具发票给采购人，采购人以转账方式将货款一次性全额转入中标人合同中书面指定的银行账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1、报价方式，★投标人必须以下浮率方式进行报价，0＜投标下浮率＜100%；结算时统一采用以下方式计算费用：供货单价=（1-中标下浮率）*基准价，按实际供货数量结算。</w:t>
            </w:r>
          </w:p>
          <w:p>
            <w:pPr>
              <w:pStyle w:val="null3"/>
            </w:pPr>
            <w:r>
              <w:rPr/>
              <w:t>2、定价原则，1.蔬菜、鲜肉，采用每半月根据清单报价，在半月内双方不得以任何理由变更货物价格。2.粮油（大米、食用调和油、调味品、干货类）采用每月根据清单报价，在每月内双方不得以任何理由变更货物价格。3.核价原则（采购人参考价格原则）：中标人须在采购人规定的时间内，对食材进行下一期供货报价。采购人参考当前时段东莞市发展和改革局公布同期“广东省菜篮子价格监测表”中最新一期的“东莞市菜篮子价格监测表”的价格；若“广东省菜篮子价格监测表”无采购人所需的货品，采购人将根据城区内市场的市场批发价进行抽样调查，并结合城区市场的市场零售价进行综合平均，作为采购人参考价格原则。采购人将根据中标人的清单报价进行核价，采购人和中标人均可以以书面形式提出价格调整，核价后的最新价格经双方确认生效后开始以新的价格执行。双方约定的供货物资价格在有效期内任何一方不得随意更改。</w:t>
            </w:r>
          </w:p>
          <w:p>
            <w:pPr>
              <w:pStyle w:val="null3"/>
            </w:pPr>
            <w:r>
              <w:rPr/>
              <w:t>3、保密条款，中标人在实施货物供货期间，不得将供货的实际数量及供货地点泄露给其他企业或者个人，中标人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p>
            <w:pPr>
              <w:pStyle w:val="null3"/>
            </w:pPr>
            <w:r>
              <w:rPr/>
              <w:t>4、合同条款，供应商响应合同各条款。</w:t>
            </w:r>
          </w:p>
          <w:p>
            <w:pPr>
              <w:pStyle w:val="null3"/>
            </w:pPr>
            <w:r>
              <w:rPr/>
              <w:t>5、其他要求，本项目须预留金额用于扶贫农副产品购置。</w:t>
            </w:r>
          </w:p>
          <w:p>
            <w:pPr>
              <w:pStyle w:val="null3"/>
            </w:pPr>
            <w:r>
              <w:rPr/>
              <w:t>6，投标人应充分结合本招标文件上下文了解项目招标需求、采购文件未尽事宜，将在合同签订或项目执行过程中双方协商确定，供应商须无条件满足采购单位的合理要求。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东莞市横沥镇敬老院食堂食材配送服务采购项目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jc w:val="right"/>
            </w:pPr>
            <w:r>
              <w:rPr/>
              <w:t>1,200,000.00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东莞市横沥镇敬老院食堂食材配送服务采购项目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一、项目概述</w:t>
            </w:r>
          </w:p>
          <w:p>
            <w:pPr>
              <w:pStyle w:val="null3"/>
              <w:ind w:firstLine="420"/>
              <w:jc w:val="both"/>
            </w:pPr>
            <w:r>
              <w:rPr>
                <w:sz w:val="21"/>
              </w:rPr>
              <w:t>东莞市横沥镇敬老院</w:t>
            </w:r>
            <w:r>
              <w:rPr>
                <w:sz w:val="21"/>
              </w:rPr>
              <w:t>每日约</w:t>
            </w:r>
            <w:r>
              <w:rPr>
                <w:sz w:val="21"/>
                <w:b/>
              </w:rPr>
              <w:t>55</w:t>
            </w:r>
            <w:r>
              <w:rPr>
                <w:sz w:val="21"/>
              </w:rPr>
              <w:t>人用餐，采购的具体数量和品种需根据每周的实际人员量而定。</w:t>
            </w:r>
          </w:p>
          <w:p>
            <w:pPr>
              <w:pStyle w:val="null3"/>
              <w:jc w:val="both"/>
              <w:outlineLvl w:val="3"/>
            </w:pPr>
            <w:r>
              <w:rPr>
                <w:sz w:val="24"/>
                <w:b/>
              </w:rPr>
              <w:t>二、总体要求</w:t>
            </w:r>
          </w:p>
          <w:p>
            <w:pPr>
              <w:pStyle w:val="null3"/>
              <w:ind w:firstLine="424"/>
              <w:jc w:val="both"/>
            </w:pPr>
            <w:r>
              <w:rPr>
                <w:sz w:val="21"/>
              </w:rPr>
              <w:t>1.所供的物品必须符合“中华人民共和国食品安全法”要求。</w:t>
            </w:r>
          </w:p>
          <w:p>
            <w:pPr>
              <w:pStyle w:val="null3"/>
              <w:ind w:firstLine="424"/>
              <w:jc w:val="both"/>
            </w:pPr>
            <w:r>
              <w:rPr>
                <w:sz w:val="21"/>
              </w:rPr>
              <w:t>2.供应商应承诺所供的物品必须符合国家有关标准，保证无异味、无霉烂变质，如不符合响应文件所描述的质量标准，必须退货并承担违约责任。</w:t>
            </w:r>
          </w:p>
          <w:p>
            <w:pPr>
              <w:pStyle w:val="null3"/>
              <w:ind w:firstLine="424"/>
              <w:jc w:val="both"/>
            </w:pPr>
            <w:r>
              <w:rPr>
                <w:sz w:val="21"/>
              </w:rPr>
              <w:t>3.提供商品必须符合国家行业生产及经营标准，货真价实，均能提供相应批次的合格检验证明。</w:t>
            </w:r>
          </w:p>
          <w:p>
            <w:pPr>
              <w:pStyle w:val="null3"/>
              <w:ind w:firstLine="424"/>
              <w:jc w:val="both"/>
            </w:pPr>
            <w:r>
              <w:rPr>
                <w:sz w:val="21"/>
              </w:rPr>
              <w:t>4.货物必须各项技术指标完全符合国家有关质量检测、环保标准及产品出厂标准。</w:t>
            </w:r>
          </w:p>
          <w:p>
            <w:pPr>
              <w:pStyle w:val="null3"/>
              <w:ind w:firstLine="424"/>
              <w:jc w:val="both"/>
            </w:pPr>
            <w:r>
              <w:rPr>
                <w:sz w:val="21"/>
              </w:rPr>
              <w:t>5.</w:t>
            </w:r>
            <w:r>
              <w:rPr>
                <w:sz w:val="21"/>
              </w:rPr>
              <w:t>中标人</w:t>
            </w:r>
            <w:r>
              <w:rPr>
                <w:sz w:val="21"/>
              </w:rPr>
              <w:t>必须负责货物的运输、质量检测等工作，所产生的费用由</w:t>
            </w:r>
            <w:r>
              <w:rPr>
                <w:sz w:val="21"/>
              </w:rPr>
              <w:t>中标人</w:t>
            </w:r>
            <w:r>
              <w:rPr>
                <w:sz w:val="21"/>
              </w:rPr>
              <w:t>负责。</w:t>
            </w:r>
          </w:p>
          <w:p>
            <w:pPr>
              <w:pStyle w:val="null3"/>
              <w:ind w:firstLine="424"/>
              <w:jc w:val="both"/>
            </w:pPr>
            <w:r>
              <w:rPr>
                <w:sz w:val="21"/>
              </w:rPr>
              <w:t>6.物品具体需求量以实际供应前一天通知的为准。</w:t>
            </w:r>
          </w:p>
          <w:p>
            <w:pPr>
              <w:pStyle w:val="null3"/>
              <w:ind w:firstLine="424"/>
              <w:jc w:val="both"/>
            </w:pPr>
            <w:r>
              <w:rPr>
                <w:sz w:val="21"/>
              </w:rPr>
              <w:t>7.</w:t>
            </w:r>
            <w:r>
              <w:rPr>
                <w:sz w:val="21"/>
              </w:rPr>
              <w:t>中标人</w:t>
            </w:r>
            <w:r>
              <w:rPr>
                <w:sz w:val="21"/>
              </w:rPr>
              <w:t>不得将</w:t>
            </w:r>
            <w:r>
              <w:rPr>
                <w:sz w:val="21"/>
              </w:rPr>
              <w:t>中标</w:t>
            </w:r>
            <w:r>
              <w:rPr>
                <w:sz w:val="21"/>
              </w:rPr>
              <w:t>项目转包、分包，否则采购人有权单方终止合同</w:t>
            </w:r>
            <w:r>
              <w:rPr>
                <w:sz w:val="21"/>
              </w:rPr>
              <w:t>,由此产生的一切经济损失由</w:t>
            </w:r>
            <w:r>
              <w:rPr>
                <w:sz w:val="21"/>
              </w:rPr>
              <w:t>中标人</w:t>
            </w:r>
            <w:r>
              <w:rPr>
                <w:sz w:val="21"/>
              </w:rPr>
              <w:t>承担。</w:t>
            </w:r>
          </w:p>
          <w:p>
            <w:pPr>
              <w:pStyle w:val="null3"/>
              <w:ind w:firstLine="424"/>
              <w:jc w:val="both"/>
            </w:pPr>
            <w:r>
              <w:rPr>
                <w:sz w:val="21"/>
              </w:rPr>
              <w:t>8.</w:t>
            </w:r>
            <w:r>
              <w:rPr>
                <w:sz w:val="21"/>
              </w:rPr>
              <w:t>由于采购人工作的特殊性，</w:t>
            </w:r>
            <w:r>
              <w:rPr>
                <w:sz w:val="21"/>
              </w:rPr>
              <w:t>中标人</w:t>
            </w:r>
            <w:r>
              <w:rPr>
                <w:sz w:val="21"/>
              </w:rPr>
              <w:t>应做好本单位工作人员的教育工作，遵守采购人各项规定。</w:t>
            </w:r>
          </w:p>
          <w:p>
            <w:pPr>
              <w:pStyle w:val="null3"/>
              <w:ind w:firstLine="424"/>
              <w:jc w:val="both"/>
            </w:pPr>
            <w:r>
              <w:rPr>
                <w:sz w:val="21"/>
              </w:rPr>
              <w:t>9.</w:t>
            </w:r>
            <w:r>
              <w:rPr>
                <w:sz w:val="21"/>
              </w:rPr>
              <w:t>中标人</w:t>
            </w:r>
            <w:r>
              <w:rPr>
                <w:sz w:val="21"/>
              </w:rPr>
              <w:t>除不可抗力，不得因其他任何理由延迟送货。采购人如遇特殊情况需推迟送货，应提前通知</w:t>
            </w:r>
            <w:r>
              <w:rPr>
                <w:sz w:val="21"/>
              </w:rPr>
              <w:t>中标人</w:t>
            </w:r>
            <w:r>
              <w:rPr>
                <w:sz w:val="21"/>
              </w:rPr>
              <w:t>。因</w:t>
            </w:r>
            <w:r>
              <w:rPr>
                <w:sz w:val="21"/>
              </w:rPr>
              <w:t>中标人</w:t>
            </w:r>
            <w:r>
              <w:rPr>
                <w:sz w:val="21"/>
              </w:rPr>
              <w:t>原因延误交货日期的（采购人要求推迟的除外），采购人有权自行采购，并由</w:t>
            </w:r>
            <w:r>
              <w:rPr>
                <w:sz w:val="21"/>
              </w:rPr>
              <w:t>中标人</w:t>
            </w:r>
            <w:r>
              <w:rPr>
                <w:sz w:val="21"/>
              </w:rPr>
              <w:t>承担由此产生的一切损失和费用。</w:t>
            </w:r>
          </w:p>
          <w:p>
            <w:pPr>
              <w:pStyle w:val="null3"/>
              <w:ind w:firstLine="424"/>
              <w:jc w:val="both"/>
            </w:pPr>
            <w:r>
              <w:rPr>
                <w:sz w:val="21"/>
              </w:rPr>
              <w:t>10.</w:t>
            </w:r>
            <w:r>
              <w:rPr>
                <w:sz w:val="21"/>
              </w:rPr>
              <w:t>中标人</w:t>
            </w:r>
            <w:r>
              <w:rPr>
                <w:sz w:val="21"/>
              </w:rPr>
              <w:t>不得变更供应商品，应严格按招标文件要求（含名称、规格和重量等）供应，否则，采购人有权拒收。如因市场流通问题确实需要变更的，应书面向采购人申请。</w:t>
            </w:r>
          </w:p>
          <w:p>
            <w:pPr>
              <w:pStyle w:val="null3"/>
              <w:ind w:firstLine="424"/>
              <w:jc w:val="both"/>
            </w:pPr>
            <w:r>
              <w:rPr>
                <w:sz w:val="21"/>
              </w:rPr>
              <w:t>11.采购人按合同对商品进行认真验收，对不符合规格要求的商品，供应商必须无条件退货。</w:t>
            </w:r>
          </w:p>
          <w:p>
            <w:pPr>
              <w:pStyle w:val="null3"/>
              <w:ind w:firstLine="424"/>
              <w:jc w:val="both"/>
            </w:pPr>
            <w:r>
              <w:rPr>
                <w:sz w:val="21"/>
              </w:rPr>
              <w:t>12.</w:t>
            </w:r>
            <w:r>
              <w:rPr>
                <w:sz w:val="21"/>
              </w:rPr>
              <w:t>中标人</w:t>
            </w:r>
            <w:r>
              <w:rPr>
                <w:sz w:val="21"/>
              </w:rPr>
              <w:t>须开具国家正式发票。</w:t>
            </w:r>
            <w:r>
              <w:rPr>
                <w:sz w:val="21"/>
              </w:rPr>
              <w:t>中标人</w:t>
            </w:r>
            <w:r>
              <w:rPr>
                <w:sz w:val="21"/>
              </w:rPr>
              <w:t>按供应商品的销售额开具发票。</w:t>
            </w:r>
          </w:p>
          <w:p>
            <w:pPr>
              <w:pStyle w:val="null3"/>
              <w:jc w:val="both"/>
            </w:pPr>
            <w:r>
              <w:rPr>
                <w:sz w:val="21"/>
              </w:rPr>
              <w:t>13.投标人应根据本项目的采购需求，在投标文件中提供切实可行总体实施方案 、食材质量保障方案、食材安全保障方案、售后服务方案、服务承诺等。</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三、具体项目要求</w:t>
            </w:r>
          </w:p>
          <w:p>
            <w:pPr>
              <w:pStyle w:val="null3"/>
              <w:ind w:right="-165" w:firstLine="424"/>
              <w:jc w:val="both"/>
            </w:pPr>
            <w:r>
              <w:rPr>
                <w:sz w:val="21"/>
                <w:b/>
              </w:rPr>
              <w:t>（一）鲜肉（边猪）</w:t>
            </w:r>
          </w:p>
          <w:p>
            <w:pPr>
              <w:pStyle w:val="null3"/>
              <w:ind w:firstLine="420"/>
              <w:jc w:val="both"/>
            </w:pPr>
            <w:r>
              <w:rPr>
                <w:sz w:val="21"/>
              </w:rPr>
              <w:t>所供货物应保持较好的外观和质量等级，严格遵守《动物检疫法》和《食物卫生法》等相关规定。符合国家食品部门的有关标准，保证无异味、无霉烂变质，肉类保证来源于正规肉联厂，供货时须提交肉联厂的验收单及当批次有效的动物检疫合格证复印件，鲜肉确保每日新鲜</w:t>
            </w:r>
            <w:r>
              <w:rPr>
                <w:sz w:val="21"/>
              </w:rPr>
              <w:t>、无异味。</w:t>
            </w:r>
          </w:p>
          <w:p>
            <w:pPr>
              <w:pStyle w:val="null3"/>
              <w:ind w:firstLine="424"/>
              <w:jc w:val="both"/>
            </w:pPr>
            <w:r>
              <w:rPr>
                <w:sz w:val="21"/>
                <w:b/>
              </w:rPr>
              <w:t>肉类基本要求：</w:t>
            </w:r>
          </w:p>
          <w:p>
            <w:pPr>
              <w:pStyle w:val="null3"/>
              <w:ind w:firstLine="422"/>
              <w:jc w:val="both"/>
            </w:pPr>
            <w:r>
              <w:rPr>
                <w:sz w:val="21"/>
              </w:rPr>
              <w:t>1.所供货物应保持较好的外观和质量等级，符合国家食品部门的有关标准，保证无异味、无霉烂变质，肉类保证来源于正规肉联厂，供货时须提交肉联厂的验收单及当批次有效的动物检疫合格证复印件，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2"/>
              <w:jc w:val="both"/>
            </w:pPr>
            <w:r>
              <w:rPr>
                <w:sz w:val="21"/>
              </w:rPr>
              <w:t>2.所有货物规格符合采购人提交的日采购计划中明确的具体需求。</w:t>
            </w:r>
          </w:p>
          <w:p>
            <w:pPr>
              <w:pStyle w:val="null3"/>
              <w:ind w:firstLine="422"/>
              <w:jc w:val="both"/>
            </w:pPr>
            <w:r>
              <w:rPr>
                <w:sz w:val="21"/>
              </w:rPr>
              <w:t>3.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right="-165" w:firstLine="424"/>
              <w:jc w:val="both"/>
            </w:pPr>
            <w:r>
              <w:rPr>
                <w:sz w:val="21"/>
                <w:b/>
              </w:rPr>
              <w:t>（二）瓜果蔬菜、辅料、佐料</w:t>
            </w:r>
          </w:p>
          <w:p>
            <w:pPr>
              <w:pStyle w:val="null3"/>
              <w:ind w:firstLine="422"/>
              <w:jc w:val="both"/>
            </w:pPr>
            <w:r>
              <w:rPr>
                <w:sz w:val="21"/>
              </w:rPr>
              <w:t>1.供应产品的质量要求：</w:t>
            </w:r>
            <w:r>
              <w:rPr>
                <w:sz w:val="21"/>
              </w:rPr>
              <w:t>辅料、佐料类必须为正规厂家的产品，</w:t>
            </w:r>
            <w:r>
              <w:rPr>
                <w:sz w:val="21"/>
              </w:rPr>
              <w:t>瓜、果、蔬菜必须是优质货品，不得含有残留农药或污染物，</w:t>
            </w:r>
            <w:r>
              <w:rPr>
                <w:sz w:val="21"/>
              </w:rPr>
              <w:t>中标人</w:t>
            </w:r>
            <w:r>
              <w:rPr>
                <w:sz w:val="21"/>
              </w:rPr>
              <w:t>必须保证所供应的蔬菜符合卫生质量标准，同时承担因所供蔬菜问题引起的一切事故后果。</w:t>
            </w:r>
            <w:r>
              <w:rPr>
                <w:sz w:val="21"/>
              </w:rPr>
              <w:t>卫生质量指标，应符合</w:t>
            </w:r>
            <w:r>
              <w:rPr>
                <w:sz w:val="21"/>
              </w:rPr>
              <w:t>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712"/>
              <w:gridCol w:w="2886"/>
            </w:tblGrid>
            <w:tr>
              <w:tc>
                <w:tcPr>
                  <w:tcW w:type="dxa" w:w="27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28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指标（</w:t>
                  </w:r>
                  <w:r>
                    <w:rPr>
                      <w:sz w:val="21"/>
                      <w:b/>
                    </w:rPr>
                    <w:t>mg/kg</w:t>
                  </w:r>
                  <w:r>
                    <w:rPr>
                      <w:sz w:val="21"/>
                      <w:b/>
                    </w:rPr>
                    <w:t>）</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甲胺磷</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甲拌磷</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氧化乐果</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甲基对硫磷</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呋喃丹</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百菌清</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多菌灵</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≤0.5</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汞（以</w:t>
                  </w:r>
                  <w:r>
                    <w:rPr>
                      <w:sz w:val="21"/>
                    </w:rPr>
                    <w:t>Hg计）</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≤0.01</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铅（以</w:t>
                  </w:r>
                  <w:r>
                    <w:rPr>
                      <w:sz w:val="21"/>
                    </w:rPr>
                    <w:t>Pb计）</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砷（以</w:t>
                  </w:r>
                  <w:r>
                    <w:rPr>
                      <w:sz w:val="21"/>
                    </w:rPr>
                    <w:t>As计）</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≤0.5</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氟（以</w:t>
                  </w:r>
                  <w:r>
                    <w:rPr>
                      <w:sz w:val="21"/>
                    </w:rPr>
                    <w:t>F计）</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≤0.5</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硝酸盐（以</w:t>
                  </w:r>
                  <w:r>
                    <w:rPr>
                      <w:sz w:val="21"/>
                    </w:rPr>
                    <w:t>NaNO3计）</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瓜果类</w:t>
                  </w:r>
                  <w:r>
                    <w:rPr>
                      <w:sz w:val="21"/>
                    </w:rPr>
                    <w:t>≤600；叶菜根茎类≤1200</w:t>
                  </w:r>
                </w:p>
              </w:tc>
            </w:tr>
            <w:tr>
              <w:tc>
                <w:tcPr>
                  <w:tcW w:type="dxa" w:w="2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亚硝酸盐（以</w:t>
                  </w:r>
                  <w:r>
                    <w:rPr>
                      <w:sz w:val="21"/>
                    </w:rPr>
                    <w:t>NaNO2计）</w:t>
                  </w:r>
                </w:p>
              </w:tc>
              <w:tc>
                <w:tcPr>
                  <w:tcW w:type="dxa" w:w="2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r>
          </w:tbl>
          <w:p>
            <w:pPr>
              <w:pStyle w:val="null3"/>
              <w:ind w:firstLine="420"/>
              <w:jc w:val="both"/>
            </w:pPr>
            <w:r>
              <w:rPr>
                <w:sz w:val="21"/>
              </w:rPr>
              <w:t>2.具体感观要求：</w:t>
            </w:r>
          </w:p>
          <w:p>
            <w:pPr>
              <w:pStyle w:val="null3"/>
              <w:ind w:firstLine="420"/>
              <w:jc w:val="both"/>
            </w:pPr>
            <w:r>
              <w:rPr>
                <w:sz w:val="21"/>
              </w:rPr>
              <w:t>从蔬菜色泽看，各种蔬菜都应具有本品种固有的颜色，大多数有发亮的光泽，以此显示蔬菜的成熟度及鲜嫩程度；</w:t>
            </w:r>
          </w:p>
          <w:p>
            <w:pPr>
              <w:pStyle w:val="null3"/>
              <w:ind w:firstLine="420"/>
              <w:jc w:val="both"/>
            </w:pPr>
            <w:r>
              <w:rPr>
                <w:sz w:val="21"/>
              </w:rPr>
              <w:t>从蔬菜气味看，多数蔬菜具有清馨、甘辛香、甜酸香等气味，可凭嗅觉识别不同品种的质量，不允许有腐烂变质的亚硝酸盐味和其他异常气味；</w:t>
            </w:r>
          </w:p>
          <w:p>
            <w:pPr>
              <w:pStyle w:val="null3"/>
              <w:ind w:firstLine="420"/>
              <w:jc w:val="both"/>
            </w:pPr>
            <w:r>
              <w:rPr>
                <w:sz w:val="21"/>
              </w:rPr>
              <w:t>从蔬菜滋味看，因品种不同而各异，多数蔬菜滋味甘淡、甜酸、清爽鲜美，少数具有辛酸、苦涩等特殊风味以刺激食欲，如失去本品种原有的滋即为异常；</w:t>
            </w:r>
          </w:p>
          <w:p>
            <w:pPr>
              <w:pStyle w:val="null3"/>
              <w:ind w:firstLine="420"/>
              <w:jc w:val="both"/>
            </w:pPr>
            <w:r>
              <w:rPr>
                <w:sz w:val="21"/>
              </w:rPr>
              <w:t>从蔬菜形态看，应尽量避免由于客观因素而造成的各种非正常、不新鲜的蔬菜，例如萎蔫、枯塌、损伤、病变、虫害侵蚀等引起的形态异常等。</w:t>
            </w:r>
          </w:p>
          <w:p>
            <w:pPr>
              <w:pStyle w:val="null3"/>
              <w:ind w:firstLine="422"/>
              <w:jc w:val="both"/>
            </w:pPr>
            <w:r>
              <w:rPr>
                <w:sz w:val="21"/>
                <w:b/>
              </w:rPr>
              <w:t>叶菜类：</w:t>
            </w:r>
            <w:r>
              <w:rPr>
                <w:sz w:val="21"/>
              </w:rPr>
              <w:t>大白菜、小白菜、菠菜、甘蓝、荠菜、空心菜、茼蒿、苋菜、芹菜等绿叶菜类。</w:t>
            </w:r>
          </w:p>
          <w:p>
            <w:pPr>
              <w:pStyle w:val="null3"/>
              <w:ind w:firstLine="420"/>
              <w:jc w:val="both"/>
            </w:pPr>
            <w:r>
              <w:rPr>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22"/>
              <w:jc w:val="both"/>
            </w:pPr>
            <w:r>
              <w:rPr>
                <w:sz w:val="21"/>
                <w:b/>
              </w:rPr>
              <w:t>茄果类：</w:t>
            </w:r>
            <w:r>
              <w:rPr>
                <w:sz w:val="21"/>
              </w:rPr>
              <w:t>番茄、茄子、甜椒、辣椒等。</w:t>
            </w:r>
          </w:p>
          <w:p>
            <w:pPr>
              <w:pStyle w:val="null3"/>
              <w:ind w:firstLine="420"/>
              <w:jc w:val="both"/>
            </w:pPr>
            <w:r>
              <w:rPr>
                <w:sz w:val="21"/>
              </w:rPr>
              <w:t>属同一品种规格，果实整洁，成熟度适中，番茄花蒂不明显，无裂果及空洞现象，茄果不能有裂蒂及果皮变硬现象，无腐烂、畸形、异味，无明显机械伤。</w:t>
            </w:r>
          </w:p>
          <w:p>
            <w:pPr>
              <w:pStyle w:val="null3"/>
              <w:ind w:firstLine="422"/>
              <w:jc w:val="both"/>
            </w:pPr>
            <w:r>
              <w:rPr>
                <w:sz w:val="21"/>
                <w:b/>
              </w:rPr>
              <w:t>瓜果类：</w:t>
            </w:r>
            <w:r>
              <w:rPr>
                <w:sz w:val="21"/>
              </w:rPr>
              <w:t>黄瓜、冬瓜、丝瓜、苦瓜、南瓜、毛节瓜等。</w:t>
            </w:r>
          </w:p>
          <w:p>
            <w:pPr>
              <w:pStyle w:val="null3"/>
              <w:ind w:firstLine="420"/>
              <w:jc w:val="both"/>
            </w:pPr>
            <w:r>
              <w:rPr>
                <w:sz w:val="21"/>
              </w:rPr>
              <w:t>属同一品种规格，形状、色泽一致，瓜条均匀，无疤点，无断裂，无腐烂、畸形、异味、明显机械伤，不带泥土。</w:t>
            </w:r>
          </w:p>
          <w:p>
            <w:pPr>
              <w:pStyle w:val="null3"/>
              <w:ind w:firstLine="422"/>
              <w:jc w:val="both"/>
            </w:pPr>
            <w:r>
              <w:rPr>
                <w:sz w:val="21"/>
                <w:b/>
              </w:rPr>
              <w:t>根菜类：</w:t>
            </w:r>
            <w:r>
              <w:rPr>
                <w:sz w:val="21"/>
              </w:rPr>
              <w:t>萝卜、胡萝卜等。</w:t>
            </w:r>
          </w:p>
          <w:p>
            <w:pPr>
              <w:pStyle w:val="null3"/>
              <w:ind w:firstLine="420"/>
              <w:jc w:val="both"/>
            </w:pPr>
            <w:r>
              <w:rPr>
                <w:sz w:val="21"/>
              </w:rPr>
              <w:t>属同一品种规格，皮细光滑，大小均匀，肉质脆嫩致密新鲜，无腐烂、畸形、裂痕、糠心、异味，不带泥沙，不带茎叶和须根。</w:t>
            </w:r>
          </w:p>
          <w:p>
            <w:pPr>
              <w:pStyle w:val="null3"/>
              <w:ind w:firstLine="422"/>
              <w:jc w:val="both"/>
            </w:pPr>
            <w:r>
              <w:rPr>
                <w:sz w:val="21"/>
                <w:b/>
              </w:rPr>
              <w:t>薯芋类：</w:t>
            </w:r>
            <w:r>
              <w:rPr>
                <w:sz w:val="21"/>
              </w:rPr>
              <w:t>马铃薯、芋、姜等。</w:t>
            </w:r>
          </w:p>
          <w:p>
            <w:pPr>
              <w:pStyle w:val="null3"/>
              <w:ind w:firstLine="420"/>
              <w:jc w:val="both"/>
            </w:pPr>
            <w:r>
              <w:rPr>
                <w:sz w:val="21"/>
              </w:rPr>
              <w:t>属同一品种规格，色泽一致，不带泥沙，不带须根、茎叶，不干瘪，无腐烂、畸形、异味、明显机械伤、病虫害斑，马铃薯无发芽，皮不变绿。</w:t>
            </w:r>
          </w:p>
          <w:p>
            <w:pPr>
              <w:pStyle w:val="null3"/>
              <w:ind w:firstLine="422"/>
              <w:jc w:val="both"/>
            </w:pPr>
            <w:r>
              <w:rPr>
                <w:sz w:val="21"/>
                <w:b/>
              </w:rPr>
              <w:t>葱蒜类：</w:t>
            </w:r>
            <w:r>
              <w:rPr>
                <w:sz w:val="21"/>
              </w:rPr>
              <w:t>葱、蒜、韭菜、洋葱等。</w:t>
            </w:r>
          </w:p>
          <w:p>
            <w:pPr>
              <w:pStyle w:val="null3"/>
              <w:ind w:firstLine="420"/>
              <w:jc w:val="both"/>
            </w:pPr>
            <w:r>
              <w:rPr>
                <w:sz w:val="21"/>
              </w:rPr>
              <w:t>属同一品种规格，允许葱、青蒜类保留干净须根，葱、蒜、韭菜不带老叶，蒜头、洋葱去根去枯叶，可食部分新鲜幼嫩，无腐烂、畸形、异味。</w:t>
            </w:r>
          </w:p>
          <w:p>
            <w:pPr>
              <w:pStyle w:val="null3"/>
              <w:ind w:firstLine="422"/>
              <w:jc w:val="both"/>
            </w:pPr>
            <w:r>
              <w:rPr>
                <w:sz w:val="21"/>
                <w:b/>
              </w:rPr>
              <w:t>豆类：</w:t>
            </w:r>
            <w:r>
              <w:rPr>
                <w:sz w:val="21"/>
              </w:rPr>
              <w:t>扁豆、豌豆、毛豆等。</w:t>
            </w:r>
          </w:p>
          <w:p>
            <w:pPr>
              <w:pStyle w:val="null3"/>
              <w:ind w:firstLine="420"/>
              <w:jc w:val="both"/>
            </w:pPr>
            <w:r>
              <w:rPr>
                <w:sz w:val="21"/>
              </w:rPr>
              <w:t>属同一品种规格，形态完整，成熟度适中，无腐烂、畸形、异味，豆荚类新鲜、幼嫩、均匀，豆仁类籽粒饱满，较均匀，无发芽，不带泥土杂质。</w:t>
            </w:r>
          </w:p>
          <w:p>
            <w:pPr>
              <w:pStyle w:val="null3"/>
              <w:ind w:firstLine="422"/>
              <w:jc w:val="both"/>
            </w:pPr>
            <w:r>
              <w:rPr>
                <w:sz w:val="21"/>
                <w:b/>
              </w:rPr>
              <w:t>水生菜类：</w:t>
            </w:r>
            <w:r>
              <w:rPr>
                <w:sz w:val="21"/>
              </w:rPr>
              <w:t>藕、慈菇、茭白、马蹄、菱等。</w:t>
            </w:r>
          </w:p>
          <w:p>
            <w:pPr>
              <w:pStyle w:val="null3"/>
              <w:ind w:firstLine="420"/>
              <w:jc w:val="both"/>
            </w:pPr>
            <w:r>
              <w:rPr>
                <w:sz w:val="21"/>
              </w:rPr>
              <w:t>属同一品种规格，肉质嫩，成熟度适中，无腐烂、畸形、异味，无明显机械伤，不带泥土和杂质，不干瘪，茭白不黑心。</w:t>
            </w:r>
          </w:p>
          <w:p>
            <w:pPr>
              <w:pStyle w:val="null3"/>
              <w:ind w:firstLine="422"/>
              <w:jc w:val="both"/>
            </w:pPr>
            <w:r>
              <w:rPr>
                <w:sz w:val="21"/>
                <w:b/>
              </w:rPr>
              <w:t>食用菌类：</w:t>
            </w:r>
            <w:r>
              <w:rPr>
                <w:sz w:val="21"/>
              </w:rPr>
              <w:t>蘑菇、草菇、香菇、木耳等。</w:t>
            </w:r>
          </w:p>
          <w:p>
            <w:pPr>
              <w:pStyle w:val="null3"/>
              <w:ind w:firstLine="420"/>
              <w:jc w:val="both"/>
            </w:pPr>
            <w:r>
              <w:rPr>
                <w:sz w:val="21"/>
              </w:rPr>
              <w:t>属同一品种规格，蘑菇、草菇菌盖圆整略展开，柄粗壮，菌膜紧，菇柄切削平整，不浸泡水（蘑菇允许浸盐水保鲜），新鲜，无杂质，无畸形菇，无腐烂、异味。</w:t>
            </w:r>
          </w:p>
          <w:p>
            <w:pPr>
              <w:pStyle w:val="null3"/>
              <w:ind w:firstLine="422"/>
              <w:jc w:val="both"/>
            </w:pPr>
            <w:r>
              <w:rPr>
                <w:sz w:val="21"/>
                <w:b/>
              </w:rPr>
              <w:t>芽苗类：</w:t>
            </w:r>
            <w:r>
              <w:rPr>
                <w:sz w:val="21"/>
              </w:rPr>
              <w:t>绿豆芽、黄豆芽、香樁苗等。</w:t>
            </w:r>
          </w:p>
          <w:p>
            <w:pPr>
              <w:pStyle w:val="null3"/>
              <w:ind w:firstLine="420"/>
              <w:jc w:val="both"/>
            </w:pPr>
            <w:r>
              <w:rPr>
                <w:sz w:val="21"/>
              </w:rPr>
              <w:t>芽苗幼嫩，不带豆壳杂质，新鲜，不浸水，无腐烂、异味。</w:t>
            </w:r>
          </w:p>
          <w:p>
            <w:pPr>
              <w:pStyle w:val="null3"/>
              <w:ind w:firstLine="422"/>
              <w:jc w:val="both"/>
            </w:pPr>
            <w:r>
              <w:rPr>
                <w:sz w:val="21"/>
                <w:b/>
              </w:rPr>
              <w:t>（三）粮油（</w:t>
            </w:r>
            <w:r>
              <w:rPr>
                <w:sz w:val="21"/>
              </w:rPr>
              <w:t>大米、食用调和油</w:t>
            </w:r>
            <w:r>
              <w:rPr>
                <w:sz w:val="21"/>
                <w:b/>
              </w:rPr>
              <w:t>）</w:t>
            </w:r>
          </w:p>
          <w:p>
            <w:pPr>
              <w:pStyle w:val="null3"/>
              <w:ind w:right="-165"/>
              <w:jc w:val="both"/>
            </w:pPr>
            <w:r>
              <w:rPr>
                <w:sz w:val="21"/>
              </w:rPr>
              <w:t>1.</w:t>
            </w:r>
            <w:r>
              <w:rPr>
                <w:sz w:val="21"/>
              </w:rPr>
              <w:t>供应产品的质量要求：</w:t>
            </w:r>
            <w:r>
              <w:rPr>
                <w:sz w:val="21"/>
              </w:rPr>
              <w:t xml:space="preserve"> </w:t>
            </w:r>
          </w:p>
          <w:p>
            <w:pPr>
              <w:pStyle w:val="null3"/>
              <w:ind w:firstLine="420"/>
              <w:jc w:val="both"/>
            </w:pPr>
            <w:r>
              <w:rPr>
                <w:sz w:val="21"/>
              </w:rPr>
              <w:t>①米、油货物必须符合卫生，不得有腐烂、变质、油脂酸败、霉变、生虫、污秽不结、混有异物或者其他感官性状异常，并可能对人体健康有害的物质。</w:t>
            </w:r>
          </w:p>
          <w:p>
            <w:pPr>
              <w:pStyle w:val="null3"/>
              <w:ind w:firstLine="420"/>
              <w:jc w:val="both"/>
            </w:pPr>
            <w:r>
              <w:rPr>
                <w:sz w:val="21"/>
              </w:rPr>
              <w:t>②米、油要提供QS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w:t>
            </w:r>
            <w:r>
              <w:rPr>
                <w:sz w:val="21"/>
              </w:rPr>
              <w:t>中标人</w:t>
            </w:r>
            <w:r>
              <w:rPr>
                <w:sz w:val="21"/>
              </w:rPr>
              <w:t>所提供产品质量必须要符合行业标准要求，不得有掺假、变质、变味、过期等现象出现，严禁伪劣、假冒、无证不合格物品进入仓库。</w:t>
            </w:r>
          </w:p>
          <w:p>
            <w:pPr>
              <w:pStyle w:val="null3"/>
              <w:ind w:firstLine="420"/>
              <w:jc w:val="both"/>
            </w:pPr>
            <w:r>
              <w:rPr>
                <w:sz w:val="21"/>
              </w:rPr>
              <w:t>③</w:t>
            </w:r>
            <w:r>
              <w:rPr>
                <w:sz w:val="21"/>
              </w:rPr>
              <w:t>中标人</w:t>
            </w:r>
            <w:r>
              <w:rPr>
                <w:sz w:val="21"/>
              </w:rPr>
              <w:t>在供应过程中，如果发生出现质量问题或造成食物中毒</w:t>
            </w:r>
            <w:r>
              <w:rPr>
                <w:sz w:val="21"/>
              </w:rPr>
              <w:t>,如变质等情况，经查实后确属</w:t>
            </w:r>
            <w:r>
              <w:rPr>
                <w:sz w:val="21"/>
              </w:rPr>
              <w:t>中标人</w:t>
            </w:r>
            <w:r>
              <w:rPr>
                <w:sz w:val="21"/>
              </w:rPr>
              <w:t>责任，</w:t>
            </w:r>
            <w:r>
              <w:rPr>
                <w:sz w:val="21"/>
              </w:rPr>
              <w:t>中标人</w:t>
            </w:r>
            <w:r>
              <w:rPr>
                <w:sz w:val="21"/>
              </w:rPr>
              <w:t>应承担全部责任，主要包括食物中毒人员医疗费、误工费、事故处理费等，直至追究刑事责任。</w:t>
            </w:r>
          </w:p>
          <w:p>
            <w:pPr>
              <w:pStyle w:val="null3"/>
              <w:jc w:val="both"/>
            </w:pPr>
            <w:r>
              <w:rPr>
                <w:sz w:val="21"/>
                <w:b/>
              </w:rPr>
              <w:t>3.执行标准：</w:t>
            </w:r>
          </w:p>
          <w:p>
            <w:pPr>
              <w:pStyle w:val="null3"/>
              <w:ind w:firstLine="420"/>
              <w:jc w:val="both"/>
            </w:pPr>
            <w:r>
              <w:rPr>
                <w:sz w:val="21"/>
              </w:rPr>
              <w:t>①</w:t>
            </w:r>
            <w:r>
              <w:rPr>
                <w:sz w:val="21"/>
              </w:rPr>
              <w:t>米类执行标准：ＧＢ</w:t>
            </w:r>
            <w:r>
              <w:rPr>
                <w:sz w:val="21"/>
              </w:rPr>
              <w:t>1354-2009　 标准一级米，不含添加剂，重金属检测符合国家标准。</w:t>
            </w:r>
          </w:p>
          <w:p>
            <w:pPr>
              <w:pStyle w:val="null3"/>
              <w:ind w:firstLine="420"/>
              <w:jc w:val="both"/>
            </w:pPr>
            <w:r>
              <w:rPr>
                <w:sz w:val="21"/>
              </w:rPr>
              <w:t>黄米粒按国家标准执行</w:t>
            </w:r>
            <w:r>
              <w:rPr>
                <w:sz w:val="21"/>
              </w:rPr>
              <w:t>。</w:t>
            </w:r>
          </w:p>
          <w:p>
            <w:pPr>
              <w:pStyle w:val="null3"/>
              <w:ind w:firstLine="420"/>
              <w:jc w:val="both"/>
            </w:pPr>
            <w:r>
              <w:rPr>
                <w:sz w:val="21"/>
              </w:rPr>
              <w:t>②油类执行标准：ＳＢ｜T 10292-1998</w:t>
            </w:r>
          </w:p>
          <w:p>
            <w:pPr>
              <w:pStyle w:val="null3"/>
              <w:ind w:firstLine="420"/>
              <w:jc w:val="both"/>
            </w:pPr>
            <w:r>
              <w:rPr>
                <w:sz w:val="21"/>
              </w:rPr>
              <w:t>③油类质量要求：</w:t>
            </w:r>
          </w:p>
          <w:p>
            <w:pPr>
              <w:pStyle w:val="null3"/>
              <w:ind w:firstLine="420"/>
              <w:jc w:val="both"/>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w:t>
            </w:r>
            <w:r>
              <w:rPr>
                <w:sz w:val="21"/>
              </w:rPr>
              <w:t xml:space="preserve">  </w:t>
            </w:r>
            <w:r>
              <w:rPr>
                <w:sz w:val="21"/>
              </w:rPr>
              <w:t>霉变粒不得超过</w:t>
            </w:r>
            <w:r>
              <w:rPr>
                <w:sz w:val="21"/>
              </w:rPr>
              <w:t>2％。 真菌毒素：黄曲霉毒素B1 （5μg/kg～20μg/kg）、脱氧雪腐镰刀菌烯醇（≤1000μg/kg）、玉米赤霉烯酮（≤60μg/kg）、赭曲霉毒素A（5μg/kg）。重金属污染物：铅（≤0.2mg/kg）、镉(0.1 mg/kg～0.2 mg/kg)、汞（0.02 mg/kg）、无机砷（0.1 mg/kg～0.2 mg/kg）。 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w:t>
            </w:r>
            <w:r>
              <w:rPr>
                <w:sz w:val="21"/>
              </w:rPr>
              <w:t>标明是非转基因油料生产），</w:t>
            </w:r>
            <w:r>
              <w:rPr>
                <w:sz w:val="21"/>
              </w:rPr>
              <w:t>不许以次充好、以假充真。如将毛油当一级或二级油进行销售，将低价位的植物油掺入高价位植物油中进行销售，牟取暴利，一经查处，</w:t>
            </w:r>
            <w:r>
              <w:rPr>
                <w:sz w:val="21"/>
              </w:rPr>
              <w:t>中标人</w:t>
            </w:r>
            <w:r>
              <w:rPr>
                <w:sz w:val="21"/>
              </w:rPr>
              <w:t>将承担全部责任。</w:t>
            </w:r>
          </w:p>
          <w:p>
            <w:pPr>
              <w:pStyle w:val="null3"/>
              <w:jc w:val="both"/>
            </w:pPr>
            <w:r>
              <w:rPr>
                <w:sz w:val="21"/>
                <w:b/>
              </w:rPr>
              <w:t>（四）干货及腊味：</w:t>
            </w:r>
          </w:p>
          <w:p>
            <w:pPr>
              <w:pStyle w:val="null3"/>
              <w:ind w:firstLine="420"/>
              <w:jc w:val="both"/>
            </w:pPr>
            <w:r>
              <w:rPr>
                <w:sz w:val="21"/>
              </w:rPr>
              <w:t>干货制品的质量基本标准要求符合国家相关行业标准，干爽，不霉烂、整齐、均匀、完整，无虫蛀、无杂质，保持应有的色泽。确保产品质量稳定，保证营养丰富、绿色安全、海味浓郁、易存放、食用方便，保质期长。从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jc w:val="both"/>
            </w:pPr>
            <w:r>
              <w:rPr>
                <w:sz w:val="21"/>
                <w:b/>
              </w:rPr>
              <w:t>（五）采购清单</w:t>
            </w:r>
            <w:r>
              <w:rPr>
                <w:sz w:val="21"/>
              </w:rPr>
              <w:t>：</w:t>
            </w:r>
          </w:p>
          <w:p>
            <w:pPr>
              <w:pStyle w:val="null3"/>
              <w:jc w:val="both"/>
            </w:pPr>
            <w:r>
              <w:rPr>
                <w:sz w:val="21"/>
                <w:b/>
              </w:rPr>
              <w:t>1.蔬菜瓜类</w:t>
            </w:r>
          </w:p>
          <w:tbl>
            <w:tblPr>
              <w:tblInd w:type="dxa" w:w="90"/>
              <w:tblBorders>
                <w:top w:val="none" w:color="000000" w:sz="4"/>
                <w:left w:val="none" w:color="000000" w:sz="4"/>
                <w:bottom w:val="none" w:color="000000" w:sz="4"/>
                <w:right w:val="none" w:color="000000" w:sz="4"/>
                <w:insideH w:val="none"/>
                <w:insideV w:val="none"/>
              </w:tblBorders>
            </w:tblPr>
            <w:tblGrid>
              <w:gridCol w:w="505"/>
              <w:gridCol w:w="1092"/>
              <w:gridCol w:w="515"/>
              <w:gridCol w:w="1185"/>
              <w:gridCol w:w="463"/>
              <w:gridCol w:w="1835"/>
            </w:tblGrid>
            <w:tr>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sz w:val="21"/>
                      <w:b/>
                    </w:rPr>
                    <w:t>序号</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通心菜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土豆</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榨菜丝</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春菜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西红柿</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白豆角</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青豆角</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小塘菜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85" w:firstLine="252"/>
                    <w:jc w:val="center"/>
                  </w:pPr>
                  <w:r>
                    <w:rPr>
                      <w:sz w:val="21"/>
                    </w:rPr>
                    <w:t>红萝卜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云南小瓜</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奶白菜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浦瓜</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京包菜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菜花</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进口西芹</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绿豆芽</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生姜</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乌江榨菜</w:t>
                  </w:r>
                  <w:r>
                    <w:rPr>
                      <w:sz w:val="21"/>
                    </w:rPr>
                    <w:t>/件</w:t>
                  </w:r>
                </w:p>
              </w:tc>
            </w:tr>
          </w:tbl>
          <w:p>
            <w:pPr>
              <w:pStyle w:val="null3"/>
              <w:jc w:val="both"/>
            </w:pPr>
            <w:r>
              <w:rPr>
                <w:sz w:val="21"/>
                <w:b/>
              </w:rPr>
              <w:t>2.</w:t>
            </w:r>
            <w:r>
              <w:rPr>
                <w:sz w:val="21"/>
                <w:b/>
              </w:rPr>
              <w:t>蔬果肉菜类</w:t>
            </w:r>
          </w:p>
          <w:tbl>
            <w:tblPr>
              <w:tblBorders>
                <w:top w:val="none" w:color="000000" w:sz="4"/>
                <w:left w:val="none" w:color="000000" w:sz="4"/>
                <w:bottom w:val="none" w:color="000000" w:sz="4"/>
                <w:right w:val="none" w:color="000000" w:sz="4"/>
                <w:insideH w:val="none"/>
                <w:insideV w:val="none"/>
              </w:tblBorders>
            </w:tblPr>
            <w:tblGrid>
              <w:gridCol w:w="669"/>
              <w:gridCol w:w="1153"/>
              <w:gridCol w:w="628"/>
              <w:gridCol w:w="1039"/>
              <w:gridCol w:w="659"/>
              <w:gridCol w:w="1451"/>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rPr>
                    <w:t>序号</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rPr>
                    <w:t>物</w:t>
                  </w:r>
                  <w:r>
                    <w:rPr>
                      <w:sz w:val="21"/>
                      <w:b/>
                    </w:rPr>
                    <w:t>品</w:t>
                  </w:r>
                  <w:r>
                    <w:rPr>
                      <w:sz w:val="21"/>
                      <w:b/>
                    </w:rPr>
                    <w:t>名</w:t>
                  </w:r>
                  <w:r>
                    <w:rPr>
                      <w:sz w:val="21"/>
                      <w:b/>
                    </w:rPr>
                    <w:t>称</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rPr>
                    <w:t>序号</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rPr>
                    <w:t>物</w:t>
                  </w:r>
                  <w:r>
                    <w:rPr>
                      <w:sz w:val="21"/>
                      <w:b/>
                    </w:rPr>
                    <w:t>品</w:t>
                  </w:r>
                  <w:r>
                    <w:rPr>
                      <w:sz w:val="21"/>
                      <w:b/>
                    </w:rPr>
                    <w:t>名</w:t>
                  </w:r>
                  <w:r>
                    <w:rPr>
                      <w:sz w:val="21"/>
                      <w:b/>
                    </w:rPr>
                    <w:t>称</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rPr>
                    <w:t>序号</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b/>
                    </w:rPr>
                    <w:t>物</w:t>
                  </w:r>
                  <w:r>
                    <w:rPr>
                      <w:sz w:val="21"/>
                      <w:b/>
                    </w:rPr>
                    <w:t>品</w:t>
                  </w:r>
                  <w:r>
                    <w:rPr>
                      <w:sz w:val="21"/>
                      <w:b/>
                    </w:rPr>
                    <w:t>名</w:t>
                  </w:r>
                  <w:r>
                    <w:rPr>
                      <w:sz w:val="21"/>
                      <w:b/>
                    </w:rPr>
                    <w:t>称</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花菇</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凉瓜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猪笋尾</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鲜草菇</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干金针菇</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生葱</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干鱿鱼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红葱头</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土鱿鱼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元西</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大咸鱼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荷兰豆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咸水鱼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上海青菜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椰子</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大草鱼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大鱼头</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冰鲜带鱼</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苋菜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贡梨</w:t>
                  </w:r>
                </w:p>
              </w:tc>
              <w:tc>
                <w:tcPr>
                  <w:tcW w:type="dxa" w:w="2110"/>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风栗</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九王</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马蹄肉</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番薯叶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棕叶</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红辣椒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野山椒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大香芋头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伊利牛奶</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午餐肉</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粉葛</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牛腩</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凤爪</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光鹅</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老母鸡</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竹丝鸡</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五柳菜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2110"/>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酸豆角</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烧鹅</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2110"/>
                  <w:gridSpan w:val="2"/>
                  <w:vMerge/>
                  <w:tcBorders>
                    <w:top w:val="none" w:color="000000" w:sz="4"/>
                    <w:left w:val="none" w:color="000000" w:sz="4"/>
                    <w:bottom w:val="non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2110"/>
                  <w:gridSpan w:val="2"/>
                  <w:vMerge/>
                  <w:tcBorders>
                    <w:top w:val="none" w:color="000000" w:sz="4"/>
                    <w:left w:val="none" w:color="000000" w:sz="4"/>
                    <w:bottom w:val="none" w:color="000000" w:sz="4"/>
                    <w:right w:val="single" w:color="000000" w:sz="4"/>
                  </w:tcBorders>
                </w:tcPr>
                <w:p/>
              </w:tc>
            </w:tr>
          </w:tbl>
          <w:p>
            <w:pPr>
              <w:pStyle w:val="null3"/>
              <w:jc w:val="both"/>
            </w:pPr>
            <w:r>
              <w:rPr>
                <w:sz w:val="21"/>
                <w:b/>
              </w:rPr>
              <w:t>3.豆制品类：</w:t>
            </w:r>
          </w:p>
          <w:tbl>
            <w:tblPr>
              <w:tblInd w:type="dxa" w:w="165"/>
              <w:tblBorders>
                <w:top w:val="none" w:color="000000" w:sz="4"/>
                <w:left w:val="none" w:color="000000" w:sz="4"/>
                <w:bottom w:val="none" w:color="000000" w:sz="4"/>
                <w:right w:val="none" w:color="000000" w:sz="4"/>
                <w:insideH w:val="none"/>
                <w:insideV w:val="none"/>
              </w:tblBorders>
            </w:tblPr>
            <w:tblGrid>
              <w:gridCol w:w="1457"/>
              <w:gridCol w:w="4141"/>
            </w:tblGrid>
            <w:tr>
              <w:tc>
                <w:tcPr>
                  <w:tcW w:type="dxa" w:w="1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4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1</w:t>
                  </w:r>
                </w:p>
              </w:tc>
              <w:tc>
                <w:tcPr>
                  <w:tcW w:type="dxa" w:w="4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r>
                    <w:rPr>
                      <w:sz w:val="21"/>
                    </w:rPr>
                    <w:t>/板</w:t>
                  </w:r>
                </w:p>
              </w:tc>
            </w:tr>
          </w:tbl>
          <w:p>
            <w:pPr>
              <w:pStyle w:val="null3"/>
              <w:jc w:val="both"/>
            </w:pPr>
            <w:r>
              <w:rPr>
                <w:sz w:val="21"/>
                <w:b/>
              </w:rPr>
              <w:t>4.鱼类:</w:t>
            </w:r>
          </w:p>
          <w:tbl>
            <w:tblPr>
              <w:tblInd w:type="dxa" w:w="150"/>
              <w:tblBorders>
                <w:top w:val="none" w:color="000000" w:sz="4"/>
                <w:left w:val="none" w:color="000000" w:sz="4"/>
                <w:bottom w:val="none" w:color="000000" w:sz="4"/>
                <w:right w:val="none" w:color="000000" w:sz="4"/>
                <w:insideH w:val="none"/>
                <w:insideV w:val="none"/>
              </w:tblBorders>
            </w:tblPr>
            <w:tblGrid>
              <w:gridCol w:w="884"/>
              <w:gridCol w:w="1900"/>
              <w:gridCol w:w="869"/>
              <w:gridCol w:w="1945"/>
            </w:tblGrid>
            <w:tr>
              <w:tc>
                <w:tcPr>
                  <w:tcW w:type="dxa" w:w="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r>
            <w:tr>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1</w:t>
                  </w:r>
                </w:p>
              </w:tc>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大福寿鱼</w:t>
                  </w:r>
                  <w:r>
                    <w:rPr>
                      <w:sz w:val="21"/>
                    </w:rPr>
                    <w:t>/活</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2</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鲈鱼</w:t>
                  </w:r>
                  <w:r>
                    <w:rPr>
                      <w:sz w:val="21"/>
                    </w:rPr>
                    <w:t>/活</w:t>
                  </w:r>
                </w:p>
              </w:tc>
            </w:tr>
          </w:tbl>
          <w:p>
            <w:pPr>
              <w:pStyle w:val="null3"/>
              <w:jc w:val="both"/>
            </w:pPr>
            <w:r>
              <w:rPr>
                <w:sz w:val="21"/>
                <w:b/>
              </w:rPr>
              <w:t>5.冻品类:</w:t>
            </w:r>
          </w:p>
          <w:tbl>
            <w:tblPr>
              <w:tblInd w:type="dxa" w:w="165"/>
              <w:tblBorders>
                <w:top w:val="none" w:color="000000" w:sz="4"/>
                <w:left w:val="none" w:color="000000" w:sz="4"/>
                <w:bottom w:val="none" w:color="000000" w:sz="4"/>
                <w:right w:val="none" w:color="000000" w:sz="4"/>
                <w:insideH w:val="none"/>
                <w:insideV w:val="none"/>
              </w:tblBorders>
            </w:tblPr>
            <w:tblGrid>
              <w:gridCol w:w="502"/>
              <w:gridCol w:w="1425"/>
              <w:gridCol w:w="676"/>
              <w:gridCol w:w="1291"/>
              <w:gridCol w:w="604"/>
              <w:gridCol w:w="1086"/>
            </w:tblGrid>
            <w:tr>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冻鸡胸肉</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2</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冻无皮花肉</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3</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冻前排</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鸡中亦</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5</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鸡亦尖</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6</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小鸡腿</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冻鸭胸肉</w:t>
                  </w:r>
                </w:p>
              </w:tc>
              <w:tc>
                <w:tcPr>
                  <w:tcW w:type="dxa" w:w="365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6.肉类:</w:t>
            </w:r>
          </w:p>
          <w:tbl>
            <w:tblPr>
              <w:tblInd w:type="dxa" w:w="165"/>
              <w:tblBorders>
                <w:top w:val="none" w:color="000000" w:sz="4"/>
                <w:left w:val="none" w:color="000000" w:sz="4"/>
                <w:bottom w:val="none" w:color="000000" w:sz="4"/>
                <w:right w:val="none" w:color="000000" w:sz="4"/>
                <w:insideH w:val="none"/>
                <w:insideV w:val="none"/>
              </w:tblBorders>
            </w:tblPr>
            <w:tblGrid>
              <w:gridCol w:w="522"/>
              <w:gridCol w:w="1404"/>
              <w:gridCol w:w="604"/>
              <w:gridCol w:w="1353"/>
              <w:gridCol w:w="604"/>
              <w:gridCol w:w="1086"/>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2</w:t>
                  </w: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牛肉滑</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both"/>
                  </w:pPr>
                  <w:r>
                    <w:rPr>
                      <w:sz w:val="21"/>
                    </w:rPr>
                    <w:t>3</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鲜猪肉</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r>
          </w:tbl>
          <w:p>
            <w:pPr>
              <w:pStyle w:val="null3"/>
              <w:jc w:val="both"/>
            </w:pPr>
            <w:r>
              <w:rPr>
                <w:sz w:val="21"/>
                <w:b/>
              </w:rPr>
              <w:t>7.蛋类:</w:t>
            </w:r>
          </w:p>
          <w:tbl>
            <w:tblPr>
              <w:tblInd w:type="dxa" w:w="150"/>
              <w:tblBorders>
                <w:top w:val="none" w:color="000000" w:sz="4"/>
                <w:left w:val="none" w:color="000000" w:sz="4"/>
                <w:bottom w:val="none" w:color="000000" w:sz="4"/>
                <w:right w:val="none" w:color="000000" w:sz="4"/>
                <w:insideH w:val="none"/>
                <w:insideV w:val="none"/>
              </w:tblBorders>
            </w:tblPr>
            <w:tblGrid>
              <w:gridCol w:w="751"/>
              <w:gridCol w:w="2033"/>
              <w:gridCol w:w="869"/>
              <w:gridCol w:w="1945"/>
            </w:tblGrid>
            <w:tr>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sz w:val="21"/>
                      <w:b/>
                    </w:rPr>
                    <w:t>名称</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r>
          </w:tbl>
          <w:p>
            <w:pPr>
              <w:pStyle w:val="null3"/>
              <w:jc w:val="both"/>
            </w:pPr>
            <w:r>
              <w:rPr>
                <w:sz w:val="21"/>
                <w:b/>
              </w:rPr>
              <w:t>8.粮油类</w:t>
            </w:r>
          </w:p>
          <w:tbl>
            <w:tblPr>
              <w:tblInd w:type="dxa" w:w="135"/>
              <w:tblBorders>
                <w:top w:val="none" w:color="000000" w:sz="4"/>
                <w:left w:val="none" w:color="000000" w:sz="4"/>
                <w:bottom w:val="none" w:color="000000" w:sz="4"/>
                <w:right w:val="none" w:color="000000" w:sz="4"/>
                <w:insideH w:val="none"/>
                <w:insideV w:val="none"/>
              </w:tblBorders>
            </w:tblPr>
            <w:tblGrid>
              <w:gridCol w:w="1315"/>
              <w:gridCol w:w="2188"/>
              <w:gridCol w:w="2095"/>
            </w:tblGrid>
            <w:tr>
              <w:tc>
                <w:tcPr>
                  <w:tcW w:type="dxa" w:w="1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428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米类</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齐眉米</w:t>
                  </w:r>
                </w:p>
              </w:tc>
              <w:tc>
                <w:tcPr>
                  <w:tcW w:type="dxa" w:w="2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大粮虾王米</w:t>
                  </w:r>
                </w:p>
              </w:tc>
            </w:tr>
            <w:tr>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面类</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粤霸米粉</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民味火锅捞面</w:t>
                  </w:r>
                </w:p>
              </w:tc>
            </w:tr>
            <w:tr>
              <w:tc>
                <w:tcPr>
                  <w:tcW w:type="dxa" w:w="1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酱油类</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海天一品鲜</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东古一品鲜</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兰花一品鲜</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美极鲜</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家乐牌鸡粉</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双桥味精</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四季宝花生酱</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李锦记豆瓣酱</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阳江豆豉</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进口风车生粉</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鹰唛炼奶</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老干妈</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绍兴南乳</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广合腐乳</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富源麻油</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海天蚝油</w:t>
                  </w:r>
                </w:p>
              </w:tc>
            </w:tr>
            <w:tr>
              <w:tc>
                <w:tcPr>
                  <w:tcW w:type="dxa" w:w="1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油类</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鲁花牌花生油</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鲁花牌调和油</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刀唛牌花生油</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刀唛牌调和油</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红灯牌花生油</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红灯牌调和油</w:t>
                  </w:r>
                </w:p>
              </w:tc>
            </w:tr>
            <w:tr>
              <w:tc>
                <w:tcPr>
                  <w:tcW w:type="dxa" w:w="1315"/>
                  <w:vMerge/>
                  <w:tcBorders>
                    <w:top w:val="none" w:color="000000" w:sz="4"/>
                    <w:left w:val="single" w:color="000000" w:sz="4"/>
                    <w:bottom w:val="single" w:color="000000" w:sz="4"/>
                    <w:right w:val="single" w:color="000000" w:sz="4"/>
                  </w:tcBorders>
                </w:tcP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金龙鱼花生油</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金龙鱼调和油</w:t>
                  </w:r>
                </w:p>
              </w:tc>
            </w:tr>
          </w:tbl>
          <w:p>
            <w:pPr>
              <w:pStyle w:val="null3"/>
              <w:jc w:val="both"/>
            </w:pPr>
            <w:r>
              <w:rPr>
                <w:sz w:val="21"/>
                <w:b/>
              </w:rPr>
              <w:t>9.干货、腊味类:</w:t>
            </w:r>
          </w:p>
          <w:tbl>
            <w:tblPr>
              <w:tblInd w:type="dxa" w:w="135"/>
              <w:tblBorders>
                <w:top w:val="none" w:color="000000" w:sz="4"/>
                <w:left w:val="none" w:color="000000" w:sz="4"/>
                <w:bottom w:val="none" w:color="000000" w:sz="4"/>
                <w:right w:val="none" w:color="000000" w:sz="4"/>
                <w:insideH w:val="none"/>
                <w:insideV w:val="none"/>
              </w:tblBorders>
            </w:tblPr>
            <w:tblGrid>
              <w:gridCol w:w="555"/>
              <w:gridCol w:w="1364"/>
              <w:gridCol w:w="596"/>
              <w:gridCol w:w="1333"/>
              <w:gridCol w:w="596"/>
              <w:gridCol w:w="1131"/>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大花生米</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黑木耳</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胡椒粉</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干海带</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支竹</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干腐皮</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right"/>
                  </w:pP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right"/>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17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3"/>
            </w:pPr>
            <w:r>
              <w:rPr>
                <w:sz w:val="24"/>
                <w:b/>
              </w:rPr>
              <w:t>四、产品配送要求</w:t>
            </w:r>
          </w:p>
          <w:p>
            <w:pPr>
              <w:pStyle w:val="null3"/>
              <w:ind w:left="30" w:firstLine="420"/>
              <w:jc w:val="both"/>
            </w:pPr>
            <w:r>
              <w:rPr>
                <w:sz w:val="21"/>
              </w:rPr>
              <w:t>1.送货方式：每次根据采购人的电话或其它方式通知订购品种、数量后，按时运送物品到指定地点，</w:t>
            </w:r>
            <w:r>
              <w:rPr>
                <w:sz w:val="21"/>
              </w:rPr>
              <w:t>中标人</w:t>
            </w:r>
            <w:r>
              <w:rPr>
                <w:sz w:val="21"/>
              </w:rPr>
              <w:t>随货提供注明货物名称、单位、数量、售价及总金额的商品送货清单，作为采购人入库验收之凭证。</w:t>
            </w:r>
          </w:p>
          <w:p>
            <w:pPr>
              <w:pStyle w:val="null3"/>
              <w:ind w:left="30" w:firstLine="420"/>
              <w:jc w:val="both"/>
            </w:pPr>
            <w:r>
              <w:rPr>
                <w:sz w:val="21"/>
              </w:rPr>
              <w:t>2.交货地点：</w:t>
            </w:r>
            <w:r>
              <w:rPr>
                <w:sz w:val="21"/>
              </w:rPr>
              <w:t>采购人</w:t>
            </w:r>
            <w:r>
              <w:rPr>
                <w:sz w:val="21"/>
              </w:rPr>
              <w:t>指定地点。</w:t>
            </w:r>
          </w:p>
          <w:p>
            <w:pPr>
              <w:pStyle w:val="null3"/>
              <w:ind w:firstLine="420"/>
              <w:jc w:val="both"/>
            </w:pPr>
            <w:r>
              <w:rPr>
                <w:sz w:val="21"/>
              </w:rPr>
              <w:t>3.包装与标志要求：包装：容器(框、箱、袋)要求清洁、干燥、牢固、透气，无污染、无异味、无霉变现象。标志：每件包装必须按</w:t>
            </w:r>
            <w:r>
              <w:rPr>
                <w:sz w:val="21"/>
              </w:rPr>
              <w:t>《农产品包装和标识管理办法》</w:t>
            </w:r>
            <w:r>
              <w:rPr>
                <w:sz w:val="21"/>
              </w:rPr>
              <w:t>贴标签，并标明产地、品种、净含量、生产单位及地址和采收日期。</w:t>
            </w:r>
          </w:p>
          <w:p>
            <w:pPr>
              <w:pStyle w:val="null3"/>
              <w:ind w:firstLine="420"/>
              <w:jc w:val="both"/>
            </w:pPr>
            <w:r>
              <w:rPr>
                <w:sz w:val="21"/>
              </w:rPr>
              <w:t>4.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w:t>
            </w:r>
            <w:r>
              <w:rPr>
                <w:sz w:val="21"/>
              </w:rPr>
              <w:t>冷冻品的运输要符合冷冻温度要求，确定食品的温度，</w:t>
            </w:r>
            <w:r>
              <w:rPr>
                <w:sz w:val="21"/>
              </w:rPr>
              <w:t>记录送货车辆温度，并将记录存档。</w:t>
            </w:r>
          </w:p>
          <w:p>
            <w:pPr>
              <w:pStyle w:val="null3"/>
              <w:ind w:firstLine="420"/>
              <w:jc w:val="both"/>
            </w:pPr>
            <w:r>
              <w:rPr>
                <w:sz w:val="21"/>
              </w:rPr>
              <w:t>5.数量方面要求：保证配送品种斤两的准确性，以采购人的验货数量为准，</w:t>
            </w:r>
            <w:r>
              <w:rPr>
                <w:sz w:val="21"/>
              </w:rPr>
              <w:t>中标人</w:t>
            </w:r>
            <w:r>
              <w:rPr>
                <w:sz w:val="21"/>
              </w:rPr>
              <w:t>每次随货送上一式两份的送货清单，供双方验货后签字确认，双方各持一份，作为送、收货的凭证。</w:t>
            </w:r>
          </w:p>
          <w:p>
            <w:pPr>
              <w:pStyle w:val="null3"/>
              <w:ind w:left="30" w:firstLine="420"/>
              <w:jc w:val="both"/>
            </w:pPr>
            <w:r>
              <w:rPr>
                <w:sz w:val="21"/>
              </w:rPr>
              <w:t>6.每次根据采购用户的通知订购品种和数量后，24小时内送货，具体送货时间由采购用户通知时约定，由采购人指定负责人验收过秤记录。对于不符合质量的品种采购人可退货或换货（由于产品质量而造成员工、师生或其他用餐人员发生安全事故时，</w:t>
            </w:r>
            <w:r>
              <w:rPr>
                <w:sz w:val="21"/>
              </w:rPr>
              <w:t>中标人</w:t>
            </w:r>
            <w:r>
              <w:rPr>
                <w:sz w:val="21"/>
              </w:rPr>
              <w:t>须承担全部责任）。</w:t>
            </w:r>
          </w:p>
          <w:p>
            <w:pPr>
              <w:pStyle w:val="null3"/>
              <w:jc w:val="both"/>
            </w:pPr>
            <w:r>
              <w:rPr>
                <w:sz w:val="21"/>
              </w:rPr>
              <w:t>7.对采购人临时的供货要求，需随订随送，至少在2个小时内响应并送到采购人指定食堂。</w:t>
            </w:r>
          </w:p>
        </w:tc>
      </w:tr>
      <w:tr>
        <w:tc>
          <w:tcPr>
            <w:tcW w:type="dxa" w:w="2076"/>
          </w:tcPr>
          <w:p/>
        </w:tc>
        <w:tc>
          <w:tcPr>
            <w:tcW w:type="dxa" w:w="415"/>
          </w:tcPr>
          <w:p>
            <w:pPr>
              <w:pStyle w:val="null3"/>
            </w:pPr>
            <w:r>
              <w:rPr/>
              <w:t>3</w:t>
            </w:r>
          </w:p>
        </w:tc>
        <w:tc>
          <w:tcPr>
            <w:tcW w:type="dxa" w:w="5814"/>
          </w:tcPr>
          <w:p>
            <w:pPr>
              <w:pStyle w:val="null3"/>
              <w:jc w:val="both"/>
              <w:outlineLvl w:val="3"/>
            </w:pPr>
            <w:r>
              <w:rPr>
                <w:sz w:val="24"/>
                <w:b/>
              </w:rPr>
              <w:t>五、相关说明</w:t>
            </w:r>
          </w:p>
          <w:p>
            <w:pPr>
              <w:pStyle w:val="null3"/>
              <w:ind w:firstLine="420"/>
            </w:pPr>
            <w:r>
              <w:rPr>
                <w:sz w:val="21"/>
              </w:rPr>
              <w:t xml:space="preserve">1. </w:t>
            </w:r>
            <w:r>
              <w:rPr>
                <w:sz w:val="21"/>
              </w:rPr>
              <w:t>中标人</w:t>
            </w:r>
            <w:r>
              <w:rPr>
                <w:sz w:val="21"/>
              </w:rPr>
              <w:t>在服务年限内，履行本招标文件约定的义务过程中出现违反国家法律法规、相关主管部门规章制度、擅自提高价格或提供伪劣服务内容、服务质量低劣造成采购人损失等情况的，采购人有权视情节分别给予警告、没收采购履约担保或取消协议服务资格等处罚。</w:t>
            </w:r>
          </w:p>
          <w:p>
            <w:pPr>
              <w:pStyle w:val="null3"/>
              <w:ind w:firstLine="420"/>
            </w:pPr>
            <w:r>
              <w:rPr>
                <w:sz w:val="21"/>
              </w:rPr>
              <w:t>2.因</w:t>
            </w:r>
            <w:r>
              <w:rPr>
                <w:sz w:val="21"/>
              </w:rPr>
              <w:t>中标人</w:t>
            </w:r>
            <w:r>
              <w:rPr>
                <w:sz w:val="21"/>
              </w:rPr>
              <w:t>被取消配送服务资格而造成服务单位数量不能满足正常食堂食材配送工作需求的，采购人有权按顺序递补本次采购排名在</w:t>
            </w:r>
            <w:r>
              <w:rPr>
                <w:sz w:val="21"/>
              </w:rPr>
              <w:t>中标人</w:t>
            </w:r>
            <w:r>
              <w:rPr>
                <w:sz w:val="21"/>
              </w:rPr>
              <w:t>之后的候选单位，或通过对该项目服务单位进行补充采购或重新采购的方式，以保证服务单位数量的正常需求。</w:t>
            </w:r>
          </w:p>
          <w:p>
            <w:pPr>
              <w:pStyle w:val="null3"/>
              <w:ind w:firstLine="420"/>
            </w:pPr>
            <w:r>
              <w:rPr>
                <w:sz w:val="21"/>
              </w:rPr>
              <w:t>3.</w:t>
            </w:r>
            <w:r>
              <w:rPr>
                <w:sz w:val="21"/>
              </w:rPr>
              <w:t>中标人</w:t>
            </w:r>
            <w:r>
              <w:rPr>
                <w:sz w:val="21"/>
              </w:rPr>
              <w:t>必须清楚理解：采购人无法预计也无法保证服务单位所能获得的服务项目数量；对此服务单位不得向采购人追讨任何费用。</w:t>
            </w:r>
          </w:p>
          <w:p>
            <w:pPr>
              <w:pStyle w:val="null3"/>
              <w:jc w:val="both"/>
              <w:outlineLvl w:val="3"/>
            </w:pPr>
            <w:r>
              <w:rPr>
                <w:sz w:val="24"/>
                <w:b/>
              </w:rPr>
              <w:t>六、售后服务</w:t>
            </w:r>
          </w:p>
          <w:p>
            <w:pPr>
              <w:pStyle w:val="null3"/>
              <w:jc w:val="both"/>
            </w:pPr>
            <w:r>
              <w:rPr>
                <w:sz w:val="21"/>
              </w:rPr>
              <w:t>非采购人的人为原因而出现产品质量，由</w:t>
            </w:r>
            <w:r>
              <w:rPr>
                <w:sz w:val="21"/>
              </w:rPr>
              <w:t>中标人</w:t>
            </w:r>
            <w:r>
              <w:rPr>
                <w:sz w:val="21"/>
              </w:rPr>
              <w:t>负责包换或包退，并承担因此而产生的一切费用。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东莞市横沥镇敬老院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镇敬老院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采购包1（东莞市横沥镇敬老院食堂食材配送服务采购项目）：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采购包1（东莞市横沥镇敬老院食堂食材配送服务采购项目）：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采购包1（东莞市横沥镇敬老院食堂食材配送服务采购项目）：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采购包1(东莞市横沥镇敬老院食堂食材配送服务采购项目):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总体实施方案 (16.0分)</w:t>
            </w:r>
            <w:r>
              <w:rPr/>
              <w:t>，（等次分值选择：</w:t>
            </w:r>
            <w:r>
              <w:rPr/>
              <w:t>0.0;</w:t>
            </w:r>
            <w:r>
              <w:rPr/>
              <w:t>1.0;</w:t>
            </w:r>
            <w:r>
              <w:rPr/>
              <w:t>5.0;</w:t>
            </w:r>
            <w:r>
              <w:rPr/>
              <w:t>10.0;</w:t>
            </w:r>
            <w:r>
              <w:rPr/>
              <w:t>16.0;</w:t>
            </w:r>
            <w:r>
              <w:rPr/>
              <w:t>）</w:t>
            </w:r>
          </w:p>
        </w:tc>
        <w:tc>
          <w:tcPr>
            <w:tcW w:type="dxa" w:w="5076"/>
          </w:tcPr>
          <w:p>
            <w:pPr>
              <w:pStyle w:val="null3"/>
              <w:jc w:val="left"/>
            </w:pPr>
            <w:r>
              <w:rPr/>
              <w:t>根据投标人提供的总体实施方案（包括但不限于实施组织计划、工作流程和服务标准等）进行综合评审： 1.实施组织计划详细完整，科学合理，针对各环节的工作流程细致完善、步骤清晰明确，服务标准高，内容详细完整，针对性强，得16分； 2.实施组织计划详细较完整，科学合理，针对各环节的工作流程较细致完善、步骤较清晰明确，服务标准较高，内容较详细完整，针对性较强，得10分； 3.实施组织计划详细完整性一般，针对各环节的工作流程及步骤不够细致完善，服务标准一般，内容详细程度一般，针对性不强，得5分； 4.实施组织计划、工作流程不完整，服务标准内容不详细，得1分； 5.未提供对应方案的不得分。</w:t>
            </w:r>
          </w:p>
        </w:tc>
      </w:tr>
      <w:tr>
        <w:tc>
          <w:tcPr>
            <w:tcW w:type="dxa" w:w="922"/>
            <w:gridSpan w:val="2"/>
            <w:vMerge/>
          </w:tcPr>
          <w:p/>
        </w:tc>
        <w:tc>
          <w:tcPr>
            <w:tcW w:type="dxa" w:w="2307"/>
          </w:tcPr>
          <w:p>
            <w:pPr>
              <w:pStyle w:val="null3"/>
              <w:jc w:val="left"/>
            </w:pPr>
            <w:r>
              <w:rPr/>
              <w:t>食材质量保障方案 (12.0分)</w:t>
            </w:r>
            <w:r>
              <w:rPr/>
              <w:t>，（等次分值选择：</w:t>
            </w:r>
            <w:r>
              <w:rPr/>
              <w:t>0.0;</w:t>
            </w:r>
            <w:r>
              <w:rPr/>
              <w:t>2.0;</w:t>
            </w:r>
            <w:r>
              <w:rPr/>
              <w:t>7.0;</w:t>
            </w:r>
            <w:r>
              <w:rPr/>
              <w:t>12.0;</w:t>
            </w:r>
            <w:r>
              <w:rPr/>
              <w:t>）</w:t>
            </w:r>
          </w:p>
        </w:tc>
        <w:tc>
          <w:tcPr>
            <w:tcW w:type="dxa" w:w="5076"/>
          </w:tcPr>
          <w:p>
            <w:pPr>
              <w:pStyle w:val="null3"/>
              <w:jc w:val="left"/>
            </w:pPr>
            <w:r>
              <w:rPr/>
              <w:t>根据投标人提供的食材种植或养植过程、加工、包装、保存、运输等各环节的质量保证及食品安全措施进行综合评审： 1.质量保障方案完整、科学、合理、可行，质量保证及食品安全措施科学性高、具体可行，完全满足或优于采购需求的，得12分； 2.质量保障方案较完整、较合理，质量保证及食品安全措施具备科学性、较为具体可行，能够满足采购需求的，得7分； 3.质量保障方案不完整，质量保证及食品安全措施缺乏可行性，不能满足采购需求的，得2分。 4.未提供对应方案的不得分。</w:t>
            </w:r>
          </w:p>
        </w:tc>
      </w:tr>
      <w:tr>
        <w:tc>
          <w:tcPr>
            <w:tcW w:type="dxa" w:w="922"/>
            <w:gridSpan w:val="2"/>
            <w:vMerge/>
          </w:tcPr>
          <w:p/>
        </w:tc>
        <w:tc>
          <w:tcPr>
            <w:tcW w:type="dxa" w:w="2307"/>
          </w:tcPr>
          <w:p>
            <w:pPr>
              <w:pStyle w:val="null3"/>
              <w:jc w:val="left"/>
            </w:pPr>
            <w:r>
              <w:rPr/>
              <w:t>食材安全保障方案 (12.0分)</w:t>
            </w:r>
            <w:r>
              <w:rPr/>
              <w:t>，（等次分值选择：</w:t>
            </w:r>
            <w:r>
              <w:rPr/>
              <w:t>0.0;</w:t>
            </w:r>
            <w:r>
              <w:rPr/>
              <w:t>2.0;</w:t>
            </w:r>
            <w:r>
              <w:rPr/>
              <w:t>7.0;</w:t>
            </w:r>
            <w:r>
              <w:rPr/>
              <w:t>12.0;</w:t>
            </w:r>
            <w:r>
              <w:rPr/>
              <w:t>）</w:t>
            </w:r>
          </w:p>
        </w:tc>
        <w:tc>
          <w:tcPr>
            <w:tcW w:type="dxa" w:w="5076"/>
          </w:tcPr>
          <w:p>
            <w:pPr>
              <w:pStyle w:val="null3"/>
              <w:jc w:val="left"/>
            </w:pPr>
            <w:r>
              <w:rPr/>
              <w:t>根据投标人提供的食品安全管理方案（包括但不限于质量安全管理手册、卫生标准操作及留样检测制度）进行综合评审： 1.方案细致合理，工作流程科学严谨、可行性高，完全满足或优于采购需求的，得12分； 2.方案基本完整、工作流程完整并具备一定的可行性，能够满足采购需求的，得7分； 3.方案缺乏合理性，部分内容能满足采购需求的，得2分。 4.未提供对应方案的不得分。</w:t>
            </w:r>
          </w:p>
        </w:tc>
      </w:tr>
      <w:tr>
        <w:tc>
          <w:tcPr>
            <w:tcW w:type="dxa" w:w="922"/>
            <w:gridSpan w:val="2"/>
            <w:vMerge/>
          </w:tcPr>
          <w:p/>
        </w:tc>
        <w:tc>
          <w:tcPr>
            <w:tcW w:type="dxa" w:w="2307"/>
          </w:tcPr>
          <w:p>
            <w:pPr>
              <w:pStyle w:val="null3"/>
              <w:jc w:val="left"/>
            </w:pPr>
            <w:r>
              <w:rPr/>
              <w:t>拟投入配送车辆情况 (8.0分)</w:t>
            </w:r>
            <w:r>
              <w:rPr/>
              <w:t>，（等次分值选择：</w:t>
            </w:r>
            <w:r>
              <w:rPr/>
              <w:t>0.0;</w:t>
            </w:r>
            <w:r>
              <w:rPr/>
              <w:t>2.0;</w:t>
            </w:r>
            <w:r>
              <w:rPr/>
              <w:t>4.0;</w:t>
            </w:r>
            <w:r>
              <w:rPr/>
              <w:t>6.0;</w:t>
            </w:r>
            <w:r>
              <w:rPr/>
              <w:t>8.0;</w:t>
            </w:r>
            <w:r>
              <w:rPr/>
              <w:t>）</w:t>
            </w:r>
          </w:p>
        </w:tc>
        <w:tc>
          <w:tcPr>
            <w:tcW w:type="dxa" w:w="5076"/>
          </w:tcPr>
          <w:p>
            <w:pPr>
              <w:pStyle w:val="null3"/>
              <w:jc w:val="left"/>
            </w:pPr>
            <w:r>
              <w:rPr/>
              <w:t>根据投标人拟投入本项目的配送车辆进行评审： 投标人拟投入本项目的车辆中，具备冷链运输（冷藏运输）功能的厢式货车的，每辆得2分，本项最高得8分。 注：（1）车辆为投标人自有的，须提供车辆的有效机动车行驶证复印件（车辆所有人为投标人或其法人）并加盖投标人公章。（2）车辆为投标人租赁的，须提供车辆的租赁合同（协议）（从开标当月起计算，有效租赁期不少于2年）复印件及机动车的有效行驶证复印件并加盖投标人公章。</w:t>
            </w:r>
          </w:p>
        </w:tc>
      </w:tr>
      <w:tr>
        <w:tc>
          <w:tcPr>
            <w:tcW w:type="dxa" w:w="922"/>
            <w:gridSpan w:val="2"/>
            <w:vMerge/>
          </w:tcPr>
          <w:p/>
        </w:tc>
        <w:tc>
          <w:tcPr>
            <w:tcW w:type="dxa" w:w="2307"/>
          </w:tcPr>
          <w:p>
            <w:pPr>
              <w:pStyle w:val="null3"/>
              <w:jc w:val="left"/>
            </w:pPr>
            <w:r>
              <w:rPr/>
              <w:t>售后服务方案、服务承诺 (12.0分)</w:t>
            </w:r>
            <w:r>
              <w:rPr/>
              <w:t>，（等次分值选择：</w:t>
            </w:r>
            <w:r>
              <w:rPr/>
              <w:t>0.0;</w:t>
            </w:r>
            <w:r>
              <w:rPr/>
              <w:t>2.0;</w:t>
            </w:r>
            <w:r>
              <w:rPr/>
              <w:t>7.0;</w:t>
            </w:r>
            <w:r>
              <w:rPr/>
              <w:t>12.0;</w:t>
            </w:r>
            <w:r>
              <w:rPr/>
              <w:t>）</w:t>
            </w:r>
          </w:p>
        </w:tc>
        <w:tc>
          <w:tcPr>
            <w:tcW w:type="dxa" w:w="5076"/>
          </w:tcPr>
          <w:p>
            <w:pPr>
              <w:pStyle w:val="null3"/>
              <w:jc w:val="left"/>
            </w:pPr>
            <w:r>
              <w:rPr/>
              <w:t>根据各投标人提供的售后服务方案（不仅限于售后服务计划、售后服务人员配置、售后保障措施等内容）、服务承诺等进行综合评审： 1.售后服务计划清晰明确、详细具体，售后服务人员组织架构完善、技术人员组织安排及跟进处理流程详细具体合理，售后服务方案各项内容均具备，并能根据项目性质或用户需求提出合理可行的建议的，服务承诺优于招标文件要求的，得12分； 2.售后服务计划明确具体，售后服务人员组织架构完善、技术人员组织安排及跟进处理流程合理，售后服务方案各项内容均具备的服务承诺满足招标文件要求的，服务承诺满足招标文件要求的，得7分； 3.售后服务计划明确，但售后服务人员组织架构不完善、技术人员组织安排及跟进处理流程不合理，售后服务方案部分内容有缺漏的，服务承诺未满足招标文件要求的，得2分； 4.未提供本项方案的不得分。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(15.0分)</w:t>
            </w:r>
          </w:p>
        </w:tc>
        <w:tc>
          <w:tcPr>
            <w:tcW w:type="dxa" w:w="5076"/>
          </w:tcPr>
          <w:p>
            <w:pPr>
              <w:pStyle w:val="null3"/>
              <w:jc w:val="left"/>
            </w:pPr>
            <w:r>
              <w:rPr/>
              <w:t>投标人具备以下认证证书的 （由国家认证认可监督管理部门批准设立的认证机构颁发并在有限期内），每提供一个认证证书得3分，最高得15分： 1、质量管理体系认证； 2、食品安全管理体系认证； 3、环境管理体系认证； 4、职业健康安全管理体系认证； 5、HACCP危害分析与关键控制点体系认证。 注：须提供证书复印件加盖投标人公章，否则不得分。</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投标人具有食材配送项目业绩，每提供一个业绩得3分，最高得15分。 注：须提供业绩合同复印件加盖投标人公章，否则不得分。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441900014-2024-00475</w:t>
      </w:r>
    </w:p>
    <w:p>
      <w:pPr>
        <w:pStyle w:val="null3"/>
        <w:jc w:val="center"/>
        <w:outlineLvl w:val="3"/>
      </w:pPr>
      <w:r>
        <w:rPr>
          <w:sz w:val="24"/>
          <w:b/>
        </w:rPr>
        <w:t>采购项目编号：</w:t>
      </w:r>
      <w:r>
        <w:rPr>
          <w:sz w:val="24"/>
          <w:b/>
        </w:rPr>
        <w:t>441900014-2024-00475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东莞市横沥镇敬老院食堂食材配送服务采购项目</w:t>
      </w:r>
      <w:r>
        <w:rPr>
          <w:u w:val="single"/>
        </w:rPr>
        <w:t>”</w:t>
      </w:r>
      <w:r>
        <w:rPr/>
        <w:t>项目的招标[采购项目编号为：</w:t>
      </w:r>
      <w:r>
        <w:rPr>
          <w:u w:val="single"/>
        </w:rPr>
        <w:t>441900014-2024-00475</w:t>
      </w:r>
      <w:r>
        <w:rPr/>
        <w:t>]，我方愿参与投标。</w:t>
      </w:r>
    </w:p>
    <w:p>
      <w:pPr>
        <w:pStyle w:val="null3"/>
        <w:ind w:firstLine="480"/>
      </w:pPr>
      <w:r>
        <w:rPr/>
        <w:t>我方确认收到贵方提供的</w:t>
      </w:r>
      <w:r>
        <w:rPr>
          <w:u w:val="single"/>
        </w:rPr>
        <w:t>“</w:t>
      </w:r>
      <w:r>
        <w:rPr>
          <w:u w:val="single"/>
        </w:rPr>
        <w:t>东莞市横沥镇敬老院食堂食材配送服务采购项目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东莞市横沥镇敬老院食堂食材配送服务采购项目</w:t>
      </w:r>
      <w:r>
        <w:rPr/>
        <w:t>”项目采购[采购项目编号为</w:t>
      </w:r>
      <w:r>
        <w:rPr/>
        <w:t>441900014-2024-00475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东莞市横沥镇敬老院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东莞市横沥镇敬老院食堂食材配送服务采购项目</w:t>
      </w:r>
      <w:r>
        <w:rPr/>
        <w:t>招标中获中标（采购项目编号：</w:t>
      </w:r>
      <w:r>
        <w:rPr/>
        <w:t>441900014-2024-00475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东莞市横沥镇敬老院食堂食材配送服务采购项目</w:t>
      </w:r>
      <w:r>
        <w:rPr/>
        <w:t>”项目（采购项目编号：</w:t>
      </w:r>
      <w:r>
        <w:rPr/>
        <w:t>441900014-2024-00475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