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441900008-2024-00308</w:t>
      </w:r>
    </w:p>
    <w:p>
      <w:pPr>
        <w:pStyle w:val="null3"/>
        <w:jc w:val="center"/>
        <w:outlineLvl w:val="3"/>
      </w:pPr>
      <w:r>
        <w:rPr>
          <w:sz w:val="24"/>
          <w:b/>
        </w:rPr>
        <w:t>采购项目编号：</w:t>
      </w:r>
      <w:r>
        <w:rPr>
          <w:sz w:val="24"/>
          <w:b/>
        </w:rPr>
        <w:t>441900008-2024-00308</w:t>
      </w:r>
    </w:p>
    <w:p>
      <w:pPr>
        <w:pStyle w:val="null3"/>
        <w:jc w:val="center"/>
        <w:outlineLvl w:val="3"/>
      </w:pPr>
      <w:r>
        <w:rPr>
          <w:sz w:val="24"/>
          <w:b/>
        </w:rPr>
        <w:t>项目名称：</w:t>
      </w:r>
      <w:r>
        <w:rPr>
          <w:sz w:val="24"/>
          <w:b/>
        </w:rPr>
        <w:t>茶山镇上元泵站及钊墩前池污水处理设施运营服务项目</w:t>
      </w:r>
    </w:p>
    <w:p>
      <w:pPr>
        <w:pStyle w:val="null3"/>
        <w:jc w:val="center"/>
        <w:outlineLvl w:val="3"/>
      </w:pPr>
      <w:r>
        <w:rPr>
          <w:sz w:val="24"/>
          <w:b/>
        </w:rPr>
        <w:t>采购人：</w:t>
      </w:r>
      <w:r>
        <w:rPr>
          <w:sz w:val="24"/>
          <w:b/>
        </w:rPr>
        <w:t>东莞市茶山镇水务工程运营中心</w:t>
      </w:r>
    </w:p>
    <w:p>
      <w:pPr>
        <w:pStyle w:val="null3"/>
        <w:jc w:val="center"/>
        <w:outlineLvl w:val="3"/>
      </w:pPr>
      <w:r>
        <w:rPr>
          <w:sz w:val="24"/>
          <w:b/>
        </w:rPr>
        <w:t>采购代理机构：</w:t>
      </w:r>
      <w:r>
        <w:rPr>
          <w:sz w:val="24"/>
          <w:b/>
        </w:rPr>
        <w:t>广东政通招标有限公司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广东政通招标有限公司</w:t>
      </w:r>
      <w:r>
        <w:rPr/>
        <w:t>受</w:t>
      </w:r>
      <w:r>
        <w:rPr/>
        <w:t>东莞市茶山镇水务工程运营中心</w:t>
      </w:r>
      <w:r>
        <w:rPr/>
        <w:t>的委托，采用</w:t>
      </w:r>
      <w:r>
        <w:rPr/>
        <w:t>公开招标</w:t>
      </w:r>
      <w:r>
        <w:rPr/>
        <w:t>方式组织采购</w:t>
      </w:r>
      <w:r>
        <w:rPr/>
        <w:t>茶山镇上元泵站及钊墩前池污水处理设施运营服务项目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茶山镇上元泵站及钊墩前池污水处理设施运营服务项目</w:t>
      </w:r>
    </w:p>
    <w:p>
      <w:pPr>
        <w:pStyle w:val="null3"/>
        <w:ind w:firstLine="480"/>
      </w:pPr>
      <w:r>
        <w:rPr/>
        <w:t>采购计划编号：</w:t>
      </w:r>
      <w:r>
        <w:rPr/>
        <w:t>441900008-2024-00308</w:t>
      </w:r>
    </w:p>
    <w:p>
      <w:pPr>
        <w:pStyle w:val="null3"/>
        <w:ind w:firstLine="480"/>
      </w:pPr>
      <w:r>
        <w:rPr/>
        <w:t>采购项目编号：</w:t>
      </w:r>
      <w:r>
        <w:rPr/>
        <w:t>441900008-2024-00308</w:t>
      </w:r>
    </w:p>
    <w:p>
      <w:pPr>
        <w:pStyle w:val="null3"/>
        <w:ind w:firstLine="480"/>
      </w:pPr>
      <w:r>
        <w:rPr/>
        <w:t>采购方式：</w:t>
      </w:r>
      <w:r>
        <w:rPr/>
        <w:t>公开招标</w:t>
      </w:r>
    </w:p>
    <w:p>
      <w:pPr>
        <w:pStyle w:val="null3"/>
        <w:ind w:firstLine="480"/>
      </w:pPr>
      <w:r>
        <w:rPr/>
        <w:t>预算金额：</w:t>
      </w:r>
      <w:r>
        <w:rPr/>
        <w:t>16,425,000.00</w:t>
      </w:r>
      <w:r>
        <w:rPr/>
        <w:t>元</w:t>
      </w:r>
    </w:p>
    <w:p>
      <w:pPr>
        <w:pStyle w:val="null3"/>
        <w:outlineLvl w:val="3"/>
      </w:pPr>
      <w:r>
        <w:rPr>
          <w:sz w:val="24"/>
          <w:b/>
        </w:rPr>
        <w:t>2.项目内容及需求情况（采购项目技术规格、参数及要求）</w:t>
      </w:r>
    </w:p>
    <w:p>
      <w:pPr>
        <w:pStyle w:val="null3"/>
      </w:pPr>
      <w:r>
        <w:rPr/>
        <w:t>采购包1(茶山镇上元泵站及钊墩前池污水处理设施运营服务项目):</w:t>
      </w:r>
    </w:p>
    <w:p>
      <w:pPr>
        <w:pStyle w:val="null3"/>
      </w:pPr>
      <w:r>
        <w:rPr/>
        <w:t>采购包预算金额：16,425,000.00元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茶山镇上元泵站及钊墩前池污水处理设施运营服务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16,425,000.00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合同履行期限：服务期1年。自验收合格，出水水质连续三天达标后次日00:00开始计起（第三方检测报告），验收检测费用由中标人承担。 注：在不满1年运营期内，如出现场地被征作他用、或因污水收集处理系统完善，茶山镇污水处理无缺口等情况，处理系统将可能停运，中标人必须无条件同意。</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采购包1（茶山镇上元泵站及钊墩前池污水处理设施运营服务项目）：</w:t>
      </w:r>
      <w:r>
        <w:rPr/>
        <w:t>本项目整体专门面向中小企业采购。供应商须符合本项目采购标的对应行业（本项目行业为：其他未列明行业）的政策划分标准。监狱企业、残疾人福利单位视同小型、微型企业。（注：中小企业以供应商填写的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采购包1（茶山镇上元泵站及钊墩前池污水处理设施运营服务项目）：</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东莞市茶山镇水务工程运营中心</w:t>
      </w:r>
    </w:p>
    <w:p>
      <w:pPr>
        <w:pStyle w:val="null3"/>
        <w:ind w:firstLine="480"/>
      </w:pPr>
      <w:r>
        <w:rPr/>
        <w:t xml:space="preserve"> 地址：</w:t>
      </w:r>
      <w:r>
        <w:rPr/>
        <w:t>东莞市茶山镇茶山南路8号综合服务中心B栋一楼</w:t>
      </w:r>
    </w:p>
    <w:p>
      <w:pPr>
        <w:pStyle w:val="null3"/>
        <w:ind w:firstLine="480"/>
      </w:pPr>
      <w:r>
        <w:rPr/>
        <w:t xml:space="preserve"> 联系方式：</w:t>
      </w:r>
      <w:r>
        <w:rPr/>
        <w:t>0769-86641764</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茶山镇上元泵站及钊墩前池污水处理设施运营服务项目</w:t>
      </w:r>
    </w:p>
    <w:p>
      <w:pPr>
        <w:pStyle w:val="null3"/>
      </w:pPr>
      <w:r>
        <w:rPr/>
        <w:t>采购包1（茶山镇上元泵站及钊墩前池污水处理设施运营服务项目）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服务期1年。自验收合格，出水水质连续三天达标后次日00:00开始计起（第三方检测报告），验收检测费用由中标人承担。 注：在不满1年运营期内，如出现场地被征作他用、或因污水收集处理系统完善，茶山镇污水处理无缺口等情况，处理系统将可能停运，中标人必须无条件同意。</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处理设施正式运营后，采购人按月支付污水处理运营费，中标人自正式运营次月起，于每月5日前向采购人申请支付上月污水处理运营费，如抽检出现水质超标情况，则按相应办法扣除相关费用，计费以项目验收合格后，经第三方检测水质连续3天达标后开始。 每月有效污水处理量=每月实际污水处理量-每月扣除的污水处理量，运营付费计算方式如下: (1)当月运营费根据有效污水处理量进行核算，若当天处理污水量≤保底水量时(招标水量*80%)则当天计费水量按保底水量计(招标水量*80%)，若当天处理污水量≥保底水量时，则按实际处理水量计;当天处理污水量上限为设计量的130%或主管部门的规定限值; (2)年度污水处理结算费用不得超过中标报价的一年污水处理费用(中标人报的投标综合单价×日处理规模×365日);若年度期限未到，污水处理费用已达到一年污水处理费用，中标人必须在年度内剩余期限无偿运营污水处理设施处理污水。 (3)保底水量为招标水量的80%; (4)需扣除污水处理量(运营费)的分类情况如下: ①采购人对本项目运营抽检频率为每月四次(每周一次)。(1)如中标人无法提供出水水质抽检时，所对应的进水浓度(按污水停留时间计算出水抽检时对应的进水时间)有效证明材料时，则按采购人当次抽检进水水质结果为标准。①当进水水质浓度≤处理设施设计进水水质标准，出水水质达不到合同出水水质要求时，则认定该次抽检不达标。②当进水水质浓度&gt;处理设施设计进水水质标准，但去除率小于合同约定要求时，则认定该次抽检不达标。③如当月出现单次水质抽检不达标，则扣除当月3%的污水处理费；如当月出现非连续两次水质抽检不达标，则扣除当月6%的污水处理费；如当月出现连续两次水质抽检不达标，则扣除当月25%的污水处理费；如当月出现非连续三次水质抽检不达标，则扣除当月28%的污水处理费；如当月出现连续三次水质抽检不达标，则扣除当月75%的污水处理费;如当月出现四次水质抽检不达标，则当月污水处理费全部扣除。(2)如中标人能提供出水水质抽检时，所对应的进水浓度(按污水停留时间计算出水抽检时对应的进水时间)有效证明材料时，则按乙方所提供的有效进水水质结果为标准。①当进水水质浓度≤处理设施设计进水水质标准，出水水质达不到合同出水水质要求时，则认定该次抽检不达标。②当进水水质浓度&gt;处理设施设计进水水质标准，但去除率小于合同约定要求时，则认定该次抽检不达标。③如当月出现单次水质抽检不达标，则扣除当月3%的污水处理费；如当月出现非连续两次水质抽检不达标，则扣除当月6%的污水处理费；如当月出现连续两次水质抽检不达标，则扣除当月25%的污水处理费;如当月出现非连续三次水质抽检不达标，则扣除当月28%的污水处理费;如当月出现连续三次水质抽检不达标，则扣除当月75%的污水处理费；如当月出现四次水质抽检不达标，则当月污水处理费全部扣除。 （3）其它弄虚作假情况一经发现，当月运营费用全部扣除。</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应在双方共同参加下进行，依据制定的方案进行验收，并按国家有关规定、规范进行。（2）采购人组织项目验收小组按国家有关规定、规范进行验收，必要时邀请相关专业人员或机构参与验收。（3）对验收不合格的部分，中标人应在采购人规定时间内及时整改完善直至合格。</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茶山镇上元泵站及钊墩前池污水处理设施运营服务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16,425,000.00</w:t>
            </w:r>
          </w:p>
        </w:tc>
        <w:tc>
          <w:tcPr>
            <w:tcW w:type="dxa" w:w="933"/>
          </w:tcPr>
          <w:p>
            <w:pPr>
              <w:pStyle w:val="null3"/>
              <w:jc w:val="right"/>
            </w:pPr>
            <w:r>
              <w:rPr/>
              <w:t>16,425,000.00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茶山镇上元泵站及钊墩前池污水处理设施运营服务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rPr>
              <w:t>一、项目基本要求</w:t>
            </w:r>
          </w:p>
          <w:tbl>
            <w:tblPr>
              <w:tblInd w:type="dxa" w:w="120"/>
              <w:tblBorders>
                <w:top w:val="none" w:color="000000" w:sz="4"/>
                <w:left w:val="none" w:color="000000" w:sz="4"/>
                <w:bottom w:val="none" w:color="000000" w:sz="4"/>
                <w:right w:val="none" w:color="000000" w:sz="4"/>
                <w:insideH w:val="none"/>
                <w:insideV w:val="none"/>
              </w:tblBorders>
            </w:tblPr>
            <w:tblGrid>
              <w:gridCol w:w="538"/>
              <w:gridCol w:w="897"/>
              <w:gridCol w:w="4163"/>
            </w:tblGrid>
            <w:tr>
              <w:tc>
                <w:tcPr>
                  <w:tcW w:type="dxa" w:w="5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序号</w:t>
                  </w:r>
                </w:p>
              </w:tc>
              <w:tc>
                <w:tcPr>
                  <w:tcW w:type="dxa" w:w="8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内容</w:t>
                  </w:r>
                </w:p>
              </w:tc>
              <w:tc>
                <w:tcPr>
                  <w:tcW w:type="dxa" w:w="41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规定</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项目名称</w:t>
                  </w:r>
                </w:p>
              </w:tc>
              <w:tc>
                <w:tcPr>
                  <w:tcW w:type="dxa" w:w="4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茶山镇上元泵站及钊墩前池污水处理设施运营服务项目</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项目规模及特征</w:t>
                  </w:r>
                </w:p>
              </w:tc>
              <w:tc>
                <w:tcPr>
                  <w:tcW w:type="dxa" w:w="4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w:t>
                  </w:r>
                  <w:r>
                    <w:rPr>
                      <w:sz w:val="21"/>
                    </w:rPr>
                    <w:t>茶山镇上元泵站污水处理设施位于茶山镇上元沙头角工业区，日处理量为</w:t>
                  </w:r>
                  <w:r>
                    <w:rPr>
                      <w:sz w:val="21"/>
                    </w:rPr>
                    <w:t>10000m</w:t>
                  </w:r>
                  <w:r>
                    <w:rPr>
                      <w:sz w:val="21"/>
                      <w:vertAlign w:val="superscript"/>
                    </w:rPr>
                    <w:t>3</w:t>
                  </w:r>
                  <w:r>
                    <w:rPr>
                      <w:sz w:val="21"/>
                    </w:rPr>
                    <w:t>，地上式钢筋混凝土结构，池深</w:t>
                  </w:r>
                  <w:r>
                    <w:rPr>
                      <w:sz w:val="21"/>
                    </w:rPr>
                    <w:t>4.5米，占地面积</w:t>
                  </w:r>
                  <w:r>
                    <w:rPr>
                      <w:sz w:val="21"/>
                    </w:rPr>
                    <w:t>约</w:t>
                  </w:r>
                  <w:r>
                    <w:rPr>
                      <w:sz w:val="21"/>
                    </w:rPr>
                    <w:t>1</w:t>
                  </w:r>
                  <w:r>
                    <w:rPr>
                      <w:sz w:val="21"/>
                    </w:rPr>
                    <w:t>5</w:t>
                  </w:r>
                  <w:r>
                    <w:rPr>
                      <w:sz w:val="21"/>
                    </w:rPr>
                    <w:t>00平方米。</w:t>
                  </w:r>
                </w:p>
                <w:p>
                  <w:pPr>
                    <w:pStyle w:val="null3"/>
                    <w:jc w:val="left"/>
                  </w:pPr>
                  <w:r>
                    <w:rPr>
                      <w:sz w:val="21"/>
                    </w:rPr>
                    <w:t>2、</w:t>
                  </w:r>
                  <w:r>
                    <w:rPr>
                      <w:sz w:val="21"/>
                    </w:rPr>
                    <w:t>茶山镇钊墩前池污水处理设施位于茶山镇沙墩村沿溪路北侧肥红开心吧对面，日处理量为</w:t>
                  </w:r>
                  <w:r>
                    <w:rPr>
                      <w:sz w:val="21"/>
                    </w:rPr>
                    <w:t>20000m</w:t>
                  </w:r>
                  <w:r>
                    <w:rPr>
                      <w:sz w:val="21"/>
                      <w:vertAlign w:val="superscript"/>
                    </w:rPr>
                    <w:t>3</w:t>
                  </w:r>
                  <w:r>
                    <w:rPr>
                      <w:sz w:val="21"/>
                    </w:rPr>
                    <w:t>，地埋式钢筋混凝土结构，池深</w:t>
                  </w:r>
                  <w:r>
                    <w:rPr>
                      <w:sz w:val="21"/>
                    </w:rPr>
                    <w:t>4.5米，占地面积</w:t>
                  </w:r>
                  <w:r>
                    <w:rPr>
                      <w:sz w:val="21"/>
                    </w:rPr>
                    <w:t>约</w:t>
                  </w:r>
                  <w:r>
                    <w:rPr>
                      <w:sz w:val="21"/>
                    </w:rPr>
                    <w:t>4000平方米。</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实施模式</w:t>
                  </w:r>
                </w:p>
              </w:tc>
              <w:tc>
                <w:tcPr>
                  <w:tcW w:type="dxa" w:w="4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按照用户需求及合同文件规定的范围、内容和要求，以及规范标准要求，根据采购人提供的相关资料和说明、现场条件等，本项目承包方式实行总价包干方式，具体包括</w:t>
                  </w:r>
                  <w:r>
                    <w:rPr>
                      <w:sz w:val="21"/>
                    </w:rPr>
                    <w:t>:</w:t>
                  </w:r>
                </w:p>
                <w:p>
                  <w:pPr>
                    <w:pStyle w:val="null3"/>
                    <w:jc w:val="left"/>
                  </w:pPr>
                  <w:r>
                    <w:rPr>
                      <w:sz w:val="21"/>
                    </w:rPr>
                    <w:t>1、</w:t>
                  </w:r>
                  <w:r>
                    <w:rPr>
                      <w:sz w:val="21"/>
                    </w:rPr>
                    <w:t>提供</w:t>
                  </w:r>
                  <w:r>
                    <w:rPr>
                      <w:sz w:val="21"/>
                    </w:rPr>
                    <w:t>1年污水处理运营管理服务 ，包含污水处理设施运营期间的水电费、人工费、管理费、</w:t>
                  </w:r>
                  <w:r>
                    <w:rPr>
                      <w:sz w:val="21"/>
                    </w:rPr>
                    <w:t>税费、</w:t>
                  </w:r>
                  <w:r>
                    <w:rPr>
                      <w:sz w:val="21"/>
                    </w:rPr>
                    <w:t>设备维护保养及维修</w:t>
                  </w:r>
                  <w:r>
                    <w:rPr>
                      <w:sz w:val="21"/>
                    </w:rPr>
                    <w:t>费</w:t>
                  </w:r>
                  <w:r>
                    <w:rPr>
                      <w:sz w:val="21"/>
                    </w:rPr>
                    <w:t>（包括运行设备的维护及保养、在线监测</w:t>
                  </w:r>
                  <w:r>
                    <w:rPr>
                      <w:sz w:val="21"/>
                    </w:rPr>
                    <w:t>设备</w:t>
                  </w:r>
                  <w:r>
                    <w:rPr>
                      <w:sz w:val="21"/>
                    </w:rPr>
                    <w:t>维护</w:t>
                  </w:r>
                  <w:r>
                    <w:rPr>
                      <w:sz w:val="21"/>
                    </w:rPr>
                    <w:t>、</w:t>
                  </w:r>
                  <w:r>
                    <w:rPr>
                      <w:sz w:val="21"/>
                    </w:rPr>
                    <w:t>控制电柜、泵类设备及管路定期</w:t>
                  </w:r>
                  <w:r>
                    <w:rPr>
                      <w:sz w:val="21"/>
                    </w:rPr>
                    <w:t>检修</w:t>
                  </w:r>
                  <w:r>
                    <w:rPr>
                      <w:sz w:val="21"/>
                    </w:rPr>
                    <w:t>等）、日常监测费、药剂费（除磷剂、聚丙烯酰胺、次氯酸钠、碳源等）、污泥处置费、场地绿化保洁等全部运营所需费用；</w:t>
                  </w:r>
                </w:p>
                <w:p>
                  <w:pPr>
                    <w:pStyle w:val="null3"/>
                    <w:jc w:val="left"/>
                  </w:pPr>
                  <w:r>
                    <w:rPr>
                      <w:sz w:val="21"/>
                    </w:rPr>
                    <w:t>2、</w:t>
                  </w:r>
                  <w:r>
                    <w:rPr>
                      <w:sz w:val="21"/>
                    </w:rPr>
                    <w:t>与本项目相关的各专业项目的配合、协调服务；</w:t>
                  </w:r>
                </w:p>
                <w:p>
                  <w:pPr>
                    <w:pStyle w:val="null3"/>
                    <w:jc w:val="left"/>
                  </w:pPr>
                  <w:r>
                    <w:rPr>
                      <w:sz w:val="21"/>
                    </w:rPr>
                    <w:t>3、</w:t>
                  </w:r>
                  <w:r>
                    <w:rPr>
                      <w:sz w:val="21"/>
                    </w:rPr>
                    <w:t>中标人应先自行到项目地点踏勘以充分了解项目的位置、情况、道路及任何其它足以影响投标报价的现场情况，任何因忽视或误解项目实际情况而导致的索赔或服务期限延长申请将不获批准。</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w:t>
                  </w: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水质要求</w:t>
                  </w:r>
                </w:p>
              </w:tc>
              <w:tc>
                <w:tcPr>
                  <w:tcW w:type="dxa" w:w="4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《城镇污水处理厂污染物排放标准》</w:t>
                  </w:r>
                  <w:r>
                    <w:rPr>
                      <w:sz w:val="21"/>
                    </w:rPr>
                    <w:t>(GB18918-2002)一级 A排放标准。</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项目质量</w:t>
                  </w:r>
                </w:p>
              </w:tc>
              <w:tc>
                <w:tcPr>
                  <w:tcW w:type="dxa" w:w="4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达到国家或行业质量检验评定的合格标准，能顺利通过有关部门的审查和备案。</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6</w:t>
                  </w: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工期要求</w:t>
                  </w:r>
                </w:p>
              </w:tc>
              <w:tc>
                <w:tcPr>
                  <w:tcW w:type="dxa" w:w="4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自</w:t>
                  </w:r>
                  <w:r>
                    <w:rPr>
                      <w:sz w:val="21"/>
                    </w:rPr>
                    <w:t>签订合同后</w:t>
                  </w:r>
                  <w:r>
                    <w:rPr>
                      <w:sz w:val="21"/>
                    </w:rPr>
                    <w:t>30</w:t>
                  </w:r>
                  <w:r>
                    <w:rPr>
                      <w:sz w:val="21"/>
                    </w:rPr>
                    <w:t>天内完成本项目的投产运营，包括人员入场、设备维护、场地清洁、污水处理设施工艺调整等工作，期限自签订合同日至污水处理设施运营出水水质（以有效的水质检测报告为准）连续</w:t>
                  </w:r>
                  <w:r>
                    <w:rPr>
                      <w:sz w:val="21"/>
                    </w:rPr>
                    <w:t>3天达到出水要求所需时间。</w:t>
                  </w:r>
                </w:p>
                <w:p>
                  <w:pPr>
                    <w:pStyle w:val="null3"/>
                    <w:jc w:val="left"/>
                  </w:pPr>
                  <w:r>
                    <w:rPr>
                      <w:sz w:val="21"/>
                    </w:rPr>
                    <w:t>2</w:t>
                  </w:r>
                  <w:r>
                    <w:rPr>
                      <w:sz w:val="21"/>
                    </w:rPr>
                    <w:t>、</w:t>
                  </w:r>
                  <w:r>
                    <w:rPr>
                      <w:sz w:val="21"/>
                    </w:rPr>
                    <w:t>中标人</w:t>
                  </w:r>
                  <w:r>
                    <w:rPr>
                      <w:sz w:val="21"/>
                    </w:rPr>
                    <w:t>应充分考虑为完成本项目相关工作所需的相关审批、确认时间。</w:t>
                  </w:r>
                  <w:r>
                    <w:rPr>
                      <w:sz w:val="21"/>
                    </w:rPr>
                    <w:t>中标人</w:t>
                  </w:r>
                  <w:r>
                    <w:rPr>
                      <w:sz w:val="21"/>
                    </w:rPr>
                    <w:t>应充分了解主体项目的进展情况、场地现状及其对本项目进度的影响，制定相应的工期保证措施，并在投标报价中综合考虑相应的费用。</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7</w:t>
                  </w:r>
                </w:p>
              </w:tc>
              <w:tc>
                <w:tcPr>
                  <w:tcW w:type="dxa" w:w="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设备及运营要求</w:t>
                  </w:r>
                </w:p>
              </w:tc>
              <w:tc>
                <w:tcPr>
                  <w:tcW w:type="dxa" w:w="4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电磁流量计具有质量计量监督检测中心（或同等有资质单位）出具的检验报告。</w:t>
                  </w:r>
                </w:p>
              </w:tc>
            </w:tr>
          </w:tbl>
          <w:p>
            <w:pPr>
              <w:pStyle w:val="null3"/>
              <w:jc w:val="left"/>
            </w:pPr>
            <w:r>
              <w:rPr>
                <w:sz w:val="21"/>
                <w:b/>
              </w:rPr>
              <w:t>二、项目报价要求</w:t>
            </w:r>
          </w:p>
          <w:p>
            <w:pPr>
              <w:pStyle w:val="null3"/>
              <w:jc w:val="left"/>
            </w:pPr>
            <w:r>
              <w:rPr>
                <w:sz w:val="21"/>
              </w:rPr>
              <w:t>1、费用说明</w:t>
            </w:r>
          </w:p>
          <w:tbl>
            <w:tblPr>
              <w:tblInd w:type="dxa" w:w="120"/>
              <w:tblBorders>
                <w:top w:val="none" w:color="000000" w:sz="4"/>
                <w:left w:val="none" w:color="000000" w:sz="4"/>
                <w:bottom w:val="none" w:color="000000" w:sz="4"/>
                <w:right w:val="none" w:color="000000" w:sz="4"/>
                <w:insideH w:val="none"/>
                <w:insideV w:val="none"/>
              </w:tblBorders>
            </w:tblPr>
            <w:tblGrid>
              <w:gridCol w:w="2490"/>
              <w:gridCol w:w="1241"/>
              <w:gridCol w:w="1866"/>
            </w:tblGrid>
            <w:tr>
              <w:tc>
                <w:tcPr>
                  <w:tcW w:type="dxa" w:w="2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费用内容</w:t>
                  </w:r>
                </w:p>
              </w:tc>
              <w:tc>
                <w:tcPr>
                  <w:tcW w:type="dxa" w:w="1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金额</w:t>
                  </w:r>
                </w:p>
              </w:tc>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计算方式</w:t>
                  </w:r>
                </w:p>
              </w:tc>
            </w:tr>
            <w:tr>
              <w:tc>
                <w:tcPr>
                  <w:tcW w:type="dxa" w:w="2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项目预算</w:t>
                  </w:r>
                </w:p>
              </w:tc>
              <w:tc>
                <w:tcPr>
                  <w:tcW w:type="dxa" w:w="1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16,425,000.00</w:t>
                  </w:r>
                  <w:r>
                    <w:rPr>
                      <w:sz w:val="21"/>
                    </w:rPr>
                    <w:t>元</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项目预算</w:t>
                  </w:r>
                  <w:r>
                    <w:rPr>
                      <w:sz w:val="21"/>
                    </w:rPr>
                    <w:t>=污水处理综合单价×污水处理设施处理规模×365天</w:t>
                  </w:r>
                </w:p>
              </w:tc>
            </w:tr>
            <w:tr>
              <w:tc>
                <w:tcPr>
                  <w:tcW w:type="dxa" w:w="2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茶山镇上元泵站污水处理设施</w:t>
                  </w:r>
                  <w:r>
                    <w:rPr>
                      <w:sz w:val="21"/>
                    </w:rPr>
                    <w:t>运营服务项目综合单价最高限价</w:t>
                  </w:r>
                </w:p>
              </w:tc>
              <w:tc>
                <w:tcPr>
                  <w:tcW w:type="dxa" w:w="12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1.50元/吨</w:t>
                  </w:r>
                </w:p>
              </w:tc>
              <w:tc>
                <w:tcPr>
                  <w:tcW w:type="dxa" w:w="18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茶山镇</w:t>
                  </w:r>
                  <w:r>
                    <w:rPr>
                      <w:sz w:val="21"/>
                    </w:rPr>
                    <w:t>钊墩前池</w:t>
                  </w:r>
                  <w:r>
                    <w:rPr>
                      <w:sz w:val="21"/>
                    </w:rPr>
                    <w:t>污水处理设施</w:t>
                  </w:r>
                  <w:r>
                    <w:rPr>
                      <w:sz w:val="21"/>
                    </w:rPr>
                    <w:t>运营服务项目综合单价最高限价</w:t>
                  </w:r>
                </w:p>
              </w:tc>
              <w:tc>
                <w:tcPr>
                  <w:tcW w:type="dxa" w:w="1241"/>
                  <w:vMerge/>
                  <w:tcBorders>
                    <w:top w:val="none" w:color="000000" w:sz="4"/>
                    <w:left w:val="single" w:color="000000" w:sz="4"/>
                    <w:bottom w:val="single" w:color="000000" w:sz="4"/>
                    <w:right w:val="single" w:color="000000" w:sz="4"/>
                  </w:tcBorders>
                </w:tcPr>
                <w:p/>
              </w:tc>
              <w:tc>
                <w:tcPr>
                  <w:tcW w:type="dxa" w:w="1866"/>
                  <w:vMerge/>
                  <w:tcBorders>
                    <w:top w:val="none" w:color="000000" w:sz="4"/>
                    <w:left w:val="single" w:color="000000" w:sz="4"/>
                    <w:bottom w:val="single" w:color="000000" w:sz="4"/>
                    <w:right w:val="single" w:color="000000" w:sz="4"/>
                  </w:tcBorders>
                </w:tcPr>
                <w:p/>
              </w:tc>
            </w:tr>
          </w:tbl>
          <w:p>
            <w:pPr>
              <w:pStyle w:val="null3"/>
              <w:jc w:val="left"/>
            </w:pPr>
            <w:r>
              <w:rPr>
                <w:sz w:val="21"/>
                <w:b/>
                <w:u w:val="single"/>
              </w:rPr>
              <w:t>★1</w:t>
            </w:r>
            <w:r>
              <w:rPr>
                <w:sz w:val="21"/>
                <w:b/>
                <w:u w:val="single"/>
              </w:rPr>
              <w:t>.1</w:t>
            </w:r>
            <w:r>
              <w:rPr>
                <w:sz w:val="21"/>
                <w:b/>
                <w:u w:val="single"/>
              </w:rPr>
              <w:t>、</w:t>
            </w:r>
            <w:r>
              <w:rPr>
                <w:sz w:val="21"/>
                <w:b/>
                <w:u w:val="single"/>
              </w:rPr>
              <w:t>投标人</w:t>
            </w:r>
            <w:r>
              <w:rPr>
                <w:sz w:val="21"/>
                <w:b/>
                <w:u w:val="single"/>
              </w:rPr>
              <w:t>报价时，仅针对污水处理综合单价进行报价</w:t>
            </w:r>
            <w:r>
              <w:rPr>
                <w:sz w:val="21"/>
                <w:b/>
                <w:u w:val="single"/>
              </w:rPr>
              <w:t>，</w:t>
            </w:r>
            <w:r>
              <w:rPr>
                <w:sz w:val="21"/>
                <w:b/>
                <w:u w:val="single"/>
              </w:rPr>
              <w:t>投标</w:t>
            </w:r>
            <w:r>
              <w:rPr>
                <w:sz w:val="21"/>
                <w:b/>
                <w:u w:val="single"/>
              </w:rPr>
              <w:t>综合单价</w:t>
            </w:r>
            <w:r>
              <w:rPr>
                <w:sz w:val="21"/>
                <w:b/>
                <w:u w:val="single"/>
              </w:rPr>
              <w:t>不得超过</w:t>
            </w:r>
            <w:r>
              <w:rPr>
                <w:sz w:val="21"/>
                <w:b/>
                <w:u w:val="single"/>
              </w:rPr>
              <w:t>1.50元/吨，否则作无效投标处理。</w:t>
            </w:r>
          </w:p>
          <w:p>
            <w:pPr>
              <w:pStyle w:val="null3"/>
              <w:jc w:val="left"/>
            </w:pPr>
            <w:r>
              <w:rPr>
                <w:sz w:val="21"/>
              </w:rPr>
              <w:t>1.2</w:t>
            </w:r>
            <w:r>
              <w:rPr>
                <w:sz w:val="21"/>
              </w:rPr>
              <w:t>、本项目最终结算价不得超过项目总预算人民币</w:t>
            </w:r>
            <w:r>
              <w:rPr>
                <w:sz w:val="21"/>
              </w:rPr>
              <w:t>16,425,000.00元。</w:t>
            </w:r>
          </w:p>
          <w:p>
            <w:pPr>
              <w:pStyle w:val="null3"/>
              <w:jc w:val="left"/>
            </w:pPr>
            <w:r>
              <w:rPr>
                <w:sz w:val="21"/>
                <w:b/>
              </w:rPr>
              <w:t>三、服务内容</w:t>
            </w:r>
          </w:p>
          <w:p>
            <w:pPr>
              <w:pStyle w:val="null3"/>
              <w:jc w:val="left"/>
            </w:pPr>
            <w:r>
              <w:rPr>
                <w:sz w:val="21"/>
                <w:b/>
              </w:rPr>
              <w:t>1</w:t>
            </w:r>
            <w:r>
              <w:rPr>
                <w:sz w:val="21"/>
                <w:b/>
              </w:rPr>
              <w:t>、</w:t>
            </w:r>
            <w:r>
              <w:rPr>
                <w:sz w:val="21"/>
                <w:b/>
              </w:rPr>
              <w:t>污水处理服务模式</w:t>
            </w:r>
          </w:p>
          <w:p>
            <w:pPr>
              <w:pStyle w:val="null3"/>
              <w:jc w:val="left"/>
            </w:pPr>
            <w:r>
              <w:rPr>
                <w:sz w:val="21"/>
              </w:rPr>
              <w:t>（</w:t>
            </w:r>
            <w:r>
              <w:rPr>
                <w:sz w:val="21"/>
              </w:rPr>
              <w:t>1）采购人提供茶山镇上元泵站</w:t>
            </w:r>
            <w:r>
              <w:rPr>
                <w:sz w:val="21"/>
              </w:rPr>
              <w:t>及</w:t>
            </w:r>
            <w:r>
              <w:rPr>
                <w:sz w:val="21"/>
              </w:rPr>
              <w:t>钊墩前池污水处理设施，以及污水处理设施所配套的</w:t>
            </w:r>
            <w:r>
              <w:rPr>
                <w:sz w:val="21"/>
              </w:rPr>
              <w:t>相关</w:t>
            </w:r>
            <w:r>
              <w:rPr>
                <w:sz w:val="21"/>
              </w:rPr>
              <w:t>设备。</w:t>
            </w:r>
          </w:p>
          <w:p>
            <w:pPr>
              <w:pStyle w:val="null3"/>
              <w:jc w:val="left"/>
            </w:pPr>
            <w:r>
              <w:rPr>
                <w:sz w:val="21"/>
              </w:rPr>
              <w:t>（</w:t>
            </w:r>
            <w:r>
              <w:rPr>
                <w:sz w:val="21"/>
              </w:rPr>
              <w:t>2）中标人提供1年污水处理运营管理服务</w:t>
            </w:r>
            <w:r>
              <w:rPr>
                <w:sz w:val="21"/>
              </w:rPr>
              <w:t>，</w:t>
            </w:r>
            <w:r>
              <w:rPr>
                <w:sz w:val="21"/>
              </w:rPr>
              <w:t>包含污水处理设施运营期间的水电费、人工费、管理费、</w:t>
            </w:r>
            <w:r>
              <w:rPr>
                <w:sz w:val="21"/>
              </w:rPr>
              <w:t>税费、</w:t>
            </w:r>
            <w:r>
              <w:rPr>
                <w:sz w:val="21"/>
              </w:rPr>
              <w:t>设备维护保养及维修</w:t>
            </w:r>
            <w:r>
              <w:rPr>
                <w:sz w:val="21"/>
              </w:rPr>
              <w:t>费</w:t>
            </w:r>
            <w:r>
              <w:rPr>
                <w:sz w:val="21"/>
              </w:rPr>
              <w:t>（包括运行设备的维护及保养、在线监测</w:t>
            </w:r>
            <w:r>
              <w:rPr>
                <w:sz w:val="21"/>
              </w:rPr>
              <w:t>设备</w:t>
            </w:r>
            <w:r>
              <w:rPr>
                <w:sz w:val="21"/>
              </w:rPr>
              <w:t>维护</w:t>
            </w:r>
            <w:r>
              <w:rPr>
                <w:sz w:val="21"/>
              </w:rPr>
              <w:t>、</w:t>
            </w:r>
            <w:r>
              <w:rPr>
                <w:sz w:val="21"/>
              </w:rPr>
              <w:t>控制电柜、泵类设备及管路定期</w:t>
            </w:r>
            <w:r>
              <w:rPr>
                <w:sz w:val="21"/>
              </w:rPr>
              <w:t>检修</w:t>
            </w:r>
            <w:r>
              <w:rPr>
                <w:sz w:val="21"/>
              </w:rPr>
              <w:t>等）、日常监测费、药剂费（除磷剂、聚丙烯酰胺、次氯酸钠、碳源等）、污泥处置费、场地绿化保洁等全部运营所需费用；</w:t>
            </w:r>
          </w:p>
          <w:p>
            <w:pPr>
              <w:pStyle w:val="null3"/>
              <w:jc w:val="left"/>
            </w:pPr>
            <w:r>
              <w:rPr>
                <w:sz w:val="21"/>
                <w:b/>
              </w:rPr>
              <w:t xml:space="preserve">2 </w:t>
            </w:r>
            <w:r>
              <w:rPr>
                <w:sz w:val="21"/>
                <w:b/>
              </w:rPr>
              <w:t>、</w:t>
            </w:r>
            <w:r>
              <w:rPr>
                <w:sz w:val="21"/>
                <w:b/>
              </w:rPr>
              <w:t>本项目服务具体内容</w:t>
            </w:r>
          </w:p>
          <w:p>
            <w:pPr>
              <w:pStyle w:val="null3"/>
              <w:jc w:val="left"/>
            </w:pPr>
            <w:r>
              <w:rPr>
                <w:sz w:val="21"/>
              </w:rPr>
              <w:t>（</w:t>
            </w:r>
            <w:r>
              <w:rPr>
                <w:sz w:val="21"/>
              </w:rPr>
              <w:t>1）污水处理运营管理服务；</w:t>
            </w:r>
          </w:p>
          <w:p>
            <w:pPr>
              <w:pStyle w:val="null3"/>
              <w:jc w:val="left"/>
            </w:pPr>
            <w:r>
              <w:rPr>
                <w:sz w:val="21"/>
              </w:rPr>
              <w:t>（</w:t>
            </w:r>
            <w:r>
              <w:rPr>
                <w:sz w:val="21"/>
              </w:rPr>
              <w:t>2）污泥处理和转移；</w:t>
            </w:r>
          </w:p>
          <w:p>
            <w:pPr>
              <w:pStyle w:val="null3"/>
              <w:jc w:val="left"/>
            </w:pPr>
            <w:r>
              <w:rPr>
                <w:sz w:val="21"/>
              </w:rPr>
              <w:t>（</w:t>
            </w:r>
            <w:r>
              <w:rPr>
                <w:sz w:val="21"/>
              </w:rPr>
              <w:t>3）采购人提供污染源在线监测设备（包括进水端的COD、氨氮、总磷和数采仪；出水端的pH、水温、COD、氨氮、总磷、总氮和数采仪等水质实时检测设备及数据上传平台设备），中标人负责污染源在线监测设备的运维工作（包括水样对比、标液核查、校准等工作），连入东莞市生态环境局在线监控系统以及平台的管理工作。后续如监管部门提出需增设在线监测设备，相关费用由</w:t>
            </w:r>
            <w:r>
              <w:rPr>
                <w:sz w:val="21"/>
              </w:rPr>
              <w:t>中标人</w:t>
            </w:r>
            <w:r>
              <w:rPr>
                <w:sz w:val="21"/>
              </w:rPr>
              <w:t>承担。</w:t>
            </w:r>
          </w:p>
          <w:p>
            <w:pPr>
              <w:pStyle w:val="null3"/>
              <w:jc w:val="left"/>
            </w:pPr>
            <w:r>
              <w:rPr>
                <w:sz w:val="21"/>
              </w:rPr>
              <w:t>（</w:t>
            </w:r>
            <w:r>
              <w:rPr>
                <w:sz w:val="21"/>
              </w:rPr>
              <w:t>4）系统进水端和出水端由采购人提供记录瞬时和累积流量功能的流量计；投标人在中标后，严格按照其投标文件中的实施方案执行；除非其更改方案优于原投标文件的，并经采购人确认后，方可更改，但不能另行增加费用。</w:t>
            </w:r>
          </w:p>
          <w:p>
            <w:pPr>
              <w:pStyle w:val="null3"/>
              <w:jc w:val="left"/>
            </w:pPr>
            <w:r>
              <w:rPr>
                <w:sz w:val="21"/>
                <w:b/>
              </w:rPr>
              <w:t>3、本项目维护内容及要求</w:t>
            </w:r>
          </w:p>
          <w:p>
            <w:pPr>
              <w:pStyle w:val="null3"/>
              <w:jc w:val="left"/>
            </w:pPr>
            <w:r>
              <w:rPr>
                <w:sz w:val="21"/>
              </w:rPr>
              <w:t>（</w:t>
            </w:r>
            <w:r>
              <w:rPr>
                <w:sz w:val="21"/>
              </w:rPr>
              <w:t>1）设备管理要求：污水处理设施的所有设备（包括监控设备、进出水在线水质监控设备）、设施及管道的运行情况。设备保养及维修，配件更换由中标人负责，因设备故障导致停产减产应及时向才后人提交停产、减产报告。</w:t>
            </w:r>
          </w:p>
          <w:p>
            <w:pPr>
              <w:pStyle w:val="null3"/>
              <w:jc w:val="left"/>
            </w:pPr>
            <w:r>
              <w:rPr>
                <w:sz w:val="21"/>
              </w:rPr>
              <w:t>（</w:t>
            </w:r>
            <w:r>
              <w:rPr>
                <w:sz w:val="21"/>
              </w:rPr>
              <w:t>2）能耗管理要求：落实做好节能工作，降低能耗。</w:t>
            </w:r>
          </w:p>
          <w:p>
            <w:pPr>
              <w:pStyle w:val="null3"/>
              <w:jc w:val="left"/>
            </w:pPr>
            <w:r>
              <w:rPr>
                <w:sz w:val="21"/>
              </w:rPr>
              <w:t>（</w:t>
            </w:r>
            <w:r>
              <w:rPr>
                <w:sz w:val="21"/>
              </w:rPr>
              <w:t>3）消耗品管理要求：减少消耗品浪费、定期统计各消耗品类型及数量。</w:t>
            </w:r>
          </w:p>
          <w:p>
            <w:pPr>
              <w:pStyle w:val="null3"/>
              <w:jc w:val="left"/>
            </w:pPr>
            <w:r>
              <w:rPr>
                <w:sz w:val="21"/>
              </w:rPr>
              <w:t>（</w:t>
            </w:r>
            <w:r>
              <w:rPr>
                <w:sz w:val="21"/>
              </w:rPr>
              <w:t>4）台账管理要求：规范填写污水处理设施的生产运行台账、日产量记录表、污泥转移台账、设备维护及维修等台账，根据排污许可证落实监测及管理工作。</w:t>
            </w:r>
          </w:p>
          <w:p>
            <w:pPr>
              <w:pStyle w:val="null3"/>
              <w:jc w:val="left"/>
            </w:pPr>
            <w:r>
              <w:rPr>
                <w:sz w:val="21"/>
              </w:rPr>
              <w:t>（</w:t>
            </w:r>
            <w:r>
              <w:rPr>
                <w:sz w:val="21"/>
              </w:rPr>
              <w:t>5）固废管理要求：规范做好固废管理，按时申报固废产生及转运，按规范要求做好固废的贮存及转运工作，定时委托有资质的运输单位及固废处置单位负责清运和处置工作，并提供相关的转移联单。</w:t>
            </w:r>
          </w:p>
          <w:p>
            <w:pPr>
              <w:pStyle w:val="null3"/>
              <w:jc w:val="left"/>
            </w:pPr>
            <w:r>
              <w:rPr>
                <w:sz w:val="21"/>
              </w:rPr>
              <w:t>（</w:t>
            </w:r>
            <w:r>
              <w:rPr>
                <w:sz w:val="21"/>
              </w:rPr>
              <w:t>6）安全生产运行管理要求：查找并排除现场存在的安全隐患，做好防护标识并定期检查防护用具，避免出现安全生产问题。</w:t>
            </w:r>
          </w:p>
          <w:p>
            <w:pPr>
              <w:pStyle w:val="null3"/>
              <w:jc w:val="left"/>
            </w:pPr>
            <w:r>
              <w:rPr>
                <w:sz w:val="21"/>
                <w:b/>
              </w:rPr>
              <w:t>4</w:t>
            </w:r>
            <w:r>
              <w:rPr>
                <w:sz w:val="21"/>
                <w:b/>
              </w:rPr>
              <w:t xml:space="preserve"> </w:t>
            </w:r>
            <w:r>
              <w:rPr>
                <w:sz w:val="21"/>
                <w:b/>
              </w:rPr>
              <w:t>服务期限</w:t>
            </w:r>
          </w:p>
          <w:p>
            <w:pPr>
              <w:pStyle w:val="null3"/>
              <w:jc w:val="left"/>
            </w:pPr>
            <w:r>
              <w:rPr>
                <w:sz w:val="21"/>
              </w:rPr>
              <w:t>（</w:t>
            </w:r>
            <w:r>
              <w:rPr>
                <w:sz w:val="21"/>
              </w:rPr>
              <w:t>1</w:t>
            </w:r>
            <w:r>
              <w:rPr>
                <w:sz w:val="21"/>
              </w:rPr>
              <w:t>）</w:t>
            </w:r>
            <w:r>
              <w:rPr>
                <w:sz w:val="21"/>
              </w:rPr>
              <w:t>本项目服务期限为</w:t>
            </w:r>
            <w:r>
              <w:rPr>
                <w:sz w:val="21"/>
              </w:rPr>
              <w:t>1</w:t>
            </w:r>
            <w:r>
              <w:rPr>
                <w:sz w:val="21"/>
              </w:rPr>
              <w:t>年</w:t>
            </w:r>
            <w:r>
              <w:rPr>
                <w:sz w:val="21"/>
              </w:rPr>
              <w:t>；</w:t>
            </w:r>
            <w:r>
              <w:rPr>
                <w:sz w:val="21"/>
              </w:rPr>
              <w:t>自验收合格，出水水质连续</w:t>
            </w:r>
            <w:r>
              <w:rPr>
                <w:sz w:val="21"/>
              </w:rPr>
              <w:t>3天达标后开始计起(第三方检测报告)</w:t>
            </w:r>
            <w:r>
              <w:rPr>
                <w:sz w:val="21"/>
              </w:rPr>
              <w:t>，验收检测费用由中标人承担；</w:t>
            </w:r>
          </w:p>
          <w:p>
            <w:pPr>
              <w:pStyle w:val="null3"/>
              <w:jc w:val="left"/>
            </w:pPr>
            <w:r>
              <w:rPr>
                <w:sz w:val="21"/>
              </w:rPr>
              <w:t>（</w:t>
            </w:r>
            <w:r>
              <w:rPr>
                <w:sz w:val="21"/>
              </w:rPr>
              <w:t>2</w:t>
            </w:r>
            <w:r>
              <w:rPr>
                <w:sz w:val="21"/>
              </w:rPr>
              <w:t>）</w:t>
            </w:r>
            <w:r>
              <w:rPr>
                <w:sz w:val="21"/>
              </w:rPr>
              <w:t>在不满</w:t>
            </w:r>
            <w:r>
              <w:rPr>
                <w:sz w:val="21"/>
              </w:rPr>
              <w:t>1</w:t>
            </w:r>
            <w:r>
              <w:rPr>
                <w:sz w:val="21"/>
              </w:rPr>
              <w:t>年运营期内，如出现场地被征作它用、或因污水收集处理系统完善</w:t>
            </w:r>
            <w:r>
              <w:rPr>
                <w:sz w:val="21"/>
              </w:rPr>
              <w:t>，茶山镇</w:t>
            </w:r>
            <w:r>
              <w:rPr>
                <w:sz w:val="21"/>
              </w:rPr>
              <w:t>污水处理无缺口</w:t>
            </w:r>
            <w:r>
              <w:rPr>
                <w:sz w:val="21"/>
              </w:rPr>
              <w:t>等情况，</w:t>
            </w:r>
            <w:r>
              <w:rPr>
                <w:sz w:val="21"/>
              </w:rPr>
              <w:t>污水</w:t>
            </w:r>
            <w:r>
              <w:rPr>
                <w:sz w:val="21"/>
              </w:rPr>
              <w:t>处理</w:t>
            </w:r>
            <w:r>
              <w:rPr>
                <w:sz w:val="21"/>
              </w:rPr>
              <w:t>设施</w:t>
            </w:r>
            <w:r>
              <w:rPr>
                <w:sz w:val="21"/>
              </w:rPr>
              <w:t>将可能停运，</w:t>
            </w:r>
            <w:r>
              <w:rPr>
                <w:sz w:val="21"/>
              </w:rPr>
              <w:t>中标人</w:t>
            </w:r>
            <w:r>
              <w:rPr>
                <w:sz w:val="21"/>
              </w:rPr>
              <w:t>必须无条件同意。</w:t>
            </w:r>
          </w:p>
          <w:p>
            <w:pPr>
              <w:pStyle w:val="null3"/>
              <w:jc w:val="left"/>
            </w:pPr>
            <w:r>
              <w:rPr>
                <w:sz w:val="21"/>
                <w:b/>
              </w:rPr>
              <w:t>5、本项目污水处理工艺</w:t>
            </w:r>
          </w:p>
          <w:p>
            <w:pPr>
              <w:pStyle w:val="null3"/>
              <w:jc w:val="left"/>
            </w:pPr>
            <w:r>
              <w:rPr>
                <w:sz w:val="21"/>
              </w:rPr>
              <w:t>（</w:t>
            </w:r>
            <w:r>
              <w:rPr>
                <w:sz w:val="21"/>
              </w:rPr>
              <w:t>1）茶山镇上元泵站</w:t>
            </w:r>
            <w:r>
              <w:rPr>
                <w:sz w:val="21"/>
              </w:rPr>
              <w:t>及</w:t>
            </w:r>
            <w:r>
              <w:rPr>
                <w:sz w:val="21"/>
              </w:rPr>
              <w:t>钊墩前池污水处理设施均采用成熟</w:t>
            </w:r>
            <w:r>
              <w:rPr>
                <w:sz w:val="21"/>
              </w:rPr>
              <w:t>的</w:t>
            </w:r>
            <w:r>
              <w:rPr>
                <w:sz w:val="21"/>
              </w:rPr>
              <w:t>A2/O+MBR处理工艺；</w:t>
            </w:r>
          </w:p>
          <w:p>
            <w:pPr>
              <w:pStyle w:val="null3"/>
              <w:jc w:val="left"/>
            </w:pPr>
            <w:r>
              <w:rPr>
                <w:sz w:val="21"/>
              </w:rPr>
              <w:t>（</w:t>
            </w:r>
            <w:r>
              <w:rPr>
                <w:sz w:val="21"/>
              </w:rPr>
              <w:t>2）工艺流程说明：</w:t>
            </w:r>
          </w:p>
          <w:p>
            <w:pPr>
              <w:pStyle w:val="null3"/>
              <w:jc w:val="left"/>
            </w:pPr>
            <w:r>
              <w:rPr>
                <w:sz w:val="21"/>
              </w:rPr>
              <w:t xml:space="preserve">    </w:t>
            </w:r>
            <w:r>
              <w:rPr>
                <w:sz w:val="21"/>
              </w:rPr>
              <w:t>管网污水引流至提升井内，污水经格栅及提升泵进入污水处理设施，处理达到《城镇污水处理厂污染物排放标准》</w:t>
            </w:r>
            <w:r>
              <w:rPr>
                <w:sz w:val="21"/>
              </w:rPr>
              <w:t>(GB18918-2002)一级A排放标准，向就近河涌排放，活水补源。污水处理过程中的剩余污泥经过压滤脱水系统脱水至含水率＜80% 后委托有资质的单位完成转移及处置。</w:t>
            </w:r>
          </w:p>
          <w:p>
            <w:pPr>
              <w:pStyle w:val="null3"/>
              <w:jc w:val="left"/>
            </w:pPr>
            <w:r>
              <w:rPr>
                <w:sz w:val="21"/>
                <w:b/>
              </w:rPr>
              <w:t>6 污泥处理和处置</w:t>
            </w:r>
          </w:p>
          <w:p>
            <w:pPr>
              <w:pStyle w:val="null3"/>
              <w:jc w:val="left"/>
            </w:pPr>
            <w:r>
              <w:rPr>
                <w:sz w:val="21"/>
              </w:rPr>
              <w:t>处理污水产生的污泥均需要妥善处置，污泥通过浓缩后进行深度脱水处理，经配套的污泥脱水机脱水后</w:t>
            </w:r>
            <w:r>
              <w:rPr>
                <w:sz w:val="21"/>
              </w:rPr>
              <w:t>，</w:t>
            </w:r>
            <w:r>
              <w:rPr>
                <w:sz w:val="21"/>
              </w:rPr>
              <w:t>污泥的含水率应小于</w:t>
            </w:r>
            <w:r>
              <w:rPr>
                <w:sz w:val="21"/>
              </w:rPr>
              <w:t>80%</w:t>
            </w:r>
            <w:r>
              <w:rPr>
                <w:sz w:val="21"/>
              </w:rPr>
              <w:t>，合法转移安全处置。</w:t>
            </w:r>
          </w:p>
          <w:p>
            <w:pPr>
              <w:pStyle w:val="null3"/>
              <w:jc w:val="left"/>
            </w:pPr>
            <w:r>
              <w:rPr>
                <w:sz w:val="21"/>
                <w:b/>
              </w:rPr>
              <w:t>7 污水处理设施环境保护措施</w:t>
            </w:r>
          </w:p>
          <w:p>
            <w:pPr>
              <w:pStyle w:val="null3"/>
              <w:jc w:val="left"/>
            </w:pPr>
            <w:r>
              <w:rPr>
                <w:sz w:val="21"/>
              </w:rPr>
              <w:t>（</w:t>
            </w:r>
            <w:r>
              <w:rPr>
                <w:sz w:val="21"/>
              </w:rPr>
              <w:t>1）运营期间，遵守国家及东莞市关于噪声、空气等环境保护的相关规定，废气排放标准应达到《城镇污水处理厂污染物排放标准》(GB18918-2002)中表4的二级排放标准，噪声控制标准执行《工业企业厂界环境噪声排放标准》GB12348-2008Ⅱ标准。</w:t>
            </w:r>
          </w:p>
          <w:p>
            <w:pPr>
              <w:pStyle w:val="null3"/>
              <w:jc w:val="left"/>
            </w:pPr>
            <w:r>
              <w:rPr>
                <w:sz w:val="21"/>
              </w:rPr>
              <w:t>（</w:t>
            </w:r>
            <w:r>
              <w:rPr>
                <w:sz w:val="21"/>
              </w:rPr>
              <w:t>2）设施内设置的洗手间污水经化粪池三级过滤后排向污水设施的调节池后处理达标排放。</w:t>
            </w:r>
          </w:p>
          <w:p>
            <w:pPr>
              <w:pStyle w:val="null3"/>
              <w:jc w:val="left"/>
            </w:pPr>
            <w:r>
              <w:rPr>
                <w:sz w:val="21"/>
                <w:b/>
              </w:rPr>
              <w:t>四、防洪安全要求</w:t>
            </w:r>
          </w:p>
          <w:p>
            <w:pPr>
              <w:pStyle w:val="null3"/>
              <w:ind w:firstLine="420"/>
              <w:jc w:val="left"/>
            </w:pPr>
            <w:r>
              <w:rPr>
                <w:sz w:val="21"/>
              </w:rPr>
              <w:t>该项目实施及运行均不能影响箱涵及河道行洪安全，必须考虑项目对河道的行洪影响，做好汛期的防洪应急预案。在汛期期间，须统一听取市、镇三防部门的三防指挥、调度安排。</w:t>
            </w:r>
          </w:p>
          <w:p>
            <w:pPr>
              <w:pStyle w:val="null3"/>
              <w:jc w:val="left"/>
            </w:pPr>
            <w:r>
              <w:rPr>
                <w:sz w:val="21"/>
                <w:b/>
              </w:rPr>
              <w:t>五、运营管理及监管</w:t>
            </w:r>
          </w:p>
          <w:p>
            <w:pPr>
              <w:pStyle w:val="null3"/>
              <w:jc w:val="left"/>
            </w:pPr>
            <w:r>
              <w:rPr>
                <w:sz w:val="21"/>
                <w:b/>
              </w:rPr>
              <w:t>1、运营期间的出水水质监测管理措施</w:t>
            </w:r>
          </w:p>
          <w:p>
            <w:pPr>
              <w:pStyle w:val="null3"/>
              <w:jc w:val="left"/>
            </w:pPr>
            <w:r>
              <w:rPr>
                <w:sz w:val="21"/>
              </w:rPr>
              <w:t>（</w:t>
            </w:r>
            <w:r>
              <w:rPr>
                <w:sz w:val="21"/>
              </w:rPr>
              <w:t>1）中标人自主监测：运营期间中标人每个月至少须委托有资质的监测机构进行一次进出水水质监测，并向采购人提交相关监测报告，水质监测费用由中标人负责。监测结果不达标的，按合同条款扣费处理；</w:t>
            </w:r>
            <w:r>
              <w:rPr>
                <w:sz w:val="21"/>
              </w:rPr>
              <w:t>；</w:t>
            </w:r>
          </w:p>
          <w:p>
            <w:pPr>
              <w:pStyle w:val="null3"/>
              <w:jc w:val="left"/>
            </w:pPr>
            <w:r>
              <w:rPr>
                <w:sz w:val="21"/>
              </w:rPr>
              <w:t>（</w:t>
            </w:r>
            <w:r>
              <w:rPr>
                <w:sz w:val="21"/>
              </w:rPr>
              <w:t>2）采购人委托监测：采购人每周对出水水质取样（每月4次），委托有资质的检测机构进行检测，由检测机构向采购人提交相关检测报告，水质检测费用由采购人负责。监测结果不达标的，按合同条款扣费处理；</w:t>
            </w:r>
          </w:p>
          <w:p>
            <w:pPr>
              <w:pStyle w:val="null3"/>
              <w:jc w:val="left"/>
            </w:pPr>
            <w:r>
              <w:rPr>
                <w:sz w:val="21"/>
              </w:rPr>
              <w:t>（</w:t>
            </w:r>
            <w:r>
              <w:rPr>
                <w:sz w:val="21"/>
              </w:rPr>
              <w:t>3）自主实时检测：采购人提供进水端的COD，氨氮和总磷，出水端的pH，水温，COD，氨氮，总磷，总氮，以及生化段DO等水质实时检测设备；</w:t>
            </w:r>
            <w:r>
              <w:rPr>
                <w:sz w:val="21"/>
              </w:rPr>
              <w:t>（后续如监管部门提出需增设在线监测设备，相关费用由中标人承担）</w:t>
            </w:r>
          </w:p>
          <w:p>
            <w:pPr>
              <w:pStyle w:val="null3"/>
              <w:jc w:val="left"/>
            </w:pPr>
            <w:r>
              <w:rPr>
                <w:sz w:val="21"/>
              </w:rPr>
              <w:t>（</w:t>
            </w:r>
            <w:r>
              <w:rPr>
                <w:sz w:val="21"/>
              </w:rPr>
              <w:t>4）</w:t>
            </w:r>
            <w:r>
              <w:rPr>
                <w:sz w:val="21"/>
              </w:rPr>
              <w:t>采购人</w:t>
            </w:r>
            <w:r>
              <w:rPr>
                <w:sz w:val="21"/>
              </w:rPr>
              <w:t>对污水处理</w:t>
            </w:r>
            <w:r>
              <w:rPr>
                <w:sz w:val="21"/>
              </w:rPr>
              <w:t>设施</w:t>
            </w:r>
            <w:r>
              <w:rPr>
                <w:sz w:val="21"/>
              </w:rPr>
              <w:t>运行情况</w:t>
            </w:r>
            <w:r>
              <w:rPr>
                <w:sz w:val="21"/>
              </w:rPr>
              <w:t>(包括进、出水水质感官)进行日常巡查和水质检测，巡查频率为每周不少于</w:t>
            </w:r>
            <w:r>
              <w:rPr>
                <w:sz w:val="21"/>
              </w:rPr>
              <w:t>1</w:t>
            </w:r>
            <w:r>
              <w:rPr>
                <w:sz w:val="21"/>
              </w:rPr>
              <w:t>次，并形成巡查台账。</w:t>
            </w:r>
          </w:p>
          <w:p>
            <w:pPr>
              <w:pStyle w:val="null3"/>
              <w:jc w:val="left"/>
            </w:pPr>
            <w:r>
              <w:rPr>
                <w:sz w:val="21"/>
              </w:rPr>
              <w:t>（</w:t>
            </w:r>
            <w:r>
              <w:rPr>
                <w:sz w:val="21"/>
              </w:rPr>
              <w:t>5</w:t>
            </w:r>
            <w:r>
              <w:rPr>
                <w:sz w:val="21"/>
              </w:rPr>
              <w:t>）污水处理设施</w:t>
            </w:r>
            <w:r>
              <w:rPr>
                <w:sz w:val="21"/>
              </w:rPr>
              <w:t>配套</w:t>
            </w:r>
            <w:r>
              <w:rPr>
                <w:sz w:val="21"/>
              </w:rPr>
              <w:t>的</w:t>
            </w:r>
            <w:r>
              <w:rPr>
                <w:sz w:val="21"/>
              </w:rPr>
              <w:t>在线监控设备</w:t>
            </w:r>
            <w:r>
              <w:rPr>
                <w:sz w:val="21"/>
              </w:rPr>
              <w:t>由</w:t>
            </w:r>
            <w:r>
              <w:rPr>
                <w:sz w:val="21"/>
              </w:rPr>
              <w:t>中标人负责</w:t>
            </w:r>
            <w:r>
              <w:rPr>
                <w:sz w:val="21"/>
              </w:rPr>
              <w:t>连入东莞市生态环境局在线监控系统以及平台的管理工作</w:t>
            </w:r>
            <w:r>
              <w:rPr>
                <w:sz w:val="21"/>
              </w:rPr>
              <w:t>；</w:t>
            </w:r>
          </w:p>
          <w:p>
            <w:pPr>
              <w:pStyle w:val="null3"/>
              <w:jc w:val="left"/>
            </w:pPr>
            <w:r>
              <w:rPr>
                <w:sz w:val="21"/>
              </w:rPr>
              <w:t>（</w:t>
            </w:r>
            <w:r>
              <w:rPr>
                <w:sz w:val="21"/>
              </w:rPr>
              <w:t>6</w:t>
            </w:r>
            <w:r>
              <w:rPr>
                <w:sz w:val="21"/>
              </w:rPr>
              <w:t>）项目在线监测设备由中标人负责委托专业技术运营维护单位或有资质技术人员进行维护，按规范要求定期对在线监测设备进行维护维修和比对、校正等，确保在线监测设备正常运行和在线数据的可靠性和真实性，采购人负责监督运维情况。如在线监测设备出现故障、在线出水数据一天内多于</w:t>
            </w:r>
            <w:r>
              <w:rPr>
                <w:sz w:val="21"/>
              </w:rPr>
              <w:t>6次（含6次）超标、弄虚作假等情况，采购人有权扣除当天污水处理费；</w:t>
            </w:r>
          </w:p>
          <w:p>
            <w:pPr>
              <w:pStyle w:val="null3"/>
              <w:jc w:val="left"/>
            </w:pPr>
            <w:r>
              <w:rPr>
                <w:sz w:val="21"/>
              </w:rPr>
              <w:t>（</w:t>
            </w:r>
            <w:r>
              <w:rPr>
                <w:sz w:val="21"/>
              </w:rPr>
              <w:t>7</w:t>
            </w:r>
            <w:r>
              <w:rPr>
                <w:sz w:val="21"/>
              </w:rPr>
              <w:t>）中标人需自觉接受并积极配合各级监管部门的检查，</w:t>
            </w:r>
            <w:r>
              <w:rPr>
                <w:sz w:val="21"/>
              </w:rPr>
              <w:t>检查中提出的问题及建议，中标人需积极落实整改，</w:t>
            </w:r>
            <w:r>
              <w:rPr>
                <w:sz w:val="21"/>
              </w:rPr>
              <w:t>如被相关监管部门处罚产生的相关费用由</w:t>
            </w:r>
            <w:r>
              <w:rPr>
                <w:sz w:val="21"/>
              </w:rPr>
              <w:t>中标人</w:t>
            </w:r>
            <w:r>
              <w:rPr>
                <w:sz w:val="21"/>
              </w:rPr>
              <w:t>承担</w:t>
            </w:r>
            <w:r>
              <w:rPr>
                <w:sz w:val="21"/>
              </w:rPr>
              <w:t>。</w:t>
            </w:r>
          </w:p>
          <w:p>
            <w:pPr>
              <w:pStyle w:val="null3"/>
              <w:jc w:val="left"/>
            </w:pPr>
            <w:r>
              <w:rPr>
                <w:sz w:val="21"/>
                <w:b/>
              </w:rPr>
              <w:t>2</w:t>
            </w:r>
            <w:r>
              <w:rPr>
                <w:sz w:val="21"/>
                <w:b/>
              </w:rPr>
              <w:t>、</w:t>
            </w:r>
            <w:r>
              <w:rPr>
                <w:sz w:val="21"/>
                <w:b/>
              </w:rPr>
              <w:t xml:space="preserve"> </w:t>
            </w:r>
            <w:r>
              <w:rPr>
                <w:sz w:val="21"/>
                <w:b/>
              </w:rPr>
              <w:t>污水处理服务运营管理制度和措施</w:t>
            </w:r>
          </w:p>
          <w:p>
            <w:pPr>
              <w:pStyle w:val="null3"/>
              <w:jc w:val="left"/>
            </w:pPr>
            <w:r>
              <w:rPr>
                <w:sz w:val="21"/>
              </w:rPr>
              <w:t>（</w:t>
            </w:r>
            <w:r>
              <w:rPr>
                <w:sz w:val="21"/>
              </w:rPr>
              <w:t>1）制定健全的项目运行维护管理制度：建立完善设备台账，每月对整个系统进行检查和维护，填写《现场设备维护记录表》，内容包括系统各种设备、设施的检查及各系统功能的链接等。确保系统各个模块都能正常运行，并对设备进行卫生清理，通过定期检查、定期保养，确保整个系统正常稳定运行；</w:t>
            </w:r>
          </w:p>
          <w:p>
            <w:pPr>
              <w:pStyle w:val="null3"/>
              <w:jc w:val="left"/>
            </w:pPr>
            <w:r>
              <w:rPr>
                <w:sz w:val="21"/>
              </w:rPr>
              <w:t>（</w:t>
            </w:r>
            <w:r>
              <w:rPr>
                <w:sz w:val="21"/>
              </w:rPr>
              <w:t>2）建立运行技术档案：中标人须建立完整的运维技术档案做好每日的进、出水的水量、水质等记录，确保采购人可随时调阅运维技术档案，了解系统的使用、维修、停运、性能检验等全部历史资料，进而对污水处理系统设备的运行情况做出正确评估。建立相应的质量保证体系，定期总结运行管理经验，且每月向采购人提交运行工作报告，并接受采购人对运维技术检查；</w:t>
            </w:r>
          </w:p>
          <w:p>
            <w:pPr>
              <w:pStyle w:val="null3"/>
              <w:jc w:val="left"/>
            </w:pPr>
            <w:r>
              <w:rPr>
                <w:sz w:val="21"/>
              </w:rPr>
              <w:t>（</w:t>
            </w:r>
            <w:r>
              <w:rPr>
                <w:sz w:val="21"/>
              </w:rPr>
              <w:t>3）必须24小时有工作人员值班，如发现出现无人值班情况，每次扣罚1000元；</w:t>
            </w:r>
          </w:p>
          <w:p>
            <w:pPr>
              <w:pStyle w:val="null3"/>
              <w:jc w:val="left"/>
            </w:pPr>
            <w:r>
              <w:rPr>
                <w:sz w:val="21"/>
              </w:rPr>
              <w:t>（</w:t>
            </w:r>
            <w:r>
              <w:rPr>
                <w:sz w:val="21"/>
              </w:rPr>
              <w:t>4）因周边管网混入工业废水导致污水处理设施停运或出水水质不达标的，中标人应做好</w:t>
            </w:r>
            <w:r>
              <w:rPr>
                <w:sz w:val="21"/>
              </w:rPr>
              <w:t>留样观察和</w:t>
            </w:r>
            <w:r>
              <w:rPr>
                <w:sz w:val="21"/>
              </w:rPr>
              <w:t>相关</w:t>
            </w:r>
            <w:r>
              <w:rPr>
                <w:sz w:val="21"/>
              </w:rPr>
              <w:t>排查</w:t>
            </w:r>
            <w:r>
              <w:rPr>
                <w:sz w:val="21"/>
              </w:rPr>
              <w:t>工作，及时向采购人汇报。</w:t>
            </w:r>
          </w:p>
          <w:p>
            <w:pPr>
              <w:pStyle w:val="null3"/>
              <w:jc w:val="left"/>
            </w:pPr>
            <w:r>
              <w:rPr>
                <w:sz w:val="21"/>
                <w:b/>
              </w:rPr>
              <w:t xml:space="preserve">3 </w:t>
            </w:r>
            <w:r>
              <w:rPr>
                <w:sz w:val="21"/>
                <w:b/>
              </w:rPr>
              <w:t>、</w:t>
            </w:r>
            <w:r>
              <w:rPr>
                <w:sz w:val="21"/>
                <w:b/>
              </w:rPr>
              <w:t>污水处理设施环境管理</w:t>
            </w:r>
          </w:p>
          <w:p>
            <w:pPr>
              <w:pStyle w:val="null3"/>
              <w:jc w:val="left"/>
            </w:pPr>
            <w:r>
              <w:rPr>
                <w:sz w:val="21"/>
              </w:rPr>
              <w:t>中标人在运营期间应保持污水处理系统及厂房的绿化外观及周边环境卫生，高度重视群众投诉问题，若发生恶臭、蚊虫滋生、噪音等群众投诉，中标人须立即采取相关的措施落实整改，并将每次投诉做好记录归档。整改须于</w:t>
            </w:r>
            <w:r>
              <w:rPr>
                <w:sz w:val="21"/>
              </w:rPr>
              <w:t>3个工作日内完成。</w:t>
            </w:r>
          </w:p>
          <w:p>
            <w:pPr>
              <w:pStyle w:val="null3"/>
              <w:jc w:val="left"/>
            </w:pPr>
            <w:r>
              <w:rPr>
                <w:sz w:val="21"/>
                <w:b/>
              </w:rPr>
              <w:t xml:space="preserve">4 </w:t>
            </w:r>
            <w:r>
              <w:rPr>
                <w:sz w:val="21"/>
                <w:b/>
              </w:rPr>
              <w:t>、</w:t>
            </w:r>
            <w:r>
              <w:rPr>
                <w:sz w:val="21"/>
                <w:b/>
              </w:rPr>
              <w:t>污水处理设施故障管理</w:t>
            </w:r>
          </w:p>
          <w:p>
            <w:pPr>
              <w:pStyle w:val="null3"/>
              <w:jc w:val="left"/>
            </w:pPr>
            <w:r>
              <w:rPr>
                <w:sz w:val="21"/>
              </w:rPr>
              <w:t>在系统运作及维护管理期间污水处理设施出现故障的，应及时向采购人汇报，并迅速组织人员检修，在</w:t>
            </w:r>
            <w:r>
              <w:rPr>
                <w:sz w:val="21"/>
              </w:rPr>
              <w:t>24小时内恢复污水处理设施的正常运行。如客观原因不能在24小时内修复的，中标人应及时向采购人提交减产或停产申请报告及修复方案，经采购人同意后在3天内完成修复。超期完成修复的按3000元/天扣罚，并按国家相关法律法规追究中标人责任。</w:t>
            </w:r>
          </w:p>
          <w:p>
            <w:pPr>
              <w:pStyle w:val="null3"/>
              <w:jc w:val="left"/>
            </w:pPr>
            <w:r>
              <w:rPr>
                <w:sz w:val="21"/>
                <w:b/>
              </w:rPr>
              <w:t>5、环境管理要求</w:t>
            </w:r>
          </w:p>
          <w:p>
            <w:pPr>
              <w:pStyle w:val="null3"/>
              <w:jc w:val="left"/>
            </w:pPr>
            <w:r>
              <w:rPr>
                <w:sz w:val="21"/>
              </w:rPr>
              <w:t>在设施运行时，中标人应保证所用的技术不得对周边环境造成二次污染和生态破坏，同时需考虑对周边环境的影响，并负责解决相关问题。按照国家及东莞市相关规定做好处理。</w:t>
            </w:r>
          </w:p>
          <w:p>
            <w:pPr>
              <w:pStyle w:val="null3"/>
              <w:jc w:val="left"/>
            </w:pPr>
            <w:r>
              <w:rPr>
                <w:sz w:val="21"/>
                <w:b/>
              </w:rPr>
              <w:t xml:space="preserve">6 </w:t>
            </w:r>
            <w:r>
              <w:rPr>
                <w:sz w:val="21"/>
                <w:b/>
              </w:rPr>
              <w:t>、</w:t>
            </w:r>
            <w:r>
              <w:rPr>
                <w:sz w:val="21"/>
                <w:b/>
              </w:rPr>
              <w:t>新增污染源</w:t>
            </w:r>
          </w:p>
          <w:p>
            <w:pPr>
              <w:pStyle w:val="null3"/>
              <w:jc w:val="both"/>
            </w:pPr>
            <w:r>
              <w:rPr>
                <w:sz w:val="21"/>
              </w:rPr>
              <w:t>若此项目运行期间，有新增污染源汇入，</w:t>
            </w:r>
            <w:r>
              <w:rPr>
                <w:sz w:val="21"/>
              </w:rPr>
              <w:t>采购人</w:t>
            </w:r>
            <w:r>
              <w:rPr>
                <w:sz w:val="21"/>
              </w:rPr>
              <w:t>需配合协调环保执法部门加强执法，关闭新增污染源汇入。</w:t>
            </w:r>
          </w:p>
        </w:tc>
      </w:tr>
      <w:tr>
        <w:tc>
          <w:tcPr>
            <w:tcW w:type="dxa" w:w="2076"/>
          </w:tcPr>
          <w:p/>
        </w:tc>
        <w:tc>
          <w:tcPr>
            <w:tcW w:type="dxa" w:w="415"/>
          </w:tcPr>
          <w:p>
            <w:pPr>
              <w:pStyle w:val="null3"/>
            </w:pPr>
            <w:r>
              <w:rPr/>
              <w:t>2</w:t>
            </w:r>
          </w:p>
        </w:tc>
        <w:tc>
          <w:tcPr>
            <w:tcW w:type="dxa" w:w="5814"/>
          </w:tcPr>
          <w:p>
            <w:pPr>
              <w:pStyle w:val="null3"/>
              <w:jc w:val="left"/>
            </w:pPr>
            <w:r>
              <w:rPr>
                <w:sz w:val="21"/>
                <w:b/>
              </w:rPr>
              <w:t>六、水质目标要求</w:t>
            </w:r>
          </w:p>
          <w:p>
            <w:pPr>
              <w:pStyle w:val="null3"/>
              <w:jc w:val="left"/>
            </w:pPr>
            <w:r>
              <w:rPr>
                <w:sz w:val="21"/>
              </w:rPr>
              <w:t>1、水质目标要求：水质处理好坏与原水浓度有关，本项目进水水质指标见表1“处理设施设计进水水质标准”；处理设施出水水质要达到《城镇污水处理厂污染物排放标准》(GB18918-2002)一级A排放标准，见下表2“出水水质指标一览表”所列数据；</w:t>
            </w:r>
          </w:p>
          <w:p>
            <w:pPr>
              <w:pStyle w:val="null3"/>
              <w:jc w:val="left"/>
            </w:pPr>
            <w:r>
              <w:rPr>
                <w:sz w:val="21"/>
              </w:rPr>
              <w:t>2、其中，在进水水质浓度≤设计进水水质时，主要污染物出水水质按照下表2“出水水质指标一览表”中所列数据进行考核；</w:t>
            </w:r>
          </w:p>
          <w:p>
            <w:pPr>
              <w:pStyle w:val="null3"/>
              <w:jc w:val="left"/>
            </w:pPr>
            <w:r>
              <w:rPr>
                <w:sz w:val="21"/>
              </w:rPr>
              <w:t>3、在进水水质浓度&gt;最大设计进水水质时，化学需氧量（COD），五日生化需氧量（BOD5），总氮（以N计）、氨氮（以N计）、总磷（以P计）等五项指标按照去除率考核，去除率不小于下表2中“去除率”数值。</w:t>
            </w:r>
          </w:p>
          <w:p>
            <w:pPr>
              <w:pStyle w:val="null3"/>
              <w:jc w:val="left"/>
            </w:pPr>
            <w:r>
              <w:rPr>
                <w:sz w:val="21"/>
              </w:rPr>
              <w:t>4、水质标准具体如下：</w:t>
            </w:r>
          </w:p>
          <w:p>
            <w:pPr>
              <w:pStyle w:val="null3"/>
              <w:jc w:val="center"/>
            </w:pPr>
            <w:r>
              <w:rPr>
                <w:sz w:val="21"/>
              </w:rPr>
              <w:t>表</w:t>
            </w:r>
            <w:r>
              <w:rPr>
                <w:sz w:val="21"/>
              </w:rPr>
              <w:t>1处理设施设计进水水质标准</w:t>
            </w:r>
          </w:p>
          <w:tbl>
            <w:tblPr>
              <w:tblInd w:type="dxa" w:w="120"/>
              <w:tblBorders>
                <w:top w:val="none" w:color="000000" w:sz="4"/>
                <w:left w:val="none" w:color="000000" w:sz="4"/>
                <w:bottom w:val="none" w:color="000000" w:sz="4"/>
                <w:right w:val="none" w:color="000000" w:sz="4"/>
                <w:insideH w:val="none"/>
                <w:insideV w:val="none"/>
              </w:tblBorders>
            </w:tblPr>
            <w:tblGrid>
              <w:gridCol w:w="853"/>
              <w:gridCol w:w="1952"/>
              <w:gridCol w:w="1396"/>
              <w:gridCol w:w="1396"/>
            </w:tblGrid>
            <w:tr>
              <w:tc>
                <w:tcPr>
                  <w:tcW w:type="dxa" w:w="8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序号</w:t>
                  </w:r>
                </w:p>
              </w:tc>
              <w:tc>
                <w:tcPr>
                  <w:tcW w:type="dxa" w:w="19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基本控制项目</w:t>
                  </w:r>
                </w:p>
              </w:tc>
              <w:tc>
                <w:tcPr>
                  <w:tcW w:type="dxa" w:w="13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单位</w:t>
                  </w:r>
                </w:p>
              </w:tc>
              <w:tc>
                <w:tcPr>
                  <w:tcW w:type="dxa" w:w="13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进水限值</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化学需氧量</w:t>
                  </w:r>
                  <w:r>
                    <w:rPr>
                      <w:sz w:val="21"/>
                    </w:rPr>
                    <w:t>(COD)</w:t>
                  </w:r>
                </w:p>
              </w:tc>
              <w:tc>
                <w:tcPr>
                  <w:tcW w:type="dxa" w:w="1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mg/L</w:t>
                  </w:r>
                </w:p>
              </w:tc>
              <w:tc>
                <w:tcPr>
                  <w:tcW w:type="dxa" w:w="1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≤250</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生化需氧量</w:t>
                  </w:r>
                  <w:r>
                    <w:rPr>
                      <w:sz w:val="21"/>
                    </w:rPr>
                    <w:t>(BOD5)</w:t>
                  </w:r>
                </w:p>
              </w:tc>
              <w:tc>
                <w:tcPr>
                  <w:tcW w:type="dxa" w:w="1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mg/L</w:t>
                  </w:r>
                </w:p>
              </w:tc>
              <w:tc>
                <w:tcPr>
                  <w:tcW w:type="dxa" w:w="1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≤140</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悬浮物</w:t>
                  </w:r>
                  <w:r>
                    <w:rPr>
                      <w:sz w:val="21"/>
                    </w:rPr>
                    <w:t>(SS)</w:t>
                  </w:r>
                </w:p>
              </w:tc>
              <w:tc>
                <w:tcPr>
                  <w:tcW w:type="dxa" w:w="1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mg/L</w:t>
                  </w:r>
                </w:p>
              </w:tc>
              <w:tc>
                <w:tcPr>
                  <w:tcW w:type="dxa" w:w="1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≤150</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总氮</w:t>
                  </w:r>
                  <w:r>
                    <w:rPr>
                      <w:sz w:val="21"/>
                    </w:rPr>
                    <w:t>(以N计)</w:t>
                  </w:r>
                </w:p>
              </w:tc>
              <w:tc>
                <w:tcPr>
                  <w:tcW w:type="dxa" w:w="1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mg/L</w:t>
                  </w:r>
                </w:p>
              </w:tc>
              <w:tc>
                <w:tcPr>
                  <w:tcW w:type="dxa" w:w="1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≤45</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氨氮</w:t>
                  </w:r>
                  <w:r>
                    <w:rPr>
                      <w:sz w:val="21"/>
                    </w:rPr>
                    <w:t>(以N计)</w:t>
                  </w:r>
                </w:p>
              </w:tc>
              <w:tc>
                <w:tcPr>
                  <w:tcW w:type="dxa" w:w="1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mg/L</w:t>
                  </w:r>
                </w:p>
              </w:tc>
              <w:tc>
                <w:tcPr>
                  <w:tcW w:type="dxa" w:w="1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≤25</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6</w:t>
                  </w:r>
                </w:p>
              </w:tc>
              <w:tc>
                <w:tcPr>
                  <w:tcW w:type="dxa" w:w="1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总磷</w:t>
                  </w:r>
                </w:p>
              </w:tc>
              <w:tc>
                <w:tcPr>
                  <w:tcW w:type="dxa" w:w="1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mg/L</w:t>
                  </w:r>
                </w:p>
              </w:tc>
              <w:tc>
                <w:tcPr>
                  <w:tcW w:type="dxa" w:w="1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≤3.5</w:t>
                  </w:r>
                </w:p>
              </w:tc>
            </w:tr>
          </w:tbl>
          <w:p>
            <w:pPr>
              <w:pStyle w:val="null3"/>
              <w:jc w:val="center"/>
            </w:pPr>
            <w:r>
              <w:rPr>
                <w:sz w:val="21"/>
              </w:rPr>
              <w:t>表</w:t>
            </w:r>
            <w:r>
              <w:rPr>
                <w:sz w:val="21"/>
              </w:rPr>
              <w:t>2 出水水质指标一览表</w:t>
            </w:r>
          </w:p>
          <w:tbl>
            <w:tblPr>
              <w:tblInd w:type="dxa" w:w="120"/>
              <w:tblBorders>
                <w:top w:val="none" w:color="000000" w:sz="4"/>
                <w:left w:val="none" w:color="000000" w:sz="4"/>
                <w:bottom w:val="none" w:color="000000" w:sz="4"/>
                <w:right w:val="none" w:color="000000" w:sz="4"/>
                <w:insideH w:val="none"/>
                <w:insideV w:val="none"/>
              </w:tblBorders>
            </w:tblPr>
            <w:tblGrid>
              <w:gridCol w:w="687"/>
              <w:gridCol w:w="1437"/>
              <w:gridCol w:w="763"/>
              <w:gridCol w:w="1145"/>
              <w:gridCol w:w="1539"/>
            </w:tblGrid>
            <w:tr>
              <w:tc>
                <w:tcPr>
                  <w:tcW w:type="dxa" w:w="687"/>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序号</w:t>
                  </w:r>
                </w:p>
              </w:tc>
              <w:tc>
                <w:tcPr>
                  <w:tcW w:type="dxa" w:w="1437"/>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基本控制项目</w:t>
                  </w:r>
                </w:p>
              </w:tc>
              <w:tc>
                <w:tcPr>
                  <w:tcW w:type="dxa" w:w="763"/>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单位</w:t>
                  </w:r>
                </w:p>
              </w:tc>
              <w:tc>
                <w:tcPr>
                  <w:tcW w:type="dxa" w:w="114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一</w:t>
                  </w:r>
                  <w:r>
                    <w:rPr>
                      <w:sz w:val="21"/>
                    </w:rPr>
                    <w:t>级</w:t>
                  </w:r>
                  <w:r>
                    <w:rPr>
                      <w:sz w:val="21"/>
                    </w:rPr>
                    <w:t>A</w:t>
                  </w:r>
                  <w:r>
                    <w:rPr>
                      <w:sz w:val="21"/>
                    </w:rPr>
                    <w:t>标准</w:t>
                  </w:r>
                </w:p>
              </w:tc>
              <w:tc>
                <w:tcPr>
                  <w:tcW w:type="dxa" w:w="153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rPr>
                    <w:t>去除率</w:t>
                  </w:r>
                </w:p>
              </w:tc>
            </w:tr>
            <w:tr>
              <w:tc>
                <w:tcPr>
                  <w:tcW w:type="dxa" w:w="687"/>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1</w:t>
                  </w:r>
                </w:p>
              </w:tc>
              <w:tc>
                <w:tcPr>
                  <w:tcW w:type="dxa" w:w="1437"/>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化学需氧量</w:t>
                  </w:r>
                  <w:r>
                    <w:rPr>
                      <w:sz w:val="21"/>
                    </w:rPr>
                    <w:t>（</w:t>
                  </w:r>
                  <w:r>
                    <w:rPr>
                      <w:sz w:val="21"/>
                    </w:rPr>
                    <w:t>CODcr）</w:t>
                  </w:r>
                </w:p>
              </w:tc>
              <w:tc>
                <w:tcPr>
                  <w:tcW w:type="dxa" w:w="763"/>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mg/L</w:t>
                  </w:r>
                </w:p>
              </w:tc>
              <w:tc>
                <w:tcPr>
                  <w:tcW w:type="dxa" w:w="114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50</w:t>
                  </w:r>
                </w:p>
              </w:tc>
              <w:tc>
                <w:tcPr>
                  <w:tcW w:type="dxa" w:w="153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rPr>
                    <w:t>≥75</w:t>
                  </w:r>
                </w:p>
              </w:tc>
            </w:tr>
            <w:tr>
              <w:tc>
                <w:tcPr>
                  <w:tcW w:type="dxa" w:w="687"/>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2</w:t>
                  </w:r>
                </w:p>
              </w:tc>
              <w:tc>
                <w:tcPr>
                  <w:tcW w:type="dxa" w:w="1437"/>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生化需氧量</w:t>
                  </w:r>
                  <w:r>
                    <w:rPr>
                      <w:sz w:val="21"/>
                    </w:rPr>
                    <w:t>（</w:t>
                  </w:r>
                  <w:r>
                    <w:rPr>
                      <w:sz w:val="21"/>
                    </w:rPr>
                    <w:t>B0D5）</w:t>
                  </w:r>
                </w:p>
              </w:tc>
              <w:tc>
                <w:tcPr>
                  <w:tcW w:type="dxa" w:w="763"/>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mg/L</w:t>
                  </w:r>
                </w:p>
              </w:tc>
              <w:tc>
                <w:tcPr>
                  <w:tcW w:type="dxa" w:w="114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10</w:t>
                  </w:r>
                </w:p>
              </w:tc>
              <w:tc>
                <w:tcPr>
                  <w:tcW w:type="dxa" w:w="153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rPr>
                    <w:t>≥80</w:t>
                  </w:r>
                </w:p>
              </w:tc>
            </w:tr>
            <w:tr>
              <w:tc>
                <w:tcPr>
                  <w:tcW w:type="dxa" w:w="687"/>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3</w:t>
                  </w:r>
                </w:p>
              </w:tc>
              <w:tc>
                <w:tcPr>
                  <w:tcW w:type="dxa" w:w="1437"/>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总氮（以</w:t>
                  </w:r>
                  <w:r>
                    <w:rPr>
                      <w:sz w:val="21"/>
                    </w:rPr>
                    <w:t>N</w:t>
                  </w:r>
                  <w:r>
                    <w:rPr>
                      <w:sz w:val="21"/>
                    </w:rPr>
                    <w:t>计）</w:t>
                  </w:r>
                </w:p>
              </w:tc>
              <w:tc>
                <w:tcPr>
                  <w:tcW w:type="dxa" w:w="763"/>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mg/L</w:t>
                  </w:r>
                </w:p>
              </w:tc>
              <w:tc>
                <w:tcPr>
                  <w:tcW w:type="dxa" w:w="114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1</w:t>
                  </w:r>
                  <w:r>
                    <w:rPr>
                      <w:sz w:val="21"/>
                    </w:rPr>
                    <w:t>5</w:t>
                  </w:r>
                </w:p>
              </w:tc>
              <w:tc>
                <w:tcPr>
                  <w:tcW w:type="dxa" w:w="153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rPr>
                    <w:t>≥80</w:t>
                  </w:r>
                </w:p>
              </w:tc>
            </w:tr>
            <w:tr>
              <w:tc>
                <w:tcPr>
                  <w:tcW w:type="dxa" w:w="687"/>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4</w:t>
                  </w:r>
                </w:p>
              </w:tc>
              <w:tc>
                <w:tcPr>
                  <w:tcW w:type="dxa" w:w="1437"/>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动植物油</w:t>
                  </w:r>
                </w:p>
              </w:tc>
              <w:tc>
                <w:tcPr>
                  <w:tcW w:type="dxa" w:w="763"/>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mg/L</w:t>
                  </w:r>
                </w:p>
              </w:tc>
              <w:tc>
                <w:tcPr>
                  <w:tcW w:type="dxa" w:w="114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1</w:t>
                  </w:r>
                </w:p>
              </w:tc>
              <w:tc>
                <w:tcPr>
                  <w:tcW w:type="dxa" w:w="153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rPr>
                    <w:t>/</w:t>
                  </w:r>
                </w:p>
              </w:tc>
            </w:tr>
            <w:tr>
              <w:tc>
                <w:tcPr>
                  <w:tcW w:type="dxa" w:w="687"/>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5</w:t>
                  </w:r>
                </w:p>
              </w:tc>
              <w:tc>
                <w:tcPr>
                  <w:tcW w:type="dxa" w:w="1437"/>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石油类</w:t>
                  </w:r>
                </w:p>
              </w:tc>
              <w:tc>
                <w:tcPr>
                  <w:tcW w:type="dxa" w:w="763"/>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mg/L</w:t>
                  </w:r>
                </w:p>
              </w:tc>
              <w:tc>
                <w:tcPr>
                  <w:tcW w:type="dxa" w:w="114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1</w:t>
                  </w:r>
                </w:p>
              </w:tc>
              <w:tc>
                <w:tcPr>
                  <w:tcW w:type="dxa" w:w="153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rPr>
                    <w:t>/</w:t>
                  </w:r>
                </w:p>
              </w:tc>
            </w:tr>
            <w:tr>
              <w:tc>
                <w:tcPr>
                  <w:tcW w:type="dxa" w:w="687"/>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6</w:t>
                  </w:r>
                </w:p>
              </w:tc>
              <w:tc>
                <w:tcPr>
                  <w:tcW w:type="dxa" w:w="1437"/>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阴离子表而活性剂</w:t>
                  </w:r>
                </w:p>
              </w:tc>
              <w:tc>
                <w:tcPr>
                  <w:tcW w:type="dxa" w:w="763"/>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mg/L</w:t>
                  </w:r>
                </w:p>
              </w:tc>
              <w:tc>
                <w:tcPr>
                  <w:tcW w:type="dxa" w:w="114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0.5</w:t>
                  </w:r>
                </w:p>
              </w:tc>
              <w:tc>
                <w:tcPr>
                  <w:tcW w:type="dxa" w:w="153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rPr>
                    <w:t>/</w:t>
                  </w:r>
                </w:p>
              </w:tc>
            </w:tr>
            <w:tr>
              <w:tc>
                <w:tcPr>
                  <w:tcW w:type="dxa" w:w="687"/>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7</w:t>
                  </w:r>
                </w:p>
              </w:tc>
              <w:tc>
                <w:tcPr>
                  <w:tcW w:type="dxa" w:w="1437"/>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氨氮（以</w:t>
                  </w:r>
                  <w:r>
                    <w:rPr>
                      <w:sz w:val="21"/>
                    </w:rPr>
                    <w:t>N</w:t>
                  </w:r>
                  <w:r>
                    <w:rPr>
                      <w:sz w:val="21"/>
                    </w:rPr>
                    <w:t>计）</w:t>
                  </w:r>
                </w:p>
              </w:tc>
              <w:tc>
                <w:tcPr>
                  <w:tcW w:type="dxa" w:w="763"/>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mg/L</w:t>
                  </w:r>
                </w:p>
              </w:tc>
              <w:tc>
                <w:tcPr>
                  <w:tcW w:type="dxa" w:w="114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5 (8)</w:t>
                  </w:r>
                </w:p>
              </w:tc>
              <w:tc>
                <w:tcPr>
                  <w:tcW w:type="dxa" w:w="153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rPr>
                    <w:t>≥80</w:t>
                  </w:r>
                </w:p>
              </w:tc>
            </w:tr>
            <w:tr>
              <w:tc>
                <w:tcPr>
                  <w:tcW w:type="dxa" w:w="687"/>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8</w:t>
                  </w:r>
                </w:p>
              </w:tc>
              <w:tc>
                <w:tcPr>
                  <w:tcW w:type="dxa" w:w="1437"/>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总磷（以</w:t>
                  </w:r>
                  <w:r>
                    <w:rPr>
                      <w:sz w:val="21"/>
                    </w:rPr>
                    <w:t>P</w:t>
                  </w:r>
                  <w:r>
                    <w:rPr>
                      <w:sz w:val="21"/>
                    </w:rPr>
                    <w:t>计）</w:t>
                  </w:r>
                </w:p>
              </w:tc>
              <w:tc>
                <w:tcPr>
                  <w:tcW w:type="dxa" w:w="763"/>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mg/L</w:t>
                  </w:r>
                </w:p>
              </w:tc>
              <w:tc>
                <w:tcPr>
                  <w:tcW w:type="dxa" w:w="114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0.5</w:t>
                  </w:r>
                </w:p>
              </w:tc>
              <w:tc>
                <w:tcPr>
                  <w:tcW w:type="dxa" w:w="153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rPr>
                    <w:t>≥</w:t>
                  </w:r>
                  <w:r>
                    <w:rPr>
                      <w:sz w:val="21"/>
                    </w:rPr>
                    <w:t>75</w:t>
                  </w:r>
                </w:p>
              </w:tc>
            </w:tr>
            <w:tr>
              <w:tc>
                <w:tcPr>
                  <w:tcW w:type="dxa" w:w="687"/>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9</w:t>
                  </w:r>
                </w:p>
              </w:tc>
              <w:tc>
                <w:tcPr>
                  <w:tcW w:type="dxa" w:w="1437"/>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色度</w:t>
                  </w:r>
                </w:p>
              </w:tc>
              <w:tc>
                <w:tcPr>
                  <w:tcW w:type="dxa" w:w="763"/>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p>
              </w:tc>
              <w:tc>
                <w:tcPr>
                  <w:tcW w:type="dxa" w:w="114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30</w:t>
                  </w:r>
                </w:p>
              </w:tc>
              <w:tc>
                <w:tcPr>
                  <w:tcW w:type="dxa" w:w="153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rPr>
                    <w:t>/</w:t>
                  </w:r>
                </w:p>
              </w:tc>
            </w:tr>
            <w:tr>
              <w:tc>
                <w:tcPr>
                  <w:tcW w:type="dxa" w:w="687"/>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1</w:t>
                  </w:r>
                  <w:r>
                    <w:rPr>
                      <w:sz w:val="21"/>
                    </w:rPr>
                    <w:t>0</w:t>
                  </w:r>
                </w:p>
              </w:tc>
              <w:tc>
                <w:tcPr>
                  <w:tcW w:type="dxa" w:w="1437"/>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pH</w:t>
                  </w:r>
                  <w:r>
                    <w:rPr>
                      <w:sz w:val="21"/>
                    </w:rPr>
                    <w:t>值</w:t>
                  </w:r>
                </w:p>
              </w:tc>
              <w:tc>
                <w:tcPr>
                  <w:tcW w:type="dxa" w:w="763"/>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p>
              </w:tc>
              <w:tc>
                <w:tcPr>
                  <w:tcW w:type="dxa" w:w="114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jc w:val="center"/>
                  </w:pPr>
                  <w:r>
                    <w:rPr>
                      <w:sz w:val="21"/>
                    </w:rPr>
                    <w:t>6-9</w:t>
                  </w:r>
                </w:p>
              </w:tc>
              <w:tc>
                <w:tcPr>
                  <w:tcW w:type="dxa" w:w="1539"/>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jc w:val="center"/>
                  </w:pPr>
                  <w:r>
                    <w:rPr>
                      <w:sz w:val="21"/>
                    </w:rPr>
                    <w:t>/</w:t>
                  </w:r>
                </w:p>
              </w:tc>
            </w:tr>
            <w:tr>
              <w:tc>
                <w:tcPr>
                  <w:tcW w:type="dxa" w:w="687"/>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1"/>
                    </w:rPr>
                    <w:t>1</w:t>
                  </w:r>
                  <w:r>
                    <w:rPr>
                      <w:sz w:val="21"/>
                    </w:rPr>
                    <w:t>1</w:t>
                  </w:r>
                </w:p>
              </w:tc>
              <w:tc>
                <w:tcPr>
                  <w:tcW w:type="dxa" w:w="1437"/>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1"/>
                    </w:rPr>
                    <w:t>粪大肠菌群数</w:t>
                  </w:r>
                  <w:r>
                    <w:rPr>
                      <w:sz w:val="21"/>
                    </w:rPr>
                    <w:t>/ （个</w:t>
                  </w:r>
                  <w:r>
                    <w:rPr>
                      <w:sz w:val="21"/>
                    </w:rPr>
                    <w:t>/L）</w:t>
                  </w:r>
                </w:p>
              </w:tc>
              <w:tc>
                <w:tcPr>
                  <w:tcW w:type="dxa" w:w="763"/>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p>
              </w:tc>
              <w:tc>
                <w:tcPr>
                  <w:tcW w:type="dxa" w:w="1145"/>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jc w:val="center"/>
                  </w:pPr>
                  <w:r>
                    <w:rPr>
                      <w:sz w:val="21"/>
                    </w:rPr>
                    <w:t>10³</w:t>
                  </w:r>
                </w:p>
              </w:tc>
              <w:tc>
                <w:tcPr>
                  <w:tcW w:type="dxa" w:w="1539"/>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sz w:val="21"/>
                    </w:rPr>
                    <w:t>/</w:t>
                  </w:r>
                </w:p>
              </w:tc>
            </w:tr>
          </w:tbl>
          <w:p/>
        </w:tc>
      </w:tr>
      <w:tr>
        <w:tc>
          <w:tcPr>
            <w:tcW w:type="dxa" w:w="2076"/>
          </w:tcPr>
          <w:p/>
        </w:tc>
        <w:tc>
          <w:tcPr>
            <w:tcW w:type="dxa" w:w="415"/>
          </w:tcPr>
          <w:p>
            <w:pPr>
              <w:pStyle w:val="null3"/>
            </w:pPr>
            <w:r>
              <w:rPr/>
              <w:t>3</w:t>
            </w:r>
          </w:p>
        </w:tc>
        <w:tc>
          <w:tcPr>
            <w:tcW w:type="dxa" w:w="5814"/>
          </w:tcPr>
          <w:p>
            <w:pPr>
              <w:pStyle w:val="null3"/>
              <w:jc w:val="left"/>
            </w:pPr>
            <w:r>
              <w:rPr>
                <w:sz w:val="21"/>
                <w:b/>
              </w:rPr>
              <w:t>七、违约责任</w:t>
            </w:r>
          </w:p>
          <w:p>
            <w:pPr>
              <w:pStyle w:val="null3"/>
              <w:jc w:val="left"/>
            </w:pPr>
            <w:r>
              <w:rPr>
                <w:sz w:val="21"/>
              </w:rPr>
              <w:t>1、因中标人原因，未能按规定时间完成有关工作的，每延误一天，采购人每天扣款合同总金额的千分之二；</w:t>
            </w:r>
          </w:p>
          <w:p>
            <w:pPr>
              <w:pStyle w:val="null3"/>
              <w:jc w:val="left"/>
            </w:pPr>
            <w:r>
              <w:rPr>
                <w:sz w:val="21"/>
              </w:rPr>
              <w:t>2、如中标人提供的咨询服务文件不符合质量要求，必须在采购人提出要求后7天内无条件修改，其费用由中标人承担；</w:t>
            </w:r>
          </w:p>
          <w:p>
            <w:pPr>
              <w:pStyle w:val="null3"/>
              <w:jc w:val="both"/>
            </w:pPr>
            <w:r>
              <w:rPr>
                <w:sz w:val="21"/>
              </w:rPr>
              <w:t>3、若采购人发现中标人派出的服务人员不符合本项目要求，中标人应在3天之内按要求派出人员，否则采购人有权终止合同，并保留追究中标人责任及要求赔偿损失的权利。</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东莞市茶山镇水务工程运营中心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采购包1：单价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东莞市南城街道鸿福路199号（市民服务中心北门）410室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茶山镇上元泵站及钊墩前池污水处理设施运营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采购包1（茶山镇上元泵站及钊墩前池污水处理设施运营服务项目）：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采购包1（茶山镇上元泵站及钊墩前池污水处理设施运营服务项目）：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本项目整体专门面向中小企业采购。供应商须符合本项目采购标的对应行业（本项目行业为：其他未列明行业）的政策划分标准。监狱企业、残疾人福利单位视同小型、微型企业。（注：中小企业以供应商填写的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采购包1（茶山镇上元泵站及钊墩前池污水处理设施运营服务项目）：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采购包1(茶山镇上元泵站及钊墩前池污水处理设施运营服务项目):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技术部分60.0分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项目服务方案 (15.0分)</w:t>
            </w:r>
            <w:r>
              <w:rPr/>
              <w:t>，（等次分值选择：</w:t>
            </w:r>
            <w:r>
              <w:rPr/>
              <w:t>0.0;</w:t>
            </w:r>
            <w:r>
              <w:rPr/>
              <w:t>1.0;</w:t>
            </w:r>
            <w:r>
              <w:rPr/>
              <w:t>5.0;</w:t>
            </w:r>
            <w:r>
              <w:rPr/>
              <w:t>10.0;</w:t>
            </w:r>
            <w:r>
              <w:rPr/>
              <w:t>15.0;</w:t>
            </w:r>
            <w:r>
              <w:rPr/>
              <w:t>）</w:t>
            </w:r>
          </w:p>
        </w:tc>
        <w:tc>
          <w:tcPr>
            <w:tcW w:type="dxa" w:w="5076"/>
          </w:tcPr>
          <w:p>
            <w:pPr>
              <w:pStyle w:val="null3"/>
              <w:jc w:val="left"/>
            </w:pPr>
            <w:r>
              <w:rPr/>
              <w:t>根据投标人针对本项目所拟定的项目整体服务实施方案（包括但不限于运营管理人员工作方案、污水处理运营管理服务方案等）进行评审： ①运营管理人员工作方案有明确详细的计划和步骤，运营管理方案具有合理的符合现行运营规范的标准及具体详细的运营管理流程，有根据用户需求编制系统科学合理可行的进度计划安排，项目整体实施方案各项内容均具备的得15分； ②运营管理人员工作方案有明确的计划和步骤，运营管理方案具有符合现行运营规范的标准及详细的运营管理流程，有根据用户需求编制系统科学合理的进度计划安排，项目整体实施方案具备的得10分； ③运营管理人员工作方案有计划和步骤，运营管理方案具有符合现行运营规范的标准及详细的运营管理流程，有根据用户需求编制系统进度计划安排的得5分； ④运营管理人员工作方案有计划和步骤，但是运营管理方案不符合现行运营规范的标准，没有计划进度安排的得1分； ⑤无不得分。</w:t>
            </w:r>
          </w:p>
        </w:tc>
      </w:tr>
      <w:tr>
        <w:tc>
          <w:tcPr>
            <w:tcW w:type="dxa" w:w="922"/>
            <w:gridSpan w:val="2"/>
            <w:vMerge/>
          </w:tcPr>
          <w:p/>
        </w:tc>
        <w:tc>
          <w:tcPr>
            <w:tcW w:type="dxa" w:w="2307"/>
          </w:tcPr>
          <w:p>
            <w:pPr>
              <w:pStyle w:val="null3"/>
              <w:jc w:val="left"/>
            </w:pPr>
            <w:r>
              <w:rPr/>
              <w:t>各项运营管理制度 (15.0分)</w:t>
            </w:r>
            <w:r>
              <w:rPr/>
              <w:t>，（等次分值选择：</w:t>
            </w:r>
            <w:r>
              <w:rPr/>
              <w:t>0.0;</w:t>
            </w:r>
            <w:r>
              <w:rPr/>
              <w:t>1.0;</w:t>
            </w:r>
            <w:r>
              <w:rPr/>
              <w:t>5.0;</w:t>
            </w:r>
            <w:r>
              <w:rPr/>
              <w:t>10.0;</w:t>
            </w:r>
            <w:r>
              <w:rPr/>
              <w:t>15.0;</w:t>
            </w:r>
            <w:r>
              <w:rPr/>
              <w:t>）</w:t>
            </w:r>
          </w:p>
        </w:tc>
        <w:tc>
          <w:tcPr>
            <w:tcW w:type="dxa" w:w="5076"/>
          </w:tcPr>
          <w:p>
            <w:pPr>
              <w:pStyle w:val="null3"/>
              <w:jc w:val="left"/>
            </w:pPr>
            <w:r>
              <w:rPr/>
              <w:t>根据投标人针对本项目所拟定的各项运营管理制度（包括但不限于设备台账管理制度、运行技术档案管理制度、人员管理制度、设施环境及故障管理制度、一般固体废物管理制度等）进行综合评审： ①各项管理制度清晰明确、科学合理，各项运营管理制度内容均具备，有利于项目实施的得15分； ②各项管理制度科学合理，各项运营管理制度内容具备的得10分； ③各项运营管理制度基本合理，各项运营管理制度内容有缺漏的得5分； ④各项运营管理制度不合理，各项运营管理制度内容有缺漏的得1分； ⑤无不得分。</w:t>
            </w:r>
          </w:p>
        </w:tc>
      </w:tr>
      <w:tr>
        <w:tc>
          <w:tcPr>
            <w:tcW w:type="dxa" w:w="922"/>
            <w:gridSpan w:val="2"/>
            <w:vMerge/>
          </w:tcPr>
          <w:p/>
        </w:tc>
        <w:tc>
          <w:tcPr>
            <w:tcW w:type="dxa" w:w="2307"/>
          </w:tcPr>
          <w:p>
            <w:pPr>
              <w:pStyle w:val="null3"/>
              <w:jc w:val="left"/>
            </w:pPr>
            <w:r>
              <w:rPr/>
              <w:t>运营期保证及设备维护保养方案 (15.0分)</w:t>
            </w:r>
            <w:r>
              <w:rPr/>
              <w:t>，（等次分值选择：</w:t>
            </w:r>
            <w:r>
              <w:rPr/>
              <w:t>0.0;</w:t>
            </w:r>
            <w:r>
              <w:rPr/>
              <w:t>1.0;</w:t>
            </w:r>
            <w:r>
              <w:rPr/>
              <w:t>5.0;</w:t>
            </w:r>
            <w:r>
              <w:rPr/>
              <w:t>10.0;</w:t>
            </w:r>
            <w:r>
              <w:rPr/>
              <w:t>15.0;</w:t>
            </w:r>
            <w:r>
              <w:rPr/>
              <w:t>）</w:t>
            </w:r>
          </w:p>
        </w:tc>
        <w:tc>
          <w:tcPr>
            <w:tcW w:type="dxa" w:w="5076"/>
          </w:tcPr>
          <w:p>
            <w:pPr>
              <w:pStyle w:val="null3"/>
              <w:jc w:val="left"/>
            </w:pPr>
            <w:r>
              <w:rPr/>
              <w:t>根据投标人针对本项目作出的运营期保证承诺以及提供的设备维护保养方案(包括但不仅限于维护保养方式、方法等内容)进行综合评审: ①对项目运营期作出的保证承诺优于用户需求，维护保养方案详细具体、维护保养方式方法科学合理可行，维护保养方案各项内容均具备的得15分； ②对项目运营期作出的保证承诺满足用户需求，维护保养方案较完善、维护保养方式方法较合理的得10分； ③对项目运营期作出的保证承诺基本满足用户需求，维护保养方案基本完善、维护保养方式方法基本合理的得5分； ④对项目运营期作出的保证承诺不能满足用户需求，维护保养方案不完善、维护保养方式方法与项目实际有所偏离的得1分； ⑤无不得分。</w:t>
            </w:r>
          </w:p>
        </w:tc>
      </w:tr>
      <w:tr>
        <w:tc>
          <w:tcPr>
            <w:tcW w:type="dxa" w:w="922"/>
            <w:gridSpan w:val="2"/>
            <w:vMerge/>
          </w:tcPr>
          <w:p/>
        </w:tc>
        <w:tc>
          <w:tcPr>
            <w:tcW w:type="dxa" w:w="2307"/>
          </w:tcPr>
          <w:p>
            <w:pPr>
              <w:pStyle w:val="null3"/>
              <w:jc w:val="left"/>
            </w:pPr>
            <w:r>
              <w:rPr/>
              <w:t>应急预案 (15.0分)</w:t>
            </w:r>
            <w:r>
              <w:rPr/>
              <w:t>，（等次分值选择：</w:t>
            </w:r>
            <w:r>
              <w:rPr/>
              <w:t>0.0;</w:t>
            </w:r>
            <w:r>
              <w:rPr/>
              <w:t>1.0;</w:t>
            </w:r>
            <w:r>
              <w:rPr/>
              <w:t>5.0;</w:t>
            </w:r>
            <w:r>
              <w:rPr/>
              <w:t>10.0;</w:t>
            </w:r>
            <w:r>
              <w:rPr/>
              <w:t>15.0;</w:t>
            </w:r>
            <w:r>
              <w:rPr/>
              <w:t>）</w:t>
            </w:r>
          </w:p>
        </w:tc>
        <w:tc>
          <w:tcPr>
            <w:tcW w:type="dxa" w:w="5076"/>
          </w:tcPr>
          <w:p>
            <w:pPr>
              <w:pStyle w:val="null3"/>
              <w:jc w:val="left"/>
            </w:pPr>
            <w:r>
              <w:rPr/>
              <w:t>根据投标人提供的应急方案（包括但不限于应急服务方案、突发事件的处理措施及应急预案等）进行评审： ①针对本项目提出合理、可行的应急服务方案，突发事件的处理措施和应急预案完善，并能根据项目性质或用户需求提出合理可行的建议的得15分； ②针对本项目提出较可行的应急服务方案，突发事件的处理措施和应急预案较完善的得10分； ③针对本项目提出的应急服务方案一般，突发事件的处理措施和应急预案基本完善的得5分； ④针对本项目提出的应急服务方案简单，突发事件的处理措施和应急预案不符合实际的得1分； ⑤无不得分。</w:t>
            </w:r>
          </w:p>
        </w:tc>
      </w:tr>
      <w:tr>
        <w:tc>
          <w:tcPr>
            <w:tcW w:type="dxa" w:w="922"/>
            <w:gridSpan w:val="2"/>
            <w:vMerge w:val="restart"/>
          </w:tcPr>
          <w:p>
            <w:pPr>
              <w:pStyle w:val="null3"/>
              <w:jc w:val="center"/>
            </w:pPr>
            <w:r>
              <w:rPr/>
              <w:t>商务部分</w:t>
            </w:r>
          </w:p>
        </w:tc>
        <w:tc>
          <w:tcPr>
            <w:tcW w:type="dxa" w:w="2307"/>
          </w:tcPr>
          <w:p>
            <w:pPr>
              <w:pStyle w:val="null3"/>
              <w:jc w:val="left"/>
            </w:pPr>
            <w:r>
              <w:rPr/>
              <w:t>业绩 (14.0分)</w:t>
            </w:r>
          </w:p>
        </w:tc>
        <w:tc>
          <w:tcPr>
            <w:tcW w:type="dxa" w:w="5076"/>
          </w:tcPr>
          <w:p>
            <w:pPr>
              <w:pStyle w:val="null3"/>
              <w:jc w:val="left"/>
            </w:pPr>
            <w:r>
              <w:rPr/>
              <w:t>根据投标人具有的污水处理建设（或污水处理运营）项目业绩进行评审，每提供一个业绩得2分，满分14分。 注：须提供合同复印件加盖投标人公章，不符合以上要求的不得分。</w:t>
            </w:r>
          </w:p>
        </w:tc>
      </w:tr>
      <w:tr>
        <w:tc>
          <w:tcPr>
            <w:tcW w:type="dxa" w:w="922"/>
            <w:gridSpan w:val="2"/>
            <w:vMerge/>
          </w:tcPr>
          <w:p/>
        </w:tc>
        <w:tc>
          <w:tcPr>
            <w:tcW w:type="dxa" w:w="2307"/>
          </w:tcPr>
          <w:p>
            <w:pPr>
              <w:pStyle w:val="null3"/>
              <w:jc w:val="left"/>
            </w:pPr>
            <w:r>
              <w:rPr/>
              <w:t>认证证书 (6.0分)</w:t>
            </w:r>
          </w:p>
        </w:tc>
        <w:tc>
          <w:tcPr>
            <w:tcW w:type="dxa" w:w="5076"/>
          </w:tcPr>
          <w:p>
            <w:pPr>
              <w:pStyle w:val="null3"/>
              <w:jc w:val="left"/>
            </w:pPr>
            <w:r>
              <w:rPr/>
              <w:t>投标人具有由国家认证认可的监督管理部门批准设立的认证机构颁发并在有效期内的质量管理体系认证证书、环境管理体系认证证书、职业健康安全管理体系认证证书的，每具有一项证书得2分，满分6分。 注：须提供证书复印件加盖投标人公章，不符合以上要求的不得分。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441900008-2024-00308</w:t>
      </w:r>
    </w:p>
    <w:p>
      <w:pPr>
        <w:pStyle w:val="null3"/>
        <w:jc w:val="center"/>
        <w:outlineLvl w:val="3"/>
      </w:pPr>
      <w:r>
        <w:rPr>
          <w:sz w:val="24"/>
          <w:b/>
        </w:rPr>
        <w:t>采购项目编号：</w:t>
      </w:r>
      <w:r>
        <w:rPr>
          <w:sz w:val="24"/>
          <w:b/>
        </w:rPr>
        <w:t>441900008-2024-00308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茶山镇上元泵站及钊墩前池污水处理设施运营服务项目</w:t>
      </w:r>
      <w:r>
        <w:rPr>
          <w:u w:val="single"/>
        </w:rPr>
        <w:t>”</w:t>
      </w:r>
      <w:r>
        <w:rPr/>
        <w:t>项目的招标[采购项目编号为：</w:t>
      </w:r>
      <w:r>
        <w:rPr>
          <w:u w:val="single"/>
        </w:rPr>
        <w:t>441900008-2024-00308</w:t>
      </w:r>
      <w:r>
        <w:rPr/>
        <w:t>]，我方愿参与投标。</w:t>
      </w:r>
    </w:p>
    <w:p>
      <w:pPr>
        <w:pStyle w:val="null3"/>
        <w:ind w:firstLine="480"/>
      </w:pPr>
      <w:r>
        <w:rPr/>
        <w:t>我方确认收到贵方提供的</w:t>
      </w:r>
      <w:r>
        <w:rPr>
          <w:u w:val="single"/>
        </w:rPr>
        <w:t>“</w:t>
      </w:r>
      <w:r>
        <w:rPr>
          <w:u w:val="single"/>
        </w:rPr>
        <w:t>茶山镇上元泵站及钊墩前池污水处理设施运营服务项目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茶山镇上元泵站及钊墩前池污水处理设施运营服务项目</w:t>
      </w:r>
      <w:r>
        <w:rPr/>
        <w:t>”项目采购[采购项目编号为</w:t>
      </w:r>
      <w:r>
        <w:rPr/>
        <w:t>441900008-2024-00308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东莞市茶山镇水务工程运营中心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茶山镇上元泵站及钊墩前池污水处理设施运营服务项目</w:t>
      </w:r>
      <w:r>
        <w:rPr/>
        <w:t>招标中获中标（采购项目编号：</w:t>
      </w:r>
      <w:r>
        <w:rPr/>
        <w:t>441900008-2024-00308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茶山镇上元泵站及钊墩前池污水处理设施运营服务项目</w:t>
      </w:r>
      <w:r>
        <w:rPr/>
        <w:t>”项目（采购项目编号：</w:t>
      </w:r>
      <w:r>
        <w:rPr/>
        <w:t>441900008-2024-00308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