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441901-2024-07022</w:t>
      </w:r>
    </w:p>
    <w:p>
      <w:pPr>
        <w:pStyle w:val="null3"/>
        <w:jc w:val="center"/>
        <w:outlineLvl w:val="3"/>
      </w:pPr>
      <w:r>
        <w:rPr>
          <w:sz w:val="24"/>
          <w:b/>
        </w:rPr>
        <w:t>采购项目编号：</w:t>
      </w:r>
      <w:r>
        <w:rPr>
          <w:sz w:val="24"/>
          <w:b/>
        </w:rPr>
        <w:t>441901-2024-07022</w:t>
      </w:r>
    </w:p>
    <w:p>
      <w:pPr>
        <w:pStyle w:val="null3"/>
        <w:jc w:val="center"/>
        <w:outlineLvl w:val="3"/>
      </w:pPr>
      <w:r>
        <w:rPr>
          <w:sz w:val="24"/>
          <w:b/>
        </w:rPr>
        <w:t>项目名称：</w:t>
      </w:r>
      <w:r>
        <w:rPr>
          <w:sz w:val="24"/>
          <w:b/>
        </w:rPr>
        <w:t>2024年东莞体彩实体店从业人员体检服务采购项目</w:t>
      </w:r>
    </w:p>
    <w:p>
      <w:pPr>
        <w:pStyle w:val="null3"/>
        <w:jc w:val="center"/>
        <w:outlineLvl w:val="3"/>
      </w:pPr>
      <w:r>
        <w:rPr>
          <w:sz w:val="24"/>
          <w:b/>
        </w:rPr>
        <w:t>采购人：</w:t>
      </w:r>
      <w:r>
        <w:rPr>
          <w:sz w:val="24"/>
          <w:b/>
        </w:rPr>
        <w:t>东莞市体育彩票管理中心</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广东政通招标有限公司</w:t>
      </w:r>
      <w:r>
        <w:rPr/>
        <w:t>受</w:t>
      </w:r>
      <w:r>
        <w:rPr/>
        <w:t>东莞市体育彩票管理中心</w:t>
      </w:r>
      <w:r>
        <w:rPr/>
        <w:t>的委托，采用</w:t>
      </w:r>
      <w:r>
        <w:rPr/>
        <w:t>公开招标</w:t>
      </w:r>
      <w:r>
        <w:rPr/>
        <w:t>方式组织采购</w:t>
      </w:r>
      <w:r>
        <w:rPr/>
        <w:t>2024年东莞体彩实体店从业人员体检服务采购项目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2024年东莞体彩实体店从业人员体检服务采购项目</w:t>
      </w:r>
    </w:p>
    <w:p>
      <w:pPr>
        <w:pStyle w:val="null3"/>
        <w:ind w:firstLine="480"/>
      </w:pPr>
      <w:r>
        <w:rPr/>
        <w:t>采购计划编号：</w:t>
      </w:r>
      <w:r>
        <w:rPr/>
        <w:t>441901-2024-07022</w:t>
      </w:r>
    </w:p>
    <w:p>
      <w:pPr>
        <w:pStyle w:val="null3"/>
        <w:ind w:firstLine="480"/>
      </w:pPr>
      <w:r>
        <w:rPr/>
        <w:t>采购项目编号：</w:t>
      </w:r>
      <w:r>
        <w:rPr/>
        <w:t>441901-2024-07022</w:t>
      </w:r>
    </w:p>
    <w:p>
      <w:pPr>
        <w:pStyle w:val="null3"/>
        <w:ind w:firstLine="480"/>
      </w:pPr>
      <w:r>
        <w:rPr/>
        <w:t>采购方式：</w:t>
      </w:r>
      <w:r>
        <w:rPr/>
        <w:t>公开招标</w:t>
      </w:r>
    </w:p>
    <w:p>
      <w:pPr>
        <w:pStyle w:val="null3"/>
        <w:ind w:firstLine="480"/>
      </w:pPr>
      <w:r>
        <w:rPr/>
        <w:t>预算金额：</w:t>
      </w:r>
      <w:r>
        <w:rPr/>
        <w:t>1,120,000.00</w:t>
      </w:r>
      <w:r>
        <w:rPr/>
        <w:t>元</w:t>
      </w:r>
    </w:p>
    <w:p>
      <w:pPr>
        <w:pStyle w:val="null3"/>
        <w:outlineLvl w:val="3"/>
      </w:pPr>
      <w:r>
        <w:rPr>
          <w:sz w:val="24"/>
          <w:b/>
        </w:rPr>
        <w:t>2.项目内容及需求情况（采购项目技术规格、参数及要求）</w:t>
      </w:r>
    </w:p>
    <w:p>
      <w:pPr>
        <w:pStyle w:val="null3"/>
      </w:pPr>
      <w:r>
        <w:rPr/>
        <w:t>采购包1(2024年东莞体彩实体店从业人员体检服务采购项目):</w:t>
      </w:r>
    </w:p>
    <w:p>
      <w:pPr>
        <w:pStyle w:val="null3"/>
      </w:pPr>
      <w:r>
        <w:rPr/>
        <w:t>采购包预算金额：1,120,000.00元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体检服务</w:t>
            </w:r>
          </w:p>
        </w:tc>
        <w:tc>
          <w:tcPr>
            <w:tcW w:type="dxa" w:w="2052"/>
          </w:tcPr>
          <w:p>
            <w:pPr>
              <w:pStyle w:val="null3"/>
            </w:pPr>
            <w:r>
              <w:rPr/>
              <w:t>2024年东莞体彩实体店从业人员体检服务</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1,120,000.00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合同履行期限：自合同签订之日起至2024年12月31日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 重大违法记录，是指供应商因违法经营受到刑事处罚或者责令停产停业、吊销许可证或者执照、较大数额罚款等行政处罚。可参考公告附件格式。（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采购包1（2024年东莞体彩实体店从业人员体检服务采购项目）：</w:t>
      </w:r>
      <w:r>
        <w:rPr/>
        <w:t>本项目不属于专门面向中小企业的采购项目</w:t>
      </w:r>
    </w:p>
    <w:p>
      <w:pPr>
        <w:pStyle w:val="null3"/>
        <w:outlineLvl w:val="3"/>
      </w:pPr>
      <w:r>
        <w:rPr>
          <w:sz w:val="24"/>
          <w:b/>
        </w:rPr>
        <w:t>3.本项目特定的资格要求：</w:t>
      </w:r>
    </w:p>
    <w:p>
      <w:pPr>
        <w:pStyle w:val="null3"/>
      </w:pPr>
      <w:r>
        <w:rPr/>
        <w:t>采购包1（2024年东莞体彩实体店从业人员体检服务采购项目）：</w:t>
      </w:r>
    </w:p>
    <w:p>
      <w:pPr>
        <w:pStyle w:val="null3"/>
      </w:pPr>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 及中国政府采购网（http://www.ccgp.gov.cn/） 查询结果为准， 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3)投标人须具有有效期内的《医疗机构执业许可证》（注：须提供证书复印件并加盖投标人公章）。</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东莞市体育彩票管理中心</w:t>
      </w:r>
    </w:p>
    <w:p>
      <w:pPr>
        <w:pStyle w:val="null3"/>
        <w:ind w:firstLine="480"/>
      </w:pPr>
      <w:r>
        <w:rPr/>
        <w:t xml:space="preserve"> 地址：</w:t>
      </w:r>
      <w:r>
        <w:rPr/>
        <w:t>东莞市南城街道体育路南城段3号5栋</w:t>
      </w:r>
    </w:p>
    <w:p>
      <w:pPr>
        <w:pStyle w:val="null3"/>
        <w:ind w:firstLine="480"/>
      </w:pPr>
      <w:r>
        <w:rPr/>
        <w:t xml:space="preserve"> 联系方式：</w:t>
      </w:r>
      <w:r>
        <w:rPr/>
        <w:t>0769-22461501</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2024年东莞体彩实体店从业人员体检服务采购项目</w:t>
      </w:r>
    </w:p>
    <w:p>
      <w:pPr>
        <w:pStyle w:val="null3"/>
      </w:pPr>
      <w:r>
        <w:rPr/>
        <w:t>采购包1（2024年东莞体彩实体店从业人员体检服务采购项目）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自合同签订之日起至2024年12月31日</w:t>
            </w:r>
          </w:p>
        </w:tc>
      </w:tr>
      <w:tr>
        <w:tc>
          <w:tcPr>
            <w:tcW w:type="dxa" w:w="4153"/>
          </w:tcPr>
          <w:p>
            <w:pPr>
              <w:pStyle w:val="null3"/>
            </w:pPr>
            <w:r>
              <w:rPr/>
              <w:t>标的提供的地点</w:t>
            </w:r>
          </w:p>
        </w:tc>
        <w:tc>
          <w:tcPr>
            <w:tcW w:type="dxa" w:w="4153"/>
          </w:tcPr>
          <w:p>
            <w:pPr>
              <w:pStyle w:val="null3"/>
            </w:pPr>
            <w:r>
              <w:rPr/>
              <w:t>东莞市内</w:t>
            </w:r>
          </w:p>
        </w:tc>
      </w:tr>
      <w:tr>
        <w:tc>
          <w:tcPr>
            <w:tcW w:type="dxa" w:w="4153"/>
          </w:tcPr>
          <w:p>
            <w:pPr>
              <w:pStyle w:val="null3"/>
            </w:pPr>
            <w:r>
              <w:rPr/>
              <w:t>付款方式</w:t>
            </w:r>
          </w:p>
        </w:tc>
        <w:tc>
          <w:tcPr>
            <w:tcW w:type="dxa" w:w="4153"/>
          </w:tcPr>
          <w:p>
            <w:pPr>
              <w:pStyle w:val="null3"/>
            </w:pPr>
            <w:r>
              <w:rPr/>
              <w:t>1期：支付比例100%,2024年12月31日前完成该项目验收结算。按实结算，按照实际完成体检的人数和中标单价金额结算，每人不超800元的标准。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1期：1、验收时间：中标人服务完成后，认为达到服务要求的，应向采购人提出书面验收申请，采购人无异议的，7日内组织验收，验收应在采购人与中标人双方共同参加下进行。 2、验收内容：全部体检人员的整体体检情况汇总分析报告、到检人员名单。 3、验收按合同规定的要求和有关的规定、规范进行。（若无相关的规定、规范可双方协商验收）</w:t>
            </w:r>
          </w:p>
        </w:tc>
      </w:tr>
      <w:tr>
        <w:tc>
          <w:tcPr>
            <w:tcW w:type="dxa" w:w="4153"/>
          </w:tcPr>
          <w:p>
            <w:pPr>
              <w:pStyle w:val="null3"/>
            </w:pPr>
            <w:r>
              <w:rPr/>
              <w:t>履约保证金</w:t>
            </w:r>
          </w:p>
        </w:tc>
        <w:tc>
          <w:tcPr>
            <w:tcW w:type="dxa" w:w="4153"/>
          </w:tcPr>
          <w:p>
            <w:pPr>
              <w:pStyle w:val="null3"/>
            </w:pPr>
            <w:r>
              <w:rPr/>
              <w:t>收取比例：3%,说明：中标人应在领取中标通知书之后签订合同之前递交履约保证金，履约保证金金额为合同金额的3%，履约保证金可采用保证金（银行转账、电汇）方式，或采用银行出具的履约担保函方式。①以银行转账形式提供履约担保的，履约保证金在最终验收合格后，中标人向采购人提交退回履约保证金的申请、履约保证金汇款凭证复印件、采购合同、采购项目验收报告原件、中标通知书复印件，前往采购人办理履约保证金退还手续。在本项目合同执行期间，如因中标人的过失或工作不配合的原因造成采购人经济损失的，采购人有权根据损失的数额直接在履约保证金中扣除并书面通知中标人。发生下列情况之一的，履约保证金不予退还：（1）中标人将本项目转让给他人，或者在投标文件中未说明，且未经采购人同意，将中标项目分包给他人的，采购人可依法不予退还其履约保证金；（2）中标人在履行采购合同期间，违反有关法律法规的规定及合同约定的条款，损害了采购人的利益，采购人可依法不予退还其履约保证金。②以履约保函形式提供履约担保的，中标人履行完毕合同义务后，及履约保证函到期时，采购人将履约保函退回给中标人。在本项目合同执行期间，如因中标人的过失或工作不配合的原因造成采购人经济损失的，采购人有权按照履约保函中的条款执行并书面通知中标人。</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1、报价要求，★投标人必须以下浮率方式进行报价，0＜投标下浮率＜100%；结算时统一采用以下方式计算费用：体检单价=（1-中标下浮率）*800元/人，按实际体检人数结算。投标报价包括完成该体检项目的一切费用（含一次性消耗用品费、检验费、人工费、税费等）及合同实施过程中的应预见和不可预见费用等完成合同规定责任和义务、达到合同目的的一切费用，漏报或少报的费用，视此费用已包含在投标报价中。</w:t>
            </w:r>
          </w:p>
          <w:p>
            <w:pPr>
              <w:pStyle w:val="null3"/>
            </w:pPr>
            <w:r>
              <w:rPr/>
              <w:t>2、服务质量要求，1.中标人有责任保证体检结果的真实性，不得弄虚作假。 2.中标人在服务期间由于自身责任造成采购人的一切损失，由中标人负责赔偿。 3.中标人未按服务项目要求完成或完成不彻底，须按要求重新安排体检，由此造成的一切后果由中标人承担。 4.中标人负责做好体检资料的制作、管理和发放（包括体检指引单，体检须知），体检人员不慎遗失体检表或因工作调动等原因造成采购人漏报体检人员，中标人应予及时补发。 5.中标人须按采购人要求建立健康档案，健康档案包括纸质文档和电子文档。电子文档由中标人于每批体检结束后将体检的所有数据（包括化验单、检查结果、人员信息、专家意见等）用数据库Excel表格录入。同时，电子文档可供采购人对参检人员的健康资料、体检情况、病种等随时调用、筛选、统计归类，以便进行动态跟踪。 6.中标人应对合作内容及有关数据资料（包括但不限于服务项目、服务价格、员工资料、个人体检报告、体检整体情况分析报告等）遵循永久保密义务，不得向第三方泄露，也不得使用相关资料用于本合作项目以外的任何用途。</w:t>
            </w:r>
          </w:p>
          <w:p>
            <w:pPr>
              <w:pStyle w:val="null3"/>
            </w:pPr>
            <w:r>
              <w:rPr/>
              <w:t>3、其他要求，投标人应充分结合本招标文件上下文了解项目招标需求、采购文件未尽事宜，将在合同签订或项目执行过程中双方协商确定，投标人须无条件满足采购单位的合理要求。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体检服务</w:t>
            </w:r>
          </w:p>
        </w:tc>
        <w:tc>
          <w:tcPr>
            <w:tcW w:type="dxa" w:w="831"/>
          </w:tcPr>
          <w:p>
            <w:pPr>
              <w:pStyle w:val="null3"/>
              <w:jc w:val="left"/>
            </w:pPr>
            <w:r>
              <w:rPr/>
              <w:t>2024年东莞体彩实体店从业人员体检服务</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1,120,000.00</w:t>
            </w:r>
          </w:p>
        </w:tc>
        <w:tc>
          <w:tcPr>
            <w:tcW w:type="dxa" w:w="831"/>
          </w:tcPr>
          <w:p>
            <w:pPr>
              <w:pStyle w:val="null3"/>
              <w:jc w:val="right"/>
            </w:pPr>
            <w:r>
              <w:rPr/>
              <w:t>1,120,000.00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2024年东莞体彩实体店从业人员体检服务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w:t>
            </w:r>
            <w:r>
              <w:rPr>
                <w:sz w:val="24"/>
                <w:b/>
              </w:rPr>
              <w:t>工作目标</w:t>
            </w:r>
          </w:p>
          <w:p>
            <w:pPr>
              <w:pStyle w:val="null3"/>
              <w:ind w:firstLine="600"/>
              <w:jc w:val="left"/>
            </w:pPr>
            <w:r>
              <w:rPr>
                <w:sz w:val="21"/>
              </w:rPr>
              <w:t>为全市约</w:t>
            </w:r>
            <w:r>
              <w:rPr>
                <w:sz w:val="21"/>
              </w:rPr>
              <w:t>1400位体彩专营实体店（含展示体验中心店）代销者或销售员，提供健康体检服务。</w:t>
            </w:r>
          </w:p>
          <w:p>
            <w:pPr>
              <w:pStyle w:val="null3"/>
              <w:jc w:val="both"/>
              <w:outlineLvl w:val="3"/>
            </w:pPr>
            <w:r>
              <w:rPr>
                <w:sz w:val="24"/>
                <w:b/>
              </w:rPr>
              <w:t>二、参与条件</w:t>
            </w:r>
            <w:r>
              <w:rPr>
                <w:sz w:val="24"/>
                <w:b/>
              </w:rPr>
              <w:t xml:space="preserve">  </w:t>
            </w:r>
          </w:p>
          <w:p>
            <w:pPr>
              <w:pStyle w:val="null3"/>
              <w:jc w:val="left"/>
            </w:pPr>
            <w:r>
              <w:rPr>
                <w:b/>
              </w:rPr>
              <w:t xml:space="preserve">    </w:t>
            </w:r>
            <w:r>
              <w:rPr>
                <w:sz w:val="21"/>
              </w:rPr>
              <w:t>在售的体彩专营实体店代销者或合规备案的销售员，每家实体店</w:t>
            </w:r>
            <w:r>
              <w:rPr>
                <w:sz w:val="21"/>
              </w:rPr>
              <w:t>1个名额,退伍军人、残疾人提供相关证件，可优先参加体检，不占实体店名额。</w:t>
            </w:r>
          </w:p>
          <w:p>
            <w:pPr>
              <w:pStyle w:val="null3"/>
              <w:jc w:val="both"/>
              <w:outlineLvl w:val="3"/>
            </w:pPr>
            <w:r>
              <w:rPr>
                <w:sz w:val="24"/>
                <w:b/>
              </w:rPr>
              <w:t>三、采购服务内容</w:t>
            </w:r>
          </w:p>
          <w:p>
            <w:pPr>
              <w:pStyle w:val="null3"/>
              <w:ind w:firstLine="422"/>
              <w:jc w:val="left"/>
            </w:pPr>
            <w:r>
              <w:rPr>
                <w:sz w:val="21"/>
                <w:b/>
              </w:rPr>
              <w:t>（一）服务商要求</w:t>
            </w:r>
            <w:r>
              <w:rPr>
                <w:sz w:val="21"/>
                <w:b/>
              </w:rPr>
              <w:t xml:space="preserve">     </w:t>
            </w:r>
          </w:p>
          <w:p>
            <w:pPr>
              <w:pStyle w:val="null3"/>
              <w:ind w:firstLine="420"/>
              <w:jc w:val="left"/>
            </w:pPr>
            <w:r>
              <w:rPr>
                <w:sz w:val="21"/>
              </w:rPr>
              <w:t>中标人需在服务范围内设立三个（或以上）下属（或关联）的有资质的专业体检服务点，每个体检服务点具备每场可以容纳和完成</w:t>
            </w:r>
            <w:r>
              <w:rPr>
                <w:sz w:val="21"/>
              </w:rPr>
              <w:t>300人以上的检测任务。</w:t>
            </w:r>
          </w:p>
          <w:p>
            <w:pPr>
              <w:pStyle w:val="null3"/>
              <w:ind w:firstLine="422"/>
              <w:jc w:val="left"/>
            </w:pPr>
            <w:r>
              <w:rPr>
                <w:sz w:val="21"/>
                <w:b/>
              </w:rPr>
              <w:t>（二）服务商需要提供健康体检服务</w:t>
            </w:r>
          </w:p>
          <w:p>
            <w:pPr>
              <w:pStyle w:val="null3"/>
              <w:ind w:firstLine="420"/>
              <w:jc w:val="left"/>
            </w:pPr>
            <w:r>
              <w:rPr>
                <w:sz w:val="21"/>
              </w:rPr>
              <w:t>1、</w:t>
            </w:r>
            <w:r>
              <w:rPr>
                <w:sz w:val="21"/>
                <w:b/>
              </w:rPr>
              <w:t>定点接送服务</w:t>
            </w:r>
            <w:r>
              <w:rPr>
                <w:sz w:val="21"/>
                <w:b/>
              </w:rPr>
              <w:t xml:space="preserve">    </w:t>
            </w:r>
          </w:p>
          <w:p>
            <w:pPr>
              <w:pStyle w:val="null3"/>
              <w:ind w:firstLine="420"/>
              <w:jc w:val="left"/>
            </w:pPr>
            <w:r>
              <w:rPr>
                <w:sz w:val="21"/>
              </w:rPr>
              <w:t>中标人需要根据我市体彩专营实体店的分布情况，制定并提供完善的接送服务，按照采购人提供的参与体检的体彩专营实体店从业人员明细表，按照镇区的分布情况，最少一个镇区设置一个接送点，方便体彩实体店从业人员参与体检项目。</w:t>
            </w:r>
          </w:p>
          <w:p>
            <w:pPr>
              <w:pStyle w:val="null3"/>
              <w:ind w:firstLine="422"/>
              <w:jc w:val="left"/>
            </w:pPr>
            <w:r>
              <w:rPr>
                <w:sz w:val="21"/>
                <w:b/>
              </w:rPr>
              <w:t>2、体检前置服务</w:t>
            </w:r>
            <w:r>
              <w:rPr/>
              <w:t xml:space="preserve"> </w:t>
            </w:r>
          </w:p>
          <w:p>
            <w:pPr>
              <w:pStyle w:val="null3"/>
              <w:ind w:firstLine="420"/>
              <w:jc w:val="left"/>
            </w:pPr>
            <w:r>
              <w:rPr>
                <w:sz w:val="21"/>
              </w:rPr>
              <w:t>中标人按照采购人提供的参与体检的体彩专营实体店从业人员明细表，须科学合理安排批次场次，避免扎堆，做好事前预约和体检须知告知，做好体检项目或套餐的说明和选定，提供灵活丰富的体检项目和组合选着，确保明晰一人一方案，清楚告知体检注意事项；时间安排尽量不要影响体彩实体店的正常营业。</w:t>
            </w:r>
            <w:r>
              <w:rPr>
                <w:b/>
              </w:rPr>
              <w:t xml:space="preserve"> </w:t>
            </w:r>
          </w:p>
          <w:p>
            <w:pPr>
              <w:pStyle w:val="null3"/>
              <w:ind w:firstLine="422"/>
              <w:jc w:val="left"/>
            </w:pPr>
            <w:r>
              <w:rPr>
                <w:sz w:val="21"/>
                <w:b/>
              </w:rPr>
              <w:t>3、早餐及现场指引服务</w:t>
            </w:r>
          </w:p>
          <w:p>
            <w:pPr>
              <w:pStyle w:val="null3"/>
              <w:ind w:firstLine="420"/>
              <w:jc w:val="left"/>
            </w:pPr>
            <w:r>
              <w:rPr>
                <w:sz w:val="21"/>
              </w:rPr>
              <w:t>中标人需为参与体检的人员提供早餐服务，做好体检现场的安排和指引，尽量做到顺畅高效，保证项目服务质量。</w:t>
            </w:r>
          </w:p>
          <w:p>
            <w:pPr>
              <w:pStyle w:val="null3"/>
              <w:ind w:firstLine="422"/>
              <w:jc w:val="left"/>
            </w:pPr>
            <w:r>
              <w:rPr>
                <w:sz w:val="21"/>
                <w:b/>
              </w:rPr>
              <w:t>4、提供媒体宣传服务</w:t>
            </w:r>
          </w:p>
          <w:p>
            <w:pPr>
              <w:pStyle w:val="null3"/>
              <w:ind w:firstLine="420"/>
              <w:jc w:val="left"/>
            </w:pPr>
            <w:r>
              <w:rPr>
                <w:sz w:val="21"/>
              </w:rPr>
              <w:t>中标人须邀请不少于</w:t>
            </w:r>
            <w:r>
              <w:rPr>
                <w:sz w:val="21"/>
              </w:rPr>
              <w:t>2家东莞主流媒体到体检现场采访、拍照，对活动进行跟踪报道，见报稿件不得少于2篇。体检专场须制作体彩体检宣传的横幅。</w:t>
            </w:r>
          </w:p>
          <w:p>
            <w:pPr>
              <w:pStyle w:val="null3"/>
              <w:ind w:firstLine="422"/>
              <w:jc w:val="left"/>
            </w:pPr>
            <w:r>
              <w:rPr>
                <w:sz w:val="21"/>
                <w:b/>
              </w:rPr>
              <w:t>5、提供视频宣传服务</w:t>
            </w:r>
          </w:p>
          <w:p>
            <w:pPr>
              <w:pStyle w:val="null3"/>
              <w:ind w:firstLine="420"/>
              <w:jc w:val="left"/>
            </w:pPr>
            <w:r>
              <w:rPr>
                <w:sz w:val="21"/>
              </w:rPr>
              <w:t>项目结束前，中标人需要提供</w:t>
            </w:r>
            <w:r>
              <w:rPr>
                <w:sz w:val="21"/>
              </w:rPr>
              <w:t>2条宣传视频和相关照片给体彩中心。其中宣传视频1条不少于1分钟，1条不少于3分钟，用于宣传本次体检项目。</w:t>
            </w:r>
          </w:p>
          <w:p>
            <w:pPr>
              <w:pStyle w:val="null3"/>
              <w:ind w:firstLine="422"/>
              <w:jc w:val="left"/>
            </w:pPr>
            <w:r>
              <w:rPr>
                <w:sz w:val="21"/>
                <w:b/>
              </w:rPr>
              <w:t>6、提供体彩品牌宣传服务</w:t>
            </w:r>
          </w:p>
          <w:p>
            <w:pPr>
              <w:pStyle w:val="null3"/>
              <w:ind w:firstLine="420"/>
              <w:jc w:val="both"/>
            </w:pPr>
            <w:r>
              <w:rPr>
                <w:sz w:val="21"/>
              </w:rPr>
              <w:t>中标人在组织落实项目过程中，需要提供体彩品牌宣传服务，包括但不限于：接送车辆体现体彩体检的宣传、体检现场融入体彩品牌等宣传手段。</w:t>
            </w:r>
          </w:p>
          <w:p>
            <w:pPr>
              <w:pStyle w:val="null3"/>
              <w:jc w:val="both"/>
              <w:outlineLvl w:val="3"/>
            </w:pPr>
            <w:r>
              <w:rPr>
                <w:sz w:val="24"/>
                <w:b/>
              </w:rPr>
              <w:t>四、体检项目内容</w:t>
            </w:r>
          </w:p>
          <w:p>
            <w:pPr>
              <w:pStyle w:val="null3"/>
              <w:jc w:val="both"/>
            </w:pPr>
            <w:r>
              <w:rPr>
                <w:sz w:val="21"/>
                <w:b/>
              </w:rPr>
              <w:t>1、2024年体检方案A（40岁以下）</w:t>
            </w:r>
          </w:p>
          <w:tbl>
            <w:tblPr>
              <w:tblInd w:type="dxa" w:w="90"/>
              <w:tblBorders>
                <w:top w:val="none" w:color="000000" w:sz="4"/>
                <w:left w:val="none" w:color="000000" w:sz="4"/>
                <w:bottom w:val="none" w:color="000000" w:sz="4"/>
                <w:right w:val="none" w:color="000000" w:sz="4"/>
                <w:insideH w:val="none"/>
                <w:insideV w:val="none"/>
              </w:tblBorders>
            </w:tblPr>
            <w:tblGrid>
              <w:gridCol w:w="318"/>
              <w:gridCol w:w="318"/>
              <w:gridCol w:w="1019"/>
              <w:gridCol w:w="1544"/>
              <w:gridCol w:w="800"/>
              <w:gridCol w:w="800"/>
              <w:gridCol w:w="800"/>
            </w:tblGrid>
            <w:tr>
              <w:tc>
                <w:tcPr>
                  <w:tcW w:type="dxa" w:w="3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1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体检项名称</w:t>
                  </w:r>
                </w:p>
              </w:tc>
              <w:tc>
                <w:tcPr>
                  <w:tcW w:type="dxa" w:w="101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体检项目明细</w:t>
                  </w:r>
                </w:p>
              </w:tc>
              <w:tc>
                <w:tcPr>
                  <w:tcW w:type="dxa" w:w="154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临床意义</w:t>
                  </w:r>
                </w:p>
              </w:tc>
              <w:tc>
                <w:tcPr>
                  <w:tcW w:type="dxa" w:w="240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类别</w:t>
                  </w:r>
                </w:p>
              </w:tc>
            </w:tr>
            <w:tr>
              <w:tc>
                <w:tcPr>
                  <w:tcW w:type="dxa" w:w="318"/>
                  <w:vMerge/>
                  <w:tcBorders>
                    <w:top w:val="single" w:color="000000" w:sz="4"/>
                    <w:left w:val="single" w:color="000000" w:sz="4"/>
                    <w:bottom w:val="single" w:color="000000" w:sz="4"/>
                    <w:right w:val="single" w:color="000000" w:sz="4"/>
                  </w:tcBorders>
                </w:tcPr>
                <w:p/>
              </w:tc>
              <w:tc>
                <w:tcPr>
                  <w:tcW w:type="dxa" w:w="318"/>
                  <w:vMerge/>
                  <w:tcBorders>
                    <w:top w:val="single" w:color="000000" w:sz="4"/>
                    <w:left w:val="none" w:color="000000" w:sz="4"/>
                    <w:bottom w:val="single" w:color="000000" w:sz="4"/>
                    <w:right w:val="single" w:color="000000" w:sz="4"/>
                  </w:tcBorders>
                </w:tcPr>
                <w:p/>
              </w:tc>
              <w:tc>
                <w:tcPr>
                  <w:tcW w:type="dxa" w:w="1019"/>
                  <w:vMerge/>
                  <w:tcBorders>
                    <w:top w:val="single" w:color="000000" w:sz="4"/>
                    <w:left w:val="none" w:color="000000" w:sz="4"/>
                    <w:bottom w:val="single" w:color="000000" w:sz="4"/>
                    <w:right w:val="single" w:color="000000" w:sz="4"/>
                  </w:tcBorders>
                </w:tcPr>
                <w:p/>
              </w:tc>
              <w:tc>
                <w:tcPr>
                  <w:tcW w:type="dxa" w:w="1544"/>
                  <w:vMerge/>
                  <w:tcBorders>
                    <w:top w:val="singl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男</w:t>
                  </w:r>
                </w:p>
              </w:tc>
              <w:tc>
                <w:tcPr>
                  <w:tcW w:type="dxa" w:w="8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女</w:t>
                  </w:r>
                  <w:r>
                    <w:rPr>
                      <w:sz w:val="21"/>
                      <w:b/>
                    </w:rPr>
                    <w:t xml:space="preserve">                   </w:t>
                  </w:r>
                  <w:r>
                    <w:rPr>
                      <w:sz w:val="21"/>
                      <w:b/>
                    </w:rPr>
                    <w:t>（不含妇科）</w:t>
                  </w:r>
                </w:p>
              </w:tc>
              <w:tc>
                <w:tcPr>
                  <w:tcW w:type="dxa" w:w="8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女</w:t>
                  </w:r>
                  <w:r>
                    <w:rPr>
                      <w:sz w:val="21"/>
                      <w:b/>
                    </w:rPr>
                    <w:t xml:space="preserve">          </w:t>
                  </w:r>
                  <w:r>
                    <w:rPr>
                      <w:sz w:val="21"/>
                      <w:b/>
                    </w:rPr>
                    <w:t>（含妇科）</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胸部低剂量螺旋</w:t>
                  </w:r>
                  <w:r>
                    <w:rPr>
                      <w:sz w:val="21"/>
                      <w:b/>
                    </w:rPr>
                    <w:t>CT(不出片）</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肺部</w:t>
                  </w:r>
                  <w:r>
                    <w:rPr>
                      <w:sz w:val="21"/>
                    </w:rPr>
                    <w:t>CT</w:t>
                  </w:r>
                  <w:r>
                    <w:rPr>
                      <w:sz w:val="21"/>
                      <w:b/>
                    </w:rPr>
                    <w:t>(肺癌筛查金标准之一）</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T是用X线束对人体某部位一定厚度的层面进行扫描，如切面包样，每个层面约0.5mm，可清晰分辨出肺部5mm及以上的早期病灶，能显示“肺门、肺纹理、肺实质的炎症、良性肿瘤、癌症、结核、以及肺大泡、气管与支气管阻塞、炎症、扩张与癌变”以及“纵隔、胸膜﹑肋骨及胸壁软组织” 的淋巴肿大、积液及各类性质的包块等病灶</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肝胆脾胰彩超</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肝胆脾胰彩超</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更清晰的诊断其炎症、囊肿、肿瘤、结石、梗阻、血管瘤、肝硬化、脂肪肝等，提供高清晰度的动态彩色超声诊断图像</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双肾输尿管膀胱彩超</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双肾、输尿管、膀胱彩超</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检查诊断炎症、囊肿、肿瘤、结石、肾癌、游走肾、膀胱癌、膀胱畸形、输尿管膀胱积水等，提供高清晰度的动态彩色超声诊断图像</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经腹子宫附件彩超</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子宫、附件彩超</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清晰的观察子宫、卵巢、盆腔等生殖器是否有病变发生，如子宫肌瘤、囊肿等</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乳腺超声</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乳腺彩超</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可发现和鉴别乳腺炎、乳腺纤维瘤、囊性增生、小叶增生、乳腺癌等疾病</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甲状腺彩超</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甲状腺彩超</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主要了解甲状腺瘤、甲状腺癌、甲亢、甲状腺结节等疾病形态学的改变</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前列腺彩超</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前列腺彩超</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检查能较好的显示前列腺的形态、大小，对于前列腺增生、肥大、钙化等疾病具有诊断意义。提供高清晰度的动态彩色超声断层图像诊断</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血常规</w:t>
                  </w:r>
                  <w:r>
                    <w:rPr>
                      <w:sz w:val="21"/>
                      <w:b/>
                    </w:rPr>
                    <w:t>-5分类</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白细胞计数</w:t>
                  </w:r>
                  <w:r>
                    <w:rPr>
                      <w:sz w:val="21"/>
                    </w:rPr>
                    <w:t>(WBC)、红细胞计数(RBC)、血红蛋白浓度(HGB)、血小板计数(PLT)、红细胞压积(HCT)、平均红细胞体积(MCV)、平均红细胞血红蛋白含量(MCH)、平均红细胞血红蛋白浓度(MCHC)、红细胞体积分布宽度(RDW)、血小板压积(PCT)、平均血小板体积(MPV)、血小板分布宽度(PDW)、中性粒细胞数目(Gran＃)、淋巴细胞数目(Lymph＃)、中性粒细胞百分比(Gran%)、淋巴细胞百分比(LYM%)、嗜酸性粒细胞数目、嗜酸性粒细胞百分比、嗜碱性粒细胞数目、嗜碱性粒细胞百分比、单核细胞数目、单核细胞百分比</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通过检测血液细胞的计数及不同种类细胞、成分的分类来反映身体状况，如：贫血、感染、血液系统疾病、物理化学因素损伤等</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肝功能</w:t>
                  </w:r>
                  <w:r>
                    <w:rPr>
                      <w:sz w:val="21"/>
                      <w:b/>
                    </w:rPr>
                    <w:t>5项（2）</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丙氨酸氨基转移酶</w:t>
                  </w:r>
                  <w:r>
                    <w:rPr>
                      <w:sz w:val="21"/>
                    </w:rPr>
                    <w:t>(ALT)、天门冬氨酸氨基转移酶(AST)、白蛋白(ALB)、直接胆红素(DBIL)、总胆红素(TBIL)</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了解肝脏功能情况，是否有肝细胞损害、肝脏疾病及胆道疾病等病症</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血脂三项</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甘油三酯</w:t>
                  </w:r>
                  <w:r>
                    <w:rPr>
                      <w:sz w:val="21"/>
                    </w:rPr>
                    <w:t>(TG)、总胆固醇(CHOL)、高密度脂蛋白（HDL）</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用于评估受检者的脂肪代谢水平及血脂代谢紊乱评价、动脉粥样硬化性疾病危险性预测和营养学评价</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肾功能</w:t>
                  </w:r>
                  <w:r>
                    <w:rPr>
                      <w:sz w:val="21"/>
                      <w:b/>
                    </w:rPr>
                    <w:t>3项</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尿素氮</w:t>
                  </w:r>
                  <w:r>
                    <w:rPr>
                      <w:sz w:val="21"/>
                    </w:rPr>
                    <w:t>(Urea)、肌酐（CR）、尿酸（UA）</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主要用于了解肾功能异常，痛风，尿酸偏高等</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空腹血糖测定</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血糖</w:t>
                  </w:r>
                  <w:r>
                    <w:rPr>
                      <w:sz w:val="21"/>
                    </w:rPr>
                    <w:t>②(GLU)</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从血糖水平了解是否有低血糖、糖尿病</w:t>
                  </w:r>
                  <w:r>
                    <w:rPr>
                      <w:sz w:val="21"/>
                    </w:rPr>
                    <w:t>.了解血糖控制情况等</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脂联素测定</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脂联素</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脂联素：是脂肪细胞分泌的一种内源性生物活性多肽或蛋白质，是一种胰岛素增敏激素，可提前</w:t>
                  </w:r>
                  <w:r>
                    <w:rPr>
                      <w:sz w:val="21"/>
                    </w:rPr>
                    <w:t>3-5年预测糖尿病的发生。对II型糖尿病和冠心病的发展能起到预警作用。脂联素在血液中含量稳定，检测时不受进食与否、情绪波动等因素影响</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EB病毒衣壳抗原IgA抗体测定</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EB病毒衣壳抗原IgA抗体测定</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主要用于鼻咽癌的早期筛查或检测因</w:t>
                  </w:r>
                  <w:r>
                    <w:rPr>
                      <w:sz w:val="21"/>
                    </w:rPr>
                    <w:t>EB病毒感染的鼻咽炎</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甲胎蛋白测定（定量）</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甲胎蛋白定量</w:t>
                  </w:r>
                  <w:r>
                    <w:rPr>
                      <w:sz w:val="21"/>
                    </w:rPr>
                    <w:t>(AFP)</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可提示有无原发性肝癌，生殖腺胚胎性肿瘤，肝硬化等</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癌胚抗原测定（定量）</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癌胚抗原定量</w:t>
                  </w:r>
                  <w:r>
                    <w:rPr>
                      <w:sz w:val="21"/>
                    </w:rPr>
                    <w:t>(CEA)</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为广谱肿瘤标志物，可提示直肠癌、结肠癌、肺癌、乳腺癌、胰腺癌等</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碳</w:t>
                  </w:r>
                  <w:r>
                    <w:rPr>
                      <w:sz w:val="21"/>
                      <w:b/>
                    </w:rPr>
                    <w:t>14尿素呼气试验</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碳</w:t>
                  </w:r>
                  <w:r>
                    <w:rPr>
                      <w:sz w:val="21"/>
                    </w:rPr>
                    <w:t>14呼气试验</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通过吹气了解胃内有无幽门螺旋杆菌感染，此感染与胃炎、消化性溃疡、胃癌等发病有密切关系</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妇科常规检查</w:t>
                  </w:r>
                  <w:r>
                    <w:rPr>
                      <w:sz w:val="21"/>
                      <w:b/>
                    </w:rPr>
                    <w:t>(已婚)</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妇科常规检查</w:t>
                  </w:r>
                  <w:r>
                    <w:rPr>
                      <w:sz w:val="21"/>
                    </w:rPr>
                    <w:t>(已婚)</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检查女性生殖器有无异常改变、有无宫颈及阴道异常病变</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白带常规</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白带常规</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了解阴道分泌物的清洁度，阴道有无炎症、霉菌、滴虫等感染性疾病</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宫颈涂片</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宫颈涂片</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又称宫颈细胞巴氏分级，主要是宫颈癌细胞学检查，能检查出部分癌前病变以及微生物的感染。不建议用于早期宫颈癌的检测</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身高、体重、体重指数</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身高、体重</w:t>
                  </w:r>
                  <w:r>
                    <w:rPr>
                      <w:sz w:val="21"/>
                    </w:rPr>
                    <w:t>BMI18.5-23.9</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身高</w:t>
                  </w:r>
                  <w:r>
                    <w:rPr>
                      <w:sz w:val="21"/>
                    </w:rPr>
                    <w:t>、体重是人体的基本健康状态参数，通过身高与体重得出体重指数，判断是否有体重不足、超重或肥胖；为相关科室的诊断提供依据</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血压</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血压（</w:t>
                  </w:r>
                  <w:r>
                    <w:rPr>
                      <w:sz w:val="21"/>
                    </w:rPr>
                    <w:t>BP）</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可以清楚自己的血压情况，对起居，饮食，用药，保健等有重要的指导作用</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内科常规检查</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心、肺听诊，腹部触诊</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初步排查心、肺、肝、脾、胰、肾以及腹部等器官的疾病</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常规心电图检查</w:t>
                  </w:r>
                  <w:r>
                    <w:rPr>
                      <w:sz w:val="21"/>
                      <w:b/>
                    </w:rPr>
                    <w:t>(12导联)</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十二导心电图</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用于心肌梗死、心律失常、心肌缺血等心脏疾病的检查</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尿常规</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比重、酸碱度、尿糖、酮体、尿白细胞、隐血、尿胆原、尿胆红素、尿蛋白、亚硝酸盐、维生素</w:t>
                  </w:r>
                  <w:r>
                    <w:rPr>
                      <w:sz w:val="21"/>
                    </w:rPr>
                    <w:t>C、尿镜检4项</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可提示有无泌尿系统疾患：如急、慢性肾炎，肾盂肾炎，膀胱炎，尿道炎，肾病综合征，狼疮性肾炎，血红蛋白尿，肾梗塞、肾小管重金属盐及药物导致急性肾小管坏死，肾或膀胱肿瘤以及有无尿糖等</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319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最高限价（元</w:t>
                  </w:r>
                  <w:r>
                    <w:rPr>
                      <w:sz w:val="21"/>
                    </w:rPr>
                    <w:t>/人）</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bl>
          <w:p>
            <w:pPr>
              <w:pStyle w:val="null3"/>
              <w:jc w:val="both"/>
            </w:pPr>
            <w:r>
              <w:rPr>
                <w:sz w:val="21"/>
                <w:b/>
              </w:rPr>
              <w:t>2、2024年体检方案B（40岁以上）</w:t>
            </w:r>
          </w:p>
          <w:tbl>
            <w:tblPr>
              <w:tblInd w:type="dxa" w:w="90"/>
              <w:tblBorders>
                <w:top w:val="none" w:color="000000" w:sz="4"/>
                <w:left w:val="none" w:color="000000" w:sz="4"/>
                <w:bottom w:val="none" w:color="000000" w:sz="4"/>
                <w:right w:val="none" w:color="000000" w:sz="4"/>
                <w:insideH w:val="none"/>
                <w:insideV w:val="none"/>
              </w:tblBorders>
            </w:tblPr>
            <w:tblGrid>
              <w:gridCol w:w="281"/>
              <w:gridCol w:w="572"/>
              <w:gridCol w:w="1394"/>
              <w:gridCol w:w="2077"/>
              <w:gridCol w:w="381"/>
              <w:gridCol w:w="441"/>
              <w:gridCol w:w="451"/>
            </w:tblGrid>
            <w:tr>
              <w:tc>
                <w:tcPr>
                  <w:tcW w:type="dxa" w:w="28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NO</w:t>
                  </w:r>
                </w:p>
              </w:tc>
              <w:tc>
                <w:tcPr>
                  <w:tcW w:type="dxa" w:w="57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体检项名称</w:t>
                  </w:r>
                </w:p>
              </w:tc>
              <w:tc>
                <w:tcPr>
                  <w:tcW w:type="dxa" w:w="139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体检项目明细</w:t>
                  </w:r>
                </w:p>
              </w:tc>
              <w:tc>
                <w:tcPr>
                  <w:tcW w:type="dxa" w:w="207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临床意义</w:t>
                  </w:r>
                </w:p>
              </w:tc>
              <w:tc>
                <w:tcPr>
                  <w:tcW w:type="dxa" w:w="1273"/>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类别</w:t>
                  </w:r>
                </w:p>
              </w:tc>
            </w:tr>
            <w:tr>
              <w:tc>
                <w:tcPr>
                  <w:tcW w:type="dxa" w:w="281"/>
                  <w:vMerge/>
                  <w:tcBorders>
                    <w:top w:val="single" w:color="000000" w:sz="4"/>
                    <w:left w:val="single" w:color="000000" w:sz="4"/>
                    <w:bottom w:val="single" w:color="000000" w:sz="4"/>
                    <w:right w:val="single" w:color="000000" w:sz="4"/>
                  </w:tcBorders>
                </w:tcPr>
                <w:p/>
              </w:tc>
              <w:tc>
                <w:tcPr>
                  <w:tcW w:type="dxa" w:w="572"/>
                  <w:vMerge/>
                  <w:tcBorders>
                    <w:top w:val="single" w:color="000000" w:sz="4"/>
                    <w:left w:val="none" w:color="000000" w:sz="4"/>
                    <w:bottom w:val="single" w:color="000000" w:sz="4"/>
                    <w:right w:val="single" w:color="000000" w:sz="4"/>
                  </w:tcBorders>
                </w:tcPr>
                <w:p/>
              </w:tc>
              <w:tc>
                <w:tcPr>
                  <w:tcW w:type="dxa" w:w="1394"/>
                  <w:vMerge/>
                  <w:tcBorders>
                    <w:top w:val="single" w:color="000000" w:sz="4"/>
                    <w:left w:val="none" w:color="000000" w:sz="4"/>
                    <w:bottom w:val="single" w:color="000000" w:sz="4"/>
                    <w:right w:val="single" w:color="000000" w:sz="4"/>
                  </w:tcBorders>
                </w:tcPr>
                <w:p/>
              </w:tc>
              <w:tc>
                <w:tcPr>
                  <w:tcW w:type="dxa" w:w="2077"/>
                  <w:vMerge/>
                  <w:tcBorders>
                    <w:top w:val="single" w:color="000000" w:sz="4"/>
                    <w:left w:val="none" w:color="000000" w:sz="4"/>
                    <w:bottom w:val="single" w:color="000000" w:sz="4"/>
                    <w:right w:val="single" w:color="000000" w:sz="4"/>
                  </w:tcBorders>
                </w:tcP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男</w:t>
                  </w:r>
                </w:p>
              </w:tc>
              <w:tc>
                <w:tcPr>
                  <w:tcW w:type="dxa" w:w="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女</w:t>
                  </w:r>
                  <w:r>
                    <w:rPr>
                      <w:sz w:val="21"/>
                      <w:b/>
                    </w:rPr>
                    <w:t xml:space="preserve">           </w:t>
                  </w:r>
                  <w:r>
                    <w:rPr>
                      <w:sz w:val="21"/>
                      <w:b/>
                    </w:rPr>
                    <w:t>（不含妇科）</w:t>
                  </w:r>
                </w:p>
              </w:tc>
              <w:tc>
                <w:tcPr>
                  <w:tcW w:type="dxa" w:w="4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女</w:t>
                  </w:r>
                  <w:r>
                    <w:rPr>
                      <w:sz w:val="21"/>
                      <w:b/>
                    </w:rPr>
                    <w:t xml:space="preserve">          </w:t>
                  </w:r>
                  <w:r>
                    <w:rPr>
                      <w:sz w:val="21"/>
                      <w:b/>
                    </w:rPr>
                    <w:t>（含妇科）</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胸部低剂量螺旋</w:t>
                  </w:r>
                  <w:r>
                    <w:rPr>
                      <w:sz w:val="21"/>
                      <w:b/>
                    </w:rPr>
                    <w:t>CT(不出片）</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肺部</w:t>
                  </w:r>
                  <w:r>
                    <w:rPr>
                      <w:sz w:val="21"/>
                    </w:rPr>
                    <w:t>CT</w:t>
                  </w:r>
                  <w:r>
                    <w:rPr>
                      <w:sz w:val="21"/>
                      <w:b/>
                    </w:rPr>
                    <w:t>(肺癌筛查金标准之一）</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T是用X线束对人体某部位一定厚度的层面进行扫描，如切面包样，每个层面约0.5mm，可清晰分辨出肺部5mm及以上的早期病灶，能显示“肺门、肺纹理、肺实质的炎症、良性肿瘤、癌症、结核、以及肺大泡、气管与支气管阻塞、炎症、扩张与癌变”以及“纵隔、胸膜﹑肋骨及胸壁软组织” 的淋巴肿大、积液及各类性质的包块等病灶</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肝胆脾胰彩超</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肝胆脾胰彩超</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更清晰的诊断其炎症、囊肿、肿瘤、结石、梗阻、血管瘤、肝硬化、脂肪肝等，提供高清晰度的动态彩色超声诊断图像</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双肾输尿管膀胱彩超</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双肾、输尿管、膀胱彩超</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检查诊断炎症、囊肿、肿瘤、结石、肾癌、游走肾、膀胱癌、膀胱畸形、输尿管膀胱积水等，提供高清晰度的动态彩色超声诊断图像</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经腹子宫附件彩超</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子宫、附件彩超</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清晰的观察子宫、卵巢、盆腔等生殖器是否有病变发生，如子宫肌瘤、囊肿等</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乳腺超声</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乳腺彩超</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可发现和鉴别乳腺炎、乳腺纤维瘤、囊性增生、小叶增生、乳腺癌等疾病</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前列腺彩超</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前列腺彩超</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检查能较好的显示前列腺的形态、大小，对于前列腺增生、肥大、钙化等疾病具有诊断意义。提供高清晰度的动态彩色超声断层图像诊断</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血常规</w:t>
                  </w:r>
                  <w:r>
                    <w:rPr>
                      <w:sz w:val="21"/>
                      <w:b/>
                    </w:rPr>
                    <w:t>-5分类</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白细胞计数</w:t>
                  </w:r>
                  <w:r>
                    <w:rPr>
                      <w:sz w:val="21"/>
                    </w:rPr>
                    <w:t>(WBC)、红细胞计数(RBC)、血红蛋白浓度(HGB)、血小板计数(PLT)、红细胞压积(HCT)、平均红细胞体积(MCV)、平均红细胞血红蛋白含量(MCH)、平均红细胞血红蛋白浓度(MCHC)、红细胞体积分布宽度(RDW)、血小板压积(PCT)、平均血小板体积(MPV)、血小板分布宽度(PDW)、中性粒细胞数目(Gran＃)、淋巴细胞数目(Lymph＃)、中性粒细胞百分比(Gran%)、淋巴细胞百分比(LYM%)、嗜酸性粒细胞数目、嗜酸性粒细胞百分比、嗜碱性粒细胞数目、嗜碱性粒细胞百分比、单核细胞数目、单核细胞百分比</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通过检测血液细胞的计数及不同种类细胞、成分的分类来反映身体状况，如：贫血、感染、血液系统疾病、物理化学因素损伤等</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肝功能</w:t>
                  </w:r>
                  <w:r>
                    <w:rPr>
                      <w:sz w:val="21"/>
                      <w:b/>
                    </w:rPr>
                    <w:t>5项（2）</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丙氨酸氨基转移酶</w:t>
                  </w:r>
                  <w:r>
                    <w:rPr>
                      <w:sz w:val="21"/>
                    </w:rPr>
                    <w:t>(ALT)、天门冬氨酸氨基转移酶(AST)、白蛋白(ALB)、直接胆红素(DBIL)、总胆红素(TBIL)</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了解肝脏功能情况，是否有肝细胞损害、肝脏疾病及胆道疾病等病症</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甘油三酯</w:t>
                  </w:r>
                  <w:r>
                    <w:rPr>
                      <w:sz w:val="21"/>
                      <w:b/>
                    </w:rPr>
                    <w:t>(TG)、总胆固醇(CHOL)、高密度脂蛋白（HDL）</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用于评估受检者的脂肪代谢水平及血脂代谢紊乱评价、动脉粥样硬化性疾病危险性预测和营养学评价</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用于评估受检者的脂肪代谢水平及血脂代谢紊乱评价、动脉粥样硬化性疾病危险性预测和营养学评价</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肾功能</w:t>
                  </w:r>
                  <w:r>
                    <w:rPr>
                      <w:sz w:val="21"/>
                      <w:b/>
                    </w:rPr>
                    <w:t>3项</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尿素氮</w:t>
                  </w:r>
                  <w:r>
                    <w:rPr>
                      <w:sz w:val="21"/>
                    </w:rPr>
                    <w:t>(Urea)、肌酐（CR）、尿酸（UA）</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主要用于了解肾功能异常，痛风，尿酸偏高等</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空腹血糖测定</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血糖</w:t>
                  </w:r>
                  <w:r>
                    <w:rPr>
                      <w:sz w:val="21"/>
                    </w:rPr>
                    <w:t>②(GLU)</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从血糖水平了解是否有低血糖、糖尿病</w:t>
                  </w:r>
                  <w:r>
                    <w:rPr>
                      <w:sz w:val="21"/>
                    </w:rPr>
                    <w:t>.了解血糖控制情况等</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血清肌酸激酶测定</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肌酸激酶</w:t>
                  </w:r>
                  <w:r>
                    <w:rPr>
                      <w:sz w:val="21"/>
                    </w:rPr>
                    <w:t>(CK)</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以骨骼肌、心肌、平滑肌含量为多，其次是脑组织。剧烈运动可引起生理性增高。同时可用于心肌梗死、病毒性心肌炎、皮肌炎、肌营养不良、心包炎、脑血管意外等病理性疾病</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血清乳酸脱氢酶测定</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乳酸脱氢酶</w:t>
                  </w:r>
                  <w:r>
                    <w:rPr>
                      <w:sz w:val="21"/>
                    </w:rPr>
                    <w:t>(LDH)</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用于心肌梗塞、心肌炎、肌肉损伤等辅助诊断</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血同型半胱氨酸测定</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同型半胱氨酸（</w:t>
                  </w:r>
                  <w:r>
                    <w:rPr>
                      <w:sz w:val="21"/>
                    </w:rPr>
                    <w:t>HCY）</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用于高血压、冠心病、动脉硬化、心梗、脑梗等的早期预警</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超敏</w:t>
                  </w:r>
                  <w:r>
                    <w:rPr>
                      <w:sz w:val="21"/>
                      <w:b/>
                    </w:rPr>
                    <w:t>C反应蛋白测定</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超敏</w:t>
                  </w:r>
                  <w:r>
                    <w:rPr>
                      <w:sz w:val="21"/>
                    </w:rPr>
                    <w:t>C  反应蛋白 （hs-CRP）</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作为炎症标志物，能反映心血管疾病的严重性和致命性；用以评价冠状血管炎症病变造成的心肌缺血程度；预示动脉粥样斑块是否稳定</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幽门螺杆菌抗体</w:t>
                  </w:r>
                  <w:r>
                    <w:rPr>
                      <w:sz w:val="21"/>
                      <w:b/>
                    </w:rPr>
                    <w:t>IgG测定</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幽门螺旋杆菌抗体</w:t>
                  </w:r>
                  <w:r>
                    <w:rPr>
                      <w:sz w:val="21"/>
                    </w:rPr>
                    <w:t>(HP-IgG)</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主要用于了解胃内有无幽门螺旋杆菌感染或曾经感染过，此感染与胃炎、消化性溃疡、胃癌等发病有密切关系</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脂联素测定</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脂联素</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脂联素：是脂肪细胞分泌的一种内源性生物活性多肽或蛋白质，是一种胰岛素增敏激素，可提前</w:t>
                  </w:r>
                  <w:r>
                    <w:rPr>
                      <w:sz w:val="21"/>
                    </w:rPr>
                    <w:t>3-5年预测糖尿病的发生。对II型糖尿病和冠心病的发展能起到预警作用。脂联素在血液中含量稳定，检测时不受进食与否、情绪波动等因素影响</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EB病毒衣壳抗原IgA抗体测定</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EB病毒衣壳抗原IgA抗体测定</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主要用于鼻咽癌的早期筛查或检测因</w:t>
                  </w:r>
                  <w:r>
                    <w:rPr>
                      <w:sz w:val="21"/>
                    </w:rPr>
                    <w:t>EB病毒感染的鼻咽炎</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甲胎蛋白测定（定量）</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甲胎蛋白定量</w:t>
                  </w:r>
                  <w:r>
                    <w:rPr>
                      <w:sz w:val="21"/>
                    </w:rPr>
                    <w:t>(AFP)</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可提示有无原发性肝癌，生殖腺胚胎性肿瘤，肝硬化等</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癌胚抗原测定（定量）</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癌胚抗原定量</w:t>
                  </w:r>
                  <w:r>
                    <w:rPr>
                      <w:sz w:val="21"/>
                    </w:rPr>
                    <w:t>(CEA)</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为广谱肿瘤标志物，可提示直肠癌、结肠癌、肺癌、乳腺癌、胰腺癌等</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妇科常规检查</w:t>
                  </w:r>
                  <w:r>
                    <w:rPr>
                      <w:sz w:val="21"/>
                      <w:b/>
                    </w:rPr>
                    <w:t>(已婚)</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妇科常规检查</w:t>
                  </w:r>
                  <w:r>
                    <w:rPr>
                      <w:sz w:val="21"/>
                    </w:rPr>
                    <w:t>(已婚)</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检查女性生殖器有无异常改变、有无宫颈及阴道异常病变</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白带常规</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白带常规</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了解阴道分泌物的清洁度，阴道有无炎症、霉菌、滴虫等感染性疾病</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宫颈涂片</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宫颈涂片</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又称宫颈细胞巴氏分级，主要是宫颈癌细胞学检查，能检查出部分癌前病变以及微生物的感染。不建议用于早期宫颈癌的检测</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身高、体重、体重指数</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身高、体重</w:t>
                  </w:r>
                  <w:r>
                    <w:rPr>
                      <w:sz w:val="21"/>
                    </w:rPr>
                    <w:t>BMI18.5-23.9</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身高</w:t>
                  </w:r>
                  <w:r>
                    <w:rPr>
                      <w:sz w:val="21"/>
                    </w:rPr>
                    <w:t>、体重是人体的基本健康状态参数，通过身高与体重得出体重指数，判断是否有体重不足、超重或肥胖；为相关科室的诊断提供依据</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血压</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血压（</w:t>
                  </w:r>
                  <w:r>
                    <w:rPr>
                      <w:sz w:val="21"/>
                    </w:rPr>
                    <w:t>BP）</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可以清楚自己的血压情况，对起居，饮食，用药，保健等有重要的指导作用</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内科常规检查</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心、肺听诊，腹部触诊</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初步排查心、肺、肝、脾、胰、肾以及腹部等器官的疾病</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常规心电图检查</w:t>
                  </w:r>
                  <w:r>
                    <w:rPr>
                      <w:sz w:val="21"/>
                      <w:b/>
                    </w:rPr>
                    <w:t>(12导联)</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十二导心电图</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用于心肌梗死、心律失常、心肌缺血等心脏疾病的检查</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尿常规</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比重、酸碱度、尿糖、酮体、尿白细胞、隐血、尿胆原、尿胆红素、尿蛋白、亚硝酸盐、维生素</w:t>
                  </w:r>
                  <w:r>
                    <w:rPr>
                      <w:sz w:val="21"/>
                    </w:rPr>
                    <w:t>C、尿镜检4项</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可提示有无泌尿系统疾患：如急、慢性肾炎，肾盂肾炎，膀胱炎，尿道炎，肾病综合征，狼疮性肾炎，血红蛋白尿，肾梗塞、肾小管重金属盐及药物导致急性肾小管坏死，肾或膀胱肿瘤以及有无尿糖等</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32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最高限价（元</w:t>
                  </w:r>
                  <w:r>
                    <w:rPr>
                      <w:sz w:val="21"/>
                    </w:rPr>
                    <w:t>/人）</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东莞市体育彩票管理中心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(2024年东莞体彩实体店从业人员体检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采购包1（2024年东莞体彩实体店从业人员体检服务采购项目）：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采购包1（2024年东莞体彩实体店从业人员体检服务采购项目）：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 重大违法记录，是指供应商因违法经营受到刑事处罚或者责令停产停业、吊销许可证或者执照、较大数额罚款等行政处罚。可参考公告附件格式。（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 及中国政府采购网（http://www.ccgp.gov.cn/） 查询结果为准， 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特殊资质</w:t>
            </w:r>
          </w:p>
        </w:tc>
        <w:tc>
          <w:tcPr>
            <w:tcW w:type="dxa" w:w="4238"/>
          </w:tcPr>
          <w:p>
            <w:pPr>
              <w:pStyle w:val="null3"/>
            </w:pPr>
            <w:r>
              <w:rPr/>
              <w:t>投标人须具有有效期内的《医疗机构执业许可证》（注：须提供证书复印件并加盖投标人公章）。</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本项目不属于专门面向中小企业的采购项目</w:t>
            </w:r>
          </w:p>
        </w:tc>
      </w:tr>
    </w:tbl>
    <w:p>
      <w:pPr>
        <w:pStyle w:val="null3"/>
        <w:ind w:firstLine="480"/>
      </w:pPr>
      <w:r>
        <w:rPr/>
        <w:t>表二符合性审查表：</w:t>
      </w:r>
    </w:p>
    <w:p>
      <w:pPr>
        <w:pStyle w:val="null3"/>
      </w:pPr>
      <w:r>
        <w:rPr/>
        <w:t>采购包1（2024年东莞体彩实体店从业人员体检服务采购项目）：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采购包1(2024年东莞体彩实体店从业人员体检服务采购项目):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体检服务方案 (10.0分)</w:t>
            </w:r>
            <w:r>
              <w:rPr/>
              <w:t>，（等次分值选择：</w:t>
            </w:r>
            <w:r>
              <w:rPr/>
              <w:t>0.0;</w:t>
            </w:r>
            <w:r>
              <w:rPr/>
              <w:t>1.0;</w:t>
            </w:r>
            <w:r>
              <w:rPr/>
              <w:t>3.0;</w:t>
            </w:r>
            <w:r>
              <w:rPr/>
              <w:t>6.0;</w:t>
            </w:r>
            <w:r>
              <w:rPr/>
              <w:t>10.0;</w:t>
            </w:r>
            <w:r>
              <w:rPr/>
              <w:t>）</w:t>
            </w:r>
          </w:p>
        </w:tc>
        <w:tc>
          <w:tcPr>
            <w:tcW w:type="dxa" w:w="5076"/>
          </w:tcPr>
          <w:p>
            <w:pPr>
              <w:pStyle w:val="null3"/>
              <w:jc w:val="left"/>
            </w:pPr>
            <w:r>
              <w:rPr/>
              <w:t>根据投标人提供的体验服务方案的合理性、可操作性、重点突出等方面进行评审： ①实施方案合理，可操作性强，构思方案全，对本项目的理解把握程度和整体思路到位，重点较突出，难点分析较到位，人员管理、服务计划进度安排等方面，服务能力强，得10分； ②实施方案较合理，可操作性较强，构思方案较全，对本项目的理解把握程度和整体思路较到位，重点突出，难点分析较到位，人员管理、服务计划进度安排、案件分析举例、应急处理等方面，服务能力较强，得6分； ③实施方案较差，可操作性较差，构思方案较缺失，对本项目的理解把握程度和整体思路，重点不够突出，人员管理、服务计划进度安排等方面，服务能力较差，得3分； ④实施方案不合理，可操作性差，构思方案缺失，对本项目的理解把握程度和整体思路不位，重点不突出，难点分析不到位，服务能力较差，得1分； ⑤未提供对应方案的不得分。</w:t>
            </w:r>
          </w:p>
        </w:tc>
      </w:tr>
      <w:tr>
        <w:tc>
          <w:tcPr>
            <w:tcW w:type="dxa" w:w="922"/>
            <w:gridSpan w:val="2"/>
            <w:vMerge/>
          </w:tcPr>
          <w:p/>
        </w:tc>
        <w:tc>
          <w:tcPr>
            <w:tcW w:type="dxa" w:w="2307"/>
          </w:tcPr>
          <w:p>
            <w:pPr>
              <w:pStyle w:val="null3"/>
              <w:jc w:val="left"/>
            </w:pPr>
            <w:r>
              <w:rPr/>
              <w:t>体检流程 (10.0分)</w:t>
            </w:r>
            <w:r>
              <w:rPr/>
              <w:t>，（等次分值选择：</w:t>
            </w:r>
            <w:r>
              <w:rPr/>
              <w:t>0.0;</w:t>
            </w:r>
            <w:r>
              <w:rPr/>
              <w:t>1.0;</w:t>
            </w:r>
            <w:r>
              <w:rPr/>
              <w:t>3.0;</w:t>
            </w:r>
            <w:r>
              <w:rPr/>
              <w:t>6.0;</w:t>
            </w:r>
            <w:r>
              <w:rPr/>
              <w:t>10.0;</w:t>
            </w:r>
            <w:r>
              <w:rPr/>
              <w:t>）</w:t>
            </w:r>
          </w:p>
        </w:tc>
        <w:tc>
          <w:tcPr>
            <w:tcW w:type="dxa" w:w="5076"/>
          </w:tcPr>
          <w:p>
            <w:pPr>
              <w:pStyle w:val="null3"/>
              <w:jc w:val="left"/>
            </w:pPr>
            <w:r>
              <w:rPr/>
              <w:t>根据投标人所提供的体检流程进行评审： ①体检流程非常简单明了，方便快捷、有序且高效，得10分； ②体检流程比较简单明了，方便快捷、比较有序、比较高效，得6分； ③体检流程比较明了，方便快捷性一般、高效性一般，得3分； ④体检流程复杂，不方便，不快捷，1分； ⑤未提供体检流程的不得分。</w:t>
            </w:r>
          </w:p>
        </w:tc>
      </w:tr>
      <w:tr>
        <w:tc>
          <w:tcPr>
            <w:tcW w:type="dxa" w:w="922"/>
            <w:gridSpan w:val="2"/>
            <w:vMerge/>
          </w:tcPr>
          <w:p/>
        </w:tc>
        <w:tc>
          <w:tcPr>
            <w:tcW w:type="dxa" w:w="2307"/>
          </w:tcPr>
          <w:p>
            <w:pPr>
              <w:pStyle w:val="null3"/>
              <w:jc w:val="left"/>
            </w:pPr>
            <w:r>
              <w:rPr/>
              <w:t>突发情况处理方案 (10.0分)</w:t>
            </w:r>
            <w:r>
              <w:rPr/>
              <w:t>，（等次分值选择：</w:t>
            </w:r>
            <w:r>
              <w:rPr/>
              <w:t>0.0;</w:t>
            </w:r>
            <w:r>
              <w:rPr/>
              <w:t>1.0;</w:t>
            </w:r>
            <w:r>
              <w:rPr/>
              <w:t>3.0;</w:t>
            </w:r>
            <w:r>
              <w:rPr/>
              <w:t>6.0;</w:t>
            </w:r>
            <w:r>
              <w:rPr/>
              <w:t>10.0;</w:t>
            </w:r>
            <w:r>
              <w:rPr/>
              <w:t>）</w:t>
            </w:r>
          </w:p>
        </w:tc>
        <w:tc>
          <w:tcPr>
            <w:tcW w:type="dxa" w:w="5076"/>
          </w:tcPr>
          <w:p>
            <w:pPr>
              <w:pStyle w:val="null3"/>
              <w:jc w:val="left"/>
            </w:pPr>
            <w:r>
              <w:rPr/>
              <w:t>根据投标人所提供的突发情况处理方案的完善性、可行性、专业性等方面进行评审： ①如在体检过程中发现有突发情况及危急值结果的情况，投标人处理非常完善、可行、专业的处理措施的，得10分； ②如在体检过程中发现有突发情况及危急值结果的情况，投标人相应处理措施，措施较专业、较完善的，得6分； ③如在体检过程中发现有突发情况及危急值结果的情况，投标人相应处理措施，措施不够专业、不够完善的，得3分； ④如在体检过程中发现有突发情况及危急值结果的情况，投标人没有相应处理措施得1分； ⑤未提供对应方案的不得分。</w:t>
            </w:r>
          </w:p>
        </w:tc>
      </w:tr>
      <w:tr>
        <w:tc>
          <w:tcPr>
            <w:tcW w:type="dxa" w:w="922"/>
            <w:gridSpan w:val="2"/>
            <w:vMerge/>
          </w:tcPr>
          <w:p/>
        </w:tc>
        <w:tc>
          <w:tcPr>
            <w:tcW w:type="dxa" w:w="2307"/>
          </w:tcPr>
          <w:p>
            <w:pPr>
              <w:pStyle w:val="null3"/>
              <w:jc w:val="left"/>
            </w:pPr>
            <w:r>
              <w:rPr/>
              <w:t>健康档案管理及检前、检后服务方案 (10.0分)</w:t>
            </w:r>
            <w:r>
              <w:rPr/>
              <w:t>，（等次分值选择：</w:t>
            </w:r>
            <w:r>
              <w:rPr/>
              <w:t>0.0;</w:t>
            </w:r>
            <w:r>
              <w:rPr/>
              <w:t>1.0;</w:t>
            </w:r>
            <w:r>
              <w:rPr/>
              <w:t>3.0;</w:t>
            </w:r>
            <w:r>
              <w:rPr/>
              <w:t>6.0;</w:t>
            </w:r>
            <w:r>
              <w:rPr/>
              <w:t>10.0;</w:t>
            </w:r>
            <w:r>
              <w:rPr/>
              <w:t>）</w:t>
            </w:r>
          </w:p>
        </w:tc>
        <w:tc>
          <w:tcPr>
            <w:tcW w:type="dxa" w:w="5076"/>
          </w:tcPr>
          <w:p>
            <w:pPr>
              <w:pStyle w:val="null3"/>
              <w:jc w:val="left"/>
            </w:pPr>
            <w:r>
              <w:rPr/>
              <w:t>根据投标人所提供的健康档案管理及检前、检后服务方案的全面性、合理性、完善性等方面进行评审： ①健康档案管理能实现信息化，检前、检后服务方案全面、完善，合理性强，建立及完善个人独立的健康档案（含纸质和电子版），得10分； ②健康档案管理能实现信息化，检前、检后服务方案较完善但不够全面、有合理性，建立及完善个人独立的健康档案（含纸质和电子版），得6分； ③健康档案管理能实现信息化，检前、检后服务方案不够全面、合理性欠缺，建立及完善个人独立的健康档案（有纸质或者电子版），得3分； ④未提供健康档案管理及检前、检后服务方案的，或者健康档案管理不能实现信息化，不能建立及完善个人独立的健康档案，得1分。 ⑤未提供对应方案的不得分。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(6.0分)</w:t>
            </w:r>
          </w:p>
        </w:tc>
        <w:tc>
          <w:tcPr>
            <w:tcW w:type="dxa" w:w="5076"/>
          </w:tcPr>
          <w:p>
            <w:pPr>
              <w:pStyle w:val="null3"/>
              <w:jc w:val="left"/>
            </w:pPr>
            <w:r>
              <w:rPr/>
              <w:t>投标人具有由国家认监委批准设立的认证机构颁发并在有效期内的质量管理体系认证、环境管理体系认证、职业健康安全管理体系认证，每个得2分，最高得6分。 注：须提供有效证书复印件并加盖投标人公章，不符合以上要求的不得分。</w:t>
            </w:r>
          </w:p>
        </w:tc>
      </w:tr>
      <w:tr>
        <w:tc>
          <w:tcPr>
            <w:tcW w:type="dxa" w:w="922"/>
            <w:gridSpan w:val="2"/>
            <w:vMerge/>
          </w:tcPr>
          <w:p/>
        </w:tc>
        <w:tc>
          <w:tcPr>
            <w:tcW w:type="dxa" w:w="2307"/>
          </w:tcPr>
          <w:p>
            <w:pPr>
              <w:pStyle w:val="null3"/>
              <w:jc w:val="left"/>
            </w:pPr>
            <w:r>
              <w:rPr/>
              <w:t>项目业绩情况 (15.0分)</w:t>
            </w:r>
          </w:p>
        </w:tc>
        <w:tc>
          <w:tcPr>
            <w:tcW w:type="dxa" w:w="5076"/>
          </w:tcPr>
          <w:p>
            <w:pPr>
              <w:pStyle w:val="null3"/>
              <w:jc w:val="left"/>
            </w:pPr>
            <w:r>
              <w:rPr/>
              <w:t>投标人具有健康体检类项目业绩的，每提供一个得3分，最高得15分。 注：须提供合同复印件并加盖投标人公章，否则不得分。</w:t>
            </w:r>
          </w:p>
        </w:tc>
      </w:tr>
      <w:tr>
        <w:tc>
          <w:tcPr>
            <w:tcW w:type="dxa" w:w="922"/>
            <w:gridSpan w:val="2"/>
            <w:vMerge/>
          </w:tcPr>
          <w:p/>
        </w:tc>
        <w:tc>
          <w:tcPr>
            <w:tcW w:type="dxa" w:w="2307"/>
          </w:tcPr>
          <w:p>
            <w:pPr>
              <w:pStyle w:val="null3"/>
              <w:jc w:val="left"/>
            </w:pPr>
            <w:r>
              <w:rPr/>
              <w:t>拟投入本项目人员 (10.0分)</w:t>
            </w:r>
          </w:p>
        </w:tc>
        <w:tc>
          <w:tcPr>
            <w:tcW w:type="dxa" w:w="5076"/>
          </w:tcPr>
          <w:p>
            <w:pPr>
              <w:pStyle w:val="null3"/>
              <w:jc w:val="left"/>
            </w:pPr>
            <w:r>
              <w:rPr/>
              <w:t>根据投标人拟投入本项目人员情况进行评审： 具备副主任医师（或以上）职称的，每提供一人得2分，本项最高得10分。 注：须提供相关人员证书复印件及投标人为其缴纳的2024年内任意一个月的社保证明材料复印件加盖投标人公章，不提供或提供不齐全的不得分。</w:t>
            </w:r>
          </w:p>
        </w:tc>
      </w:tr>
      <w:tr>
        <w:tc>
          <w:tcPr>
            <w:tcW w:type="dxa" w:w="922"/>
            <w:gridSpan w:val="2"/>
            <w:vMerge/>
          </w:tcPr>
          <w:p/>
        </w:tc>
        <w:tc>
          <w:tcPr>
            <w:tcW w:type="dxa" w:w="2307"/>
          </w:tcPr>
          <w:p>
            <w:pPr>
              <w:pStyle w:val="null3"/>
              <w:jc w:val="left"/>
            </w:pPr>
            <w:r>
              <w:rPr/>
              <w:t>拟投入本项目设备 (9.0分)</w:t>
            </w:r>
          </w:p>
        </w:tc>
        <w:tc>
          <w:tcPr>
            <w:tcW w:type="dxa" w:w="5076"/>
          </w:tcPr>
          <w:p>
            <w:pPr>
              <w:pStyle w:val="null3"/>
              <w:jc w:val="left"/>
            </w:pPr>
            <w:r>
              <w:rPr/>
              <w:t>根据投标人拟投入本项目的主要设备情况进行评审： ①具有CT机的，每提供一台得0.5分，本项最高得1.5分； ②具有心电图机的，每提供一台得0.5分，本项最高得3分； ③具有彩超机的，每提供一台得0.5分，本项最高得3分； ④具有经颅多普勒机的，每提供一台得0.5分，本项最高得1.5分。 注：（1）如设备为投标人自有：须提供设备购置发票复印件加盖投标人公章，不符合以上要求的不得分；（2）如设备为投标人租赁：须提供有效租赁合同复印件加盖投标人公章，不符合以上要求的不得分。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jc w:val="center"/>
      </w:pPr>
      <w:r>
        <w:rPr>
          <w:sz w:val="48"/>
          <w:b/>
        </w:rPr>
        <w:t>合同书</w:t>
      </w:r>
    </w:p>
    <w:p>
      <w:pPr>
        <w:pStyle w:val="null3"/>
        <w:jc w:val="center"/>
      </w:pPr>
      <w:r>
        <w:rPr>
          <w:sz w:val="28"/>
        </w:rPr>
        <w:t>采购计划编号：</w:t>
      </w:r>
    </w:p>
    <w:p>
      <w:pPr>
        <w:pStyle w:val="null3"/>
        <w:jc w:val="center"/>
      </w:pPr>
      <w:r>
        <w:rPr>
          <w:sz w:val="28"/>
        </w:rPr>
        <w:t>项目编号：</w:t>
      </w:r>
    </w:p>
    <w:p>
      <w:pPr>
        <w:pStyle w:val="null3"/>
        <w:jc w:val="center"/>
      </w:pPr>
      <w:r>
        <w:rPr>
          <w:sz w:val="28"/>
        </w:rPr>
        <w:t>项目名称：</w:t>
      </w:r>
    </w:p>
    <w:p>
      <w:pPr>
        <w:pStyle w:val="null3"/>
        <w:jc w:val="both"/>
      </w:pPr>
      <w:r>
        <w:rPr/>
        <w:t xml:space="preserve"> </w:t>
      </w:r>
    </w:p>
    <w:p>
      <w:pPr>
        <w:pStyle w:val="null3"/>
        <w:jc w:val="both"/>
      </w:pPr>
      <w:r>
        <w:rPr>
          <w:sz w:val="21"/>
        </w:rPr>
        <w:t>甲方：</w:t>
      </w:r>
      <w:r>
        <w:rPr>
          <w:sz w:val="21"/>
        </w:rPr>
        <w:t xml:space="preserve">  </w:t>
      </w:r>
    </w:p>
    <w:p>
      <w:pPr>
        <w:pStyle w:val="null3"/>
        <w:jc w:val="both"/>
      </w:pPr>
      <w:r>
        <w:rPr>
          <w:sz w:val="21"/>
        </w:rPr>
        <w:t>电话：</w:t>
      </w:r>
      <w:r>
        <w:rPr>
          <w:sz w:val="21"/>
        </w:rPr>
        <w:t xml:space="preserve">  </w:t>
      </w:r>
      <w:r>
        <w:rPr>
          <w:sz w:val="21"/>
        </w:rPr>
        <w:t>传真</w:t>
      </w:r>
      <w:r>
        <w:rPr>
          <w:sz w:val="21"/>
        </w:rPr>
        <w:t>：</w:t>
      </w:r>
      <w:r>
        <w:rPr>
          <w:sz w:val="21"/>
        </w:rPr>
        <w:t xml:space="preserve">  </w:t>
      </w:r>
      <w:r>
        <w:rPr>
          <w:sz w:val="21"/>
        </w:rPr>
        <w:t>地址：</w:t>
      </w:r>
      <w:r>
        <w:rPr>
          <w:sz w:val="21"/>
        </w:rPr>
        <w:t xml:space="preserve">   </w:t>
      </w:r>
    </w:p>
    <w:p>
      <w:pPr>
        <w:pStyle w:val="null3"/>
        <w:jc w:val="both"/>
      </w:pPr>
      <w:r>
        <w:rPr>
          <w:sz w:val="21"/>
        </w:rPr>
        <w:t>乙方：</w:t>
      </w:r>
      <w:r>
        <w:rPr>
          <w:sz w:val="21"/>
        </w:rPr>
        <w:t xml:space="preserve">  </w:t>
      </w:r>
    </w:p>
    <w:p>
      <w:pPr>
        <w:pStyle w:val="null3"/>
        <w:jc w:val="both"/>
      </w:pPr>
      <w:r>
        <w:rPr>
          <w:sz w:val="21"/>
        </w:rPr>
        <w:t>电话：</w:t>
      </w:r>
      <w:r>
        <w:rPr>
          <w:sz w:val="21"/>
        </w:rPr>
        <w:t xml:space="preserve">   </w:t>
      </w:r>
      <w:r>
        <w:rPr>
          <w:sz w:val="21"/>
        </w:rPr>
        <w:t>传真：　　　</w:t>
      </w:r>
      <w:r>
        <w:rPr>
          <w:sz w:val="21"/>
        </w:rPr>
        <w:t xml:space="preserve">   </w:t>
      </w:r>
      <w:r>
        <w:rPr>
          <w:sz w:val="21"/>
        </w:rPr>
        <w:t>地址：</w:t>
      </w:r>
      <w:r>
        <w:rPr>
          <w:sz w:val="21"/>
        </w:rPr>
        <w:t xml:space="preserve">   </w:t>
      </w:r>
    </w:p>
    <w:p>
      <w:pPr>
        <w:pStyle w:val="null3"/>
        <w:jc w:val="both"/>
      </w:pPr>
      <w:r>
        <w:rPr>
          <w:sz w:val="21"/>
        </w:rPr>
        <w:t xml:space="preserve"> </w:t>
      </w:r>
    </w:p>
    <w:p>
      <w:pPr>
        <w:pStyle w:val="null3"/>
        <w:jc w:val="both"/>
      </w:pPr>
      <w:r>
        <w:rPr>
          <w:sz w:val="21"/>
        </w:rPr>
        <w:t xml:space="preserve">  </w:t>
      </w:r>
      <w:r>
        <w:rPr>
          <w:sz w:val="21"/>
        </w:rPr>
        <w:t>根据</w:t>
      </w:r>
      <w:r>
        <w:rPr>
          <w:sz w:val="21"/>
        </w:rPr>
        <w:t xml:space="preserve">          </w:t>
      </w:r>
      <w:r>
        <w:rPr>
          <w:sz w:val="21"/>
        </w:rPr>
        <w:t>项目</w:t>
      </w:r>
      <w:r>
        <w:rPr>
          <w:sz w:val="21"/>
        </w:rPr>
        <w:t>的采购结果，按照《中华人民共和国政府采购法》，《中华人民共和国民法典</w:t>
      </w:r>
      <w:r>
        <w:rPr>
          <w:sz w:val="21"/>
        </w:rPr>
        <w:t>(合同编)》的规定，经双方协商，本着平等互利和诚实信用的原则，一致同意遵守本合同如下。</w:t>
      </w:r>
    </w:p>
    <w:p>
      <w:pPr>
        <w:pStyle w:val="null3"/>
        <w:jc w:val="both"/>
      </w:pPr>
      <w:r>
        <w:rPr>
          <w:sz w:val="21"/>
          <w:b/>
        </w:rPr>
        <w:t>一、合同金额</w:t>
      </w:r>
    </w:p>
    <w:p>
      <w:pPr>
        <w:pStyle w:val="null3"/>
        <w:ind w:firstLine="420"/>
        <w:jc w:val="both"/>
      </w:pPr>
      <w:r>
        <w:rPr>
          <w:sz w:val="21"/>
        </w:rPr>
        <w:t>合同下浮率</w:t>
      </w:r>
      <w:r>
        <w:rPr>
          <w:sz w:val="21"/>
        </w:rPr>
        <w:t>为</w:t>
      </w:r>
      <w:r>
        <w:rPr>
          <w:sz w:val="21"/>
        </w:rPr>
        <w:t>_____</w:t>
      </w:r>
      <w:r>
        <w:rPr>
          <w:sz w:val="21"/>
        </w:rPr>
        <w:t>%，</w:t>
      </w:r>
      <w:r>
        <w:rPr>
          <w:sz w:val="21"/>
        </w:rPr>
        <w:t>结算时统一采用以下方式计算费用：</w:t>
      </w:r>
      <w:r>
        <w:rPr>
          <w:sz w:val="21"/>
        </w:rPr>
        <w:t>体检</w:t>
      </w:r>
      <w:r>
        <w:rPr>
          <w:sz w:val="21"/>
        </w:rPr>
        <w:t>单价</w:t>
      </w:r>
      <w:r>
        <w:rPr>
          <w:sz w:val="21"/>
        </w:rPr>
        <w:t>=（1-中标下浮率）*</w:t>
      </w:r>
      <w:r>
        <w:rPr>
          <w:sz w:val="21"/>
        </w:rPr>
        <w:t>800元/人</w:t>
      </w:r>
      <w:r>
        <w:rPr>
          <w:sz w:val="21"/>
        </w:rPr>
        <w:t>，按实际</w:t>
      </w:r>
      <w:r>
        <w:rPr>
          <w:sz w:val="21"/>
        </w:rPr>
        <w:t>体检人数</w:t>
      </w:r>
      <w:r>
        <w:rPr>
          <w:sz w:val="21"/>
        </w:rPr>
        <w:t>结算。</w:t>
      </w:r>
      <w:r>
        <w:rPr>
          <w:sz w:val="21"/>
        </w:rPr>
        <w:t>价格</w:t>
      </w:r>
      <w:r>
        <w:rPr>
          <w:sz w:val="21"/>
        </w:rPr>
        <w:t>包括</w:t>
      </w:r>
      <w:r>
        <w:rPr>
          <w:sz w:val="21"/>
        </w:rPr>
        <w:t>完成该体检项目的一切费用（含一次性消耗用品费、检验费、人工费、税费等）及合同实施过程中的应预见和不可预见费用等完成合同规定责任和义务、达到合同目的的一切费用，漏报或少报的费用，视此费用</w:t>
      </w:r>
      <w:r>
        <w:rPr>
          <w:sz w:val="21"/>
        </w:rPr>
        <w:t>已</w:t>
      </w:r>
      <w:r>
        <w:rPr>
          <w:sz w:val="21"/>
        </w:rPr>
        <w:t>包含在</w:t>
      </w:r>
      <w:r>
        <w:rPr>
          <w:sz w:val="21"/>
        </w:rPr>
        <w:t>此价格</w:t>
      </w:r>
      <w:r>
        <w:rPr>
          <w:sz w:val="21"/>
        </w:rPr>
        <w:t>中。</w:t>
      </w:r>
    </w:p>
    <w:p>
      <w:pPr>
        <w:pStyle w:val="null3"/>
        <w:jc w:val="both"/>
      </w:pPr>
      <w:r>
        <w:rPr>
          <w:sz w:val="21"/>
          <w:b/>
        </w:rPr>
        <w:t>二、服务范围</w:t>
      </w:r>
      <w:r>
        <w:rPr>
          <w:sz w:val="21"/>
          <w:b/>
        </w:rPr>
        <w:t>及内容</w:t>
      </w:r>
    </w:p>
    <w:p>
      <w:pPr>
        <w:pStyle w:val="null3"/>
        <w:ind w:firstLine="420"/>
        <w:jc w:val="both"/>
      </w:pPr>
      <w:r>
        <w:rPr>
          <w:sz w:val="21"/>
        </w:rPr>
        <w:t>详见</w:t>
      </w:r>
      <w:r>
        <w:rPr>
          <w:sz w:val="21"/>
        </w:rPr>
        <w:t>招标文件第二章</w:t>
      </w:r>
      <w:r>
        <w:rPr>
          <w:sz w:val="21"/>
        </w:rPr>
        <w:t>《</w:t>
      </w:r>
      <w:r>
        <w:rPr>
          <w:sz w:val="21"/>
        </w:rPr>
        <w:t>采购</w:t>
      </w:r>
      <w:r>
        <w:rPr>
          <w:sz w:val="21"/>
        </w:rPr>
        <w:t>需求》</w:t>
      </w:r>
    </w:p>
    <w:p>
      <w:pPr>
        <w:pStyle w:val="null3"/>
        <w:jc w:val="both"/>
      </w:pPr>
      <w:r>
        <w:rPr>
          <w:sz w:val="21"/>
          <w:b/>
        </w:rPr>
        <w:t>三、甲方乙方的权利和义务</w:t>
      </w:r>
    </w:p>
    <w:p>
      <w:pPr>
        <w:pStyle w:val="null3"/>
        <w:ind w:firstLine="420"/>
        <w:jc w:val="both"/>
      </w:pPr>
      <w:r>
        <w:rPr>
          <w:sz w:val="21"/>
        </w:rPr>
        <w:t>1.甲方的权利和义务</w:t>
      </w:r>
    </w:p>
    <w:p>
      <w:pPr>
        <w:pStyle w:val="null3"/>
        <w:ind w:firstLine="420"/>
        <w:jc w:val="both"/>
      </w:pPr>
      <w:r>
        <w:rPr>
          <w:sz w:val="21"/>
        </w:rPr>
        <w:t>（</w:t>
      </w:r>
      <w:r>
        <w:rPr>
          <w:sz w:val="21"/>
        </w:rPr>
        <w:t>1）甲方应协助乙方开展本项目的相关工作，并提供相关资料。</w:t>
      </w:r>
    </w:p>
    <w:p>
      <w:pPr>
        <w:pStyle w:val="null3"/>
        <w:ind w:firstLine="420"/>
        <w:jc w:val="both"/>
      </w:pPr>
      <w:r>
        <w:rPr>
          <w:sz w:val="21"/>
        </w:rPr>
        <w:t>（</w:t>
      </w:r>
      <w:r>
        <w:rPr>
          <w:sz w:val="21"/>
        </w:rPr>
        <w:t>2）甲方应按本合同有关规定及时支付相关费用。</w:t>
      </w:r>
    </w:p>
    <w:p>
      <w:pPr>
        <w:pStyle w:val="null3"/>
        <w:ind w:firstLine="420"/>
        <w:jc w:val="both"/>
      </w:pPr>
      <w:r>
        <w:rPr>
          <w:sz w:val="21"/>
        </w:rPr>
        <w:t>（</w:t>
      </w:r>
      <w:r>
        <w:rPr>
          <w:sz w:val="21"/>
        </w:rPr>
        <w:t>3）甲方有权对乙方履行本合同情况进行监督，就乙方工作不足之处，甲方有权提出整改意见，乙方应当按甲方要求完成整改。</w:t>
      </w:r>
    </w:p>
    <w:p>
      <w:pPr>
        <w:pStyle w:val="null3"/>
        <w:ind w:firstLine="420"/>
        <w:jc w:val="both"/>
      </w:pPr>
      <w:r>
        <w:rPr>
          <w:sz w:val="21"/>
        </w:rPr>
        <w:t>2.乙方的权利和义务</w:t>
      </w:r>
    </w:p>
    <w:p>
      <w:pPr>
        <w:pStyle w:val="null3"/>
        <w:ind w:firstLine="420"/>
        <w:jc w:val="both"/>
      </w:pPr>
      <w:r>
        <w:rPr>
          <w:sz w:val="21"/>
        </w:rPr>
        <w:t>（</w:t>
      </w:r>
      <w:r>
        <w:rPr>
          <w:sz w:val="21"/>
        </w:rPr>
        <w:t>1）乙方必须根据采购文件及有关的技术要求、国家现行有关设计标准、技术规范、规程、甲方要求完成合同约定范围内的全部任务，并按规定向甲方交付合格</w:t>
      </w:r>
      <w:r>
        <w:rPr>
          <w:sz w:val="21"/>
        </w:rPr>
        <w:t>服务</w:t>
      </w:r>
      <w:r>
        <w:rPr>
          <w:sz w:val="21"/>
        </w:rPr>
        <w:t>，确保</w:t>
      </w:r>
      <w:r>
        <w:rPr>
          <w:sz w:val="21"/>
        </w:rPr>
        <w:t>服务</w:t>
      </w:r>
      <w:r>
        <w:rPr>
          <w:sz w:val="21"/>
        </w:rPr>
        <w:t>质量与进度。</w:t>
      </w:r>
    </w:p>
    <w:p>
      <w:pPr>
        <w:pStyle w:val="null3"/>
        <w:ind w:firstLine="420"/>
        <w:jc w:val="both"/>
      </w:pPr>
      <w:r>
        <w:rPr>
          <w:sz w:val="21"/>
        </w:rPr>
        <w:t>（</w:t>
      </w:r>
      <w:r>
        <w:rPr>
          <w:sz w:val="21"/>
        </w:rPr>
        <w:t>2）乙方应按时召开内部沟通会议，跟进项目进度，并及时向甲方汇报项目进展情况，及时参加甲方召开的项目会议。</w:t>
      </w:r>
    </w:p>
    <w:p>
      <w:pPr>
        <w:pStyle w:val="null3"/>
        <w:ind w:firstLine="420"/>
        <w:jc w:val="both"/>
      </w:pPr>
      <w:r>
        <w:rPr>
          <w:sz w:val="21"/>
        </w:rPr>
        <w:t>（</w:t>
      </w:r>
      <w:r>
        <w:rPr>
          <w:sz w:val="21"/>
        </w:rPr>
        <w:t>3）乙方应保证服务质量，因乙方自身原因出现错误或遗漏或甲方不满意之处，必须按甲方意见进行修改完善。</w:t>
      </w:r>
    </w:p>
    <w:p>
      <w:pPr>
        <w:pStyle w:val="null3"/>
        <w:ind w:firstLine="420"/>
        <w:jc w:val="both"/>
      </w:pPr>
      <w:r>
        <w:rPr>
          <w:sz w:val="21"/>
        </w:rPr>
        <w:t>（</w:t>
      </w:r>
      <w:r>
        <w:rPr>
          <w:sz w:val="21"/>
        </w:rPr>
        <w:t>4）乙方人员在委托服务期间造成甲方、第三方人身损害或财产损失的，由乙方承担民事赔偿责任。</w:t>
      </w:r>
    </w:p>
    <w:p>
      <w:pPr>
        <w:pStyle w:val="null3"/>
        <w:ind w:firstLine="420"/>
        <w:jc w:val="both"/>
      </w:pPr>
      <w:r>
        <w:rPr>
          <w:sz w:val="21"/>
        </w:rPr>
        <w:t>（</w:t>
      </w:r>
      <w:r>
        <w:rPr>
          <w:sz w:val="21"/>
        </w:rPr>
        <w:t>5）乙方人员在委托服务期间发生工伤事故及其他一切事故造成的损害均由乙方全部承担，与甲方无关。</w:t>
      </w:r>
    </w:p>
    <w:p>
      <w:pPr>
        <w:pStyle w:val="null3"/>
        <w:ind w:firstLine="420"/>
        <w:jc w:val="both"/>
      </w:pPr>
      <w:r>
        <w:rPr>
          <w:sz w:val="21"/>
        </w:rPr>
        <w:t>（</w:t>
      </w:r>
      <w:r>
        <w:rPr>
          <w:sz w:val="21"/>
        </w:rPr>
        <w:t>6）乙方严禁转包，未经甲方书面同意不得分包。</w:t>
      </w:r>
    </w:p>
    <w:p>
      <w:pPr>
        <w:pStyle w:val="null3"/>
        <w:jc w:val="both"/>
      </w:pPr>
      <w:r>
        <w:rPr>
          <w:sz w:val="21"/>
          <w:b/>
        </w:rPr>
        <w:t>四、服务期间及服务地点（项目完成期限）</w:t>
      </w:r>
    </w:p>
    <w:p>
      <w:pPr>
        <w:pStyle w:val="null3"/>
        <w:ind w:firstLine="420"/>
        <w:jc w:val="both"/>
      </w:pPr>
      <w:r>
        <w:rPr>
          <w:sz w:val="21"/>
        </w:rPr>
        <w:t>1.服务期限：</w:t>
      </w:r>
      <w:r>
        <w:rPr>
          <w:sz w:val="21"/>
        </w:rPr>
        <w:t>自合同签订之日起至</w:t>
      </w:r>
      <w:r>
        <w:rPr>
          <w:sz w:val="21"/>
        </w:rPr>
        <w:t>2024年12月31日</w:t>
      </w:r>
    </w:p>
    <w:p>
      <w:pPr>
        <w:pStyle w:val="null3"/>
        <w:ind w:firstLine="420"/>
        <w:jc w:val="both"/>
      </w:pPr>
      <w:r>
        <w:rPr>
          <w:sz w:val="21"/>
        </w:rPr>
        <w:t>2.服务地点：</w:t>
      </w:r>
      <w:r>
        <w:rPr>
          <w:sz w:val="21"/>
        </w:rPr>
        <w:t>东莞市内</w:t>
      </w:r>
      <w:r>
        <w:rPr>
          <w:sz w:val="21"/>
        </w:rPr>
        <w:t>。</w:t>
      </w:r>
    </w:p>
    <w:p>
      <w:pPr>
        <w:pStyle w:val="null3"/>
        <w:ind w:firstLine="420"/>
        <w:jc w:val="both"/>
      </w:pPr>
      <w:r>
        <w:rPr>
          <w:sz w:val="21"/>
        </w:rPr>
        <w:t>3.委托服务期间自______年______月______日至______年______月______日止。</w:t>
      </w:r>
    </w:p>
    <w:p>
      <w:pPr>
        <w:pStyle w:val="null3"/>
        <w:jc w:val="both"/>
      </w:pPr>
      <w:r>
        <w:rPr>
          <w:sz w:val="21"/>
          <w:b/>
        </w:rPr>
        <w:t>五、</w:t>
      </w:r>
      <w:r>
        <w:rPr>
          <w:sz w:val="21"/>
          <w:b/>
        </w:rPr>
        <w:t>验收要求</w:t>
      </w:r>
    </w:p>
    <w:p>
      <w:pPr>
        <w:pStyle w:val="null3"/>
        <w:ind w:firstLine="420"/>
        <w:jc w:val="both"/>
      </w:pPr>
      <w:r>
        <w:rPr>
          <w:sz w:val="21"/>
        </w:rPr>
        <w:t>1、</w:t>
      </w:r>
      <w:r>
        <w:rPr>
          <w:sz w:val="21"/>
        </w:rPr>
        <w:t>验收时间：乙方服务完成后，认为达到服务要求的，应向甲方提出书面验收申请，甲方无异议的，</w:t>
      </w:r>
      <w:r>
        <w:rPr>
          <w:sz w:val="21"/>
        </w:rPr>
        <w:t>7日内组织验收，验收应在甲方与乙方双方共同参加下进行。</w:t>
      </w:r>
    </w:p>
    <w:p>
      <w:pPr>
        <w:pStyle w:val="null3"/>
        <w:ind w:firstLine="420"/>
        <w:jc w:val="both"/>
      </w:pPr>
      <w:r>
        <w:rPr>
          <w:sz w:val="21"/>
        </w:rPr>
        <w:t>2、</w:t>
      </w:r>
      <w:r>
        <w:rPr>
          <w:sz w:val="21"/>
        </w:rPr>
        <w:t>验收内容：全部体检人员的整体体检情况报告（含全部体检人员的个人情况电子数据、整体体检情况报告电子数据）。</w:t>
      </w:r>
    </w:p>
    <w:p>
      <w:pPr>
        <w:pStyle w:val="null3"/>
        <w:ind w:firstLine="420"/>
        <w:jc w:val="both"/>
      </w:pPr>
      <w:r>
        <w:rPr>
          <w:sz w:val="21"/>
        </w:rPr>
        <w:t>3、</w:t>
      </w:r>
      <w:r>
        <w:rPr>
          <w:sz w:val="21"/>
        </w:rPr>
        <w:t>验收按合同规定的要求和有关的规定、规范进行。（若无相关的规定、规范可双方协商验收）</w:t>
      </w:r>
    </w:p>
    <w:p>
      <w:pPr>
        <w:pStyle w:val="null3"/>
        <w:jc w:val="both"/>
      </w:pPr>
      <w:r>
        <w:rPr>
          <w:sz w:val="21"/>
          <w:b/>
        </w:rPr>
        <w:t>六、</w:t>
      </w:r>
      <w:r>
        <w:rPr>
          <w:sz w:val="21"/>
          <w:b/>
        </w:rPr>
        <w:t>履约保证金</w:t>
      </w:r>
    </w:p>
    <w:p>
      <w:pPr>
        <w:pStyle w:val="null3"/>
        <w:ind w:firstLine="420"/>
        <w:jc w:val="both"/>
      </w:pPr>
      <w:r>
        <w:rPr>
          <w:sz w:val="21"/>
        </w:rPr>
        <w:t>乙方应在领取中标通知书之后签订合同之前递交履约保证金，履约保证金金额为合同金额的</w:t>
      </w:r>
      <w:r>
        <w:rPr>
          <w:sz w:val="21"/>
        </w:rPr>
        <w:t>3%，履约保证金可采用保证金（银行转账、电汇）方式，或采用银行出具的履约担保函方式。①以银行转账形式提供履约担保的，履约保证金在最终验收合格后，乙方向甲方提交退回履约保证金的申请、履约保证金汇款凭证复印件、采购合同、采购项目验收报告原件、中标通知书复印件，前往甲方办理履约保证金退还手续。在本项目合同执行期间，如因乙方的过失或工作不配合的原因造成甲方经济损失的，甲方有权根据损失的数额直接在履约保证金中扣除并书面通知乙方。发生下列情况之一的，履约保证金不予退还：（1）乙方将本项目转让给他人，或者在投标文件中未说明，且未经甲方同意，将中标项目分包给他人的，甲方可依法不予退还其履约保证金；（2）乙方在履行采购合同期间，违反有关法律法规的规定及合同约定的条款，损害了甲方的利益，甲方可依法不予退还其履约保证金。②以履约保函形式提供履约担保的，乙方履行完毕合同义务后，及履约保证函到期时，甲方将履约保函退回给乙方。在本项目合同执行期间，如因乙方的过失或工作不配合的原因造成甲方经济损失的，甲方有权按照履约保函中的条款执行并书面通知乙方。</w:t>
      </w:r>
    </w:p>
    <w:p>
      <w:pPr>
        <w:pStyle w:val="null3"/>
        <w:jc w:val="both"/>
      </w:pPr>
      <w:r>
        <w:rPr>
          <w:sz w:val="21"/>
          <w:b/>
        </w:rPr>
        <w:t>七、付款方式</w:t>
      </w:r>
    </w:p>
    <w:p>
      <w:pPr>
        <w:pStyle w:val="null3"/>
        <w:ind w:firstLine="420"/>
        <w:jc w:val="both"/>
      </w:pPr>
      <w:r>
        <w:rPr>
          <w:sz w:val="21"/>
        </w:rPr>
        <w:t>2024年12月31日</w:t>
      </w:r>
      <w:r>
        <w:rPr>
          <w:sz w:val="21"/>
        </w:rPr>
        <w:t>前</w:t>
      </w:r>
      <w:r>
        <w:rPr>
          <w:sz w:val="21"/>
        </w:rPr>
        <w:t>完成该项目验收结算。按实结算，按照实际完成体检的人数和中标单价金额结算，每人不超</w:t>
      </w:r>
      <w:r>
        <w:rPr>
          <w:sz w:val="21"/>
        </w:rPr>
        <w:t>800</w:t>
      </w:r>
      <w:r>
        <w:rPr>
          <w:sz w:val="21"/>
        </w:rPr>
        <w:t>元的标准。</w:t>
      </w:r>
    </w:p>
    <w:p>
      <w:pPr>
        <w:pStyle w:val="null3"/>
        <w:jc w:val="both"/>
      </w:pPr>
      <w:r>
        <w:rPr>
          <w:sz w:val="21"/>
          <w:b/>
        </w:rPr>
        <w:t>八</w:t>
      </w:r>
      <w:r>
        <w:rPr>
          <w:sz w:val="21"/>
          <w:b/>
        </w:rPr>
        <w:t>、保密</w:t>
      </w:r>
    </w:p>
    <w:p>
      <w:pPr>
        <w:pStyle w:val="null3"/>
        <w:ind w:firstLine="420"/>
        <w:jc w:val="both"/>
      </w:pPr>
      <w:r>
        <w:rPr>
          <w:sz w:val="21"/>
        </w:rPr>
        <w:t>未经甲方事先书面同意，乙方不得将在签订、履行本合同过程中所获悉的属于甲方及其关联方的且无法自公开渠道获得的文件及资料提供给与本合同无关的任何第三方，不得将其用于履行本合同之外的其它用途。即使向与履行本合同有关的人员提供，也应注意保密并限于履行合同所必需的范围。本合同终止后，乙方仍须履行该保密义务，并须将甲方提供的所有资料予以归还，不得自行复制、留存。</w:t>
      </w:r>
    </w:p>
    <w:p>
      <w:pPr>
        <w:pStyle w:val="null3"/>
        <w:numPr>
          <w:ilvl w:val="0"/>
          <w:numId w:val="1"/>
        </w:numPr>
        <w:jc w:val="both"/>
      </w:pPr>
      <w:r>
        <w:rPr>
          <w:sz w:val="21"/>
          <w:b/>
        </w:rPr>
        <w:t>知识产权和所有权</w:t>
      </w:r>
    </w:p>
    <w:p>
      <w:pPr>
        <w:pStyle w:val="null3"/>
        <w:ind w:firstLine="420"/>
        <w:jc w:val="both"/>
      </w:pPr>
      <w:r>
        <w:rPr>
          <w:sz w:val="21"/>
        </w:rPr>
        <w:t>本合同项下所有服务成果</w:t>
      </w:r>
      <w:r>
        <w:rPr>
          <w:sz w:val="21"/>
        </w:rPr>
        <w:t>(包括乙方在合同履行过程中形成的阶段性服务成果及最终交付的服务成果)的知识产权和所有权全部归属于甲方。未经甲方书面同意，乙方不得擅自将前述服务成果以及与之相关的任何资料用于本合同之外的任何场合或者向任何第三方转让、泄露;否则，由乙方承担全部的赔偿责任。</w:t>
      </w:r>
    </w:p>
    <w:p>
      <w:pPr>
        <w:pStyle w:val="null3"/>
        <w:jc w:val="both"/>
      </w:pPr>
      <w:r>
        <w:rPr>
          <w:sz w:val="21"/>
          <w:b/>
        </w:rPr>
        <w:t>十</w:t>
      </w:r>
      <w:r>
        <w:rPr>
          <w:sz w:val="21"/>
          <w:b/>
        </w:rPr>
        <w:t>、违约责任与赔偿损失</w:t>
      </w:r>
    </w:p>
    <w:p>
      <w:pPr>
        <w:pStyle w:val="null3"/>
        <w:ind w:firstLine="420"/>
        <w:jc w:val="both"/>
      </w:pPr>
      <w:r>
        <w:rPr>
          <w:sz w:val="21"/>
        </w:rPr>
        <w:t>1.乙方提供的服务不符合本合同规定的，甲方有权拒收，并且乙方须向甲方方支付本合同总价5%的违约金。</w:t>
      </w:r>
    </w:p>
    <w:p>
      <w:pPr>
        <w:pStyle w:val="null3"/>
        <w:ind w:firstLine="420"/>
        <w:jc w:val="both"/>
      </w:pPr>
      <w:r>
        <w:rPr>
          <w:sz w:val="21"/>
        </w:rPr>
        <w:t>2.乙方未能按本合同规定的时间提供服务，从逾期之日起每日按本合同总价3‰的数额向甲方支付违约金；逾期半个月以上的，甲方有权终止合同，由此造成的甲方经济损失由乙方承担。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w:t>
      </w:r>
      <w:r>
        <w:rPr>
          <w:sz w:val="21"/>
        </w:rPr>
        <w:t>乙方</w:t>
      </w:r>
      <w:r>
        <w:rPr>
          <w:sz w:val="21"/>
        </w:rPr>
        <w:t>因自身原因要求终止或解除合同，</w:t>
      </w:r>
      <w:r>
        <w:rPr>
          <w:sz w:val="21"/>
        </w:rPr>
        <w:t>乙方</w:t>
      </w:r>
      <w:r>
        <w:rPr>
          <w:sz w:val="21"/>
        </w:rPr>
        <w:t>应向</w:t>
      </w:r>
      <w:r>
        <w:rPr>
          <w:sz w:val="21"/>
        </w:rPr>
        <w:t>甲方</w:t>
      </w:r>
      <w:r>
        <w:rPr>
          <w:sz w:val="21"/>
        </w:rPr>
        <w:t>支付合同总价款</w:t>
      </w:r>
      <w:r>
        <w:rPr>
          <w:sz w:val="21"/>
        </w:rPr>
        <w:t>20%的违约金，并应向</w:t>
      </w:r>
      <w:r>
        <w:rPr>
          <w:sz w:val="21"/>
        </w:rPr>
        <w:t>甲方</w:t>
      </w:r>
      <w:r>
        <w:rPr>
          <w:sz w:val="21"/>
        </w:rPr>
        <w:t>退还已支付的费用。</w:t>
      </w:r>
    </w:p>
    <w:p>
      <w:pPr>
        <w:pStyle w:val="null3"/>
        <w:ind w:firstLine="420"/>
        <w:jc w:val="both"/>
      </w:pPr>
      <w:r>
        <w:rPr>
          <w:sz w:val="21"/>
        </w:rPr>
        <w:t>4</w:t>
      </w:r>
      <w:r>
        <w:rPr>
          <w:sz w:val="21"/>
        </w:rPr>
        <w:t>.甲方无正当理由拒收接受服务，到期拒付服务款项的，甲方向乙方偿付本合同总的5%的违约金。甲方逾期付款，则每日按本合同总价的3‰向乙方偿付违约金。</w:t>
      </w:r>
    </w:p>
    <w:p>
      <w:pPr>
        <w:pStyle w:val="null3"/>
        <w:ind w:firstLine="420"/>
        <w:jc w:val="both"/>
      </w:pPr>
      <w:r>
        <w:rPr>
          <w:sz w:val="21"/>
        </w:rPr>
        <w:t>5</w:t>
      </w:r>
      <w:r>
        <w:rPr>
          <w:sz w:val="21"/>
        </w:rPr>
        <w:t>.对于因甲方原因导致变更、中止或者终止政府采购合同的，甲方应当依照以下合同约定对供应商受到的损失予以赔偿或者补偿。</w:t>
      </w:r>
    </w:p>
    <w:p>
      <w:pPr>
        <w:pStyle w:val="null3"/>
        <w:ind w:firstLine="420"/>
        <w:jc w:val="both"/>
      </w:pPr>
      <w:r>
        <w:rPr>
          <w:sz w:val="21"/>
        </w:rPr>
        <w:t>6</w:t>
      </w:r>
      <w:r>
        <w:rPr>
          <w:sz w:val="21"/>
        </w:rPr>
        <w:t>.其它违约责任按《中华人民共和国民法典(合同编)》处理。</w:t>
      </w:r>
    </w:p>
    <w:p>
      <w:pPr>
        <w:pStyle w:val="null3"/>
        <w:jc w:val="both"/>
      </w:pPr>
      <w:r>
        <w:rPr>
          <w:sz w:val="21"/>
          <w:b/>
        </w:rPr>
        <w:t>十一</w:t>
      </w:r>
      <w:r>
        <w:rPr>
          <w:sz w:val="21"/>
          <w:b/>
        </w:rPr>
        <w:t>、争议的解决</w:t>
      </w:r>
    </w:p>
    <w:p>
      <w:pPr>
        <w:pStyle w:val="null3"/>
        <w:ind w:firstLine="420"/>
        <w:jc w:val="both"/>
      </w:pPr>
      <w:r>
        <w:rPr>
          <w:sz w:val="21"/>
        </w:rPr>
        <w:t>合同执行过程中发生的任何争议，如双方不能通过友好协商解决，任何一方可以向甲方所在地人民法院提起诉讼。</w:t>
      </w:r>
    </w:p>
    <w:p>
      <w:pPr>
        <w:pStyle w:val="null3"/>
        <w:jc w:val="both"/>
      </w:pPr>
      <w:r>
        <w:rPr>
          <w:sz w:val="21"/>
          <w:b/>
        </w:rPr>
        <w:t>十</w:t>
      </w:r>
      <w:r>
        <w:rPr>
          <w:sz w:val="21"/>
          <w:b/>
        </w:rPr>
        <w:t>二</w:t>
      </w:r>
      <w:r>
        <w:rPr>
          <w:sz w:val="21"/>
          <w:b/>
        </w:rPr>
        <w:t>、不可抗力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w:t>
      </w:r>
      <w:r>
        <w:rPr>
          <w:sz w:val="21"/>
          <w:b/>
        </w:rPr>
        <w:t>三</w:t>
      </w:r>
      <w:r>
        <w:rPr>
          <w:sz w:val="21"/>
          <w:b/>
        </w:rPr>
        <w:t>、税费</w:t>
      </w:r>
    </w:p>
    <w:p>
      <w:pPr>
        <w:pStyle w:val="null3"/>
        <w:ind w:firstLine="420"/>
        <w:jc w:val="both"/>
      </w:pPr>
      <w:r>
        <w:rPr>
          <w:sz w:val="21"/>
        </w:rPr>
        <w:t>在中国境内、外发生的与本合同执行有关的一切税费均由乙方负担。</w:t>
      </w:r>
    </w:p>
    <w:p>
      <w:pPr>
        <w:pStyle w:val="null3"/>
        <w:jc w:val="both"/>
      </w:pPr>
      <w:r>
        <w:rPr>
          <w:sz w:val="21"/>
          <w:b/>
        </w:rPr>
        <w:t>十</w:t>
      </w:r>
      <w:r>
        <w:rPr>
          <w:sz w:val="21"/>
          <w:b/>
        </w:rPr>
        <w:t>四</w:t>
      </w:r>
      <w:r>
        <w:rPr>
          <w:sz w:val="21"/>
          <w:b/>
        </w:rPr>
        <w:t>、其它</w:t>
      </w:r>
    </w:p>
    <w:p>
      <w:pPr>
        <w:pStyle w:val="null3"/>
        <w:ind w:firstLine="420"/>
        <w:jc w:val="both"/>
      </w:pPr>
      <w:r>
        <w:rPr>
          <w:sz w:val="21"/>
        </w:rPr>
        <w:t>1.本合同所有附件、</w:t>
      </w:r>
      <w:r>
        <w:rPr>
          <w:sz w:val="21"/>
        </w:rPr>
        <w:t>招标</w:t>
      </w:r>
      <w:r>
        <w:rPr>
          <w:sz w:val="21"/>
        </w:rPr>
        <w:t>文件、</w:t>
      </w:r>
      <w:r>
        <w:rPr>
          <w:sz w:val="21"/>
        </w:rPr>
        <w:t>投标</w:t>
      </w:r>
      <w:r>
        <w:rPr>
          <w:sz w:val="21"/>
        </w:rPr>
        <w:t>文件、</w:t>
      </w:r>
      <w:r>
        <w:rPr>
          <w:sz w:val="21"/>
        </w:rPr>
        <w:t>中标</w:t>
      </w:r>
      <w:r>
        <w:rPr>
          <w:sz w:val="21"/>
        </w:rPr>
        <w:t>通知书均为合同的有效组成部分，与本合同具有同等法律效力。</w:t>
      </w:r>
    </w:p>
    <w:p>
      <w:pPr>
        <w:pStyle w:val="null3"/>
        <w:ind w:firstLine="420"/>
        <w:jc w:val="both"/>
      </w:pPr>
      <w:r>
        <w:rPr>
          <w:sz w:val="21"/>
        </w:rPr>
        <w:t>2.在执行本合同的过程中，所有经双方签署确认的文件（包括会议纪要、补充协议、往来信函）即成为本合同的有效组成部分。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4.除甲方事先书面同意外，乙方不得部分或全部转让其应履行的合同项下的义务。</w:t>
      </w:r>
    </w:p>
    <w:p>
      <w:pPr>
        <w:pStyle w:val="null3"/>
        <w:jc w:val="both"/>
      </w:pPr>
      <w:r>
        <w:rPr>
          <w:sz w:val="21"/>
          <w:b/>
        </w:rPr>
        <w:t>十</w:t>
      </w:r>
      <w:r>
        <w:rPr>
          <w:sz w:val="21"/>
          <w:b/>
        </w:rPr>
        <w:t>五</w:t>
      </w:r>
      <w:r>
        <w:rPr>
          <w:sz w:val="21"/>
          <w:b/>
        </w:rPr>
        <w:t>、合同生效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    份。</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甲方（盖章）：</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代表：</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代表：</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签定地点：</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签定日期：　　年　月　日</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签定日期：　　年　月　日</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开户名称：</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银行帐号：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开户行：</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441901-2024-07022</w:t>
      </w:r>
    </w:p>
    <w:p>
      <w:pPr>
        <w:pStyle w:val="null3"/>
        <w:jc w:val="center"/>
        <w:outlineLvl w:val="3"/>
      </w:pPr>
      <w:r>
        <w:rPr>
          <w:sz w:val="24"/>
          <w:b/>
        </w:rPr>
        <w:t>采购项目编号：</w:t>
      </w:r>
      <w:r>
        <w:rPr>
          <w:sz w:val="24"/>
          <w:b/>
        </w:rPr>
        <w:t>441901-2024-07022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2024年东莞体彩实体店从业人员体检服务采购项目</w:t>
      </w:r>
      <w:r>
        <w:rPr>
          <w:u w:val="single"/>
        </w:rPr>
        <w:t>”</w:t>
      </w:r>
      <w:r>
        <w:rPr/>
        <w:t>项目的招标[采购项目编号为：</w:t>
      </w:r>
      <w:r>
        <w:rPr>
          <w:u w:val="single"/>
        </w:rPr>
        <w:t>441901-2024-07022</w:t>
      </w:r>
      <w:r>
        <w:rPr/>
        <w:t>]，我方愿参与投标。</w:t>
      </w:r>
    </w:p>
    <w:p>
      <w:pPr>
        <w:pStyle w:val="null3"/>
        <w:ind w:firstLine="480"/>
      </w:pPr>
      <w:r>
        <w:rPr/>
        <w:t>我方确认收到贵方提供的</w:t>
      </w:r>
      <w:r>
        <w:rPr>
          <w:u w:val="single"/>
        </w:rPr>
        <w:t>“</w:t>
      </w:r>
      <w:r>
        <w:rPr>
          <w:u w:val="single"/>
        </w:rPr>
        <w:t>2024年东莞体彩实体店从业人员体检服务采购项目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2024年东莞体彩实体店从业人员体检服务采购项目</w:t>
      </w:r>
      <w:r>
        <w:rPr/>
        <w:t>”项目采购[采购项目编号为</w:t>
      </w:r>
      <w:r>
        <w:rPr/>
        <w:t>441901-2024-07022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东莞市体育彩票管理中心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2024年东莞体彩实体店从业人员体检服务采购项目</w:t>
      </w:r>
      <w:r>
        <w:rPr/>
        <w:t>招标中获中标（采购项目编号：</w:t>
      </w:r>
      <w:r>
        <w:rPr/>
        <w:t>441901-2024-07022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2024年东莞体彩实体店从业人员体检服务采购项目</w:t>
      </w:r>
      <w:r>
        <w:rPr/>
        <w:t>”项目（采购项目编号：</w:t>
      </w:r>
      <w:r>
        <w:rPr/>
        <w:t>441901-2024-07022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