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441900033-2024-00171</w:t>
      </w:r>
    </w:p>
    <w:p>
      <w:pPr>
        <w:pStyle w:val="null3"/>
        <w:jc w:val="center"/>
        <w:outlineLvl w:val="3"/>
      </w:pPr>
      <w:r>
        <w:rPr>
          <w:sz w:val="24"/>
          <w:b/>
        </w:rPr>
        <w:t>采购项目编号：</w:t>
      </w:r>
      <w:r>
        <w:rPr>
          <w:sz w:val="24"/>
          <w:b/>
        </w:rPr>
        <w:t>441900033-2024-00171</w:t>
      </w:r>
    </w:p>
    <w:p>
      <w:pPr>
        <w:pStyle w:val="null3"/>
        <w:jc w:val="center"/>
        <w:outlineLvl w:val="3"/>
      </w:pPr>
      <w:r>
        <w:rPr>
          <w:sz w:val="24"/>
          <w:b/>
        </w:rPr>
        <w:t>项目名称：</w:t>
      </w:r>
      <w:r>
        <w:rPr>
          <w:sz w:val="24"/>
          <w:b/>
        </w:rPr>
        <w:t>东莞市麻涌镇雨水排水管养护服务项目</w:t>
      </w:r>
    </w:p>
    <w:p>
      <w:pPr>
        <w:pStyle w:val="null3"/>
        <w:jc w:val="center"/>
        <w:outlineLvl w:val="3"/>
      </w:pPr>
      <w:r>
        <w:rPr>
          <w:sz w:val="24"/>
          <w:b/>
        </w:rPr>
        <w:t>采购人：</w:t>
      </w:r>
      <w:r>
        <w:rPr>
          <w:sz w:val="24"/>
          <w:b/>
        </w:rPr>
        <w:t>东莞市麻涌镇水务工程运营中心</w:t>
      </w:r>
    </w:p>
    <w:p>
      <w:pPr>
        <w:pStyle w:val="null3"/>
        <w:jc w:val="center"/>
        <w:outlineLvl w:val="3"/>
      </w:pPr>
      <w:r>
        <w:rPr>
          <w:sz w:val="24"/>
          <w:b/>
        </w:rPr>
        <w:t>采购代理机构：</w:t>
      </w:r>
      <w:r>
        <w:rPr>
          <w:sz w:val="24"/>
          <w:b/>
        </w:rPr>
        <w:t>广东政通招标有限公司</w:t>
      </w:r>
    </w:p>
    <w:p>
      <w:pPr>
        <w:pStyle w:val="null3"/>
        <w:ind w:firstLine="480"/>
      </w:pPr>
      <w:r>
        <w:rPr/>
        <w:t xml:space="preserve">  </w:t>
      </w:r>
    </w:p>
    <w:p>
      <w:pPr>
        <w:pStyle w:val="null3"/>
        <w:jc w:val="center"/>
        <w:outlineLvl w:val="1"/>
      </w:pPr>
      <w:r>
        <w:rPr>
          <w:sz w:val="36"/>
          <w:b/>
        </w:rPr>
        <w:t>第一章投标邀请</w:t>
      </w:r>
    </w:p>
    <w:p>
      <w:pPr>
        <w:pStyle w:val="null3"/>
        <w:ind w:firstLine="480"/>
      </w:pPr>
      <w:r>
        <w:rPr/>
        <w:t>广东政通招标有限公司</w:t>
      </w:r>
      <w:r>
        <w:rPr/>
        <w:t>受</w:t>
      </w:r>
      <w:r>
        <w:rPr/>
        <w:t>东莞市麻涌镇水务工程运营中心</w:t>
      </w:r>
      <w:r>
        <w:rPr/>
        <w:t>的委托，采用</w:t>
      </w:r>
      <w:r>
        <w:rPr/>
        <w:t>公开招标</w:t>
      </w:r>
      <w:r>
        <w:rPr/>
        <w:t>方式组织采购</w:t>
      </w:r>
      <w:r>
        <w:rPr/>
        <w:t>东莞市麻涌镇雨水排水管养护服务项目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东莞市麻涌镇雨水排水管养护服务项目</w:t>
      </w:r>
    </w:p>
    <w:p>
      <w:pPr>
        <w:pStyle w:val="null3"/>
        <w:ind w:firstLine="480"/>
      </w:pPr>
      <w:r>
        <w:rPr/>
        <w:t>采购计划编号：</w:t>
      </w:r>
      <w:r>
        <w:rPr/>
        <w:t>441900033-2024-00171</w:t>
      </w:r>
    </w:p>
    <w:p>
      <w:pPr>
        <w:pStyle w:val="null3"/>
        <w:ind w:firstLine="480"/>
      </w:pPr>
      <w:r>
        <w:rPr/>
        <w:t>采购项目编号：</w:t>
      </w:r>
      <w:r>
        <w:rPr/>
        <w:t>441900033-2024-00171</w:t>
      </w:r>
    </w:p>
    <w:p>
      <w:pPr>
        <w:pStyle w:val="null3"/>
        <w:ind w:firstLine="480"/>
      </w:pPr>
      <w:r>
        <w:rPr/>
        <w:t>采购方式：</w:t>
      </w:r>
      <w:r>
        <w:rPr/>
        <w:t>公开招标</w:t>
      </w:r>
    </w:p>
    <w:p>
      <w:pPr>
        <w:pStyle w:val="null3"/>
        <w:ind w:firstLine="480"/>
      </w:pPr>
      <w:r>
        <w:rPr/>
        <w:t>预算金额：</w:t>
      </w:r>
      <w:r>
        <w:rPr/>
        <w:t>5,486,544.00</w:t>
      </w:r>
      <w:r>
        <w:rPr/>
        <w:t>元</w:t>
      </w:r>
    </w:p>
    <w:p>
      <w:pPr>
        <w:pStyle w:val="null3"/>
        <w:outlineLvl w:val="3"/>
      </w:pPr>
      <w:r>
        <w:rPr>
          <w:sz w:val="24"/>
          <w:b/>
        </w:rPr>
        <w:t>2.项目内容及需求情况（采购项目技术规格、参数及要求）</w:t>
      </w:r>
    </w:p>
    <w:p>
      <w:pPr>
        <w:pStyle w:val="null3"/>
      </w:pPr>
      <w:r>
        <w:rPr/>
        <w:t>采购包1(东莞市麻涌镇雨水排水管养护服务项目):</w:t>
      </w:r>
    </w:p>
    <w:p>
      <w:pPr>
        <w:pStyle w:val="null3"/>
      </w:pPr>
      <w:r>
        <w:rPr/>
        <w:t>采购包预算金额：5,486,544.00元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其他服务</w:t>
            </w:r>
          </w:p>
        </w:tc>
        <w:tc>
          <w:tcPr>
            <w:tcW w:type="dxa" w:w="2052"/>
          </w:tcPr>
          <w:p>
            <w:pPr>
              <w:pStyle w:val="null3"/>
            </w:pPr>
            <w:r>
              <w:rPr/>
              <w:t>东莞市麻涌镇雨水排水管养护服务项目</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5,486,544.00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合同履行期限：自合同签订之日起2年。</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2）有依法缴纳税收和社会保障资金的良好记录：投标（响应）文件中提供《资格条件承诺函》，可参考公告附件格式。</w:t>
      </w:r>
    </w:p>
    <w:p>
      <w:pPr>
        <w:pStyle w:val="null3"/>
      </w:pPr>
      <w:r>
        <w:rPr/>
        <w:t>3）具有良好的商业信誉和健全的财务会计制度：投标（响应）文件中提供《资格条件承诺函》，可参考公告附件格式。</w:t>
      </w:r>
    </w:p>
    <w:p>
      <w:pPr>
        <w:pStyle w:val="null3"/>
      </w:pPr>
      <w:r>
        <w:rPr/>
        <w:t>4）履行合同所必需的设备和专业技术能力：投标（响应）文件中提供《资格条件承诺函》，可参考公告附件格式。</w:t>
      </w:r>
    </w:p>
    <w:p>
      <w:pPr>
        <w:pStyle w:val="null3"/>
      </w:pPr>
      <w:r>
        <w:rPr/>
        <w:t>5）参加采购活动前3年内，在经营活动中没有重大违法记录：投标（响应）文件中提供《资格条件承诺函》，可参考公告附件格式。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采购包1（东莞市麻涌镇雨水排水管养护服务项目）：</w:t>
      </w:r>
      <w:r>
        <w:rPr/>
        <w:t>本项目整体专门面向中小企业采购。供应商须符合本项目采购标的对应行业（本项目行业为：其他未列明行业）的政策划分标准。监狱企业、残疾人福利单位视同小型、微型企业。（注：中小企业以供应商填写的 《中小企业声明函》为判定标准，残疾人福利性单位以供应商填写的《残疾人福利性单位声明函》为判定标准，监狱企业须供应商提供由省级以上监狱管理局、戒毒管理局（含新疆生产建设兵团）出具的属于监狱企业的证明文件，否则不予认定。）</w:t>
      </w:r>
    </w:p>
    <w:p>
      <w:pPr>
        <w:pStyle w:val="null3"/>
        <w:outlineLvl w:val="3"/>
      </w:pPr>
      <w:r>
        <w:rPr>
          <w:sz w:val="24"/>
          <w:b/>
        </w:rPr>
        <w:t>3.本项目特定的资格要求：</w:t>
      </w:r>
    </w:p>
    <w:p>
      <w:pPr>
        <w:pStyle w:val="null3"/>
      </w:pPr>
      <w:r>
        <w:rPr/>
        <w:t>采购包1（东莞市麻涌镇雨水排水管养护服务项目）：</w:t>
      </w:r>
    </w:p>
    <w:p>
      <w:pPr>
        <w:pStyle w:val="null3"/>
      </w:pPr>
      <w:r>
        <w:rPr/>
        <w:t>1)供应商未被列入“信用中国”网站(www.creditchina.gov.cn)“记录失信被执行人或税收违法黑名单”记录名单；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 如相关失信记录已失效， 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Pr>
        <w:pStyle w:val="null3"/>
      </w:pPr>
      <w:r>
        <w:rPr/>
        <w:t>3)投标人须具备有效期内的市政公用工程施工总承包乙级或以上资质（或更换前的市政公用工程施工总承包叁级或以上资质），并同时具备有效期内的安全生产许可证。（注：提供上述有效证书复印件并加盖投标人公章。）</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东莞市麻涌镇水务工程运营中心</w:t>
      </w:r>
    </w:p>
    <w:p>
      <w:pPr>
        <w:pStyle w:val="null3"/>
        <w:ind w:firstLine="480"/>
      </w:pPr>
      <w:r>
        <w:rPr/>
        <w:t xml:space="preserve"> 地址：</w:t>
      </w:r>
      <w:r>
        <w:rPr/>
        <w:t>东莞市麻涌镇大步沿江东路25号</w:t>
      </w:r>
    </w:p>
    <w:p>
      <w:pPr>
        <w:pStyle w:val="null3"/>
        <w:ind w:firstLine="480"/>
      </w:pPr>
      <w:r>
        <w:rPr/>
        <w:t xml:space="preserve"> 联系方式：</w:t>
      </w:r>
      <w:r>
        <w:rPr/>
        <w:t>0769-88282806</w:t>
      </w:r>
    </w:p>
    <w:p>
      <w:pPr>
        <w:pStyle w:val="null3"/>
        <w:outlineLvl w:val="3"/>
      </w:pPr>
      <w:r>
        <w:rPr>
          <w:sz w:val="24"/>
          <w:b/>
        </w:rPr>
        <w:t xml:space="preserve"> 2.采购代理机构信息</w:t>
      </w:r>
    </w:p>
    <w:p>
      <w:pPr>
        <w:pStyle w:val="null3"/>
        <w:ind w:firstLine="480"/>
      </w:pPr>
      <w:r>
        <w:rPr/>
        <w:t xml:space="preserve"> 名称：</w:t>
      </w:r>
      <w:r>
        <w:rPr/>
        <w:t>广东政通招标有限公司</w:t>
      </w:r>
    </w:p>
    <w:p>
      <w:pPr>
        <w:pStyle w:val="null3"/>
        <w:ind w:firstLine="480"/>
      </w:pPr>
      <w:r>
        <w:rPr/>
        <w:t xml:space="preserve"> 地址：</w:t>
      </w:r>
      <w:r>
        <w:rPr/>
        <w:t>广东省东莞市南城街道广东省东莞市南城街道鸿福路199号410、411室</w:t>
      </w:r>
    </w:p>
    <w:p>
      <w:pPr>
        <w:pStyle w:val="null3"/>
        <w:ind w:firstLine="480"/>
      </w:pPr>
      <w:r>
        <w:rPr/>
        <w:t xml:space="preserve"> 联系方式：</w:t>
      </w:r>
      <w:r>
        <w:rPr/>
        <w:t>0769-22881803</w:t>
      </w:r>
    </w:p>
    <w:p>
      <w:pPr>
        <w:pStyle w:val="null3"/>
        <w:outlineLvl w:val="3"/>
      </w:pPr>
      <w:r>
        <w:rPr>
          <w:sz w:val="24"/>
          <w:b/>
        </w:rPr>
        <w:t xml:space="preserve"> 3.项目联系方式</w:t>
      </w:r>
    </w:p>
    <w:p>
      <w:pPr>
        <w:pStyle w:val="null3"/>
        <w:ind w:firstLine="480"/>
      </w:pPr>
      <w:r>
        <w:rPr/>
        <w:t xml:space="preserve"> 项目联系人：</w:t>
      </w:r>
      <w:r>
        <w:rPr/>
        <w:t>杨俊平</w:t>
      </w:r>
    </w:p>
    <w:p>
      <w:pPr>
        <w:pStyle w:val="null3"/>
        <w:ind w:firstLine="480"/>
      </w:pPr>
      <w:r>
        <w:rPr/>
        <w:t xml:space="preserve"> 电话：</w:t>
      </w:r>
      <w:r>
        <w:rPr/>
        <w:t>0769-22881803</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广东政通招标有限公司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t>东莞市麻涌镇雨水排水管养护服务项目</w:t>
      </w:r>
    </w:p>
    <w:p>
      <w:pPr>
        <w:pStyle w:val="null3"/>
      </w:pPr>
      <w:r>
        <w:rPr/>
        <w:t>采购包1（东莞市麻涌镇雨水排水管养护服务项目）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自合同签订之日起2年。</w:t>
            </w:r>
          </w:p>
        </w:tc>
      </w:tr>
      <w:tr>
        <w:tc>
          <w:tcPr>
            <w:tcW w:type="dxa" w:w="4153"/>
          </w:tcPr>
          <w:p>
            <w:pPr>
              <w:pStyle w:val="null3"/>
            </w:pPr>
            <w:r>
              <w:rPr/>
              <w:t>标的提供的地点</w:t>
            </w:r>
          </w:p>
        </w:tc>
        <w:tc>
          <w:tcPr>
            <w:tcW w:type="dxa" w:w="4153"/>
          </w:tcPr>
          <w:p>
            <w:pPr>
              <w:pStyle w:val="null3"/>
            </w:pPr>
            <w:r>
              <w:rPr/>
              <w:t>采购人指定地点（如有变化另行确定）。</w:t>
            </w:r>
          </w:p>
        </w:tc>
      </w:tr>
      <w:tr>
        <w:tc>
          <w:tcPr>
            <w:tcW w:type="dxa" w:w="4153"/>
          </w:tcPr>
          <w:p>
            <w:pPr>
              <w:pStyle w:val="null3"/>
            </w:pPr>
            <w:r>
              <w:rPr/>
              <w:t>付款方式</w:t>
            </w:r>
          </w:p>
        </w:tc>
        <w:tc>
          <w:tcPr>
            <w:tcW w:type="dxa" w:w="4153"/>
          </w:tcPr>
          <w:p>
            <w:pPr>
              <w:pStyle w:val="null3"/>
            </w:pPr>
            <w:r>
              <w:rPr/>
              <w:t>1期：支付比例100%,1、服务期内，每月定期考核，每月20日前完成考核，并通过银行转账方式支付上一个月的管养费。【注：当月管养费＝中标合同总价÷24个月-当月扣款情况】。 2、每期管养费在支付前须经采购人考核评分达标后，根据《东莞市麻涌镇雨水排水管养护服务项目月考核评分表》规定支付。</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1期：（1）验收工作由采购人（或采购人指定的单位）和中标人共同进行。 （2）验收标准：按招标文件技术要求和合同条款、以及参国家、省、市有关最新规范标准进行验收，在验收时，中标人向采购人提供本项目服务过程资料及总结资料。 （3）由采购人对服务内容进行验收。如发现效果与招标文件要求规定不符，采购人有权拒绝接受。</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1、报价要求，投标报价按总价报价，DN400以上（含DN400）主干管综合单价最高限价18元/米·年，以152404米为基数计算；DN400以下（不含DN400）管网（约24公里）一并纳入管养范围，所需费用包含在承包价内，不单独计费。本项目为包工、包料、包机械设备、包质量、包安全文明施工、包管道封堵及拆封、包抽排水、包对严重积水路段管道内部进行管道检测、包税费、包保险（含人员社保、第三方责任险、意外伤害险）、包现场清理淤泥及施工垃圾清运、包基础资料收集、现场勘探等费用和包招标代理服务费等全部费用。</w:t>
            </w:r>
          </w:p>
          <w:p>
            <w:pPr>
              <w:pStyle w:val="null3"/>
            </w:pPr>
            <w:r>
              <w:rPr/>
              <w:t>2、现场考察和标前答疑会，不举行现场考察和标前答疑会。</w:t>
            </w:r>
          </w:p>
          <w:p>
            <w:pPr>
              <w:pStyle w:val="null3"/>
            </w:pPr>
            <w:r>
              <w:rPr/>
              <w:t>3、合同条款，供应商实质响应合同条款。</w:t>
            </w:r>
          </w:p>
          <w:p>
            <w:pPr>
              <w:pStyle w:val="null3"/>
            </w:pPr>
            <w:r>
              <w:rPr/>
              <w:t>4、其他要求，投标人应充分结合本招标文件上下文了解项目招标需求、采购文件未尽事宜，将在合同签订或项目执行过程中双方协商确定，供应商须无条件满足采购单位的合理要求。</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其他服务</w:t>
            </w:r>
          </w:p>
        </w:tc>
        <w:tc>
          <w:tcPr>
            <w:tcW w:type="dxa" w:w="933"/>
          </w:tcPr>
          <w:p>
            <w:pPr>
              <w:pStyle w:val="null3"/>
              <w:jc w:val="left"/>
            </w:pPr>
            <w:r>
              <w:rPr/>
              <w:t>东莞市麻涌镇雨水排水管养护服务项目</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5,486,544.00</w:t>
            </w:r>
          </w:p>
        </w:tc>
        <w:tc>
          <w:tcPr>
            <w:tcW w:type="dxa" w:w="933"/>
          </w:tcPr>
          <w:p>
            <w:pPr>
              <w:pStyle w:val="null3"/>
              <w:jc w:val="right"/>
            </w:pPr>
            <w:r>
              <w:rPr/>
              <w:t>5,486,544.00</w:t>
            </w:r>
          </w:p>
        </w:tc>
        <w:tc>
          <w:tcPr>
            <w:tcW w:type="dxa" w:w="840"/>
          </w:tcPr>
          <w:p>
            <w:pPr>
              <w:pStyle w:val="null3"/>
            </w:pPr>
            <w:r>
              <w:rPr/>
              <w:t>其他未列明行业</w:t>
            </w:r>
          </w:p>
        </w:tc>
        <w:tc>
          <w:tcPr>
            <w:tcW w:type="dxa" w:w="933"/>
          </w:tcPr>
          <w:p>
            <w:pPr>
              <w:pStyle w:val="null3"/>
            </w:pPr>
            <w:r>
              <w:rPr/>
              <w:t>详见附表一</w:t>
            </w:r>
          </w:p>
        </w:tc>
      </w:tr>
    </w:tbl>
    <w:p>
      <w:pPr>
        <w:pStyle w:val="null3"/>
      </w:pPr>
      <w:r>
        <w:rPr>
          <w:b/>
        </w:rPr>
        <w:t>附表</w:t>
      </w:r>
      <w:r>
        <w:rPr>
          <w:b/>
        </w:rPr>
        <w:t>一</w:t>
      </w:r>
      <w:r>
        <w:rPr>
          <w:b/>
        </w:rPr>
        <w:t>：</w:t>
      </w:r>
      <w:r>
        <w:rPr>
          <w:b/>
        </w:rPr>
        <w:t>东莞市麻涌镇雨水排水管养护服务项目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outlineLvl w:val="3"/>
            </w:pPr>
            <w:r>
              <w:rPr>
                <w:sz w:val="24"/>
                <w:b/>
              </w:rPr>
              <w:t>1</w:t>
            </w:r>
            <w:r>
              <w:rPr>
                <w:sz w:val="24"/>
                <w:b/>
              </w:rPr>
              <w:t>、服务范围</w:t>
            </w:r>
          </w:p>
          <w:p>
            <w:pPr>
              <w:pStyle w:val="null3"/>
              <w:ind w:firstLine="420"/>
              <w:jc w:val="both"/>
            </w:pPr>
            <w:r>
              <w:rPr>
                <w:sz w:val="21"/>
              </w:rPr>
              <w:t>全镇镇属主干道路</w:t>
            </w:r>
            <w:r>
              <w:rPr>
                <w:sz w:val="21"/>
              </w:rPr>
              <w:t>55条、镇政府大院和行政服务中心排水管养工作。</w:t>
            </w:r>
          </w:p>
          <w:p>
            <w:pPr>
              <w:pStyle w:val="null3"/>
              <w:jc w:val="both"/>
              <w:outlineLvl w:val="3"/>
            </w:pPr>
            <w:r>
              <w:rPr>
                <w:sz w:val="24"/>
                <w:b/>
              </w:rPr>
              <w:t>2</w:t>
            </w:r>
            <w:r>
              <w:rPr>
                <w:sz w:val="24"/>
                <w:b/>
              </w:rPr>
              <w:t>、服务内容</w:t>
            </w:r>
          </w:p>
          <w:p>
            <w:pPr>
              <w:pStyle w:val="null3"/>
              <w:ind w:firstLine="420"/>
              <w:jc w:val="both"/>
            </w:pPr>
            <w:r>
              <w:rPr>
                <w:sz w:val="21"/>
              </w:rPr>
              <w:t>全镇镇属主干道路</w:t>
            </w:r>
            <w:r>
              <w:rPr>
                <w:sz w:val="21"/>
              </w:rPr>
              <w:t>55条、镇政府大院和行政服务中心排水设施设备管道清疏、检查井雨水箅损坏更换和防坠网100%安装等日常运行维护；排水拍门的损坏包干更换；强降雨期间的巡查和值守；积水路段的排水应急强排工作；落实路面内涝积水防御的“三人小组”的工作要求；熟练操作移动防汛泵车综合费用包干等；市政出水口标牌的制作安装。</w:t>
            </w:r>
          </w:p>
          <w:p>
            <w:pPr>
              <w:pStyle w:val="null3"/>
              <w:jc w:val="both"/>
              <w:outlineLvl w:val="3"/>
            </w:pPr>
            <w:r>
              <w:rPr>
                <w:sz w:val="24"/>
                <w:b/>
              </w:rPr>
              <w:t>3</w:t>
            </w:r>
            <w:r>
              <w:rPr>
                <w:sz w:val="24"/>
                <w:b/>
              </w:rPr>
              <w:t>、</w:t>
            </w:r>
            <w:r>
              <w:rPr>
                <w:sz w:val="24"/>
                <w:b/>
              </w:rPr>
              <w:t>2024</w:t>
            </w:r>
            <w:r>
              <w:rPr>
                <w:sz w:val="24"/>
                <w:b/>
              </w:rPr>
              <w:t>年麻涌镇排水设施统计表</w:t>
            </w:r>
          </w:p>
          <w:p>
            <w:pPr>
              <w:pStyle w:val="null3"/>
              <w:ind w:firstLine="420"/>
              <w:jc w:val="both"/>
            </w:pPr>
            <w:r>
              <w:rPr>
                <w:sz w:val="21"/>
              </w:rPr>
              <w:t>（以下道路的名称和数量可能与实际存在差异，最终以实际情况为准）</w:t>
            </w:r>
          </w:p>
          <w:tbl>
            <w:tblPr>
              <w:tblInd w:type="dxa" w:w="90"/>
              <w:tblBorders>
                <w:top w:val="none" w:color="000000" w:sz="4"/>
                <w:left w:val="none" w:color="000000" w:sz="4"/>
                <w:bottom w:val="none" w:color="000000" w:sz="4"/>
                <w:right w:val="none" w:color="000000" w:sz="4"/>
                <w:insideH w:val="none"/>
                <w:insideV w:val="none"/>
              </w:tblBorders>
            </w:tblPr>
            <w:tblGrid>
              <w:gridCol w:w="283"/>
              <w:gridCol w:w="517"/>
              <w:gridCol w:w="293"/>
              <w:gridCol w:w="560"/>
              <w:gridCol w:w="560"/>
              <w:gridCol w:w="560"/>
              <w:gridCol w:w="560"/>
              <w:gridCol w:w="560"/>
              <w:gridCol w:w="926"/>
              <w:gridCol w:w="780"/>
            </w:tblGrid>
            <w:tr>
              <w:tc>
                <w:tcPr>
                  <w:tcW w:type="dxa" w:w="5599"/>
                  <w:gridSpan w:val="1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21"/>
                      <w:color w:val="000000"/>
                    </w:rPr>
                    <w:t>2024年麻涌镇排水设施统计表</w:t>
                  </w:r>
                </w:p>
              </w:tc>
            </w:tr>
            <w:tr>
              <w:tc>
                <w:tcPr>
                  <w:tcW w:type="dxa" w:w="28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序号</w:t>
                  </w:r>
                </w:p>
              </w:tc>
              <w:tc>
                <w:tcPr>
                  <w:tcW w:type="dxa" w:w="5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路段</w:t>
                  </w:r>
                </w:p>
              </w:tc>
              <w:tc>
                <w:tcPr>
                  <w:tcW w:type="dxa" w:w="29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单</w:t>
                  </w:r>
                  <w:r>
                    <w:rPr>
                      <w:sz w:val="21"/>
                      <w:color w:val="000000"/>
                    </w:rPr>
                    <w:t>/双边</w:t>
                  </w:r>
                </w:p>
              </w:tc>
              <w:tc>
                <w:tcPr>
                  <w:tcW w:type="dxa" w:w="5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主管长度</w:t>
                  </w:r>
                  <w:r>
                    <w:rPr>
                      <w:sz w:val="21"/>
                      <w:color w:val="000000"/>
                    </w:rPr>
                    <w:t>m（400-1500）</w:t>
                  </w:r>
                </w:p>
              </w:tc>
              <w:tc>
                <w:tcPr>
                  <w:tcW w:type="dxa" w:w="5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井间均距</w:t>
                  </w:r>
                </w:p>
              </w:tc>
              <w:tc>
                <w:tcPr>
                  <w:tcW w:type="dxa" w:w="5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检查井个数</w:t>
                  </w:r>
                </w:p>
              </w:tc>
              <w:tc>
                <w:tcPr>
                  <w:tcW w:type="dxa" w:w="5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雨水进水井单双</w:t>
                  </w:r>
                </w:p>
              </w:tc>
              <w:tc>
                <w:tcPr>
                  <w:tcW w:type="dxa" w:w="5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雨水进水口个数</w:t>
                  </w:r>
                </w:p>
              </w:tc>
              <w:tc>
                <w:tcPr>
                  <w:tcW w:type="dxa" w:w="9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支管长度</w:t>
                  </w:r>
                  <w:r>
                    <w:rPr>
                      <w:sz w:val="21"/>
                      <w:color w:val="000000"/>
                    </w:rPr>
                    <w:t>m（200-400）</w:t>
                  </w:r>
                </w:p>
              </w:tc>
              <w:tc>
                <w:tcPr>
                  <w:tcW w:type="dxa" w:w="78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备注</w:t>
                  </w:r>
                </w:p>
              </w:tc>
            </w:tr>
            <w:tr>
              <w:tc>
                <w:tcPr>
                  <w:tcW w:type="dxa" w:w="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西环路</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5000</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27.8</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172</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346</w:t>
                  </w:r>
                </w:p>
              </w:tc>
              <w:tc>
                <w:tcPr>
                  <w:tcW w:type="dxa" w:w="9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1068</w:t>
                  </w:r>
                </w:p>
              </w:tc>
              <w:tc>
                <w:tcPr>
                  <w:tcW w:type="dxa" w:w="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兴南路</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6000</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28.8</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174</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267</w:t>
                  </w:r>
                </w:p>
              </w:tc>
              <w:tc>
                <w:tcPr>
                  <w:tcW w:type="dxa" w:w="9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885</w:t>
                  </w:r>
                </w:p>
              </w:tc>
              <w:tc>
                <w:tcPr>
                  <w:tcW w:type="dxa" w:w="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东环路</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12500</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31.8</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381</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921</w:t>
                  </w:r>
                </w:p>
              </w:tc>
              <w:tc>
                <w:tcPr>
                  <w:tcW w:type="dxa" w:w="9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2161</w:t>
                  </w:r>
                </w:p>
              </w:tc>
              <w:tc>
                <w:tcPr>
                  <w:tcW w:type="dxa" w:w="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中麻路（鸥涌连接段）</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3199</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28.1</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99</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208</w:t>
                  </w:r>
                </w:p>
              </w:tc>
              <w:tc>
                <w:tcPr>
                  <w:tcW w:type="dxa" w:w="9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496</w:t>
                  </w:r>
                </w:p>
              </w:tc>
              <w:tc>
                <w:tcPr>
                  <w:tcW w:type="dxa" w:w="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海德路</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350</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14.6</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21</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79</w:t>
                  </w:r>
                </w:p>
              </w:tc>
              <w:tc>
                <w:tcPr>
                  <w:tcW w:type="dxa" w:w="9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155</w:t>
                  </w:r>
                </w:p>
              </w:tc>
              <w:tc>
                <w:tcPr>
                  <w:tcW w:type="dxa" w:w="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东浦路</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702</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26.3</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19</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66</w:t>
                  </w:r>
                </w:p>
              </w:tc>
              <w:tc>
                <w:tcPr>
                  <w:tcW w:type="dxa" w:w="9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208</w:t>
                  </w:r>
                </w:p>
              </w:tc>
              <w:tc>
                <w:tcPr>
                  <w:tcW w:type="dxa" w:w="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望海路</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2318</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27.8</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55</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206</w:t>
                  </w:r>
                </w:p>
              </w:tc>
              <w:tc>
                <w:tcPr>
                  <w:tcW w:type="dxa" w:w="9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234</w:t>
                  </w:r>
                </w:p>
              </w:tc>
              <w:tc>
                <w:tcPr>
                  <w:tcW w:type="dxa" w:w="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中心大道</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10052</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32.7</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284</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566</w:t>
                  </w:r>
                </w:p>
              </w:tc>
              <w:tc>
                <w:tcPr>
                  <w:tcW w:type="dxa" w:w="9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1816</w:t>
                  </w:r>
                </w:p>
              </w:tc>
              <w:tc>
                <w:tcPr>
                  <w:tcW w:type="dxa" w:w="7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包含新增麻涌大道至淡水河景观大道段</w:t>
                  </w:r>
                </w:p>
              </w:tc>
            </w:tr>
            <w:tr>
              <w:tc>
                <w:tcPr>
                  <w:tcW w:type="dxa" w:w="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八达路</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3000</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34.3</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78</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183</w:t>
                  </w:r>
                </w:p>
              </w:tc>
              <w:tc>
                <w:tcPr>
                  <w:tcW w:type="dxa" w:w="9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552</w:t>
                  </w:r>
                </w:p>
              </w:tc>
              <w:tc>
                <w:tcPr>
                  <w:tcW w:type="dxa" w:w="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博学路</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809</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25.1</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28</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72</w:t>
                  </w:r>
                </w:p>
              </w:tc>
              <w:tc>
                <w:tcPr>
                  <w:tcW w:type="dxa" w:w="9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203</w:t>
                  </w:r>
                </w:p>
              </w:tc>
              <w:tc>
                <w:tcPr>
                  <w:tcW w:type="dxa" w:w="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兴华路</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5000</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31.8</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153</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146</w:t>
                  </w:r>
                </w:p>
              </w:tc>
              <w:tc>
                <w:tcPr>
                  <w:tcW w:type="dxa" w:w="9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1605</w:t>
                  </w:r>
                </w:p>
              </w:tc>
              <w:tc>
                <w:tcPr>
                  <w:tcW w:type="dxa" w:w="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润丰路</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1558</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30.5</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45</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74</w:t>
                  </w:r>
                </w:p>
              </w:tc>
              <w:tc>
                <w:tcPr>
                  <w:tcW w:type="dxa" w:w="9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183</w:t>
                  </w:r>
                </w:p>
              </w:tc>
              <w:tc>
                <w:tcPr>
                  <w:tcW w:type="dxa" w:w="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沿河东路</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1961</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26.4</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66</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92</w:t>
                  </w:r>
                </w:p>
              </w:tc>
              <w:tc>
                <w:tcPr>
                  <w:tcW w:type="dxa" w:w="9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108</w:t>
                  </w:r>
                </w:p>
              </w:tc>
              <w:tc>
                <w:tcPr>
                  <w:tcW w:type="dxa" w:w="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麻涌大道至南玻大道</w:t>
                  </w:r>
                </w:p>
              </w:tc>
            </w:tr>
            <w:tr>
              <w:tc>
                <w:tcPr>
                  <w:tcW w:type="dxa" w:w="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古梅南路</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2653</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22</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23</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63</w:t>
                  </w:r>
                </w:p>
              </w:tc>
              <w:tc>
                <w:tcPr>
                  <w:tcW w:type="dxa" w:w="9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315</w:t>
                  </w:r>
                </w:p>
              </w:tc>
              <w:tc>
                <w:tcPr>
                  <w:tcW w:type="dxa" w:w="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古梅北路</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3400</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31.9</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86</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227</w:t>
                  </w:r>
                </w:p>
              </w:tc>
              <w:tc>
                <w:tcPr>
                  <w:tcW w:type="dxa" w:w="9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736</w:t>
                  </w:r>
                </w:p>
              </w:tc>
              <w:tc>
                <w:tcPr>
                  <w:tcW w:type="dxa" w:w="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沿江西路</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5698</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21.5</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192</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496</w:t>
                  </w:r>
                </w:p>
              </w:tc>
              <w:tc>
                <w:tcPr>
                  <w:tcW w:type="dxa" w:w="9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665</w:t>
                  </w:r>
                </w:p>
              </w:tc>
              <w:tc>
                <w:tcPr>
                  <w:tcW w:type="dxa" w:w="7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包含新增（四</w:t>
                  </w:r>
                  <w:r>
                    <w:rPr>
                      <w:sz w:val="21"/>
                      <w:color w:val="000000"/>
                    </w:rPr>
                    <w:t>Y海水闸至华阳村段、金湾段）</w:t>
                  </w:r>
                </w:p>
              </w:tc>
            </w:tr>
            <w:tr>
              <w:tc>
                <w:tcPr>
                  <w:tcW w:type="dxa" w:w="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沿江东路</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3300</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28.6</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81</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282</w:t>
                  </w:r>
                </w:p>
              </w:tc>
              <w:tc>
                <w:tcPr>
                  <w:tcW w:type="dxa" w:w="9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312</w:t>
                  </w:r>
                </w:p>
              </w:tc>
              <w:tc>
                <w:tcPr>
                  <w:tcW w:type="dxa" w:w="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商业路</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237</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20.5</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31</w:t>
                  </w:r>
                </w:p>
              </w:tc>
              <w:tc>
                <w:tcPr>
                  <w:tcW w:type="dxa" w:w="9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62</w:t>
                  </w:r>
                </w:p>
              </w:tc>
              <w:tc>
                <w:tcPr>
                  <w:tcW w:type="dxa" w:w="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19</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振兴路</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358</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24.9</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64</w:t>
                  </w:r>
                </w:p>
              </w:tc>
              <w:tc>
                <w:tcPr>
                  <w:tcW w:type="dxa" w:w="9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85</w:t>
                  </w:r>
                </w:p>
              </w:tc>
              <w:tc>
                <w:tcPr>
                  <w:tcW w:type="dxa" w:w="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建设路</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630</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27.3</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27</w:t>
                  </w:r>
                </w:p>
              </w:tc>
              <w:tc>
                <w:tcPr>
                  <w:tcW w:type="dxa" w:w="9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95</w:t>
                  </w:r>
                </w:p>
              </w:tc>
              <w:tc>
                <w:tcPr>
                  <w:tcW w:type="dxa" w:w="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21</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教育路</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772</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32.5</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24</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42</w:t>
                  </w:r>
                </w:p>
              </w:tc>
              <w:tc>
                <w:tcPr>
                  <w:tcW w:type="dxa" w:w="9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116</w:t>
                  </w:r>
                </w:p>
              </w:tc>
              <w:tc>
                <w:tcPr>
                  <w:tcW w:type="dxa" w:w="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22</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南坡大道</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2000</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28.4</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39</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97</w:t>
                  </w:r>
                </w:p>
              </w:tc>
              <w:tc>
                <w:tcPr>
                  <w:tcW w:type="dxa" w:w="9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232</w:t>
                  </w:r>
                </w:p>
              </w:tc>
              <w:tc>
                <w:tcPr>
                  <w:tcW w:type="dxa" w:w="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23</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新基工业大道</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2881</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28.2</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85</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189</w:t>
                  </w:r>
                </w:p>
              </w:tc>
              <w:tc>
                <w:tcPr>
                  <w:tcW w:type="dxa" w:w="9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526</w:t>
                  </w:r>
                </w:p>
              </w:tc>
              <w:tc>
                <w:tcPr>
                  <w:tcW w:type="dxa" w:w="7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包含新增新基工业大道</w:t>
                  </w:r>
                  <w:r>
                    <w:rPr>
                      <w:sz w:val="21"/>
                      <w:color w:val="000000"/>
                    </w:rPr>
                    <w:t xml:space="preserve">                   </w:t>
                  </w:r>
                  <w:r>
                    <w:rPr>
                      <w:sz w:val="21"/>
                      <w:color w:val="000000"/>
                    </w:rPr>
                    <w:t>(车行道)</w:t>
                  </w:r>
                </w:p>
              </w:tc>
            </w:tr>
            <w:tr>
              <w:tc>
                <w:tcPr>
                  <w:tcW w:type="dxa" w:w="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24</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南峰路</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766</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20.6</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35</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99</w:t>
                  </w:r>
                </w:p>
              </w:tc>
              <w:tc>
                <w:tcPr>
                  <w:tcW w:type="dxa" w:w="9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266</w:t>
                  </w:r>
                </w:p>
              </w:tc>
              <w:tc>
                <w:tcPr>
                  <w:tcW w:type="dxa" w:w="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太步路</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3200</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28.1</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107</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120</w:t>
                  </w:r>
                </w:p>
              </w:tc>
              <w:tc>
                <w:tcPr>
                  <w:tcW w:type="dxa" w:w="9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862</w:t>
                  </w:r>
                </w:p>
              </w:tc>
              <w:tc>
                <w:tcPr>
                  <w:tcW w:type="dxa" w:w="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26</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新太路</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1700</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26.5</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46</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82</w:t>
                  </w:r>
                </w:p>
              </w:tc>
              <w:tc>
                <w:tcPr>
                  <w:tcW w:type="dxa" w:w="9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245</w:t>
                  </w:r>
                </w:p>
              </w:tc>
              <w:tc>
                <w:tcPr>
                  <w:tcW w:type="dxa" w:w="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27</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创兴三路</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565</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30.8</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31</w:t>
                  </w:r>
                </w:p>
              </w:tc>
              <w:tc>
                <w:tcPr>
                  <w:tcW w:type="dxa" w:w="9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93</w:t>
                  </w:r>
                </w:p>
              </w:tc>
              <w:tc>
                <w:tcPr>
                  <w:tcW w:type="dxa" w:w="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28</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创兴四路</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781</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35.5</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22</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57</w:t>
                  </w:r>
                </w:p>
              </w:tc>
              <w:tc>
                <w:tcPr>
                  <w:tcW w:type="dxa" w:w="9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138</w:t>
                  </w:r>
                </w:p>
              </w:tc>
              <w:tc>
                <w:tcPr>
                  <w:tcW w:type="dxa" w:w="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29</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创兴五路</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832</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24.5</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24</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85</w:t>
                  </w:r>
                </w:p>
              </w:tc>
              <w:tc>
                <w:tcPr>
                  <w:tcW w:type="dxa" w:w="9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156</w:t>
                  </w:r>
                </w:p>
              </w:tc>
              <w:tc>
                <w:tcPr>
                  <w:tcW w:type="dxa" w:w="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30</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景观大道</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1546</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31.6</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49</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90</w:t>
                  </w:r>
                </w:p>
              </w:tc>
              <w:tc>
                <w:tcPr>
                  <w:tcW w:type="dxa" w:w="9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133</w:t>
                  </w:r>
                </w:p>
              </w:tc>
              <w:tc>
                <w:tcPr>
                  <w:tcW w:type="dxa" w:w="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31</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漳澎规划路</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1200</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31.3</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30</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106</w:t>
                  </w:r>
                </w:p>
              </w:tc>
              <w:tc>
                <w:tcPr>
                  <w:tcW w:type="dxa" w:w="9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312</w:t>
                  </w:r>
                </w:p>
              </w:tc>
              <w:tc>
                <w:tcPr>
                  <w:tcW w:type="dxa" w:w="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32</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二横路</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1600</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30</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34</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60</w:t>
                  </w:r>
                </w:p>
              </w:tc>
              <w:tc>
                <w:tcPr>
                  <w:tcW w:type="dxa" w:w="9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155</w:t>
                  </w:r>
                </w:p>
              </w:tc>
              <w:tc>
                <w:tcPr>
                  <w:tcW w:type="dxa" w:w="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33</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一横路西</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3116</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30.1</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202</w:t>
                  </w:r>
                </w:p>
              </w:tc>
              <w:tc>
                <w:tcPr>
                  <w:tcW w:type="dxa" w:w="9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585</w:t>
                  </w:r>
                </w:p>
              </w:tc>
              <w:tc>
                <w:tcPr>
                  <w:tcW w:type="dxa" w:w="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34</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一横路东</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2400</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28.8</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70</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129</w:t>
                  </w:r>
                </w:p>
              </w:tc>
              <w:tc>
                <w:tcPr>
                  <w:tcW w:type="dxa" w:w="9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556</w:t>
                  </w:r>
                </w:p>
              </w:tc>
              <w:tc>
                <w:tcPr>
                  <w:tcW w:type="dxa" w:w="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35</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文武涌路</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4786</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30</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159</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184</w:t>
                  </w:r>
                </w:p>
              </w:tc>
              <w:tc>
                <w:tcPr>
                  <w:tcW w:type="dxa" w:w="9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626</w:t>
                  </w:r>
                </w:p>
              </w:tc>
              <w:tc>
                <w:tcPr>
                  <w:tcW w:type="dxa" w:w="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36</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港中路</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3400</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31.3</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96</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112</w:t>
                  </w:r>
                </w:p>
              </w:tc>
              <w:tc>
                <w:tcPr>
                  <w:tcW w:type="dxa" w:w="9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537</w:t>
                  </w:r>
                </w:p>
              </w:tc>
              <w:tc>
                <w:tcPr>
                  <w:tcW w:type="dxa" w:w="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37</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西部干道</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3348</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33.5</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238</w:t>
                  </w:r>
                </w:p>
              </w:tc>
              <w:tc>
                <w:tcPr>
                  <w:tcW w:type="dxa" w:w="9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512</w:t>
                  </w:r>
                </w:p>
              </w:tc>
              <w:tc>
                <w:tcPr>
                  <w:tcW w:type="dxa" w:w="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38</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新沙路大盛段</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2689</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34.5</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78</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165</w:t>
                  </w:r>
                </w:p>
              </w:tc>
              <w:tc>
                <w:tcPr>
                  <w:tcW w:type="dxa" w:w="9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495</w:t>
                  </w:r>
                </w:p>
              </w:tc>
              <w:tc>
                <w:tcPr>
                  <w:tcW w:type="dxa" w:w="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39</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新沙港专用道</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2207</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30</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60</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88</w:t>
                  </w:r>
                </w:p>
              </w:tc>
              <w:tc>
                <w:tcPr>
                  <w:tcW w:type="dxa" w:w="9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252</w:t>
                  </w:r>
                </w:p>
              </w:tc>
              <w:tc>
                <w:tcPr>
                  <w:tcW w:type="dxa" w:w="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40</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港前路</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2059</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28.5</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48</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53</w:t>
                  </w:r>
                </w:p>
              </w:tc>
              <w:tc>
                <w:tcPr>
                  <w:tcW w:type="dxa" w:w="9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125</w:t>
                  </w:r>
                </w:p>
              </w:tc>
              <w:tc>
                <w:tcPr>
                  <w:tcW w:type="dxa" w:w="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文武涌路口嘉吉至广州大优煤炭</w:t>
                  </w:r>
                </w:p>
              </w:tc>
            </w:tr>
            <w:tr>
              <w:tc>
                <w:tcPr>
                  <w:tcW w:type="dxa" w:w="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41</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新港南路</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3000</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35.5</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56</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205</w:t>
                  </w:r>
                </w:p>
              </w:tc>
              <w:tc>
                <w:tcPr>
                  <w:tcW w:type="dxa" w:w="9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562</w:t>
                  </w:r>
                </w:p>
              </w:tc>
              <w:tc>
                <w:tcPr>
                  <w:tcW w:type="dxa" w:w="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42</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新港北路</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2000</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36</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36</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144</w:t>
                  </w:r>
                </w:p>
              </w:tc>
              <w:tc>
                <w:tcPr>
                  <w:tcW w:type="dxa" w:w="9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585</w:t>
                  </w:r>
                </w:p>
              </w:tc>
              <w:tc>
                <w:tcPr>
                  <w:tcW w:type="dxa" w:w="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43</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作业区中路</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7190</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38.1</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119</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242</w:t>
                  </w:r>
                </w:p>
              </w:tc>
              <w:tc>
                <w:tcPr>
                  <w:tcW w:type="dxa" w:w="9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728</w:t>
                  </w:r>
                </w:p>
              </w:tc>
              <w:tc>
                <w:tcPr>
                  <w:tcW w:type="dxa" w:w="7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包含新建管线</w:t>
                  </w:r>
                </w:p>
              </w:tc>
            </w:tr>
            <w:tr>
              <w:tc>
                <w:tcPr>
                  <w:tcW w:type="dxa" w:w="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44</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X237</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4610</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30.5</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145</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315</w:t>
                  </w:r>
                </w:p>
              </w:tc>
              <w:tc>
                <w:tcPr>
                  <w:tcW w:type="dxa" w:w="9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933</w:t>
                  </w:r>
                </w:p>
              </w:tc>
              <w:tc>
                <w:tcPr>
                  <w:tcW w:type="dxa" w:w="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新沙路（麻涌大道至水乡大道段）为双向排水，其余无排水管。</w:t>
                  </w:r>
                </w:p>
              </w:tc>
            </w:tr>
            <w:tr>
              <w:tc>
                <w:tcPr>
                  <w:tcW w:type="dxa" w:w="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45</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X249</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13115</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35.2</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294</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532</w:t>
                  </w:r>
                </w:p>
              </w:tc>
              <w:tc>
                <w:tcPr>
                  <w:tcW w:type="dxa" w:w="9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2652</w:t>
                  </w:r>
                </w:p>
              </w:tc>
              <w:tc>
                <w:tcPr>
                  <w:tcW w:type="dxa" w:w="7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麻涌大道（新沙路至麻涌镇政府段）、东太路、包含新增麻涌延长线</w:t>
                  </w:r>
                </w:p>
              </w:tc>
            </w:tr>
            <w:tr>
              <w:tc>
                <w:tcPr>
                  <w:tcW w:type="dxa" w:w="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46</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规划八路</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1390</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38.4</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32</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156</w:t>
                  </w:r>
                </w:p>
              </w:tc>
              <w:tc>
                <w:tcPr>
                  <w:tcW w:type="dxa" w:w="9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258</w:t>
                  </w:r>
                </w:p>
              </w:tc>
              <w:tc>
                <w:tcPr>
                  <w:tcW w:type="dxa" w:w="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47</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规划九路</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760</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31.2</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19</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76</w:t>
                  </w:r>
                </w:p>
              </w:tc>
              <w:tc>
                <w:tcPr>
                  <w:tcW w:type="dxa" w:w="9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218</w:t>
                  </w:r>
                </w:p>
              </w:tc>
              <w:tc>
                <w:tcPr>
                  <w:tcW w:type="dxa" w:w="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48</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规划十路</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770</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24.3</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85</w:t>
                  </w:r>
                </w:p>
              </w:tc>
              <w:tc>
                <w:tcPr>
                  <w:tcW w:type="dxa" w:w="9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255</w:t>
                  </w:r>
                </w:p>
              </w:tc>
              <w:tc>
                <w:tcPr>
                  <w:tcW w:type="dxa" w:w="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49</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规划十一路</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740</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27.5</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19</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46</w:t>
                  </w:r>
                </w:p>
              </w:tc>
              <w:tc>
                <w:tcPr>
                  <w:tcW w:type="dxa" w:w="9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138</w:t>
                  </w:r>
                </w:p>
              </w:tc>
              <w:tc>
                <w:tcPr>
                  <w:tcW w:type="dxa" w:w="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50</w:t>
                  </w:r>
                </w:p>
              </w:tc>
              <w:tc>
                <w:tcPr>
                  <w:tcW w:type="dxa" w:w="5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规划十三路</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757</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28</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27</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93</w:t>
                  </w:r>
                </w:p>
              </w:tc>
              <w:tc>
                <w:tcPr>
                  <w:tcW w:type="dxa" w:w="9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225</w:t>
                  </w:r>
                </w:p>
              </w:tc>
              <w:tc>
                <w:tcPr>
                  <w:tcW w:type="dxa" w:w="7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包含规划八路至东环路段</w:t>
                  </w:r>
                </w:p>
              </w:tc>
            </w:tr>
            <w:tr>
              <w:tc>
                <w:tcPr>
                  <w:tcW w:type="dxa" w:w="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51</w:t>
                  </w:r>
                </w:p>
              </w:tc>
              <w:tc>
                <w:tcPr>
                  <w:tcW w:type="dxa" w:w="5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麻涌镇政府大院</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387</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29.7</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66</w:t>
                  </w:r>
                </w:p>
              </w:tc>
              <w:tc>
                <w:tcPr>
                  <w:tcW w:type="dxa" w:w="9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192</w:t>
                  </w:r>
                </w:p>
              </w:tc>
              <w:tc>
                <w:tcPr>
                  <w:tcW w:type="dxa" w:w="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52</w:t>
                  </w:r>
                </w:p>
              </w:tc>
              <w:tc>
                <w:tcPr>
                  <w:tcW w:type="dxa" w:w="5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麻涌镇行政中心</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414</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16.6</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48</w:t>
                  </w:r>
                </w:p>
              </w:tc>
              <w:tc>
                <w:tcPr>
                  <w:tcW w:type="dxa" w:w="9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165</w:t>
                  </w:r>
                </w:p>
              </w:tc>
              <w:tc>
                <w:tcPr>
                  <w:tcW w:type="dxa" w:w="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53</w:t>
                  </w:r>
                </w:p>
              </w:tc>
              <w:tc>
                <w:tcPr>
                  <w:tcW w:type="dxa" w:w="5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广深高速两侧沿线道路</w:t>
                  </w:r>
                  <w:r>
                    <w:rPr>
                      <w:sz w:val="21"/>
                      <w:color w:val="000000"/>
                    </w:rPr>
                    <w:t>-川槎标段</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2354</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25.6</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92</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150</w:t>
                  </w:r>
                </w:p>
              </w:tc>
              <w:tc>
                <w:tcPr>
                  <w:tcW w:type="dxa" w:w="9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628</w:t>
                  </w:r>
                </w:p>
              </w:tc>
              <w:tc>
                <w:tcPr>
                  <w:tcW w:type="dxa" w:w="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54</w:t>
                  </w:r>
                </w:p>
              </w:tc>
              <w:tc>
                <w:tcPr>
                  <w:tcW w:type="dxa" w:w="5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广深高速两侧沿线道路</w:t>
                  </w:r>
                  <w:r>
                    <w:rPr>
                      <w:sz w:val="21"/>
                      <w:color w:val="000000"/>
                    </w:rPr>
                    <w:t>-东标段</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1322</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28.7</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46</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92</w:t>
                  </w:r>
                </w:p>
              </w:tc>
              <w:tc>
                <w:tcPr>
                  <w:tcW w:type="dxa" w:w="9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512</w:t>
                  </w:r>
                </w:p>
              </w:tc>
              <w:tc>
                <w:tcPr>
                  <w:tcW w:type="dxa" w:w="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55</w:t>
                  </w:r>
                </w:p>
              </w:tc>
              <w:tc>
                <w:tcPr>
                  <w:tcW w:type="dxa" w:w="5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广深高速两侧沿线道路</w:t>
                  </w:r>
                  <w:r>
                    <w:rPr>
                      <w:sz w:val="21"/>
                      <w:color w:val="000000"/>
                    </w:rPr>
                    <w:t>-西标段</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1139</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225</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48</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82</w:t>
                  </w:r>
                </w:p>
              </w:tc>
              <w:tc>
                <w:tcPr>
                  <w:tcW w:type="dxa" w:w="9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485</w:t>
                  </w:r>
                </w:p>
              </w:tc>
              <w:tc>
                <w:tcPr>
                  <w:tcW w:type="dxa" w:w="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56</w:t>
                  </w:r>
                </w:p>
              </w:tc>
              <w:tc>
                <w:tcPr>
                  <w:tcW w:type="dxa" w:w="5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医院路</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752</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25.1</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30</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60</w:t>
                  </w:r>
                </w:p>
              </w:tc>
              <w:tc>
                <w:tcPr>
                  <w:tcW w:type="dxa" w:w="9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118</w:t>
                  </w:r>
                </w:p>
              </w:tc>
              <w:tc>
                <w:tcPr>
                  <w:tcW w:type="dxa" w:w="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57</w:t>
                  </w:r>
                </w:p>
              </w:tc>
              <w:tc>
                <w:tcPr>
                  <w:tcW w:type="dxa" w:w="5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车博北路</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1131</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27</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42</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42</w:t>
                  </w:r>
                </w:p>
              </w:tc>
              <w:tc>
                <w:tcPr>
                  <w:tcW w:type="dxa" w:w="9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93</w:t>
                  </w:r>
                </w:p>
              </w:tc>
              <w:tc>
                <w:tcPr>
                  <w:tcW w:type="dxa" w:w="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80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汇总</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152404</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4294</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9079</w:t>
                  </w:r>
                </w:p>
              </w:tc>
              <w:tc>
                <w:tcPr>
                  <w:tcW w:type="dxa" w:w="9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27613</w:t>
                  </w:r>
                </w:p>
              </w:tc>
              <w:tc>
                <w:tcPr>
                  <w:tcW w:type="dxa" w:w="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bl>
          <w:p>
            <w:pPr>
              <w:pStyle w:val="null3"/>
              <w:jc w:val="both"/>
            </w:pPr>
            <w:r>
              <w:rPr>
                <w:sz w:val="21"/>
              </w:rPr>
              <w:t>说明：以上道路的雨水排水官网名称和数量可能与实际存在差异，最终以实际情况为准；如最终统计数超出以上数据在</w:t>
            </w:r>
            <w:r>
              <w:rPr>
                <w:sz w:val="21"/>
              </w:rPr>
              <w:t>10%</w:t>
            </w:r>
            <w:r>
              <w:rPr>
                <w:sz w:val="21"/>
              </w:rPr>
              <w:t>以下的，不另外增加费用。</w:t>
            </w:r>
          </w:p>
          <w:p>
            <w:pPr>
              <w:pStyle w:val="null3"/>
              <w:jc w:val="both"/>
              <w:outlineLvl w:val="3"/>
            </w:pPr>
            <w:r>
              <w:rPr>
                <w:sz w:val="24"/>
                <w:b/>
              </w:rPr>
              <w:t>4</w:t>
            </w:r>
            <w:r>
              <w:rPr>
                <w:sz w:val="24"/>
                <w:b/>
              </w:rPr>
              <w:t>、服务质量要求</w:t>
            </w:r>
          </w:p>
          <w:p>
            <w:pPr>
              <w:pStyle w:val="null3"/>
              <w:ind w:firstLine="420"/>
              <w:jc w:val="both"/>
            </w:pPr>
            <w:r>
              <w:rPr>
                <w:sz w:val="21"/>
              </w:rPr>
              <w:t>（</w:t>
            </w:r>
            <w:r>
              <w:rPr>
                <w:sz w:val="21"/>
              </w:rPr>
              <w:t>1）服务范围内的排水（雨水）设施要求服务期内全面保持畅通，发现堵塞立即清理疏通，保持排水（雨水）管网、雨水检查井内无垃圾杂草及盘根错节的树根等杂物，沉积淤泥不得超过管径的1/5。</w:t>
            </w:r>
          </w:p>
          <w:p>
            <w:pPr>
              <w:pStyle w:val="null3"/>
              <w:ind w:firstLine="420"/>
              <w:jc w:val="both"/>
            </w:pPr>
            <w:r>
              <w:rPr>
                <w:sz w:val="21"/>
              </w:rPr>
              <w:t>（</w:t>
            </w:r>
            <w:r>
              <w:rPr>
                <w:sz w:val="21"/>
              </w:rPr>
              <w:t>2）自觉接受采购人以及有关部门的监督管理，不限于遇重大节日、假日或举办重大活动时，必须无条件服从采购人组织的突击性任务及迎检活动，按时、按标准、按要求完成采购人所分配的工作。</w:t>
            </w:r>
          </w:p>
          <w:p>
            <w:pPr>
              <w:pStyle w:val="null3"/>
              <w:ind w:firstLine="420"/>
              <w:jc w:val="both"/>
            </w:pPr>
            <w:r>
              <w:rPr>
                <w:sz w:val="21"/>
              </w:rPr>
              <w:t>（</w:t>
            </w:r>
            <w:r>
              <w:rPr>
                <w:sz w:val="21"/>
              </w:rPr>
              <w:t>3）做好积水和内涝隐患点的摸底排查工作，并做好应急预案。汛期期间，须安排人员24小时值班并做好安全保障措施。</w:t>
            </w:r>
          </w:p>
          <w:p>
            <w:pPr>
              <w:pStyle w:val="null3"/>
              <w:ind w:firstLine="420"/>
              <w:jc w:val="both"/>
            </w:pPr>
            <w:r>
              <w:rPr>
                <w:sz w:val="21"/>
              </w:rPr>
              <w:t>（</w:t>
            </w:r>
            <w:r>
              <w:rPr>
                <w:sz w:val="21"/>
              </w:rPr>
              <w:t>4）遇暴雨、台风天时，中标人在接到采购人通知后，应立即组织应急抢险队伍。对服务范围内出现的道路积水和内涝，中标人必须在30分钟内到达现场，做好清理疏通和应急抢险工作。抢险过程中必须采取有效措施确保市民生命及财产安全；同时做好交通疏导，尽快恢复道路交通。如有降雨强度过大，超出管渠排水能力和排水管渠结构性问题等原因造成的道路积水和内涝，中标人必须立即通知采购人并在三个工作日内提交详细的书面说明（包括位置、范围、现场照片及成因分析），由采购人核实并备案，否则一律视为由于服务质量不达标造成。</w:t>
            </w:r>
          </w:p>
          <w:p>
            <w:pPr>
              <w:pStyle w:val="null3"/>
              <w:jc w:val="both"/>
              <w:outlineLvl w:val="3"/>
            </w:pPr>
            <w:r>
              <w:rPr>
                <w:sz w:val="24"/>
                <w:b/>
              </w:rPr>
              <w:t>5</w:t>
            </w:r>
            <w:r>
              <w:rPr>
                <w:sz w:val="24"/>
                <w:b/>
              </w:rPr>
              <w:t>、设施设备配置要求</w:t>
            </w:r>
          </w:p>
          <w:p>
            <w:pPr>
              <w:pStyle w:val="null3"/>
              <w:ind w:firstLine="420"/>
              <w:jc w:val="both"/>
            </w:pPr>
            <w:r>
              <w:rPr>
                <w:sz w:val="21"/>
              </w:rPr>
              <w:t>（</w:t>
            </w:r>
            <w:r>
              <w:rPr>
                <w:sz w:val="21"/>
              </w:rPr>
              <w:t>1）要求具备完成本管养服务所必须的机械设备、工具和车辆，其中专用日常巡查应急抢险车辆不少于3台、高压清洗车、吸污车各不少于一辆，必要时可要求中标人增加车辆投入。</w:t>
            </w:r>
          </w:p>
          <w:p>
            <w:pPr>
              <w:pStyle w:val="null3"/>
              <w:ind w:firstLine="420"/>
              <w:jc w:val="both"/>
            </w:pPr>
            <w:r>
              <w:rPr>
                <w:sz w:val="21"/>
              </w:rPr>
              <w:t>（</w:t>
            </w:r>
            <w:r>
              <w:rPr>
                <w:sz w:val="21"/>
              </w:rPr>
              <w:t>2）配备数量充足的交通警示标志、施工围档、安全帽、反光衣、雪糕筒以及抽水泵、发电机、抽风机、气体检测仪器等其它必须使用的工具。</w:t>
            </w:r>
          </w:p>
          <w:p>
            <w:pPr>
              <w:pStyle w:val="null3"/>
              <w:ind w:firstLine="420"/>
              <w:jc w:val="both"/>
            </w:pPr>
            <w:r>
              <w:rPr>
                <w:sz w:val="21"/>
              </w:rPr>
              <w:t>（</w:t>
            </w:r>
            <w:r>
              <w:rPr>
                <w:sz w:val="21"/>
              </w:rPr>
              <w:t>3）配备管道潜望镜（QV）或CCTV等专业检测设备供巡查使用。</w:t>
            </w:r>
          </w:p>
          <w:p>
            <w:pPr>
              <w:pStyle w:val="null3"/>
              <w:ind w:firstLine="420"/>
              <w:jc w:val="both"/>
            </w:pPr>
            <w:r>
              <w:rPr>
                <w:sz w:val="21"/>
              </w:rPr>
              <w:t>（</w:t>
            </w:r>
            <w:r>
              <w:rPr>
                <w:sz w:val="21"/>
              </w:rPr>
              <w:t>4）配备不少于200m</w:t>
            </w:r>
            <w:r>
              <w:rPr>
                <w:sz w:val="21"/>
                <w:vertAlign w:val="superscript"/>
              </w:rPr>
              <w:t>2</w:t>
            </w:r>
            <w:r>
              <w:rPr>
                <w:sz w:val="21"/>
              </w:rPr>
              <w:t>项目部办公室及仓库用房。</w:t>
            </w:r>
          </w:p>
          <w:p>
            <w:pPr>
              <w:pStyle w:val="null3"/>
              <w:jc w:val="both"/>
              <w:outlineLvl w:val="3"/>
            </w:pPr>
            <w:r>
              <w:rPr>
                <w:sz w:val="24"/>
                <w:b/>
              </w:rPr>
              <w:t>6</w:t>
            </w:r>
            <w:r>
              <w:rPr>
                <w:sz w:val="24"/>
                <w:b/>
              </w:rPr>
              <w:t>、人员配置要求</w:t>
            </w:r>
          </w:p>
          <w:p>
            <w:pPr>
              <w:pStyle w:val="null3"/>
              <w:ind w:firstLine="420"/>
              <w:jc w:val="both"/>
            </w:pPr>
            <w:r>
              <w:rPr>
                <w:sz w:val="21"/>
              </w:rPr>
              <w:t>（</w:t>
            </w:r>
            <w:r>
              <w:rPr>
                <w:sz w:val="21"/>
              </w:rPr>
              <w:t>1）管养服务人员应具备相关的专业知识及技术水平，熟悉有关的规范、技术指标及施工工艺等，有足够能力完成排水管道清淤养护工作。</w:t>
            </w:r>
          </w:p>
          <w:p>
            <w:pPr>
              <w:pStyle w:val="null3"/>
              <w:ind w:firstLine="420"/>
              <w:jc w:val="both"/>
            </w:pPr>
            <w:r>
              <w:rPr>
                <w:sz w:val="21"/>
              </w:rPr>
              <w:t>（</w:t>
            </w:r>
            <w:r>
              <w:rPr>
                <w:sz w:val="21"/>
              </w:rPr>
              <w:t>2）配备不少于18人负责维护范围内的排水设施日常管理维护巡查工作。项目部包括项目负责人1人，并配备1名给排水或市政工程师，1名安全员及1名专职资料员。</w:t>
            </w:r>
          </w:p>
          <w:p>
            <w:pPr>
              <w:pStyle w:val="null3"/>
              <w:ind w:firstLine="420"/>
              <w:jc w:val="both"/>
            </w:pPr>
            <w:r>
              <w:rPr>
                <w:sz w:val="21"/>
              </w:rPr>
              <w:t>（</w:t>
            </w:r>
            <w:r>
              <w:rPr>
                <w:sz w:val="21"/>
              </w:rPr>
              <w:t>3）在暴雨期间，配备不少于28名应急抢险工作人员（可为临聘人员），保证清淤维护和应急抢险工作顺利完成。暴雨期间，项目负责人需现场指挥。</w:t>
            </w:r>
          </w:p>
          <w:p>
            <w:pPr>
              <w:pStyle w:val="null3"/>
              <w:ind w:firstLine="420"/>
              <w:jc w:val="both"/>
            </w:pPr>
            <w:r>
              <w:rPr>
                <w:sz w:val="21"/>
              </w:rPr>
              <w:t>（</w:t>
            </w:r>
            <w:r>
              <w:rPr>
                <w:sz w:val="21"/>
              </w:rPr>
              <w:t>4）中标人须在发出中标通知书后30日内向采购人报送有关人员名单及联系方式（项目负责人必须保持手机24小时畅通），未经采购人批准，有关人员的手机号码在项目服务期未满之前不得更换。</w:t>
            </w:r>
          </w:p>
          <w:p>
            <w:pPr>
              <w:pStyle w:val="null3"/>
              <w:ind w:firstLine="420"/>
              <w:jc w:val="both"/>
            </w:pPr>
            <w:r>
              <w:rPr>
                <w:sz w:val="21"/>
              </w:rPr>
              <w:t>（</w:t>
            </w:r>
            <w:r>
              <w:rPr>
                <w:sz w:val="21"/>
              </w:rPr>
              <w:t>5）投入本项目负责人在服务期限内不得承接其他项目；投入项目人员在合同期间不得随意更换。若需要更换项目负责人或其他人员须向采购人提交申请。</w:t>
            </w:r>
          </w:p>
          <w:p>
            <w:pPr>
              <w:pStyle w:val="null3"/>
              <w:jc w:val="both"/>
              <w:outlineLvl w:val="3"/>
            </w:pPr>
            <w:r>
              <w:rPr>
                <w:sz w:val="24"/>
                <w:b/>
              </w:rPr>
              <w:t>7</w:t>
            </w:r>
            <w:r>
              <w:rPr>
                <w:sz w:val="24"/>
                <w:b/>
              </w:rPr>
              <w:t>、安全文明施工要求</w:t>
            </w:r>
          </w:p>
          <w:p>
            <w:pPr>
              <w:pStyle w:val="null3"/>
              <w:ind w:firstLine="420"/>
              <w:jc w:val="both"/>
            </w:pPr>
            <w:r>
              <w:rPr>
                <w:sz w:val="21"/>
              </w:rPr>
              <w:t>（</w:t>
            </w:r>
            <w:r>
              <w:rPr>
                <w:sz w:val="21"/>
              </w:rPr>
              <w:t>1）中标人对本项目的安全生产及本项目现场的人员及财产安全承担全部责任，中标人必须按国家、省、市有关规范标准落实安全生产措施，对其参与本服务项目的所有人员进行安全培训。</w:t>
            </w:r>
          </w:p>
          <w:p>
            <w:pPr>
              <w:pStyle w:val="null3"/>
              <w:ind w:firstLine="420"/>
              <w:jc w:val="both"/>
            </w:pPr>
            <w:r>
              <w:rPr>
                <w:sz w:val="21"/>
              </w:rPr>
              <w:t>（</w:t>
            </w:r>
            <w:r>
              <w:rPr>
                <w:sz w:val="21"/>
              </w:rPr>
              <w:t>2）清淤维护过程中，要求设置交通警示标志及设施，做好交通疏导工作，保证车辆和行人的安全。</w:t>
            </w:r>
          </w:p>
          <w:p>
            <w:pPr>
              <w:pStyle w:val="null3"/>
              <w:ind w:firstLine="420"/>
              <w:jc w:val="both"/>
            </w:pPr>
            <w:r>
              <w:rPr>
                <w:sz w:val="21"/>
              </w:rPr>
              <w:t>（</w:t>
            </w:r>
            <w:r>
              <w:rPr>
                <w:sz w:val="21"/>
              </w:rPr>
              <w:t>3）产生的淤泥和垃圾等必须及时合法合规处置，不能对道路及第三方产生污染，不得影响正常交通及周边环境。</w:t>
            </w:r>
          </w:p>
          <w:p>
            <w:pPr>
              <w:pStyle w:val="null3"/>
              <w:ind w:firstLine="420"/>
              <w:jc w:val="both"/>
            </w:pPr>
            <w:r>
              <w:rPr>
                <w:sz w:val="21"/>
              </w:rPr>
              <w:t>（</w:t>
            </w:r>
            <w:r>
              <w:rPr>
                <w:sz w:val="21"/>
              </w:rPr>
              <w:t>4）清淤疏通及应急抢险施工时，必须按规定配置统一的工作服和反光袖套、水鞋等，自行解决安全作业问题。</w:t>
            </w:r>
          </w:p>
          <w:p>
            <w:pPr>
              <w:pStyle w:val="null3"/>
              <w:ind w:firstLine="420"/>
              <w:jc w:val="both"/>
            </w:pPr>
            <w:r>
              <w:rPr>
                <w:sz w:val="21"/>
              </w:rPr>
              <w:t>（</w:t>
            </w:r>
            <w:r>
              <w:rPr>
                <w:sz w:val="21"/>
              </w:rPr>
              <w:t>5）在进行维护作业时，现场一定要做好安全防护后才能作业，同时中标人必须认真负责，并注意安全操作，如发生任何意外，中标人负责事故处理及一切费用，概与采购人无关。</w:t>
            </w:r>
          </w:p>
          <w:p>
            <w:pPr>
              <w:pStyle w:val="null3"/>
              <w:jc w:val="both"/>
              <w:outlineLvl w:val="3"/>
            </w:pPr>
            <w:r>
              <w:rPr>
                <w:sz w:val="24"/>
                <w:b/>
              </w:rPr>
              <w:t>8</w:t>
            </w:r>
            <w:r>
              <w:rPr>
                <w:sz w:val="24"/>
                <w:b/>
              </w:rPr>
              <w:t>、环境保护</w:t>
            </w:r>
          </w:p>
          <w:p>
            <w:pPr>
              <w:pStyle w:val="null3"/>
              <w:ind w:firstLine="420"/>
              <w:jc w:val="both"/>
            </w:pPr>
            <w:r>
              <w:rPr>
                <w:sz w:val="21"/>
              </w:rPr>
              <w:t>（</w:t>
            </w:r>
            <w:r>
              <w:rPr>
                <w:sz w:val="21"/>
              </w:rPr>
              <w:t>1）中标人应遵守国家和地方有关环境保护的法规、规章，不得使管道淤泥或其他有害物质(扬尘、废水、废油等)污染道路、土地、河流，在城镇要控制噪声，防止扰民。若因违反环境保护有关规定而受到处罚或被要求赔偿，中标人应负全部责任。</w:t>
            </w:r>
          </w:p>
          <w:p>
            <w:pPr>
              <w:pStyle w:val="null3"/>
              <w:ind w:firstLine="420"/>
              <w:jc w:val="both"/>
            </w:pPr>
            <w:r>
              <w:rPr>
                <w:sz w:val="21"/>
              </w:rPr>
              <w:t>（</w:t>
            </w:r>
            <w:r>
              <w:rPr>
                <w:sz w:val="21"/>
              </w:rPr>
              <w:t>2）本项目淤泥处置必须符合相关规定执行，要求运载车辆做好运载过程中防止淤泥洒落造成二次污染的措施，由中标人运输至合法的处置地点处置，不得随便荒弃。否则由此造成的损失和相关责任均由中标人承担，相关费用已包含在投标报价中。</w:t>
            </w:r>
          </w:p>
          <w:p>
            <w:pPr>
              <w:pStyle w:val="null3"/>
              <w:jc w:val="both"/>
              <w:outlineLvl w:val="3"/>
            </w:pPr>
            <w:r>
              <w:rPr>
                <w:sz w:val="24"/>
                <w:b/>
              </w:rPr>
              <w:t>9</w:t>
            </w:r>
            <w:r>
              <w:rPr>
                <w:sz w:val="24"/>
                <w:b/>
              </w:rPr>
              <w:t>、其他要求</w:t>
            </w:r>
          </w:p>
          <w:p>
            <w:pPr>
              <w:pStyle w:val="null3"/>
              <w:ind w:firstLine="420"/>
              <w:jc w:val="both"/>
            </w:pPr>
            <w:r>
              <w:rPr>
                <w:sz w:val="21"/>
              </w:rPr>
              <w:t>（</w:t>
            </w:r>
            <w:r>
              <w:rPr>
                <w:sz w:val="21"/>
              </w:rPr>
              <w:t>1）未经采购人批准，中标人不得以任何方式转包或分包本项目。</w:t>
            </w:r>
          </w:p>
          <w:p>
            <w:pPr>
              <w:pStyle w:val="null3"/>
              <w:ind w:firstLine="420"/>
              <w:jc w:val="both"/>
            </w:pPr>
            <w:r>
              <w:rPr>
                <w:sz w:val="21"/>
              </w:rPr>
              <w:t>（</w:t>
            </w:r>
            <w:r>
              <w:rPr>
                <w:sz w:val="21"/>
              </w:rPr>
              <w:t>2）中标人应按巡查、维护、维修等内容，为实际上岗员工自行到有关部门申办有关用工手续、购买员工劳动保险和人身意外保险等手续。中标人必须对其雇员的意外工伤、死亡承担全部责任，负责有关追讨、诉讼及赔偿等费用，采购人无须对这些意外工伤、死亡承担任何责任。</w:t>
            </w:r>
          </w:p>
          <w:p>
            <w:pPr>
              <w:pStyle w:val="null3"/>
              <w:ind w:firstLine="420"/>
              <w:jc w:val="both"/>
            </w:pPr>
            <w:r>
              <w:rPr>
                <w:sz w:val="21"/>
              </w:rPr>
              <w:t>（</w:t>
            </w:r>
            <w:r>
              <w:rPr>
                <w:sz w:val="21"/>
              </w:rPr>
              <w:t>3）作业中中标人的用水用电及所有设备的准备、燃料费用及人工费用均由中标人自理。</w:t>
            </w:r>
          </w:p>
          <w:p>
            <w:pPr>
              <w:pStyle w:val="null3"/>
              <w:ind w:firstLine="420"/>
              <w:jc w:val="both"/>
            </w:pPr>
            <w:r>
              <w:rPr>
                <w:sz w:val="21"/>
              </w:rPr>
              <w:t>（</w:t>
            </w:r>
            <w:r>
              <w:rPr>
                <w:sz w:val="21"/>
              </w:rPr>
              <w:t>4）中标人应严格遵守国家法律、法规，协助做好社会治安综合管理工作。员工有违法乱纪的行为，中标人方应承担一切经济责任和法律责任。</w:t>
            </w:r>
          </w:p>
          <w:p>
            <w:pPr>
              <w:pStyle w:val="null3"/>
              <w:ind w:firstLine="420"/>
              <w:jc w:val="both"/>
            </w:pPr>
            <w:r>
              <w:rPr>
                <w:sz w:val="21"/>
              </w:rPr>
              <w:t>（</w:t>
            </w:r>
            <w:r>
              <w:rPr>
                <w:sz w:val="21"/>
              </w:rPr>
              <w:t>5）在合同期内，因中标人原因造成第三方的一切损失，由中标人独自承担其法律和经济责任，与采购人无关。</w:t>
            </w:r>
          </w:p>
          <w:p>
            <w:pPr>
              <w:pStyle w:val="null3"/>
              <w:ind w:firstLine="420"/>
              <w:jc w:val="both"/>
            </w:pPr>
            <w:r>
              <w:rPr>
                <w:sz w:val="21"/>
              </w:rPr>
              <w:t>（</w:t>
            </w:r>
            <w:r>
              <w:rPr>
                <w:sz w:val="21"/>
              </w:rPr>
              <w:t>6）项目执行过程中，如需采购人配合办理相关手续，或提供相关服务条件，均须在向采购人详细说明，以便于采购人决定是否接受或提前准备，所涉及的费用均由中标人承担。</w:t>
            </w:r>
          </w:p>
          <w:p>
            <w:pPr>
              <w:pStyle w:val="null3"/>
              <w:ind w:firstLine="420"/>
              <w:jc w:val="both"/>
            </w:pPr>
            <w:r>
              <w:rPr>
                <w:sz w:val="21"/>
              </w:rPr>
              <w:t>（</w:t>
            </w:r>
            <w:r>
              <w:rPr>
                <w:sz w:val="21"/>
              </w:rPr>
              <w:t>7）《东莞市麻涌镇雨水排水管养护服务项目月考核评分表》作为合同的有效组成部分，中标人必须服从，并同意服务期内采购人可对该标准进行合理的修改。</w:t>
            </w:r>
          </w:p>
          <w:p>
            <w:pPr>
              <w:pStyle w:val="null3"/>
              <w:jc w:val="both"/>
              <w:outlineLvl w:val="3"/>
            </w:pPr>
            <w:r>
              <w:rPr>
                <w:sz w:val="24"/>
                <w:b/>
              </w:rPr>
              <w:t>10</w:t>
            </w:r>
            <w:r>
              <w:rPr>
                <w:sz w:val="24"/>
                <w:b/>
              </w:rPr>
              <w:t>、</w:t>
            </w:r>
            <w:r>
              <w:rPr>
                <w:sz w:val="24"/>
                <w:b/>
              </w:rPr>
              <w:t>东莞市麻涌镇雨水排水管养护服务项目</w:t>
            </w:r>
            <w:r>
              <w:rPr>
                <w:sz w:val="24"/>
                <w:b/>
              </w:rPr>
              <w:t>月考核评分表</w:t>
            </w:r>
          </w:p>
          <w:p>
            <w:pPr>
              <w:pStyle w:val="null3"/>
              <w:ind w:firstLine="420"/>
              <w:jc w:val="left"/>
            </w:pPr>
            <w:r>
              <w:rPr>
                <w:sz w:val="21"/>
              </w:rPr>
              <w:t>项目全称：</w:t>
            </w:r>
            <w:r>
              <w:rPr>
                <w:sz w:val="21"/>
              </w:rPr>
              <w:t>东莞市麻涌镇雨水排水管养护服务项目</w:t>
            </w:r>
          </w:p>
          <w:p>
            <w:pPr>
              <w:pStyle w:val="null3"/>
              <w:ind w:firstLine="420"/>
              <w:jc w:val="left"/>
            </w:pPr>
            <w:r>
              <w:rPr>
                <w:sz w:val="21"/>
              </w:rPr>
              <w:t>考评时间：</w:t>
            </w:r>
            <w:r>
              <w:rPr>
                <w:sz w:val="21"/>
              </w:rPr>
              <w:t xml:space="preserve">       </w:t>
            </w:r>
            <w:r>
              <w:rPr>
                <w:sz w:val="21"/>
              </w:rPr>
              <w:t>年</w:t>
            </w:r>
            <w:r>
              <w:rPr>
                <w:sz w:val="21"/>
              </w:rPr>
              <w:t xml:space="preserve">     </w:t>
            </w:r>
            <w:r>
              <w:rPr>
                <w:sz w:val="21"/>
              </w:rPr>
              <w:t>月</w:t>
            </w:r>
            <w:r>
              <w:rPr>
                <w:sz w:val="21"/>
              </w:rPr>
              <w:t xml:space="preserve">    </w:t>
            </w:r>
            <w:r>
              <w:rPr>
                <w:sz w:val="21"/>
              </w:rPr>
              <w:t>日</w:t>
            </w:r>
          </w:p>
          <w:tbl>
            <w:tblPr>
              <w:tblBorders>
                <w:top w:val="none" w:color="000000" w:sz="4"/>
                <w:left w:val="none" w:color="000000" w:sz="4"/>
                <w:bottom w:val="none" w:color="000000" w:sz="4"/>
                <w:right w:val="none" w:color="000000" w:sz="4"/>
                <w:insideH w:val="none"/>
                <w:insideV w:val="none"/>
              </w:tblBorders>
            </w:tblPr>
            <w:tblGrid>
              <w:gridCol w:w="413"/>
              <w:gridCol w:w="708"/>
              <w:gridCol w:w="1669"/>
              <w:gridCol w:w="2402"/>
              <w:gridCol w:w="404"/>
            </w:tblGrid>
            <w:tr>
              <w:tc>
                <w:tcPr>
                  <w:tcW w:type="dxa" w:w="413"/>
                  <w:tcBorders>
                    <w:top w:val="singl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sz w:val="21"/>
                      <w:b/>
                    </w:rPr>
                    <w:t>项目分值</w:t>
                  </w:r>
                </w:p>
              </w:tc>
              <w:tc>
                <w:tcPr>
                  <w:tcW w:type="dxa" w:w="708"/>
                  <w:tcBorders>
                    <w:top w:val="singl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sz w:val="21"/>
                      <w:b/>
                    </w:rPr>
                    <w:t>考核</w:t>
                  </w:r>
                </w:p>
                <w:p>
                  <w:pPr>
                    <w:pStyle w:val="null3"/>
                    <w:jc w:val="center"/>
                  </w:pPr>
                  <w:r>
                    <w:rPr>
                      <w:sz w:val="21"/>
                      <w:b/>
                    </w:rPr>
                    <w:t>项目</w:t>
                  </w:r>
                </w:p>
              </w:tc>
              <w:tc>
                <w:tcPr>
                  <w:tcW w:type="dxa" w:w="1669"/>
                  <w:tcBorders>
                    <w:top w:val="singl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sz w:val="21"/>
                      <w:b/>
                    </w:rPr>
                    <w:t>工作要求</w:t>
                  </w:r>
                </w:p>
              </w:tc>
              <w:tc>
                <w:tcPr>
                  <w:tcW w:type="dxa" w:w="2402"/>
                  <w:tcBorders>
                    <w:top w:val="singl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sz w:val="21"/>
                      <w:b/>
                    </w:rPr>
                    <w:t>考核方法</w:t>
                  </w:r>
                </w:p>
              </w:tc>
              <w:tc>
                <w:tcPr>
                  <w:tcW w:type="dxa" w:w="404"/>
                  <w:tcBorders>
                    <w:top w:val="singl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sz w:val="21"/>
                      <w:b/>
                    </w:rPr>
                    <w:t>扣分分数</w:t>
                  </w:r>
                </w:p>
              </w:tc>
            </w:tr>
            <w:tr>
              <w:tc>
                <w:tcPr>
                  <w:tcW w:type="dxa" w:w="413"/>
                  <w:vMerge w:val="restart"/>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ind w:left="120"/>
                    <w:jc w:val="center"/>
                  </w:pPr>
                  <w:r>
                    <w:rPr>
                      <w:sz w:val="21"/>
                    </w:rPr>
                    <w:t>25分</w:t>
                  </w:r>
                </w:p>
              </w:tc>
              <w:tc>
                <w:tcPr>
                  <w:tcW w:type="dxa" w:w="708"/>
                  <w:vMerge w:val="restart"/>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sz w:val="21"/>
                    </w:rPr>
                    <w:t>维护</w:t>
                  </w:r>
                </w:p>
                <w:p>
                  <w:pPr>
                    <w:pStyle w:val="null3"/>
                    <w:jc w:val="center"/>
                  </w:pPr>
                  <w:r>
                    <w:rPr>
                      <w:sz w:val="21"/>
                    </w:rPr>
                    <w:t>管理</w:t>
                  </w:r>
                </w:p>
                <w:p>
                  <w:pPr>
                    <w:pStyle w:val="null3"/>
                    <w:jc w:val="center"/>
                  </w:pPr>
                  <w:r>
                    <w:rPr>
                      <w:sz w:val="21"/>
                    </w:rPr>
                    <w:t>（</w:t>
                  </w:r>
                  <w:r>
                    <w:rPr>
                      <w:sz w:val="21"/>
                    </w:rPr>
                    <w:t>25分）</w:t>
                  </w:r>
                </w:p>
              </w:tc>
              <w:tc>
                <w:tcPr>
                  <w:tcW w:type="dxa" w:w="1669"/>
                  <w:vMerge w:val="restart"/>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left"/>
                  </w:pPr>
                  <w:r>
                    <w:rPr>
                      <w:sz w:val="21"/>
                    </w:rPr>
                    <w:t>1、按招投标文件要求在麻涌镇设有独立的项目部；</w:t>
                  </w:r>
                </w:p>
                <w:p>
                  <w:pPr>
                    <w:pStyle w:val="null3"/>
                    <w:jc w:val="left"/>
                  </w:pPr>
                  <w:r>
                    <w:rPr>
                      <w:sz w:val="21"/>
                    </w:rPr>
                    <w:t>2、巡查管理制度健全（岗位职责及各项维护制度等）选派称职人员上岗；</w:t>
                  </w:r>
                </w:p>
                <w:p>
                  <w:pPr>
                    <w:pStyle w:val="null3"/>
                    <w:jc w:val="left"/>
                  </w:pPr>
                  <w:r>
                    <w:rPr>
                      <w:sz w:val="21"/>
                    </w:rPr>
                    <w:t>3、上报维护方案及应急抢险方案；</w:t>
                  </w:r>
                </w:p>
                <w:p>
                  <w:pPr>
                    <w:pStyle w:val="null3"/>
                    <w:jc w:val="left"/>
                  </w:pPr>
                  <w:r>
                    <w:rPr>
                      <w:sz w:val="21"/>
                    </w:rPr>
                    <w:t>4、摸查统计管道淤积量，拍照及整理图片资料及统计资料，上报编制清淤计划；</w:t>
                  </w:r>
                </w:p>
                <w:p>
                  <w:pPr>
                    <w:pStyle w:val="null3"/>
                    <w:jc w:val="left"/>
                  </w:pPr>
                  <w:r>
                    <w:rPr>
                      <w:sz w:val="21"/>
                    </w:rPr>
                    <w:t>5、维护机具、设备、设施等满足维护工作要求；</w:t>
                  </w:r>
                </w:p>
                <w:p>
                  <w:pPr>
                    <w:pStyle w:val="null3"/>
                    <w:jc w:val="left"/>
                  </w:pPr>
                  <w:r>
                    <w:rPr>
                      <w:sz w:val="21"/>
                    </w:rPr>
                    <w:t>6、必须落实安全生产，做好文明施工；</w:t>
                  </w:r>
                </w:p>
                <w:p>
                  <w:pPr>
                    <w:pStyle w:val="null3"/>
                    <w:jc w:val="left"/>
                  </w:pPr>
                  <w:r>
                    <w:rPr>
                      <w:sz w:val="21"/>
                    </w:rPr>
                    <w:t>7、对井室及雨水口进行编号；</w:t>
                  </w:r>
                </w:p>
                <w:p>
                  <w:pPr>
                    <w:pStyle w:val="null3"/>
                    <w:jc w:val="left"/>
                  </w:pPr>
                  <w:r>
                    <w:rPr>
                      <w:sz w:val="21"/>
                    </w:rPr>
                    <w:t>8、完善更新排水设施维护图纸；</w:t>
                  </w:r>
                </w:p>
                <w:p>
                  <w:pPr>
                    <w:pStyle w:val="null3"/>
                    <w:jc w:val="left"/>
                  </w:pPr>
                  <w:r>
                    <w:rPr>
                      <w:sz w:val="21"/>
                    </w:rPr>
                    <w:t>9、递交维护工作周报；</w:t>
                  </w:r>
                </w:p>
                <w:p>
                  <w:pPr>
                    <w:pStyle w:val="null3"/>
                    <w:jc w:val="left"/>
                  </w:pPr>
                  <w:r>
                    <w:rPr>
                      <w:sz w:val="21"/>
                    </w:rPr>
                    <w:t>10、递交维护工作月总结报告；</w:t>
                  </w:r>
                </w:p>
                <w:p>
                  <w:pPr>
                    <w:pStyle w:val="null3"/>
                    <w:jc w:val="left"/>
                  </w:pPr>
                  <w:r>
                    <w:rPr>
                      <w:sz w:val="21"/>
                    </w:rPr>
                    <w:t>11、做好节假日值班及迎检工作。</w:t>
                  </w:r>
                </w:p>
                <w:p>
                  <w:pPr>
                    <w:pStyle w:val="null3"/>
                    <w:jc w:val="left"/>
                  </w:pPr>
                </w:p>
              </w:tc>
              <w:tc>
                <w:tcPr>
                  <w:tcW w:type="dxa" w:w="2402"/>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left"/>
                  </w:pPr>
                  <w:r>
                    <w:rPr>
                      <w:sz w:val="21"/>
                    </w:rPr>
                    <w:t>1、未按要求设置项目部并挂牌，每次扣1~5分；</w:t>
                  </w:r>
                </w:p>
              </w:tc>
              <w:tc>
                <w:tcPr>
                  <w:tcW w:type="dxa" w:w="404"/>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left"/>
                  </w:pPr>
                </w:p>
              </w:tc>
            </w:tr>
            <w:tr>
              <w:tc>
                <w:tcPr>
                  <w:tcW w:type="dxa" w:w="413"/>
                  <w:vMerge/>
                  <w:tcBorders>
                    <w:top w:val="none" w:color="000000" w:sz="4"/>
                    <w:left w:val="single" w:color="000000" w:sz="4"/>
                    <w:bottom w:val="single" w:color="000000" w:sz="4"/>
                    <w:right w:val="single" w:color="000000" w:sz="4"/>
                  </w:tcBorders>
                </w:tcPr>
                <w:p/>
              </w:tc>
              <w:tc>
                <w:tcPr>
                  <w:tcW w:type="dxa" w:w="708"/>
                  <w:vMerge/>
                  <w:tcBorders>
                    <w:top w:val="none" w:color="000000" w:sz="4"/>
                    <w:left w:val="single" w:color="000000" w:sz="4"/>
                    <w:bottom w:val="single" w:color="000000" w:sz="4"/>
                    <w:right w:val="single" w:color="000000" w:sz="4"/>
                  </w:tcBorders>
                </w:tcPr>
                <w:p/>
              </w:tc>
              <w:tc>
                <w:tcPr>
                  <w:tcW w:type="dxa" w:w="1669"/>
                  <w:vMerge/>
                  <w:tcBorders>
                    <w:top w:val="none" w:color="000000" w:sz="4"/>
                    <w:left w:val="single" w:color="000000" w:sz="4"/>
                    <w:bottom w:val="single" w:color="000000" w:sz="4"/>
                    <w:right w:val="single" w:color="000000" w:sz="4"/>
                  </w:tcBorders>
                </w:tcPr>
                <w:p/>
              </w:tc>
              <w:tc>
                <w:tcPr>
                  <w:tcW w:type="dxa" w:w="2402"/>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left"/>
                  </w:pPr>
                  <w:r>
                    <w:rPr>
                      <w:sz w:val="21"/>
                    </w:rPr>
                    <w:t>2─1、巡查管理制度健全并上墙，不健全或未上墙的，每次每处扣1分；</w:t>
                  </w:r>
                </w:p>
              </w:tc>
              <w:tc>
                <w:tcPr>
                  <w:tcW w:type="dxa" w:w="404"/>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left"/>
                  </w:pPr>
                </w:p>
              </w:tc>
            </w:tr>
            <w:tr>
              <w:tc>
                <w:tcPr>
                  <w:tcW w:type="dxa" w:w="413"/>
                  <w:vMerge/>
                  <w:tcBorders>
                    <w:top w:val="none" w:color="000000" w:sz="4"/>
                    <w:left w:val="single" w:color="000000" w:sz="4"/>
                    <w:bottom w:val="single" w:color="000000" w:sz="4"/>
                    <w:right w:val="single" w:color="000000" w:sz="4"/>
                  </w:tcBorders>
                </w:tcPr>
                <w:p/>
              </w:tc>
              <w:tc>
                <w:tcPr>
                  <w:tcW w:type="dxa" w:w="708"/>
                  <w:vMerge/>
                  <w:tcBorders>
                    <w:top w:val="none" w:color="000000" w:sz="4"/>
                    <w:left w:val="single" w:color="000000" w:sz="4"/>
                    <w:bottom w:val="single" w:color="000000" w:sz="4"/>
                    <w:right w:val="single" w:color="000000" w:sz="4"/>
                  </w:tcBorders>
                </w:tcPr>
                <w:p/>
              </w:tc>
              <w:tc>
                <w:tcPr>
                  <w:tcW w:type="dxa" w:w="1669"/>
                  <w:vMerge/>
                  <w:tcBorders>
                    <w:top w:val="none" w:color="000000" w:sz="4"/>
                    <w:left w:val="single" w:color="000000" w:sz="4"/>
                    <w:bottom w:val="single" w:color="000000" w:sz="4"/>
                    <w:right w:val="single" w:color="000000" w:sz="4"/>
                  </w:tcBorders>
                </w:tcPr>
                <w:p/>
              </w:tc>
              <w:tc>
                <w:tcPr>
                  <w:tcW w:type="dxa" w:w="2402"/>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left"/>
                  </w:pPr>
                  <w:r>
                    <w:rPr>
                      <w:sz w:val="21"/>
                    </w:rPr>
                    <w:t>2─2、未按招投标文件要求选派称职工作人员，每次扣2~4分；</w:t>
                  </w:r>
                </w:p>
              </w:tc>
              <w:tc>
                <w:tcPr>
                  <w:tcW w:type="dxa" w:w="404"/>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left"/>
                  </w:pPr>
                </w:p>
              </w:tc>
            </w:tr>
            <w:tr>
              <w:tc>
                <w:tcPr>
                  <w:tcW w:type="dxa" w:w="413"/>
                  <w:vMerge/>
                  <w:tcBorders>
                    <w:top w:val="none" w:color="000000" w:sz="4"/>
                    <w:left w:val="single" w:color="000000" w:sz="4"/>
                    <w:bottom w:val="single" w:color="000000" w:sz="4"/>
                    <w:right w:val="single" w:color="000000" w:sz="4"/>
                  </w:tcBorders>
                </w:tcPr>
                <w:p/>
              </w:tc>
              <w:tc>
                <w:tcPr>
                  <w:tcW w:type="dxa" w:w="708"/>
                  <w:vMerge/>
                  <w:tcBorders>
                    <w:top w:val="none" w:color="000000" w:sz="4"/>
                    <w:left w:val="single" w:color="000000" w:sz="4"/>
                    <w:bottom w:val="single" w:color="000000" w:sz="4"/>
                    <w:right w:val="single" w:color="000000" w:sz="4"/>
                  </w:tcBorders>
                </w:tcPr>
                <w:p/>
              </w:tc>
              <w:tc>
                <w:tcPr>
                  <w:tcW w:type="dxa" w:w="1669"/>
                  <w:vMerge/>
                  <w:tcBorders>
                    <w:top w:val="none" w:color="000000" w:sz="4"/>
                    <w:left w:val="single" w:color="000000" w:sz="4"/>
                    <w:bottom w:val="single" w:color="000000" w:sz="4"/>
                    <w:right w:val="single" w:color="000000" w:sz="4"/>
                  </w:tcBorders>
                </w:tcPr>
                <w:p/>
              </w:tc>
              <w:tc>
                <w:tcPr>
                  <w:tcW w:type="dxa" w:w="2402"/>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left"/>
                  </w:pPr>
                  <w:r>
                    <w:rPr>
                      <w:sz w:val="21"/>
                    </w:rPr>
                    <w:t>3、进场一周内上报维护方案及应急抢险方案，维护方案及应急抢险方案编制没有针对性、可操作性的，经采购人审核未通过，限期重新编制上报，限期内未上报或上报仍未通过的，每次扣2分；</w:t>
                  </w:r>
                </w:p>
              </w:tc>
              <w:tc>
                <w:tcPr>
                  <w:tcW w:type="dxa" w:w="404"/>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left"/>
                  </w:pPr>
                </w:p>
              </w:tc>
            </w:tr>
            <w:tr>
              <w:tc>
                <w:tcPr>
                  <w:tcW w:type="dxa" w:w="413"/>
                  <w:vMerge/>
                  <w:tcBorders>
                    <w:top w:val="none" w:color="000000" w:sz="4"/>
                    <w:left w:val="single" w:color="000000" w:sz="4"/>
                    <w:bottom w:val="single" w:color="000000" w:sz="4"/>
                    <w:right w:val="single" w:color="000000" w:sz="4"/>
                  </w:tcBorders>
                </w:tcPr>
                <w:p/>
              </w:tc>
              <w:tc>
                <w:tcPr>
                  <w:tcW w:type="dxa" w:w="708"/>
                  <w:vMerge/>
                  <w:tcBorders>
                    <w:top w:val="none" w:color="000000" w:sz="4"/>
                    <w:left w:val="single" w:color="000000" w:sz="4"/>
                    <w:bottom w:val="single" w:color="000000" w:sz="4"/>
                    <w:right w:val="single" w:color="000000" w:sz="4"/>
                  </w:tcBorders>
                </w:tcPr>
                <w:p/>
              </w:tc>
              <w:tc>
                <w:tcPr>
                  <w:tcW w:type="dxa" w:w="1669"/>
                  <w:vMerge/>
                  <w:tcBorders>
                    <w:top w:val="none" w:color="000000" w:sz="4"/>
                    <w:left w:val="single" w:color="000000" w:sz="4"/>
                    <w:bottom w:val="single" w:color="000000" w:sz="4"/>
                    <w:right w:val="single" w:color="000000" w:sz="4"/>
                  </w:tcBorders>
                </w:tcPr>
                <w:p/>
              </w:tc>
              <w:tc>
                <w:tcPr>
                  <w:tcW w:type="dxa" w:w="2402"/>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left"/>
                  </w:pPr>
                  <w:r>
                    <w:rPr>
                      <w:sz w:val="21"/>
                    </w:rPr>
                    <w:t>4─1、摸查统计资料上传、上报不及时（进场一个月内），上传、上报资料不符合要求的，每次扣2分；</w:t>
                  </w:r>
                </w:p>
              </w:tc>
              <w:tc>
                <w:tcPr>
                  <w:tcW w:type="dxa" w:w="404"/>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left"/>
                  </w:pPr>
                </w:p>
              </w:tc>
            </w:tr>
            <w:tr>
              <w:tc>
                <w:tcPr>
                  <w:tcW w:type="dxa" w:w="413"/>
                  <w:vMerge/>
                  <w:tcBorders>
                    <w:top w:val="none" w:color="000000" w:sz="4"/>
                    <w:left w:val="single" w:color="000000" w:sz="4"/>
                    <w:bottom w:val="single" w:color="000000" w:sz="4"/>
                    <w:right w:val="single" w:color="000000" w:sz="4"/>
                  </w:tcBorders>
                </w:tcPr>
                <w:p/>
              </w:tc>
              <w:tc>
                <w:tcPr>
                  <w:tcW w:type="dxa" w:w="708"/>
                  <w:vMerge/>
                  <w:tcBorders>
                    <w:top w:val="none" w:color="000000" w:sz="4"/>
                    <w:left w:val="single" w:color="000000" w:sz="4"/>
                    <w:bottom w:val="single" w:color="000000" w:sz="4"/>
                    <w:right w:val="single" w:color="000000" w:sz="4"/>
                  </w:tcBorders>
                </w:tcPr>
                <w:p/>
              </w:tc>
              <w:tc>
                <w:tcPr>
                  <w:tcW w:type="dxa" w:w="1669"/>
                  <w:vMerge/>
                  <w:tcBorders>
                    <w:top w:val="none" w:color="000000" w:sz="4"/>
                    <w:left w:val="single" w:color="000000" w:sz="4"/>
                    <w:bottom w:val="single" w:color="000000" w:sz="4"/>
                    <w:right w:val="single" w:color="000000" w:sz="4"/>
                  </w:tcBorders>
                </w:tcPr>
                <w:p/>
              </w:tc>
              <w:tc>
                <w:tcPr>
                  <w:tcW w:type="dxa" w:w="2402"/>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left"/>
                  </w:pPr>
                  <w:r>
                    <w:rPr>
                      <w:sz w:val="21"/>
                    </w:rPr>
                    <w:t>4─2、</w:t>
                  </w:r>
                  <w:r>
                    <w:rPr>
                      <w:sz w:val="21"/>
                    </w:rPr>
                    <w:t>每月上报</w:t>
                  </w:r>
                  <w:r>
                    <w:rPr>
                      <w:sz w:val="21"/>
                    </w:rPr>
                    <w:t>清淤计划</w:t>
                  </w:r>
                  <w:r>
                    <w:rPr>
                      <w:sz w:val="21"/>
                    </w:rPr>
                    <w:t>，</w:t>
                  </w:r>
                  <w:r>
                    <w:rPr>
                      <w:sz w:val="21"/>
                    </w:rPr>
                    <w:t>编制</w:t>
                  </w:r>
                  <w:r>
                    <w:rPr>
                      <w:sz w:val="21"/>
                    </w:rPr>
                    <w:t>具有</w:t>
                  </w:r>
                  <w:r>
                    <w:rPr>
                      <w:sz w:val="21"/>
                    </w:rPr>
                    <w:t>可操作性的，经</w:t>
                  </w:r>
                  <w:r>
                    <w:rPr>
                      <w:sz w:val="21"/>
                    </w:rPr>
                    <w:t>采购人</w:t>
                  </w:r>
                  <w:r>
                    <w:rPr>
                      <w:sz w:val="21"/>
                    </w:rPr>
                    <w:t>审核通过，限期内未上报或上报仍未通过的，每次扣</w:t>
                  </w:r>
                  <w:r>
                    <w:rPr>
                      <w:sz w:val="21"/>
                    </w:rPr>
                    <w:t>2分；</w:t>
                  </w:r>
                </w:p>
              </w:tc>
              <w:tc>
                <w:tcPr>
                  <w:tcW w:type="dxa" w:w="404"/>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left"/>
                  </w:pPr>
                </w:p>
              </w:tc>
            </w:tr>
            <w:tr>
              <w:tc>
                <w:tcPr>
                  <w:tcW w:type="dxa" w:w="413"/>
                  <w:vMerge/>
                  <w:tcBorders>
                    <w:top w:val="none" w:color="000000" w:sz="4"/>
                    <w:left w:val="single" w:color="000000" w:sz="4"/>
                    <w:bottom w:val="single" w:color="000000" w:sz="4"/>
                    <w:right w:val="single" w:color="000000" w:sz="4"/>
                  </w:tcBorders>
                </w:tcPr>
                <w:p/>
              </w:tc>
              <w:tc>
                <w:tcPr>
                  <w:tcW w:type="dxa" w:w="708"/>
                  <w:vMerge/>
                  <w:tcBorders>
                    <w:top w:val="none" w:color="000000" w:sz="4"/>
                    <w:left w:val="single" w:color="000000" w:sz="4"/>
                    <w:bottom w:val="single" w:color="000000" w:sz="4"/>
                    <w:right w:val="single" w:color="000000" w:sz="4"/>
                  </w:tcBorders>
                </w:tcPr>
                <w:p/>
              </w:tc>
              <w:tc>
                <w:tcPr>
                  <w:tcW w:type="dxa" w:w="1669"/>
                  <w:vMerge/>
                  <w:tcBorders>
                    <w:top w:val="none" w:color="000000" w:sz="4"/>
                    <w:left w:val="single" w:color="000000" w:sz="4"/>
                    <w:bottom w:val="single" w:color="000000" w:sz="4"/>
                    <w:right w:val="single" w:color="000000" w:sz="4"/>
                  </w:tcBorders>
                </w:tcPr>
                <w:p/>
              </w:tc>
              <w:tc>
                <w:tcPr>
                  <w:tcW w:type="dxa" w:w="2402"/>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left"/>
                  </w:pPr>
                  <w:r>
                    <w:rPr>
                      <w:sz w:val="21"/>
                    </w:rPr>
                    <w:t>4-3、每月上报道路巡查计划，</w:t>
                  </w:r>
                  <w:r>
                    <w:rPr>
                      <w:sz w:val="21"/>
                    </w:rPr>
                    <w:t>限期内未上报的，每次扣</w:t>
                  </w:r>
                  <w:r>
                    <w:rPr>
                      <w:sz w:val="21"/>
                    </w:rPr>
                    <w:t>2分；</w:t>
                  </w:r>
                </w:p>
              </w:tc>
              <w:tc>
                <w:tcPr>
                  <w:tcW w:type="dxa" w:w="404"/>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left"/>
                  </w:pPr>
                </w:p>
              </w:tc>
            </w:tr>
            <w:tr>
              <w:tc>
                <w:tcPr>
                  <w:tcW w:type="dxa" w:w="413"/>
                  <w:vMerge/>
                  <w:tcBorders>
                    <w:top w:val="none" w:color="000000" w:sz="4"/>
                    <w:left w:val="single" w:color="000000" w:sz="4"/>
                    <w:bottom w:val="single" w:color="000000" w:sz="4"/>
                    <w:right w:val="single" w:color="000000" w:sz="4"/>
                  </w:tcBorders>
                </w:tcPr>
                <w:p/>
              </w:tc>
              <w:tc>
                <w:tcPr>
                  <w:tcW w:type="dxa" w:w="708"/>
                  <w:vMerge/>
                  <w:tcBorders>
                    <w:top w:val="none" w:color="000000" w:sz="4"/>
                    <w:left w:val="single" w:color="000000" w:sz="4"/>
                    <w:bottom w:val="single" w:color="000000" w:sz="4"/>
                    <w:right w:val="single" w:color="000000" w:sz="4"/>
                  </w:tcBorders>
                </w:tcPr>
                <w:p/>
              </w:tc>
              <w:tc>
                <w:tcPr>
                  <w:tcW w:type="dxa" w:w="1669"/>
                  <w:vMerge/>
                  <w:tcBorders>
                    <w:top w:val="none" w:color="000000" w:sz="4"/>
                    <w:left w:val="single" w:color="000000" w:sz="4"/>
                    <w:bottom w:val="single" w:color="000000" w:sz="4"/>
                    <w:right w:val="single" w:color="000000" w:sz="4"/>
                  </w:tcBorders>
                </w:tcPr>
                <w:p/>
              </w:tc>
              <w:tc>
                <w:tcPr>
                  <w:tcW w:type="dxa" w:w="2402"/>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left"/>
                  </w:pPr>
                  <w:r>
                    <w:rPr>
                      <w:sz w:val="21"/>
                    </w:rPr>
                    <w:t>5、用于本维护工程机具、设备、设施数量必须保证最低工作要求（详见清淤维护设备清单），并性能正常及完好无损，检查不在场或在场设备不能正常运作，设施缺损，每次扣1~4分；（除高压疏通车及高压吸污车外，其他设备等不能用于本项目以外工程，设备外出保养、检测、检修的，需提前上报采购人，如月考核检查发现不在场，视为设备不足）；</w:t>
                  </w:r>
                </w:p>
              </w:tc>
              <w:tc>
                <w:tcPr>
                  <w:tcW w:type="dxa" w:w="404"/>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left"/>
                  </w:pPr>
                </w:p>
              </w:tc>
            </w:tr>
            <w:tr>
              <w:tc>
                <w:tcPr>
                  <w:tcW w:type="dxa" w:w="413"/>
                  <w:vMerge/>
                  <w:tcBorders>
                    <w:top w:val="none" w:color="000000" w:sz="4"/>
                    <w:left w:val="single" w:color="000000" w:sz="4"/>
                    <w:bottom w:val="single" w:color="000000" w:sz="4"/>
                    <w:right w:val="single" w:color="000000" w:sz="4"/>
                  </w:tcBorders>
                </w:tcPr>
                <w:p/>
              </w:tc>
              <w:tc>
                <w:tcPr>
                  <w:tcW w:type="dxa" w:w="708"/>
                  <w:vMerge/>
                  <w:tcBorders>
                    <w:top w:val="none" w:color="000000" w:sz="4"/>
                    <w:left w:val="single" w:color="000000" w:sz="4"/>
                    <w:bottom w:val="single" w:color="000000" w:sz="4"/>
                    <w:right w:val="single" w:color="000000" w:sz="4"/>
                  </w:tcBorders>
                </w:tcPr>
                <w:p/>
              </w:tc>
              <w:tc>
                <w:tcPr>
                  <w:tcW w:type="dxa" w:w="1669"/>
                  <w:vMerge/>
                  <w:tcBorders>
                    <w:top w:val="none" w:color="000000" w:sz="4"/>
                    <w:left w:val="single" w:color="000000" w:sz="4"/>
                    <w:bottom w:val="single" w:color="000000" w:sz="4"/>
                    <w:right w:val="single" w:color="000000" w:sz="4"/>
                  </w:tcBorders>
                </w:tcPr>
                <w:p/>
              </w:tc>
              <w:tc>
                <w:tcPr>
                  <w:tcW w:type="dxa" w:w="2402"/>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left"/>
                  </w:pPr>
                  <w:r>
                    <w:rPr>
                      <w:sz w:val="21"/>
                    </w:rPr>
                    <w:t>6─1、</w:t>
                  </w:r>
                  <w:r>
                    <w:rPr>
                      <w:sz w:val="21"/>
                    </w:rPr>
                    <w:t>维护单位违章作业，下井未采取通风措施，下井前未进行有害气体检测的，每次扣</w:t>
                  </w:r>
                  <w:r>
                    <w:rPr>
                      <w:sz w:val="21"/>
                    </w:rPr>
                    <w:t>3分；</w:t>
                  </w:r>
                </w:p>
              </w:tc>
              <w:tc>
                <w:tcPr>
                  <w:tcW w:type="dxa" w:w="404"/>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left"/>
                  </w:pPr>
                </w:p>
              </w:tc>
            </w:tr>
            <w:tr>
              <w:tc>
                <w:tcPr>
                  <w:tcW w:type="dxa" w:w="413"/>
                  <w:vMerge/>
                  <w:tcBorders>
                    <w:top w:val="none" w:color="000000" w:sz="4"/>
                    <w:left w:val="single" w:color="000000" w:sz="4"/>
                    <w:bottom w:val="single" w:color="000000" w:sz="4"/>
                    <w:right w:val="single" w:color="000000" w:sz="4"/>
                  </w:tcBorders>
                </w:tcPr>
                <w:p/>
              </w:tc>
              <w:tc>
                <w:tcPr>
                  <w:tcW w:type="dxa" w:w="708"/>
                  <w:vMerge/>
                  <w:tcBorders>
                    <w:top w:val="none" w:color="000000" w:sz="4"/>
                    <w:left w:val="single" w:color="000000" w:sz="4"/>
                    <w:bottom w:val="single" w:color="000000" w:sz="4"/>
                    <w:right w:val="single" w:color="000000" w:sz="4"/>
                  </w:tcBorders>
                </w:tcPr>
                <w:p/>
              </w:tc>
              <w:tc>
                <w:tcPr>
                  <w:tcW w:type="dxa" w:w="1669"/>
                  <w:vMerge/>
                  <w:tcBorders>
                    <w:top w:val="none" w:color="000000" w:sz="4"/>
                    <w:left w:val="single" w:color="000000" w:sz="4"/>
                    <w:bottom w:val="single" w:color="000000" w:sz="4"/>
                    <w:right w:val="single" w:color="000000" w:sz="4"/>
                  </w:tcBorders>
                </w:tcPr>
                <w:p/>
              </w:tc>
              <w:tc>
                <w:tcPr>
                  <w:tcW w:type="dxa" w:w="2402"/>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left"/>
                  </w:pPr>
                  <w:r>
                    <w:rPr>
                      <w:sz w:val="21"/>
                    </w:rPr>
                    <w:t>6─2、巡查和清淤车辆停靠后，后方未设置有效警示的，作业人员下车未穿反光衣的</w:t>
                  </w:r>
                  <w:r>
                    <w:rPr>
                      <w:sz w:val="21"/>
                    </w:rPr>
                    <w:t>；</w:t>
                  </w:r>
                  <w:r>
                    <w:rPr>
                      <w:sz w:val="21"/>
                    </w:rPr>
                    <w:t>每月项目部内部要召开至少一次安全生产会议；如未落实</w:t>
                  </w:r>
                  <w:r>
                    <w:rPr>
                      <w:sz w:val="21"/>
                    </w:rPr>
                    <w:t>每次扣</w:t>
                  </w:r>
                  <w:r>
                    <w:rPr>
                      <w:sz w:val="21"/>
                    </w:rPr>
                    <w:t>3分；</w:t>
                  </w:r>
                </w:p>
              </w:tc>
              <w:tc>
                <w:tcPr>
                  <w:tcW w:type="dxa" w:w="404"/>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left"/>
                  </w:pPr>
                </w:p>
              </w:tc>
            </w:tr>
            <w:tr>
              <w:tc>
                <w:tcPr>
                  <w:tcW w:type="dxa" w:w="413"/>
                  <w:vMerge/>
                  <w:tcBorders>
                    <w:top w:val="none" w:color="000000" w:sz="4"/>
                    <w:left w:val="single" w:color="000000" w:sz="4"/>
                    <w:bottom w:val="single" w:color="000000" w:sz="4"/>
                    <w:right w:val="single" w:color="000000" w:sz="4"/>
                  </w:tcBorders>
                </w:tcPr>
                <w:p/>
              </w:tc>
              <w:tc>
                <w:tcPr>
                  <w:tcW w:type="dxa" w:w="708"/>
                  <w:vMerge/>
                  <w:tcBorders>
                    <w:top w:val="none" w:color="000000" w:sz="4"/>
                    <w:left w:val="single" w:color="000000" w:sz="4"/>
                    <w:bottom w:val="single" w:color="000000" w:sz="4"/>
                    <w:right w:val="single" w:color="000000" w:sz="4"/>
                  </w:tcBorders>
                </w:tcPr>
                <w:p/>
              </w:tc>
              <w:tc>
                <w:tcPr>
                  <w:tcW w:type="dxa" w:w="1669"/>
                  <w:vMerge/>
                  <w:tcBorders>
                    <w:top w:val="none" w:color="000000" w:sz="4"/>
                    <w:left w:val="single" w:color="000000" w:sz="4"/>
                    <w:bottom w:val="single" w:color="000000" w:sz="4"/>
                    <w:right w:val="single" w:color="000000" w:sz="4"/>
                  </w:tcBorders>
                </w:tcPr>
                <w:p/>
              </w:tc>
              <w:tc>
                <w:tcPr>
                  <w:tcW w:type="dxa" w:w="2402"/>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left"/>
                  </w:pPr>
                  <w:r>
                    <w:rPr>
                      <w:sz w:val="21"/>
                    </w:rPr>
                    <w:t>6─3、清淤结束后，场地清理不彻底的，淤泥随意倒放的，每次扣2分；</w:t>
                  </w:r>
                </w:p>
              </w:tc>
              <w:tc>
                <w:tcPr>
                  <w:tcW w:type="dxa" w:w="404"/>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left"/>
                  </w:pPr>
                </w:p>
              </w:tc>
            </w:tr>
            <w:tr>
              <w:tc>
                <w:tcPr>
                  <w:tcW w:type="dxa" w:w="413"/>
                  <w:vMerge/>
                  <w:tcBorders>
                    <w:top w:val="none" w:color="000000" w:sz="4"/>
                    <w:left w:val="single" w:color="000000" w:sz="4"/>
                    <w:bottom w:val="single" w:color="000000" w:sz="4"/>
                    <w:right w:val="single" w:color="000000" w:sz="4"/>
                  </w:tcBorders>
                </w:tcPr>
                <w:p/>
              </w:tc>
              <w:tc>
                <w:tcPr>
                  <w:tcW w:type="dxa" w:w="708"/>
                  <w:vMerge/>
                  <w:tcBorders>
                    <w:top w:val="none" w:color="000000" w:sz="4"/>
                    <w:left w:val="single" w:color="000000" w:sz="4"/>
                    <w:bottom w:val="single" w:color="000000" w:sz="4"/>
                    <w:right w:val="single" w:color="000000" w:sz="4"/>
                  </w:tcBorders>
                </w:tcPr>
                <w:p/>
              </w:tc>
              <w:tc>
                <w:tcPr>
                  <w:tcW w:type="dxa" w:w="1669"/>
                  <w:vMerge/>
                  <w:tcBorders>
                    <w:top w:val="none" w:color="000000" w:sz="4"/>
                    <w:left w:val="single" w:color="000000" w:sz="4"/>
                    <w:bottom w:val="single" w:color="000000" w:sz="4"/>
                    <w:right w:val="single" w:color="000000" w:sz="4"/>
                  </w:tcBorders>
                </w:tcPr>
                <w:p/>
              </w:tc>
              <w:tc>
                <w:tcPr>
                  <w:tcW w:type="dxa" w:w="2402"/>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left"/>
                  </w:pPr>
                  <w:r>
                    <w:rPr>
                      <w:sz w:val="21"/>
                    </w:rPr>
                    <w:t>7、对现状井室及雨水口进行合理编号，定期对模糊不清的编号进行更新，编号不全及模糊不清，每次每处扣1分；</w:t>
                  </w:r>
                </w:p>
              </w:tc>
              <w:tc>
                <w:tcPr>
                  <w:tcW w:type="dxa" w:w="404"/>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left"/>
                  </w:pPr>
                </w:p>
              </w:tc>
            </w:tr>
            <w:tr>
              <w:tc>
                <w:tcPr>
                  <w:tcW w:type="dxa" w:w="413"/>
                  <w:vMerge/>
                  <w:tcBorders>
                    <w:top w:val="none" w:color="000000" w:sz="4"/>
                    <w:left w:val="single" w:color="000000" w:sz="4"/>
                    <w:bottom w:val="single" w:color="000000" w:sz="4"/>
                    <w:right w:val="single" w:color="000000" w:sz="4"/>
                  </w:tcBorders>
                </w:tcPr>
                <w:p/>
              </w:tc>
              <w:tc>
                <w:tcPr>
                  <w:tcW w:type="dxa" w:w="708"/>
                  <w:vMerge/>
                  <w:tcBorders>
                    <w:top w:val="none" w:color="000000" w:sz="4"/>
                    <w:left w:val="single" w:color="000000" w:sz="4"/>
                    <w:bottom w:val="single" w:color="000000" w:sz="4"/>
                    <w:right w:val="single" w:color="000000" w:sz="4"/>
                  </w:tcBorders>
                </w:tcPr>
                <w:p/>
              </w:tc>
              <w:tc>
                <w:tcPr>
                  <w:tcW w:type="dxa" w:w="1669"/>
                  <w:vMerge/>
                  <w:tcBorders>
                    <w:top w:val="none" w:color="000000" w:sz="4"/>
                    <w:left w:val="single" w:color="000000" w:sz="4"/>
                    <w:bottom w:val="single" w:color="000000" w:sz="4"/>
                    <w:right w:val="single" w:color="000000" w:sz="4"/>
                  </w:tcBorders>
                </w:tcPr>
                <w:p/>
              </w:tc>
              <w:tc>
                <w:tcPr>
                  <w:tcW w:type="dxa" w:w="2402"/>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left"/>
                  </w:pPr>
                  <w:r>
                    <w:rPr>
                      <w:sz w:val="21"/>
                    </w:rPr>
                    <w:t>8、定期完善排水设施维护图纸，将完善后图纸上报管理单位备案，如提供图纸与实际不符，每次每处扣1分；</w:t>
                  </w:r>
                </w:p>
              </w:tc>
              <w:tc>
                <w:tcPr>
                  <w:tcW w:type="dxa" w:w="404"/>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left"/>
                  </w:pPr>
                </w:p>
              </w:tc>
            </w:tr>
            <w:tr>
              <w:tc>
                <w:tcPr>
                  <w:tcW w:type="dxa" w:w="413"/>
                  <w:vMerge/>
                  <w:tcBorders>
                    <w:top w:val="none" w:color="000000" w:sz="4"/>
                    <w:left w:val="single" w:color="000000" w:sz="4"/>
                    <w:bottom w:val="single" w:color="000000" w:sz="4"/>
                    <w:right w:val="single" w:color="000000" w:sz="4"/>
                  </w:tcBorders>
                </w:tcPr>
                <w:p/>
              </w:tc>
              <w:tc>
                <w:tcPr>
                  <w:tcW w:type="dxa" w:w="708"/>
                  <w:vMerge/>
                  <w:tcBorders>
                    <w:top w:val="none" w:color="000000" w:sz="4"/>
                    <w:left w:val="single" w:color="000000" w:sz="4"/>
                    <w:bottom w:val="single" w:color="000000" w:sz="4"/>
                    <w:right w:val="single" w:color="000000" w:sz="4"/>
                  </w:tcBorders>
                </w:tcPr>
                <w:p/>
              </w:tc>
              <w:tc>
                <w:tcPr>
                  <w:tcW w:type="dxa" w:w="1669"/>
                  <w:vMerge/>
                  <w:tcBorders>
                    <w:top w:val="none" w:color="000000" w:sz="4"/>
                    <w:left w:val="single" w:color="000000" w:sz="4"/>
                    <w:bottom w:val="single" w:color="000000" w:sz="4"/>
                    <w:right w:val="single" w:color="000000" w:sz="4"/>
                  </w:tcBorders>
                </w:tcPr>
                <w:p/>
              </w:tc>
              <w:tc>
                <w:tcPr>
                  <w:tcW w:type="dxa" w:w="2402"/>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left"/>
                  </w:pPr>
                  <w:r>
                    <w:rPr>
                      <w:sz w:val="21"/>
                    </w:rPr>
                    <w:t>9、每周五10点前维护周报递交采购人，如在要求时间内未上报或上报内容不真实、不符合要求的，每次每处扣2分；</w:t>
                  </w:r>
                </w:p>
              </w:tc>
              <w:tc>
                <w:tcPr>
                  <w:tcW w:type="dxa" w:w="404"/>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left"/>
                  </w:pPr>
                </w:p>
              </w:tc>
            </w:tr>
            <w:tr>
              <w:tc>
                <w:tcPr>
                  <w:tcW w:type="dxa" w:w="413"/>
                  <w:vMerge/>
                  <w:tcBorders>
                    <w:top w:val="none" w:color="000000" w:sz="4"/>
                    <w:left w:val="single" w:color="000000" w:sz="4"/>
                    <w:bottom w:val="single" w:color="000000" w:sz="4"/>
                    <w:right w:val="single" w:color="000000" w:sz="4"/>
                  </w:tcBorders>
                </w:tcPr>
                <w:p/>
              </w:tc>
              <w:tc>
                <w:tcPr>
                  <w:tcW w:type="dxa" w:w="708"/>
                  <w:vMerge/>
                  <w:tcBorders>
                    <w:top w:val="none" w:color="000000" w:sz="4"/>
                    <w:left w:val="single" w:color="000000" w:sz="4"/>
                    <w:bottom w:val="single" w:color="000000" w:sz="4"/>
                    <w:right w:val="single" w:color="000000" w:sz="4"/>
                  </w:tcBorders>
                </w:tcPr>
                <w:p/>
              </w:tc>
              <w:tc>
                <w:tcPr>
                  <w:tcW w:type="dxa" w:w="1669"/>
                  <w:vMerge/>
                  <w:tcBorders>
                    <w:top w:val="none" w:color="000000" w:sz="4"/>
                    <w:left w:val="single" w:color="000000" w:sz="4"/>
                    <w:bottom w:val="single" w:color="000000" w:sz="4"/>
                    <w:right w:val="single" w:color="000000" w:sz="4"/>
                  </w:tcBorders>
                </w:tcPr>
                <w:p/>
              </w:tc>
              <w:tc>
                <w:tcPr>
                  <w:tcW w:type="dxa" w:w="2402"/>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left"/>
                  </w:pPr>
                  <w:r>
                    <w:rPr>
                      <w:sz w:val="21"/>
                    </w:rPr>
                    <w:t>10、每月5日前将须递交上月维护工作的月总结报告至管理单位，如在要求时间内未上报或上报内容不真实、不符合要求的，每次每处扣2分；</w:t>
                  </w:r>
                </w:p>
              </w:tc>
              <w:tc>
                <w:tcPr>
                  <w:tcW w:type="dxa" w:w="404"/>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left"/>
                  </w:pPr>
                </w:p>
              </w:tc>
            </w:tr>
            <w:tr>
              <w:tc>
                <w:tcPr>
                  <w:tcW w:type="dxa" w:w="413"/>
                  <w:vMerge/>
                  <w:tcBorders>
                    <w:top w:val="none" w:color="000000" w:sz="4"/>
                    <w:left w:val="single" w:color="000000" w:sz="4"/>
                    <w:bottom w:val="single" w:color="000000" w:sz="4"/>
                    <w:right w:val="single" w:color="000000" w:sz="4"/>
                  </w:tcBorders>
                </w:tcPr>
                <w:p/>
              </w:tc>
              <w:tc>
                <w:tcPr>
                  <w:tcW w:type="dxa" w:w="708"/>
                  <w:vMerge/>
                  <w:tcBorders>
                    <w:top w:val="none" w:color="000000" w:sz="4"/>
                    <w:left w:val="single" w:color="000000" w:sz="4"/>
                    <w:bottom w:val="single" w:color="000000" w:sz="4"/>
                    <w:right w:val="single" w:color="000000" w:sz="4"/>
                  </w:tcBorders>
                </w:tcPr>
                <w:p/>
              </w:tc>
              <w:tc>
                <w:tcPr>
                  <w:tcW w:type="dxa" w:w="1669"/>
                  <w:vMerge/>
                  <w:tcBorders>
                    <w:top w:val="none" w:color="000000" w:sz="4"/>
                    <w:left w:val="single" w:color="000000" w:sz="4"/>
                    <w:bottom w:val="single" w:color="000000" w:sz="4"/>
                    <w:right w:val="single" w:color="000000" w:sz="4"/>
                  </w:tcBorders>
                </w:tcPr>
                <w:p/>
              </w:tc>
              <w:tc>
                <w:tcPr>
                  <w:tcW w:type="dxa" w:w="2402"/>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left"/>
                  </w:pPr>
                  <w:r>
                    <w:rPr>
                      <w:sz w:val="21"/>
                    </w:rPr>
                    <w:t>11、节假日无人值班，值班人员脱岗的，迎检期间被上级领导批评，每次每处扣2分。</w:t>
                  </w:r>
                </w:p>
              </w:tc>
              <w:tc>
                <w:tcPr>
                  <w:tcW w:type="dxa" w:w="404"/>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left"/>
                  </w:pPr>
                </w:p>
              </w:tc>
            </w:tr>
            <w:tr>
              <w:tc>
                <w:tcPr>
                  <w:tcW w:type="dxa" w:w="413"/>
                  <w:vMerge w:val="restart"/>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sz w:val="21"/>
                    </w:rPr>
                    <w:t>65分</w:t>
                  </w:r>
                </w:p>
              </w:tc>
              <w:tc>
                <w:tcPr>
                  <w:tcW w:type="dxa" w:w="708"/>
                  <w:vMerge w:val="restart"/>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ind w:left="120"/>
                    <w:jc w:val="center"/>
                  </w:pPr>
                  <w:r>
                    <w:rPr>
                      <w:sz w:val="21"/>
                    </w:rPr>
                    <w:t>日常</w:t>
                  </w:r>
                </w:p>
                <w:p>
                  <w:pPr>
                    <w:pStyle w:val="null3"/>
                    <w:ind w:left="120"/>
                    <w:jc w:val="center"/>
                  </w:pPr>
                  <w:r>
                    <w:rPr>
                      <w:sz w:val="21"/>
                    </w:rPr>
                    <w:t>巡查</w:t>
                  </w:r>
                </w:p>
                <w:p>
                  <w:pPr>
                    <w:pStyle w:val="null3"/>
                    <w:ind w:left="120"/>
                    <w:jc w:val="center"/>
                  </w:pPr>
                  <w:r>
                    <w:rPr>
                      <w:sz w:val="21"/>
                    </w:rPr>
                    <w:t>（</w:t>
                  </w:r>
                  <w:r>
                    <w:rPr>
                      <w:sz w:val="21"/>
                    </w:rPr>
                    <w:t>15分）</w:t>
                  </w:r>
                </w:p>
              </w:tc>
              <w:tc>
                <w:tcPr>
                  <w:tcW w:type="dxa" w:w="1669"/>
                  <w:vMerge w:val="restart"/>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left"/>
                  </w:pPr>
                  <w:r>
                    <w:rPr>
                      <w:sz w:val="21"/>
                    </w:rPr>
                    <w:t>1、按合同要求维护单位每</w:t>
                  </w:r>
                  <w:r>
                    <w:rPr>
                      <w:sz w:val="21"/>
                    </w:rPr>
                    <w:t>周</w:t>
                  </w:r>
                  <w:r>
                    <w:rPr>
                      <w:sz w:val="21"/>
                    </w:rPr>
                    <w:t>完成一次全路段巡查</w:t>
                  </w:r>
                  <w:r>
                    <w:rPr>
                      <w:sz w:val="21"/>
                    </w:rPr>
                    <w:t>。</w:t>
                  </w:r>
                </w:p>
                <w:p>
                  <w:pPr>
                    <w:pStyle w:val="null3"/>
                    <w:jc w:val="left"/>
                  </w:pPr>
                  <w:r>
                    <w:rPr>
                      <w:sz w:val="21"/>
                    </w:rPr>
                    <w:t>2、巡查发现问题进行拍照，详细填报巡查记录及工作联系单；</w:t>
                  </w:r>
                </w:p>
              </w:tc>
              <w:tc>
                <w:tcPr>
                  <w:tcW w:type="dxa" w:w="2402"/>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left"/>
                  </w:pPr>
                  <w:r>
                    <w:rPr>
                      <w:sz w:val="21"/>
                    </w:rPr>
                    <w:t>1─1、业主代表不定期检查维护单位日常巡查情况（每周至少1次），发现没按规定巡查到位，存在弄虚作假的，每人每次扣2分；</w:t>
                  </w:r>
                </w:p>
              </w:tc>
              <w:tc>
                <w:tcPr>
                  <w:tcW w:type="dxa" w:w="404"/>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left"/>
                  </w:pPr>
                </w:p>
              </w:tc>
            </w:tr>
            <w:tr>
              <w:tc>
                <w:tcPr>
                  <w:tcW w:type="dxa" w:w="413"/>
                  <w:vMerge/>
                  <w:tcBorders>
                    <w:top w:val="none" w:color="000000" w:sz="4"/>
                    <w:left w:val="single" w:color="000000" w:sz="4"/>
                    <w:bottom w:val="single" w:color="000000" w:sz="4"/>
                    <w:right w:val="single" w:color="000000" w:sz="4"/>
                  </w:tcBorders>
                </w:tcPr>
                <w:p/>
              </w:tc>
              <w:tc>
                <w:tcPr>
                  <w:tcW w:type="dxa" w:w="708"/>
                  <w:vMerge/>
                  <w:tcBorders>
                    <w:top w:val="none" w:color="000000" w:sz="4"/>
                    <w:left w:val="single" w:color="000000" w:sz="4"/>
                    <w:bottom w:val="single" w:color="000000" w:sz="4"/>
                    <w:right w:val="single" w:color="000000" w:sz="4"/>
                  </w:tcBorders>
                </w:tcPr>
                <w:p/>
              </w:tc>
              <w:tc>
                <w:tcPr>
                  <w:tcW w:type="dxa" w:w="1669"/>
                  <w:vMerge/>
                  <w:tcBorders>
                    <w:top w:val="none" w:color="000000" w:sz="4"/>
                    <w:left w:val="single" w:color="000000" w:sz="4"/>
                    <w:bottom w:val="single" w:color="000000" w:sz="4"/>
                    <w:right w:val="single" w:color="000000" w:sz="4"/>
                  </w:tcBorders>
                </w:tcPr>
                <w:p/>
              </w:tc>
              <w:tc>
                <w:tcPr>
                  <w:tcW w:type="dxa" w:w="2402"/>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left"/>
                  </w:pPr>
                  <w:r>
                    <w:rPr>
                      <w:sz w:val="21"/>
                    </w:rPr>
                    <w:t>1─2、巡查发现问题未上报，或因巡查不到位，被管理单位发现或接到相关部门及市民投诉的，每次扣</w:t>
                  </w:r>
                  <w:r>
                    <w:rPr>
                      <w:sz w:val="21"/>
                    </w:rPr>
                    <w:t>3</w:t>
                  </w:r>
                  <w:r>
                    <w:rPr>
                      <w:sz w:val="21"/>
                    </w:rPr>
                    <w:t>分；</w:t>
                  </w:r>
                </w:p>
              </w:tc>
              <w:tc>
                <w:tcPr>
                  <w:tcW w:type="dxa" w:w="404"/>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left"/>
                  </w:pPr>
                </w:p>
              </w:tc>
            </w:tr>
            <w:tr>
              <w:tc>
                <w:tcPr>
                  <w:tcW w:type="dxa" w:w="413"/>
                  <w:vMerge/>
                  <w:tcBorders>
                    <w:top w:val="none" w:color="000000" w:sz="4"/>
                    <w:left w:val="single" w:color="000000" w:sz="4"/>
                    <w:bottom w:val="single" w:color="000000" w:sz="4"/>
                    <w:right w:val="single" w:color="000000" w:sz="4"/>
                  </w:tcBorders>
                </w:tcPr>
                <w:p/>
              </w:tc>
              <w:tc>
                <w:tcPr>
                  <w:tcW w:type="dxa" w:w="708"/>
                  <w:vMerge/>
                  <w:tcBorders>
                    <w:top w:val="none" w:color="000000" w:sz="4"/>
                    <w:left w:val="single" w:color="000000" w:sz="4"/>
                    <w:bottom w:val="single" w:color="000000" w:sz="4"/>
                    <w:right w:val="single" w:color="000000" w:sz="4"/>
                  </w:tcBorders>
                </w:tcPr>
                <w:p/>
              </w:tc>
              <w:tc>
                <w:tcPr>
                  <w:tcW w:type="dxa" w:w="1669"/>
                  <w:vMerge/>
                  <w:tcBorders>
                    <w:top w:val="none" w:color="000000" w:sz="4"/>
                    <w:left w:val="single" w:color="000000" w:sz="4"/>
                    <w:bottom w:val="single" w:color="000000" w:sz="4"/>
                    <w:right w:val="single" w:color="000000" w:sz="4"/>
                  </w:tcBorders>
                </w:tcPr>
                <w:p/>
              </w:tc>
              <w:tc>
                <w:tcPr>
                  <w:tcW w:type="dxa" w:w="2402"/>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left"/>
                  </w:pPr>
                  <w:r>
                    <w:rPr>
                      <w:sz w:val="21"/>
                    </w:rPr>
                    <w:t>2、巡查记录表述地点不清楚、问题表述的不具体、无照片或照片反映不清晰的、未提出解决措施的，每处每次扣1分。</w:t>
                  </w:r>
                </w:p>
              </w:tc>
              <w:tc>
                <w:tcPr>
                  <w:tcW w:type="dxa" w:w="404"/>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left"/>
                  </w:pPr>
                </w:p>
              </w:tc>
            </w:tr>
            <w:tr>
              <w:tc>
                <w:tcPr>
                  <w:tcW w:type="dxa" w:w="413"/>
                  <w:vMerge/>
                  <w:tcBorders>
                    <w:top w:val="none" w:color="000000" w:sz="4"/>
                    <w:left w:val="single" w:color="000000" w:sz="4"/>
                    <w:bottom w:val="single" w:color="000000" w:sz="4"/>
                    <w:right w:val="single" w:color="000000" w:sz="4"/>
                  </w:tcBorders>
                </w:tcPr>
                <w:p/>
              </w:tc>
              <w:tc>
                <w:tcPr>
                  <w:tcW w:type="dxa" w:w="708"/>
                  <w:vMerge w:val="restart"/>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sz w:val="21"/>
                    </w:rPr>
                    <w:t>雨天</w:t>
                  </w:r>
                </w:p>
                <w:p>
                  <w:pPr>
                    <w:pStyle w:val="null3"/>
                    <w:jc w:val="center"/>
                  </w:pPr>
                  <w:r>
                    <w:rPr>
                      <w:sz w:val="21"/>
                    </w:rPr>
                    <w:t>巡查</w:t>
                  </w:r>
                </w:p>
                <w:p>
                  <w:pPr>
                    <w:pStyle w:val="null3"/>
                    <w:jc w:val="center"/>
                  </w:pPr>
                  <w:r>
                    <w:rPr>
                      <w:sz w:val="21"/>
                    </w:rPr>
                    <w:t>应急</w:t>
                  </w:r>
                </w:p>
                <w:p>
                  <w:pPr>
                    <w:pStyle w:val="null3"/>
                    <w:jc w:val="center"/>
                  </w:pPr>
                  <w:r>
                    <w:rPr>
                      <w:sz w:val="21"/>
                    </w:rPr>
                    <w:t>抢险</w:t>
                  </w:r>
                </w:p>
                <w:p>
                  <w:pPr>
                    <w:pStyle w:val="null3"/>
                    <w:jc w:val="center"/>
                  </w:pPr>
                  <w:r>
                    <w:rPr>
                      <w:sz w:val="21"/>
                    </w:rPr>
                    <w:t>（</w:t>
                  </w:r>
                  <w:r>
                    <w:rPr>
                      <w:sz w:val="21"/>
                    </w:rPr>
                    <w:t>20分）</w:t>
                  </w:r>
                </w:p>
              </w:tc>
              <w:tc>
                <w:tcPr>
                  <w:tcW w:type="dxa" w:w="1669"/>
                  <w:vMerge w:val="restart"/>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left"/>
                  </w:pPr>
                  <w:r>
                    <w:rPr>
                      <w:sz w:val="21"/>
                    </w:rPr>
                    <w:t>1、降雨期间维护单位应及时进行上路巡查工作；</w:t>
                  </w:r>
                </w:p>
                <w:p>
                  <w:pPr>
                    <w:pStyle w:val="null3"/>
                    <w:jc w:val="left"/>
                  </w:pPr>
                  <w:r>
                    <w:rPr>
                      <w:sz w:val="21"/>
                    </w:rPr>
                    <w:t>2、发现一般内涝地段应采取合理措施加快路面排水工作；</w:t>
                  </w:r>
                </w:p>
                <w:p>
                  <w:pPr>
                    <w:pStyle w:val="null3"/>
                    <w:jc w:val="left"/>
                  </w:pPr>
                </w:p>
              </w:tc>
              <w:tc>
                <w:tcPr>
                  <w:tcW w:type="dxa" w:w="2402"/>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left"/>
                  </w:pPr>
                  <w:r>
                    <w:rPr>
                      <w:sz w:val="21"/>
                    </w:rPr>
                    <w:t>1、强降雨以上预警信号发布后</w:t>
                  </w:r>
                  <w:r>
                    <w:rPr>
                      <w:sz w:val="21"/>
                    </w:rPr>
                    <w:t>30分钟内</w:t>
                  </w:r>
                  <w:r>
                    <w:rPr>
                      <w:sz w:val="21"/>
                    </w:rPr>
                    <w:t>，维护单位未及时出行，出行后巡查不到位的，每次扣</w:t>
                  </w:r>
                  <w:r>
                    <w:rPr>
                      <w:sz w:val="21"/>
                    </w:rPr>
                    <w:t>2分；</w:t>
                  </w:r>
                </w:p>
              </w:tc>
              <w:tc>
                <w:tcPr>
                  <w:tcW w:type="dxa" w:w="404"/>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left"/>
                  </w:pPr>
                </w:p>
              </w:tc>
            </w:tr>
            <w:tr>
              <w:tc>
                <w:tcPr>
                  <w:tcW w:type="dxa" w:w="413"/>
                  <w:vMerge/>
                  <w:tcBorders>
                    <w:top w:val="none" w:color="000000" w:sz="4"/>
                    <w:left w:val="single" w:color="000000" w:sz="4"/>
                    <w:bottom w:val="single" w:color="000000" w:sz="4"/>
                    <w:right w:val="single" w:color="000000" w:sz="4"/>
                  </w:tcBorders>
                </w:tcPr>
                <w:p/>
              </w:tc>
              <w:tc>
                <w:tcPr>
                  <w:tcW w:type="dxa" w:w="708"/>
                  <w:vMerge/>
                  <w:tcBorders>
                    <w:top w:val="none" w:color="000000" w:sz="4"/>
                    <w:left w:val="single" w:color="000000" w:sz="4"/>
                    <w:bottom w:val="single" w:color="000000" w:sz="4"/>
                    <w:right w:val="single" w:color="000000" w:sz="4"/>
                  </w:tcBorders>
                </w:tcPr>
                <w:p/>
              </w:tc>
              <w:tc>
                <w:tcPr>
                  <w:tcW w:type="dxa" w:w="1669"/>
                  <w:vMerge/>
                  <w:tcBorders>
                    <w:top w:val="none" w:color="000000" w:sz="4"/>
                    <w:left w:val="single" w:color="000000" w:sz="4"/>
                    <w:bottom w:val="single" w:color="000000" w:sz="4"/>
                    <w:right w:val="single" w:color="000000" w:sz="4"/>
                  </w:tcBorders>
                </w:tcPr>
                <w:p/>
              </w:tc>
              <w:tc>
                <w:tcPr>
                  <w:tcW w:type="dxa" w:w="2402"/>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left"/>
                  </w:pPr>
                  <w:r>
                    <w:rPr>
                      <w:sz w:val="21"/>
                    </w:rPr>
                    <w:t>2、发现一般内涝未采取措施加快路面排水工作的，谎报巡查情况的，未向管理单位汇报或汇报不及时的，每次每处扣2分；</w:t>
                  </w:r>
                </w:p>
              </w:tc>
              <w:tc>
                <w:tcPr>
                  <w:tcW w:type="dxa" w:w="404"/>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left"/>
                  </w:pPr>
                </w:p>
              </w:tc>
            </w:tr>
            <w:tr>
              <w:tc>
                <w:tcPr>
                  <w:tcW w:type="dxa" w:w="413"/>
                  <w:vMerge/>
                  <w:tcBorders>
                    <w:top w:val="none" w:color="000000" w:sz="4"/>
                    <w:left w:val="single" w:color="000000" w:sz="4"/>
                    <w:bottom w:val="single" w:color="000000" w:sz="4"/>
                    <w:right w:val="single" w:color="000000" w:sz="4"/>
                  </w:tcBorders>
                </w:tcPr>
                <w:p/>
              </w:tc>
              <w:tc>
                <w:tcPr>
                  <w:tcW w:type="dxa" w:w="708"/>
                  <w:vMerge/>
                  <w:tcBorders>
                    <w:top w:val="none" w:color="000000" w:sz="4"/>
                    <w:left w:val="single" w:color="000000" w:sz="4"/>
                    <w:bottom w:val="single" w:color="000000" w:sz="4"/>
                    <w:right w:val="single" w:color="000000" w:sz="4"/>
                  </w:tcBorders>
                </w:tcPr>
                <w:p/>
              </w:tc>
              <w:tc>
                <w:tcPr>
                  <w:tcW w:type="dxa" w:w="1669"/>
                  <w:vMerge/>
                  <w:tcBorders>
                    <w:top w:val="none" w:color="000000" w:sz="4"/>
                    <w:left w:val="single" w:color="000000" w:sz="4"/>
                    <w:bottom w:val="single" w:color="000000" w:sz="4"/>
                    <w:right w:val="single" w:color="000000" w:sz="4"/>
                  </w:tcBorders>
                </w:tcPr>
                <w:p/>
              </w:tc>
              <w:tc>
                <w:tcPr>
                  <w:tcW w:type="dxa" w:w="2402"/>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left"/>
                  </w:pPr>
                  <w:r>
                    <w:rPr>
                      <w:sz w:val="21"/>
                    </w:rPr>
                    <w:t>3、出现严重内涝（积水深度超过20cm），未在30分钟内赶到的，抢险设备准备不充分的，未定期向管理单位汇报或汇报不及时的，每次每处扣2~5分。</w:t>
                  </w:r>
                </w:p>
              </w:tc>
              <w:tc>
                <w:tcPr>
                  <w:tcW w:type="dxa" w:w="404"/>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left"/>
                  </w:pPr>
                </w:p>
              </w:tc>
            </w:tr>
            <w:tr>
              <w:tc>
                <w:tcPr>
                  <w:tcW w:type="dxa" w:w="413"/>
                  <w:vMerge/>
                  <w:tcBorders>
                    <w:top w:val="none" w:color="000000" w:sz="4"/>
                    <w:left w:val="single" w:color="000000" w:sz="4"/>
                    <w:bottom w:val="single" w:color="000000" w:sz="4"/>
                    <w:right w:val="single" w:color="000000" w:sz="4"/>
                  </w:tcBorders>
                </w:tcPr>
                <w:p/>
              </w:tc>
              <w:tc>
                <w:tcPr>
                  <w:tcW w:type="dxa" w:w="708"/>
                  <w:vMerge w:val="restart"/>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sz w:val="21"/>
                    </w:rPr>
                    <w:t>定期</w:t>
                  </w:r>
                </w:p>
                <w:p>
                  <w:pPr>
                    <w:pStyle w:val="null3"/>
                    <w:jc w:val="center"/>
                  </w:pPr>
                  <w:r>
                    <w:rPr>
                      <w:sz w:val="21"/>
                    </w:rPr>
                    <w:t>检查</w:t>
                  </w:r>
                </w:p>
                <w:p>
                  <w:pPr>
                    <w:pStyle w:val="null3"/>
                    <w:jc w:val="center"/>
                  </w:pPr>
                  <w:r>
                    <w:rPr>
                      <w:sz w:val="21"/>
                    </w:rPr>
                    <w:t>（</w:t>
                  </w:r>
                  <w:r>
                    <w:rPr>
                      <w:sz w:val="21"/>
                    </w:rPr>
                    <w:t>10分）</w:t>
                  </w:r>
                </w:p>
              </w:tc>
              <w:tc>
                <w:tcPr>
                  <w:tcW w:type="dxa" w:w="1669"/>
                  <w:vMerge w:val="restart"/>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left"/>
                  </w:pPr>
                  <w:r>
                    <w:rPr>
                      <w:sz w:val="21"/>
                    </w:rPr>
                    <w:t>1、维护单位每年不少于一次对管道进行全面检查；</w:t>
                  </w:r>
                </w:p>
                <w:p>
                  <w:pPr>
                    <w:pStyle w:val="null3"/>
                    <w:jc w:val="left"/>
                  </w:pPr>
                  <w:r>
                    <w:rPr>
                      <w:sz w:val="21"/>
                    </w:rPr>
                    <w:t>2、检查图片及相关报告上报管理单位；</w:t>
                  </w:r>
                </w:p>
                <w:p>
                  <w:pPr>
                    <w:pStyle w:val="null3"/>
                    <w:jc w:val="left"/>
                  </w:pPr>
                  <w:r>
                    <w:rPr>
                      <w:sz w:val="21"/>
                    </w:rPr>
                    <w:t>3、对结构性问题进行统计，并形成资料上报；</w:t>
                  </w:r>
                </w:p>
              </w:tc>
              <w:tc>
                <w:tcPr>
                  <w:tcW w:type="dxa" w:w="2402"/>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left"/>
                  </w:pPr>
                  <w:r>
                    <w:rPr>
                      <w:sz w:val="21"/>
                    </w:rPr>
                    <w:t>1、每年汛期结束后开展定期检查工作，年底前完成定期检查工作并形成资料上传及上报，未按规定的时间上传及上报，每超一天扣0.5分；</w:t>
                  </w:r>
                </w:p>
              </w:tc>
              <w:tc>
                <w:tcPr>
                  <w:tcW w:type="dxa" w:w="404"/>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left"/>
                  </w:pPr>
                </w:p>
              </w:tc>
            </w:tr>
            <w:tr>
              <w:tc>
                <w:tcPr>
                  <w:tcW w:type="dxa" w:w="413"/>
                  <w:vMerge/>
                  <w:tcBorders>
                    <w:top w:val="none" w:color="000000" w:sz="4"/>
                    <w:left w:val="single" w:color="000000" w:sz="4"/>
                    <w:bottom w:val="single" w:color="000000" w:sz="4"/>
                    <w:right w:val="single" w:color="000000" w:sz="4"/>
                  </w:tcBorders>
                </w:tcPr>
                <w:p/>
              </w:tc>
              <w:tc>
                <w:tcPr>
                  <w:tcW w:type="dxa" w:w="708"/>
                  <w:vMerge/>
                  <w:tcBorders>
                    <w:top w:val="none" w:color="000000" w:sz="4"/>
                    <w:left w:val="single" w:color="000000" w:sz="4"/>
                    <w:bottom w:val="single" w:color="000000" w:sz="4"/>
                    <w:right w:val="single" w:color="000000" w:sz="4"/>
                  </w:tcBorders>
                </w:tcPr>
                <w:p/>
              </w:tc>
              <w:tc>
                <w:tcPr>
                  <w:tcW w:type="dxa" w:w="1669"/>
                  <w:vMerge/>
                  <w:tcBorders>
                    <w:top w:val="none" w:color="000000" w:sz="4"/>
                    <w:left w:val="single" w:color="000000" w:sz="4"/>
                    <w:bottom w:val="single" w:color="000000" w:sz="4"/>
                    <w:right w:val="single" w:color="000000" w:sz="4"/>
                  </w:tcBorders>
                </w:tcPr>
                <w:p/>
              </w:tc>
              <w:tc>
                <w:tcPr>
                  <w:tcW w:type="dxa" w:w="2402"/>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left"/>
                  </w:pPr>
                  <w:r>
                    <w:rPr>
                      <w:sz w:val="21"/>
                    </w:rPr>
                    <w:t>2、检查图片及相关报告必须真实、全面、准确，若上传及上报资料不全，每次每处扣1分；发现弄虚作假的，每次每处扣3分；</w:t>
                  </w:r>
                </w:p>
              </w:tc>
              <w:tc>
                <w:tcPr>
                  <w:tcW w:type="dxa" w:w="404"/>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left"/>
                  </w:pPr>
                </w:p>
              </w:tc>
            </w:tr>
            <w:tr>
              <w:tc>
                <w:tcPr>
                  <w:tcW w:type="dxa" w:w="413"/>
                  <w:vMerge/>
                  <w:tcBorders>
                    <w:top w:val="none" w:color="000000" w:sz="4"/>
                    <w:left w:val="single" w:color="000000" w:sz="4"/>
                    <w:bottom w:val="single" w:color="000000" w:sz="4"/>
                    <w:right w:val="single" w:color="000000" w:sz="4"/>
                  </w:tcBorders>
                </w:tcPr>
                <w:p/>
              </w:tc>
              <w:tc>
                <w:tcPr>
                  <w:tcW w:type="dxa" w:w="708"/>
                  <w:vMerge/>
                  <w:tcBorders>
                    <w:top w:val="none" w:color="000000" w:sz="4"/>
                    <w:left w:val="single" w:color="000000" w:sz="4"/>
                    <w:bottom w:val="single" w:color="000000" w:sz="4"/>
                    <w:right w:val="single" w:color="000000" w:sz="4"/>
                  </w:tcBorders>
                </w:tcPr>
                <w:p/>
              </w:tc>
              <w:tc>
                <w:tcPr>
                  <w:tcW w:type="dxa" w:w="1669"/>
                  <w:vMerge/>
                  <w:tcBorders>
                    <w:top w:val="none" w:color="000000" w:sz="4"/>
                    <w:left w:val="single" w:color="000000" w:sz="4"/>
                    <w:bottom w:val="single" w:color="000000" w:sz="4"/>
                    <w:right w:val="single" w:color="000000" w:sz="4"/>
                  </w:tcBorders>
                </w:tcPr>
                <w:p/>
              </w:tc>
              <w:tc>
                <w:tcPr>
                  <w:tcW w:type="dxa" w:w="2402"/>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left"/>
                  </w:pPr>
                  <w:r>
                    <w:rPr>
                      <w:sz w:val="21"/>
                    </w:rPr>
                    <w:t>3、结构性问题未统计，或统计有遗留的，每次每处扣1分；</w:t>
                  </w:r>
                </w:p>
              </w:tc>
              <w:tc>
                <w:tcPr>
                  <w:tcW w:type="dxa" w:w="404"/>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left"/>
                  </w:pPr>
                </w:p>
              </w:tc>
            </w:tr>
            <w:tr>
              <w:tc>
                <w:tcPr>
                  <w:tcW w:type="dxa" w:w="413"/>
                  <w:vMerge/>
                  <w:tcBorders>
                    <w:top w:val="none" w:color="000000" w:sz="4"/>
                    <w:left w:val="single" w:color="000000" w:sz="4"/>
                    <w:bottom w:val="single" w:color="000000" w:sz="4"/>
                    <w:right w:val="single" w:color="000000" w:sz="4"/>
                  </w:tcBorders>
                </w:tcPr>
                <w:p/>
              </w:tc>
              <w:tc>
                <w:tcPr>
                  <w:tcW w:type="dxa" w:w="708"/>
                  <w:vMerge/>
                  <w:tcBorders>
                    <w:top w:val="none" w:color="000000" w:sz="4"/>
                    <w:left w:val="single" w:color="000000" w:sz="4"/>
                    <w:bottom w:val="single" w:color="000000" w:sz="4"/>
                    <w:right w:val="single" w:color="000000" w:sz="4"/>
                  </w:tcBorders>
                </w:tcPr>
                <w:p/>
              </w:tc>
              <w:tc>
                <w:tcPr>
                  <w:tcW w:type="dxa" w:w="1669"/>
                  <w:vMerge/>
                  <w:tcBorders>
                    <w:top w:val="none" w:color="000000" w:sz="4"/>
                    <w:left w:val="single" w:color="000000" w:sz="4"/>
                    <w:bottom w:val="single" w:color="000000" w:sz="4"/>
                    <w:right w:val="single" w:color="000000" w:sz="4"/>
                  </w:tcBorders>
                </w:tcPr>
                <w:p/>
              </w:tc>
              <w:tc>
                <w:tcPr>
                  <w:tcW w:type="dxa" w:w="2402"/>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left"/>
                  </w:pPr>
                  <w:r>
                    <w:rPr>
                      <w:sz w:val="21"/>
                    </w:rPr>
                    <w:t>4、维护单位从合同签订日期算起，必要时，对</w:t>
                  </w:r>
                  <w:r>
                    <w:rPr>
                      <w:sz w:val="21"/>
                    </w:rPr>
                    <w:t>严重积水路段</w:t>
                  </w:r>
                  <w:r>
                    <w:rPr>
                      <w:sz w:val="21"/>
                    </w:rPr>
                    <w:t>管网</w:t>
                  </w:r>
                  <w:r>
                    <w:rPr>
                      <w:sz w:val="21"/>
                    </w:rPr>
                    <w:t>做</w:t>
                  </w:r>
                  <w:r>
                    <w:rPr>
                      <w:sz w:val="21"/>
                    </w:rPr>
                    <w:t>管涵检测工作，未按要求采用</w:t>
                  </w:r>
                  <w:r>
                    <w:rPr>
                      <w:sz w:val="21"/>
                    </w:rPr>
                    <w:t>QV或CCTV等技术手段</w:t>
                  </w:r>
                  <w:r>
                    <w:rPr>
                      <w:sz w:val="21"/>
                    </w:rPr>
                    <w:t>提供</w:t>
                  </w:r>
                  <w:r>
                    <w:rPr>
                      <w:sz w:val="21"/>
                    </w:rPr>
                    <w:t>检测，每次扣</w:t>
                  </w:r>
                  <w:r>
                    <w:rPr>
                      <w:sz w:val="21"/>
                    </w:rPr>
                    <w:t>3分。</w:t>
                  </w:r>
                </w:p>
              </w:tc>
              <w:tc>
                <w:tcPr>
                  <w:tcW w:type="dxa" w:w="404"/>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left"/>
                  </w:pPr>
                </w:p>
              </w:tc>
            </w:tr>
            <w:tr>
              <w:tc>
                <w:tcPr>
                  <w:tcW w:type="dxa" w:w="413"/>
                  <w:vMerge/>
                  <w:tcBorders>
                    <w:top w:val="none" w:color="000000" w:sz="4"/>
                    <w:left w:val="single" w:color="000000" w:sz="4"/>
                    <w:bottom w:val="single" w:color="000000" w:sz="4"/>
                    <w:right w:val="single" w:color="000000" w:sz="4"/>
                  </w:tcBorders>
                </w:tcPr>
                <w:p/>
              </w:tc>
              <w:tc>
                <w:tcPr>
                  <w:tcW w:type="dxa" w:w="708"/>
                  <w:vMerge w:val="restart"/>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sz w:val="21"/>
                    </w:rPr>
                    <w:t>管渠</w:t>
                  </w:r>
                </w:p>
                <w:p>
                  <w:pPr>
                    <w:pStyle w:val="null3"/>
                    <w:jc w:val="center"/>
                  </w:pPr>
                  <w:r>
                    <w:rPr>
                      <w:sz w:val="21"/>
                    </w:rPr>
                    <w:t>清淤</w:t>
                  </w:r>
                </w:p>
                <w:p>
                  <w:pPr>
                    <w:pStyle w:val="null3"/>
                    <w:jc w:val="center"/>
                  </w:pPr>
                  <w:r>
                    <w:rPr>
                      <w:sz w:val="21"/>
                    </w:rPr>
                    <w:t>（</w:t>
                  </w:r>
                  <w:r>
                    <w:rPr>
                      <w:sz w:val="21"/>
                    </w:rPr>
                    <w:t>20分）</w:t>
                  </w:r>
                </w:p>
              </w:tc>
              <w:tc>
                <w:tcPr>
                  <w:tcW w:type="dxa" w:w="1669"/>
                  <w:vMerge w:val="restart"/>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left"/>
                  </w:pPr>
                  <w:r>
                    <w:rPr>
                      <w:sz w:val="21"/>
                    </w:rPr>
                    <w:t>1、全面清淤：维护单位进场，摸查结束后，维护单位要对维护管道全面清淤一次；</w:t>
                  </w:r>
                </w:p>
                <w:p>
                  <w:pPr>
                    <w:pStyle w:val="null3"/>
                    <w:jc w:val="left"/>
                  </w:pPr>
                  <w:r>
                    <w:rPr>
                      <w:sz w:val="21"/>
                    </w:rPr>
                    <w:t>2、定期清淤：对定期检查发现淤积超标的管道制定清淤计划，及时组织清淤工作；</w:t>
                  </w:r>
                </w:p>
                <w:p>
                  <w:pPr>
                    <w:pStyle w:val="null3"/>
                    <w:jc w:val="left"/>
                  </w:pPr>
                  <w:r>
                    <w:rPr>
                      <w:sz w:val="21"/>
                    </w:rPr>
                    <w:t>3、日常清淤：日常巡查及雨天巡查发现淤积的井段、雨水口及连接管后，及时组织清淤。</w:t>
                  </w:r>
                </w:p>
                <w:p>
                  <w:pPr>
                    <w:pStyle w:val="null3"/>
                    <w:jc w:val="left"/>
                  </w:pPr>
                  <w:r>
                    <w:rPr>
                      <w:sz w:val="21"/>
                    </w:rPr>
                    <w:t>4、定期检查市政出水口拍门是否完好，发现有水上垃圾阻挡拍门的或损坏的马上处理。</w:t>
                  </w:r>
                </w:p>
              </w:tc>
              <w:tc>
                <w:tcPr>
                  <w:tcW w:type="dxa" w:w="2402"/>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left"/>
                  </w:pPr>
                  <w:r>
                    <w:rPr>
                      <w:sz w:val="21"/>
                    </w:rPr>
                    <w:t>1、维护单位每年汛期</w:t>
                  </w:r>
                  <w:r>
                    <w:rPr>
                      <w:sz w:val="21"/>
                    </w:rPr>
                    <w:t>结束至明年汛期</w:t>
                  </w:r>
                  <w:r>
                    <w:rPr>
                      <w:sz w:val="21"/>
                    </w:rPr>
                    <w:t>前完成全面清淤工作，按要求上传、上报清淤效果资料（文字及图片资料），采取分段报验。清淤未按要求时间完成的，上传、上报资料拖延的，报验不及时的，验收不合格限期整改后仍不达标的，每次扣</w:t>
                  </w:r>
                  <w:r>
                    <w:rPr>
                      <w:sz w:val="21"/>
                    </w:rPr>
                    <w:t>5分；</w:t>
                  </w:r>
                </w:p>
              </w:tc>
              <w:tc>
                <w:tcPr>
                  <w:tcW w:type="dxa" w:w="404"/>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left"/>
                  </w:pPr>
                </w:p>
              </w:tc>
            </w:tr>
            <w:tr>
              <w:tc>
                <w:tcPr>
                  <w:tcW w:type="dxa" w:w="413"/>
                  <w:vMerge/>
                  <w:tcBorders>
                    <w:top w:val="none" w:color="000000" w:sz="4"/>
                    <w:left w:val="single" w:color="000000" w:sz="4"/>
                    <w:bottom w:val="single" w:color="000000" w:sz="4"/>
                    <w:right w:val="single" w:color="000000" w:sz="4"/>
                  </w:tcBorders>
                </w:tcPr>
                <w:p/>
              </w:tc>
              <w:tc>
                <w:tcPr>
                  <w:tcW w:type="dxa" w:w="708"/>
                  <w:vMerge/>
                  <w:tcBorders>
                    <w:top w:val="none" w:color="000000" w:sz="4"/>
                    <w:left w:val="single" w:color="000000" w:sz="4"/>
                    <w:bottom w:val="single" w:color="000000" w:sz="4"/>
                    <w:right w:val="single" w:color="000000" w:sz="4"/>
                  </w:tcBorders>
                </w:tcPr>
                <w:p/>
              </w:tc>
              <w:tc>
                <w:tcPr>
                  <w:tcW w:type="dxa" w:w="1669"/>
                  <w:vMerge/>
                  <w:tcBorders>
                    <w:top w:val="none" w:color="000000" w:sz="4"/>
                    <w:left w:val="single" w:color="000000" w:sz="4"/>
                    <w:bottom w:val="single" w:color="000000" w:sz="4"/>
                    <w:right w:val="single" w:color="000000" w:sz="4"/>
                  </w:tcBorders>
                </w:tcPr>
                <w:p/>
              </w:tc>
              <w:tc>
                <w:tcPr>
                  <w:tcW w:type="dxa" w:w="2402"/>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left"/>
                  </w:pPr>
                  <w:r>
                    <w:rPr>
                      <w:sz w:val="21"/>
                    </w:rPr>
                    <w:t>2、维护单位定期检查发现淤积超标的，管道堵塞严重的，需一周内完成清淤工作；超标但不影响通水的，需汛期前完成清淤工作；未按要求时间内完成的，每次每处扣5分；</w:t>
                  </w:r>
                </w:p>
              </w:tc>
              <w:tc>
                <w:tcPr>
                  <w:tcW w:type="dxa" w:w="404"/>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left"/>
                  </w:pPr>
                </w:p>
              </w:tc>
            </w:tr>
            <w:tr>
              <w:tc>
                <w:tcPr>
                  <w:tcW w:type="dxa" w:w="413"/>
                  <w:vMerge/>
                  <w:tcBorders>
                    <w:top w:val="none" w:color="000000" w:sz="4"/>
                    <w:left w:val="single" w:color="000000" w:sz="4"/>
                    <w:bottom w:val="single" w:color="000000" w:sz="4"/>
                    <w:right w:val="single" w:color="000000" w:sz="4"/>
                  </w:tcBorders>
                </w:tcPr>
                <w:p/>
              </w:tc>
              <w:tc>
                <w:tcPr>
                  <w:tcW w:type="dxa" w:w="708"/>
                  <w:vMerge/>
                  <w:tcBorders>
                    <w:top w:val="none" w:color="000000" w:sz="4"/>
                    <w:left w:val="single" w:color="000000" w:sz="4"/>
                    <w:bottom w:val="single" w:color="000000" w:sz="4"/>
                    <w:right w:val="single" w:color="000000" w:sz="4"/>
                  </w:tcBorders>
                </w:tcPr>
                <w:p/>
              </w:tc>
              <w:tc>
                <w:tcPr>
                  <w:tcW w:type="dxa" w:w="1669"/>
                  <w:vMerge/>
                  <w:tcBorders>
                    <w:top w:val="none" w:color="000000" w:sz="4"/>
                    <w:left w:val="single" w:color="000000" w:sz="4"/>
                    <w:bottom w:val="single" w:color="000000" w:sz="4"/>
                    <w:right w:val="single" w:color="000000" w:sz="4"/>
                  </w:tcBorders>
                </w:tcPr>
                <w:p/>
              </w:tc>
              <w:tc>
                <w:tcPr>
                  <w:tcW w:type="dxa" w:w="2402"/>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numPr>
                      <w:ilvl w:val="0"/>
                      <w:numId w:val="1"/>
                    </w:numPr>
                    <w:jc w:val="left"/>
                  </w:pPr>
                  <w:r>
                    <w:rPr>
                      <w:sz w:val="21"/>
                    </w:rPr>
                    <w:t>日常巡查及雨天巡查发现淤积超标的的井段、雨水口及连接管，需</w:t>
                  </w:r>
                  <w:r>
                    <w:rPr>
                      <w:sz w:val="21"/>
                    </w:rPr>
                    <w:t>1个工作日内完成清淤工作。管理人员每月对日常清淤效果现场进行考核评定，按一定比例对维护管道、井室、雨水口及连接管进行抽查，抽查数量：过路管涵≥1处，主管≥10个井段，雨水口≥20个，连接管≥20个；过路管涵及主管超标的，每次每处扣2分，雨水口及连接管不达标的，每次每处扣1分（淤积物超过内径高或深度的1∕5箱涵、管涵连接管及雨水口算超标）。</w:t>
                  </w:r>
                </w:p>
              </w:tc>
              <w:tc>
                <w:tcPr>
                  <w:tcW w:type="dxa" w:w="404"/>
                  <w:vMerge w:val="restart"/>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left"/>
                  </w:pPr>
                </w:p>
              </w:tc>
            </w:tr>
            <w:tr>
              <w:tc>
                <w:tcPr>
                  <w:tcW w:type="dxa" w:w="413"/>
                  <w:vMerge/>
                  <w:tcBorders>
                    <w:top w:val="none" w:color="000000" w:sz="4"/>
                    <w:left w:val="single" w:color="000000" w:sz="4"/>
                    <w:bottom w:val="single" w:color="000000" w:sz="4"/>
                    <w:right w:val="single" w:color="000000" w:sz="4"/>
                  </w:tcBorders>
                </w:tcPr>
                <w:p/>
              </w:tc>
              <w:tc>
                <w:tcPr>
                  <w:tcW w:type="dxa" w:w="708"/>
                  <w:vMerge/>
                  <w:tcBorders>
                    <w:top w:val="none" w:color="000000" w:sz="4"/>
                    <w:left w:val="single" w:color="000000" w:sz="4"/>
                    <w:bottom w:val="single" w:color="000000" w:sz="4"/>
                    <w:right w:val="single" w:color="000000" w:sz="4"/>
                  </w:tcBorders>
                </w:tcPr>
                <w:p/>
              </w:tc>
              <w:tc>
                <w:tcPr>
                  <w:tcW w:type="dxa" w:w="1669"/>
                  <w:vMerge/>
                  <w:tcBorders>
                    <w:top w:val="none" w:color="000000" w:sz="4"/>
                    <w:left w:val="single" w:color="000000" w:sz="4"/>
                    <w:bottom w:val="single" w:color="000000" w:sz="4"/>
                    <w:right w:val="single" w:color="000000" w:sz="4"/>
                  </w:tcBorders>
                </w:tcPr>
                <w:p/>
              </w:tc>
              <w:tc>
                <w:tcPr>
                  <w:tcW w:type="dxa" w:w="2402"/>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left"/>
                  </w:pPr>
                  <w:r>
                    <w:rPr>
                      <w:sz w:val="21"/>
                    </w:rPr>
                    <w:t>4、定期对市政出水口拍门进行维护，做好巡查工作，特别是台风和龙舟水期间，必须检查每个拍门的情况，发现水上垃圾阻挡拍门启闭的，要马上清理，发现一个拍门因垃圾阻挡或损坏无法启闭的扣1分。</w:t>
                  </w:r>
                </w:p>
              </w:tc>
              <w:tc>
                <w:tcPr>
                  <w:tcW w:type="dxa" w:w="404"/>
                  <w:vMerge/>
                  <w:tcBorders>
                    <w:top w:val="none" w:color="000000" w:sz="4"/>
                    <w:left w:val="single" w:color="000000" w:sz="4"/>
                    <w:bottom w:val="single" w:color="000000" w:sz="4"/>
                    <w:right w:val="single" w:color="000000" w:sz="4"/>
                  </w:tcBorders>
                </w:tcPr>
                <w:p/>
              </w:tc>
            </w:tr>
            <w:tr>
              <w:tc>
                <w:tcPr>
                  <w:tcW w:type="dxa" w:w="413"/>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ind w:firstLine="102"/>
                    <w:jc w:val="center"/>
                  </w:pPr>
                  <w:r>
                    <w:rPr>
                      <w:sz w:val="21"/>
                    </w:rPr>
                    <w:t>10分</w:t>
                  </w:r>
                </w:p>
              </w:tc>
              <w:tc>
                <w:tcPr>
                  <w:tcW w:type="dxa" w:w="708"/>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sz w:val="21"/>
                    </w:rPr>
                    <w:t>其他</w:t>
                  </w:r>
                </w:p>
                <w:p>
                  <w:pPr>
                    <w:pStyle w:val="null3"/>
                    <w:jc w:val="center"/>
                  </w:pPr>
                  <w:r>
                    <w:rPr>
                      <w:sz w:val="21"/>
                    </w:rPr>
                    <w:t>（</w:t>
                  </w:r>
                  <w:r>
                    <w:rPr>
                      <w:sz w:val="21"/>
                    </w:rPr>
                    <w:t>10分）</w:t>
                  </w:r>
                </w:p>
              </w:tc>
              <w:tc>
                <w:tcPr>
                  <w:tcW w:type="dxa" w:w="1669"/>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ind w:firstLine="102"/>
                    <w:jc w:val="left"/>
                  </w:pPr>
                  <w:r>
                    <w:rPr>
                      <w:sz w:val="21"/>
                    </w:rPr>
                    <w:t>上月例会要求完成维护的工作内容及管理单位临时委派的相关工作</w:t>
                  </w:r>
                </w:p>
              </w:tc>
              <w:tc>
                <w:tcPr>
                  <w:tcW w:type="dxa" w:w="2402"/>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both"/>
                  </w:pPr>
                  <w:r>
                    <w:rPr>
                      <w:sz w:val="21"/>
                    </w:rPr>
                    <w:t>工作未完成每个项目扣</w:t>
                  </w:r>
                  <w:r>
                    <w:rPr>
                      <w:sz w:val="21"/>
                    </w:rPr>
                    <w:t>2分，工作完成不合格每个项目扣1分，直到本项10分扣完为止。</w:t>
                  </w:r>
                </w:p>
              </w:tc>
              <w:tc>
                <w:tcPr>
                  <w:tcW w:type="dxa" w:w="404"/>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both"/>
                  </w:pPr>
                </w:p>
              </w:tc>
            </w:tr>
            <w:tr>
              <w:tc>
                <w:tcPr>
                  <w:tcW w:type="dxa" w:w="413"/>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sz w:val="21"/>
                    </w:rPr>
                    <w:t>合计</w:t>
                  </w:r>
                </w:p>
              </w:tc>
              <w:tc>
                <w:tcPr>
                  <w:tcW w:type="dxa" w:w="708"/>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ind w:firstLine="205"/>
                    <w:jc w:val="both"/>
                  </w:pPr>
                </w:p>
              </w:tc>
              <w:tc>
                <w:tcPr>
                  <w:tcW w:type="dxa" w:w="1669"/>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tc>
              <w:tc>
                <w:tcPr>
                  <w:tcW w:type="dxa" w:w="2402"/>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tc>
              <w:tc>
                <w:tcPr>
                  <w:tcW w:type="dxa" w:w="404"/>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tc>
            </w:tr>
          </w:tbl>
          <w:p>
            <w:pPr>
              <w:pStyle w:val="null3"/>
              <w:jc w:val="left"/>
            </w:pPr>
            <w:r>
              <w:rPr>
                <w:sz w:val="21"/>
              </w:rPr>
              <w:t>说明：</w:t>
            </w:r>
          </w:p>
          <w:p>
            <w:pPr>
              <w:pStyle w:val="null3"/>
              <w:ind w:firstLine="420"/>
              <w:jc w:val="left"/>
            </w:pPr>
            <w:r>
              <w:rPr>
                <w:sz w:val="21"/>
              </w:rPr>
              <w:t>1、每月按百分制打分，评定等级分4个等级，A级[100─90]，B级（90─70]，C级（70─60]，D 级（60以下）；如当月因管理辖区排水事宜造成作业人员其他人员伤亡的，直接评定为D 级；</w:t>
            </w:r>
          </w:p>
          <w:p>
            <w:pPr>
              <w:pStyle w:val="null3"/>
              <w:ind w:firstLine="420"/>
              <w:jc w:val="left"/>
            </w:pPr>
            <w:r>
              <w:rPr>
                <w:sz w:val="21"/>
              </w:rPr>
              <w:t>2、得分为A级的，不扣减当月</w:t>
            </w:r>
            <w:r>
              <w:rPr>
                <w:sz w:val="21"/>
              </w:rPr>
              <w:t>管养费</w:t>
            </w:r>
            <w:r>
              <w:rPr>
                <w:sz w:val="21"/>
              </w:rPr>
              <w:t>；得分为</w:t>
            </w:r>
            <w:r>
              <w:rPr>
                <w:sz w:val="21"/>
              </w:rPr>
              <w:t>B级的，按月</w:t>
            </w:r>
            <w:r>
              <w:rPr>
                <w:sz w:val="21"/>
              </w:rPr>
              <w:t>管养费</w:t>
            </w:r>
            <w:r>
              <w:rPr>
                <w:sz w:val="21"/>
              </w:rPr>
              <w:t>用乘以考核所得分数百分比为当月实际</w:t>
            </w:r>
            <w:r>
              <w:rPr>
                <w:sz w:val="21"/>
              </w:rPr>
              <w:t>管养费</w:t>
            </w:r>
            <w:r>
              <w:rPr>
                <w:sz w:val="21"/>
              </w:rPr>
              <w:t>用；得分为</w:t>
            </w:r>
            <w:r>
              <w:rPr>
                <w:sz w:val="21"/>
              </w:rPr>
              <w:t>C级的，月</w:t>
            </w:r>
            <w:r>
              <w:rPr>
                <w:sz w:val="21"/>
              </w:rPr>
              <w:t>管养费</w:t>
            </w:r>
            <w:r>
              <w:rPr>
                <w:sz w:val="21"/>
              </w:rPr>
              <w:t>用的</w:t>
            </w:r>
            <w:r>
              <w:rPr>
                <w:sz w:val="21"/>
              </w:rPr>
              <w:t>50%为当月实际</w:t>
            </w:r>
            <w:r>
              <w:rPr>
                <w:sz w:val="21"/>
              </w:rPr>
              <w:t>管养费</w:t>
            </w:r>
            <w:r>
              <w:rPr>
                <w:sz w:val="21"/>
              </w:rPr>
              <w:t>用，得分为</w:t>
            </w:r>
            <w:r>
              <w:rPr>
                <w:sz w:val="21"/>
              </w:rPr>
              <w:t>D级的，不支付当月</w:t>
            </w:r>
            <w:r>
              <w:rPr>
                <w:sz w:val="21"/>
              </w:rPr>
              <w:t>管养费</w:t>
            </w:r>
            <w:r>
              <w:rPr>
                <w:sz w:val="21"/>
              </w:rPr>
              <w:t>用，一年度内累计三次评定为</w:t>
            </w:r>
            <w:r>
              <w:rPr>
                <w:sz w:val="21"/>
              </w:rPr>
              <w:t>D级的，</w:t>
            </w:r>
            <w:r>
              <w:rPr>
                <w:sz w:val="21"/>
              </w:rPr>
              <w:t>采购人</w:t>
            </w:r>
            <w:r>
              <w:rPr>
                <w:sz w:val="21"/>
              </w:rPr>
              <w:t>将按招标文件及维护服务合同规定，按违约处置终止合同。</w:t>
            </w:r>
          </w:p>
          <w:p>
            <w:pPr>
              <w:pStyle w:val="null3"/>
              <w:jc w:val="both"/>
            </w:pPr>
            <w:r>
              <w:rPr>
                <w:sz w:val="21"/>
              </w:rPr>
              <w:t>3、考核项目中按项目考核分数扣完为止，如“日常巡查”15分，月考核扣分累计超过15分，按15分计算。</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1.采购代理机构：本项目是指广东政通招标有限公司，负责整个采购活动的组织，依法负责编制和发布招标文件，对招标文件拥有最终的解释权，不以任何身份出任评标委员会成员。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东莞市麻涌镇水务工程运营中心</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3家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中标服务费根据国家计委[计价格[2002]1980号]文和国家发改委[发改价格[2011]534号]文及相关规定向中标单位收取，按差额定率累进法计算，以中标通知书中确定的中标总金额作为收费的计算依据。</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60分钟</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广东政通招标有限公司</w:t>
      </w:r>
      <w:r>
        <w:rPr/>
        <w:t>代收。具体操作要求详见</w:t>
      </w:r>
      <w:r>
        <w:rPr/>
        <w:t>广东政通招标有限公司</w:t>
      </w:r>
      <w:r>
        <w:rPr/>
        <w:t>有关指引，递交事宜请自行咨询</w:t>
      </w:r>
      <w:r>
        <w:rPr/>
        <w:t>广东政通招标有限公司</w:t>
      </w:r>
      <w:r>
        <w:rPr/>
        <w:t>；请各投标人在投标文件递交截止时间前按须知前附表规定的金额递交至</w:t>
      </w:r>
      <w:r>
        <w:rPr/>
        <w:t>广东政通招标有限公司</w:t>
      </w:r>
      <w:r>
        <w:rPr/>
        <w:t>，到账情况以开标时</w:t>
      </w:r>
      <w:r>
        <w:rPr/>
        <w:t>广东政通招标有限公司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杨俊平</w:t>
      </w:r>
    </w:p>
    <w:p>
      <w:pPr>
        <w:pStyle w:val="null3"/>
        <w:ind w:firstLine="480"/>
      </w:pPr>
      <w:r>
        <w:rPr/>
        <w:t>电话：</w:t>
      </w:r>
      <w:r>
        <w:rPr/>
        <w:t>0769-22881803</w:t>
      </w:r>
    </w:p>
    <w:p>
      <w:pPr>
        <w:pStyle w:val="null3"/>
        <w:ind w:firstLine="480"/>
      </w:pPr>
      <w:r>
        <w:rPr/>
        <w:t>传真：</w:t>
      </w:r>
      <w:r>
        <w:rPr/>
        <w:t>0769-22881803</w:t>
      </w:r>
    </w:p>
    <w:p>
      <w:pPr>
        <w:pStyle w:val="null3"/>
        <w:ind w:firstLine="480"/>
      </w:pPr>
      <w:r>
        <w:rPr/>
        <w:t>邮箱：</w:t>
      </w:r>
      <w:r>
        <w:rPr/>
        <w:t>471539976@qq.com</w:t>
      </w:r>
    </w:p>
    <w:p>
      <w:pPr>
        <w:pStyle w:val="null3"/>
        <w:ind w:firstLine="480"/>
      </w:pPr>
      <w:r>
        <w:rPr/>
        <w:t>地址：</w:t>
      </w:r>
      <w:r>
        <w:rPr/>
        <w:t>东莞市南城街道鸿福路199号（市民服务中心北门）410室</w:t>
      </w:r>
    </w:p>
    <w:p>
      <w:pPr>
        <w:pStyle w:val="null3"/>
        <w:ind w:firstLine="480"/>
      </w:pPr>
      <w:r>
        <w:rPr/>
        <w:t>邮编：</w:t>
      </w:r>
      <w:r>
        <w:rPr/>
        <w:t>523000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政府采购监督管理机构名称：东莞市财政局政府采购监管科</w:t>
      </w:r>
    </w:p>
    <w:p>
      <w:pPr>
        <w:pStyle w:val="null3"/>
      </w:pPr>
      <w:r>
        <w:rPr/>
        <w:t>地 址：东莞市南城区鸿福路99号行政办事中心主楼12楼28室</w:t>
      </w:r>
    </w:p>
    <w:p>
      <w:pPr>
        <w:pStyle w:val="null3"/>
      </w:pPr>
      <w:r>
        <w:rPr/>
        <w:t>电 话：0769-22831025、0769-22830161</w:t>
      </w:r>
    </w:p>
    <w:p>
      <w:pPr>
        <w:pStyle w:val="null3"/>
      </w:pPr>
      <w:r>
        <w:rPr/>
        <w:t>邮 编：523000</w:t>
      </w:r>
    </w:p>
    <w:p>
      <w:pPr>
        <w:pStyle w:val="null3"/>
      </w:pPr>
      <w:r>
        <w:rPr/>
        <w:t>传 真：-</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东莞市麻涌镇雨水排水管养护服务项目)：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广东政通招标有限公司</w:t>
      </w:r>
      <w:r>
        <w:rPr/>
        <w:t>统一对外发布。</w:t>
      </w:r>
    </w:p>
    <w:p>
      <w:pPr>
        <w:pStyle w:val="null3"/>
        <w:ind w:firstLine="480"/>
      </w:pPr>
      <w:r>
        <w:rPr/>
        <w:t>（2）对</w:t>
      </w:r>
      <w:r>
        <w:rPr/>
        <w:t>广东政通招标有限公司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采购包1（东莞市麻涌镇雨水排水管养护服务项目）：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采购包1（东莞市麻涌镇雨水排水管养护服务项目）：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投标（响应）文件中提供《资格条件承诺函》，可参考公告附件格式。</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投标（响应）文件中提供《资格条件承诺函》，可参考公告附件格式。</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投标（响应）文件中提供《资格条件承诺函》，可参考公告附件格式。</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投标（响应）文件中提供《资格条件承诺函》，可参考公告附件格式。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供应商未被列入“信用中国”网站(www.creditchina.gov.cn)“记录失信被执行人或税收违法黑名单”记录名单；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 如相关失信记录已失效， 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pPr>
              <w:pStyle w:val="null3"/>
            </w:pPr>
            <w:r>
              <w:rPr/>
              <w:t>8</w:t>
            </w:r>
          </w:p>
        </w:tc>
        <w:tc>
          <w:tcPr>
            <w:tcW w:type="dxa" w:w="3178"/>
          </w:tcPr>
          <w:p>
            <w:pPr>
              <w:pStyle w:val="null3"/>
            </w:pPr>
            <w:r>
              <w:rPr/>
              <w:t>特殊资质</w:t>
            </w:r>
          </w:p>
        </w:tc>
        <w:tc>
          <w:tcPr>
            <w:tcW w:type="dxa" w:w="4238"/>
          </w:tcPr>
          <w:p>
            <w:pPr>
              <w:pStyle w:val="null3"/>
            </w:pPr>
            <w:r>
              <w:rPr/>
              <w:t>投标人须具备有效期内的市政公用工程施工总承包乙级或以上资质（或更换前的市政公用工程施工总承包叁级或以上资质），并同时具备有效期内的安全生产许可证。（注：提供上述有效证书复印件并加盖投标人公章。）</w:t>
            </w:r>
          </w:p>
        </w:tc>
      </w:tr>
      <w:tr>
        <w:tc>
          <w:tcPr>
            <w:tcW w:type="dxa" w:w="890"/>
          </w:tcPr>
          <w:p>
            <w:pPr>
              <w:pStyle w:val="null3"/>
            </w:pPr>
            <w:r>
              <w:rPr/>
              <w:t>9</w:t>
            </w:r>
          </w:p>
        </w:tc>
        <w:tc>
          <w:tcPr>
            <w:tcW w:type="dxa" w:w="3178"/>
          </w:tcPr>
          <w:p>
            <w:pPr>
              <w:pStyle w:val="null3"/>
            </w:pPr>
            <w:r>
              <w:rPr/>
              <w:t>本采购包专门面向中小企业采购</w:t>
            </w:r>
          </w:p>
        </w:tc>
        <w:tc>
          <w:tcPr>
            <w:tcW w:type="dxa" w:w="4238"/>
          </w:tcPr>
          <w:p>
            <w:pPr>
              <w:pStyle w:val="null3"/>
            </w:pPr>
            <w:r>
              <w:rPr/>
              <w:t>本项目整体专门面向中小企业采购。供应商须符合本项目采购标的对应行业（本项目行业为：其他未列明行业）的政策划分标准。监狱企业、残疾人福利单位视同小型、微型企业。（注：中小企业以供应商填写的 《中小企业声明函》为判定标准，残疾人福利性单位以供应商填写的《残疾人福利性单位声明函》为判定标准，监狱企业须供应商提供由省级以上监狱管理局、戒毒管理局（含新疆生产建设兵团）出具的属于监狱企业的证明文件，否则不予认定。）</w:t>
            </w:r>
          </w:p>
        </w:tc>
      </w:tr>
    </w:tbl>
    <w:p>
      <w:pPr>
        <w:pStyle w:val="null3"/>
        <w:ind w:firstLine="480"/>
      </w:pPr>
      <w:r>
        <w:rPr/>
        <w:t>表二符合性审查表：</w:t>
      </w:r>
    </w:p>
    <w:p>
      <w:pPr>
        <w:pStyle w:val="null3"/>
      </w:pPr>
      <w:r>
        <w:rPr/>
        <w:t>采购包1（东莞市麻涌镇雨水排水管养护服务项目）：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投标函</w:t>
            </w:r>
          </w:p>
        </w:tc>
        <w:tc>
          <w:tcPr>
            <w:tcW w:type="dxa" w:w="4238"/>
          </w:tcPr>
          <w:p>
            <w:pPr>
              <w:pStyle w:val="null3"/>
            </w:pPr>
            <w:r>
              <w:rPr/>
              <w:t>已按规定格式编制及盖章、签署，投标有效期满足招标文件要求。</w:t>
            </w:r>
          </w:p>
        </w:tc>
      </w:tr>
      <w:tr>
        <w:tc>
          <w:tcPr>
            <w:tcW w:type="dxa" w:w="890"/>
          </w:tcPr>
          <w:p>
            <w:pPr>
              <w:pStyle w:val="null3"/>
            </w:pPr>
            <w:r>
              <w:rPr/>
              <w:t>2</w:t>
            </w:r>
          </w:p>
        </w:tc>
        <w:tc>
          <w:tcPr>
            <w:tcW w:type="dxa" w:w="3178"/>
          </w:tcPr>
          <w:p>
            <w:pPr>
              <w:pStyle w:val="null3"/>
            </w:pPr>
            <w:r>
              <w:rPr/>
              <w:t>法定代表人证明书及授权委托书</w:t>
            </w:r>
          </w:p>
        </w:tc>
        <w:tc>
          <w:tcPr>
            <w:tcW w:type="dxa" w:w="4238"/>
          </w:tcPr>
          <w:p>
            <w:pPr>
              <w:pStyle w:val="null3"/>
            </w:pPr>
            <w:r>
              <w:rPr/>
              <w:t>已经盖章、签署，授权有效期。</w:t>
            </w:r>
          </w:p>
        </w:tc>
      </w:tr>
      <w:tr>
        <w:tc>
          <w:tcPr>
            <w:tcW w:type="dxa" w:w="890"/>
          </w:tcPr>
          <w:p>
            <w:pPr>
              <w:pStyle w:val="null3"/>
            </w:pPr>
            <w:r>
              <w:rPr/>
              <w:t>3</w:t>
            </w:r>
          </w:p>
        </w:tc>
        <w:tc>
          <w:tcPr>
            <w:tcW w:type="dxa" w:w="3178"/>
          </w:tcPr>
          <w:p>
            <w:pPr>
              <w:pStyle w:val="null3"/>
            </w:pPr>
            <w:r>
              <w:rPr/>
              <w:t>投标文件内容、签署、盖章</w:t>
            </w:r>
          </w:p>
        </w:tc>
        <w:tc>
          <w:tcPr>
            <w:tcW w:type="dxa" w:w="4238"/>
          </w:tcPr>
          <w:p>
            <w:pPr>
              <w:pStyle w:val="null3"/>
            </w:pPr>
            <w:r>
              <w:rPr/>
              <w:t>投标文件内容完整，无重大错漏，并已按招标文件要求盖章、签署。</w:t>
            </w:r>
          </w:p>
        </w:tc>
      </w:tr>
      <w:tr>
        <w:tc>
          <w:tcPr>
            <w:tcW w:type="dxa" w:w="890"/>
          </w:tcPr>
          <w:p>
            <w:pPr>
              <w:pStyle w:val="null3"/>
            </w:pPr>
            <w:r>
              <w:rPr/>
              <w:t>4</w:t>
            </w:r>
          </w:p>
        </w:tc>
        <w:tc>
          <w:tcPr>
            <w:tcW w:type="dxa" w:w="3178"/>
          </w:tcPr>
          <w:p>
            <w:pPr>
              <w:pStyle w:val="null3"/>
            </w:pPr>
            <w:r>
              <w:rPr/>
              <w:t>投标报价</w:t>
            </w:r>
          </w:p>
        </w:tc>
        <w:tc>
          <w:tcPr>
            <w:tcW w:type="dxa" w:w="4238"/>
          </w:tcPr>
          <w:p>
            <w:pPr>
              <w:pStyle w:val="null3"/>
            </w:pPr>
            <w:r>
              <w:rPr/>
              <w:t>投标人的投标报价无超出项目预算金额。</w:t>
            </w:r>
          </w:p>
        </w:tc>
      </w:tr>
      <w:tr>
        <w:tc>
          <w:tcPr>
            <w:tcW w:type="dxa" w:w="890"/>
          </w:tcPr>
          <w:p>
            <w:pPr>
              <w:pStyle w:val="null3"/>
            </w:pPr>
            <w:r>
              <w:rPr/>
              <w:t>5</w:t>
            </w:r>
          </w:p>
        </w:tc>
        <w:tc>
          <w:tcPr>
            <w:tcW w:type="dxa" w:w="3178"/>
          </w:tcPr>
          <w:p>
            <w:pPr>
              <w:pStyle w:val="null3"/>
            </w:pPr>
            <w:r>
              <w:rPr/>
              <w:t>商务审查</w:t>
            </w:r>
          </w:p>
        </w:tc>
        <w:tc>
          <w:tcPr>
            <w:tcW w:type="dxa" w:w="4238"/>
          </w:tcPr>
          <w:p>
            <w:pPr>
              <w:pStyle w:val="null3"/>
            </w:pPr>
            <w:r>
              <w:rPr/>
              <w:t>商务条款满足招标文件要求。</w:t>
            </w:r>
          </w:p>
        </w:tc>
      </w:tr>
      <w:tr>
        <w:tc>
          <w:tcPr>
            <w:tcW w:type="dxa" w:w="890"/>
          </w:tcPr>
          <w:p>
            <w:pPr>
              <w:pStyle w:val="null3"/>
            </w:pPr>
            <w:r>
              <w:rPr/>
              <w:t>6</w:t>
            </w:r>
          </w:p>
        </w:tc>
        <w:tc>
          <w:tcPr>
            <w:tcW w:type="dxa" w:w="3178"/>
          </w:tcPr>
          <w:p>
            <w:pPr>
              <w:pStyle w:val="null3"/>
            </w:pPr>
            <w:r>
              <w:rPr/>
              <w:t>技术审查</w:t>
            </w:r>
          </w:p>
        </w:tc>
        <w:tc>
          <w:tcPr>
            <w:tcW w:type="dxa" w:w="4238"/>
          </w:tcPr>
          <w:p>
            <w:pPr>
              <w:pStyle w:val="null3"/>
            </w:pPr>
            <w:r>
              <w:rPr/>
              <w:t>技术条款满足招标文件要求。</w:t>
            </w:r>
          </w:p>
        </w:tc>
      </w:tr>
      <w:tr>
        <w:tc>
          <w:tcPr>
            <w:tcW w:type="dxa" w:w="890"/>
          </w:tcPr>
          <w:p>
            <w:pPr>
              <w:pStyle w:val="null3"/>
            </w:pPr>
            <w:r>
              <w:rPr/>
              <w:t>7</w:t>
            </w:r>
          </w:p>
        </w:tc>
        <w:tc>
          <w:tcPr>
            <w:tcW w:type="dxa" w:w="3178"/>
          </w:tcPr>
          <w:p>
            <w:pPr>
              <w:pStyle w:val="null3"/>
            </w:pPr>
            <w:r>
              <w:rPr/>
              <w:t>附加条件</w:t>
            </w:r>
          </w:p>
        </w:tc>
        <w:tc>
          <w:tcPr>
            <w:tcW w:type="dxa" w:w="4238"/>
          </w:tcPr>
          <w:p>
            <w:pPr>
              <w:pStyle w:val="null3"/>
            </w:pPr>
            <w:r>
              <w:rPr/>
              <w:t>投标文件未含有采购人不能接受的附加条件。</w:t>
            </w:r>
          </w:p>
        </w:tc>
      </w:tr>
      <w:tr>
        <w:tc>
          <w:tcPr>
            <w:tcW w:type="dxa" w:w="890"/>
          </w:tcPr>
          <w:p>
            <w:pPr>
              <w:pStyle w:val="null3"/>
            </w:pPr>
            <w:r>
              <w:rPr/>
              <w:t>8</w:t>
            </w:r>
          </w:p>
        </w:tc>
        <w:tc>
          <w:tcPr>
            <w:tcW w:type="dxa" w:w="3178"/>
          </w:tcPr>
          <w:p>
            <w:pPr>
              <w:pStyle w:val="null3"/>
            </w:pPr>
            <w:r>
              <w:rPr/>
              <w:t>无效情形</w:t>
            </w:r>
          </w:p>
        </w:tc>
        <w:tc>
          <w:tcPr>
            <w:tcW w:type="dxa" w:w="4238"/>
          </w:tcPr>
          <w:p>
            <w:pPr>
              <w:pStyle w:val="null3"/>
            </w:pPr>
            <w:r>
              <w:rPr/>
              <w:t>投标文件中未有法律、法规和招标文件规定的其他无效情形。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采购包1(东莞市麻涌镇雨水排水管养护服务项目):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商务部分30.0分</w:t>
            </w:r>
          </w:p>
          <w:p>
            <w:pPr>
              <w:pStyle w:val="null3"/>
            </w:pPr>
            <w:r>
              <w:rPr/>
              <w:t>技术部分60.0分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对项目的理解 (12.0分)</w:t>
            </w:r>
            <w:r>
              <w:rPr/>
              <w:t>，（等次分值选择：</w:t>
            </w:r>
            <w:r>
              <w:rPr/>
              <w:t>0.0;</w:t>
            </w:r>
            <w:r>
              <w:rPr/>
              <w:t>1.0;</w:t>
            </w:r>
            <w:r>
              <w:rPr/>
              <w:t>4.0;</w:t>
            </w:r>
            <w:r>
              <w:rPr/>
              <w:t>8.0;</w:t>
            </w:r>
            <w:r>
              <w:rPr/>
              <w:t>12.0;</w:t>
            </w:r>
            <w:r>
              <w:rPr/>
              <w:t>）</w:t>
            </w:r>
          </w:p>
        </w:tc>
        <w:tc>
          <w:tcPr>
            <w:tcW w:type="dxa" w:w="5076"/>
          </w:tcPr>
          <w:p>
            <w:pPr>
              <w:pStyle w:val="null3"/>
              <w:jc w:val="left"/>
            </w:pPr>
            <w:r>
              <w:rPr/>
              <w:t>根据投标人对本项目的了解，重点难点分析情况及其解决措施方案进行综合评审： （1）投标人对本项目的重点、难点分析到位且贴近实际，解决措施详细具体，可操作性强，得12分； （2）投标人对本项目的重点、难点分析比较到位，解决措施较详细具体、可操作性较强，得8分； （3）投标人对本项目的重点、难点分析一般，解决措施不够具体、经济性及可操作性不强，得4分； （4）投标人对本项目的重点、难点分析较差，没有对应的解决措施，可操作性差，得1分； （5）未提供对应内容的不得分。</w:t>
            </w:r>
          </w:p>
        </w:tc>
      </w:tr>
      <w:tr>
        <w:tc>
          <w:tcPr>
            <w:tcW w:type="dxa" w:w="922"/>
            <w:gridSpan w:val="2"/>
            <w:vMerge/>
          </w:tcPr>
          <w:p/>
        </w:tc>
        <w:tc>
          <w:tcPr>
            <w:tcW w:type="dxa" w:w="2307"/>
          </w:tcPr>
          <w:p>
            <w:pPr>
              <w:pStyle w:val="null3"/>
              <w:jc w:val="left"/>
            </w:pPr>
            <w:r>
              <w:rPr/>
              <w:t>管理养护方案 (12.0分)</w:t>
            </w:r>
            <w:r>
              <w:rPr/>
              <w:t>，（等次分值选择：</w:t>
            </w:r>
            <w:r>
              <w:rPr/>
              <w:t>0.0;</w:t>
            </w:r>
            <w:r>
              <w:rPr/>
              <w:t>1.0;</w:t>
            </w:r>
            <w:r>
              <w:rPr/>
              <w:t>4.0;</w:t>
            </w:r>
            <w:r>
              <w:rPr/>
              <w:t>8.0;</w:t>
            </w:r>
            <w:r>
              <w:rPr/>
              <w:t>12.0;</w:t>
            </w:r>
            <w:r>
              <w:rPr/>
              <w:t>）</w:t>
            </w:r>
          </w:p>
        </w:tc>
        <w:tc>
          <w:tcPr>
            <w:tcW w:type="dxa" w:w="5076"/>
          </w:tcPr>
          <w:p>
            <w:pPr>
              <w:pStyle w:val="null3"/>
              <w:jc w:val="left"/>
            </w:pPr>
            <w:r>
              <w:rPr/>
              <w:t>根据投标人提供的项目实施方案（包括但不限于日常巡查维护及维修方案、清淤维护方案、安全隐患排查跟踪方案等）进行综合评审： （1）投标人提供的项目实施方案详细完整、科学可行，能够高效顺利完成本项目的，得12分； （2）投标人提供的项目实施方案较完整、可行性较高，能够较好完成本项目的，得8分； （3）投标人提供的项目实施方案基本完整、可行性一般，基本能够完成本项目的，得4分； （4）投标人提供的项目实施方案不够全面、可行性较差，部分能够完成本项目的，得1分； （5）未提供对应内容的不得分。</w:t>
            </w:r>
          </w:p>
        </w:tc>
      </w:tr>
      <w:tr>
        <w:tc>
          <w:tcPr>
            <w:tcW w:type="dxa" w:w="922"/>
            <w:gridSpan w:val="2"/>
            <w:vMerge/>
          </w:tcPr>
          <w:p/>
        </w:tc>
        <w:tc>
          <w:tcPr>
            <w:tcW w:type="dxa" w:w="2307"/>
          </w:tcPr>
          <w:p>
            <w:pPr>
              <w:pStyle w:val="null3"/>
              <w:jc w:val="left"/>
            </w:pPr>
            <w:r>
              <w:rPr/>
              <w:t>人员及设备设施 (12.0分)</w:t>
            </w:r>
            <w:r>
              <w:rPr/>
              <w:t>，（等次分值选择：</w:t>
            </w:r>
            <w:r>
              <w:rPr/>
              <w:t>0.0;</w:t>
            </w:r>
            <w:r>
              <w:rPr/>
              <w:t>1.0;</w:t>
            </w:r>
            <w:r>
              <w:rPr/>
              <w:t>4.0;</w:t>
            </w:r>
            <w:r>
              <w:rPr/>
              <w:t>8.0;</w:t>
            </w:r>
            <w:r>
              <w:rPr/>
              <w:t>12.0;</w:t>
            </w:r>
            <w:r>
              <w:rPr/>
              <w:t>）</w:t>
            </w:r>
          </w:p>
        </w:tc>
        <w:tc>
          <w:tcPr>
            <w:tcW w:type="dxa" w:w="5076"/>
          </w:tcPr>
          <w:p>
            <w:pPr>
              <w:pStyle w:val="null3"/>
              <w:jc w:val="left"/>
            </w:pPr>
            <w:r>
              <w:rPr/>
              <w:t>根据投标人提供的人员及设备配备方案进行综合评审： （1）人员及设备配置完整科学，安排合理，优于采购需求的，得12分； （2）人员及设备配置较科学，安排较合理，满足采购需求的，得8分； （3）人员及设备配置科学程度一般，安排程度一般，基本满足采购需求的，得4分； （4）人员及设备配置科学程度差，安排程度差，部分满足采购需求的，得1分； （5）未提供对应内容的不得分。</w:t>
            </w:r>
          </w:p>
        </w:tc>
      </w:tr>
      <w:tr>
        <w:tc>
          <w:tcPr>
            <w:tcW w:type="dxa" w:w="922"/>
            <w:gridSpan w:val="2"/>
            <w:vMerge/>
          </w:tcPr>
          <w:p/>
        </w:tc>
        <w:tc>
          <w:tcPr>
            <w:tcW w:type="dxa" w:w="2307"/>
          </w:tcPr>
          <w:p>
            <w:pPr>
              <w:pStyle w:val="null3"/>
              <w:jc w:val="left"/>
            </w:pPr>
            <w:r>
              <w:rPr/>
              <w:t>安全、文明施工、环保措施方案 (12.0分)</w:t>
            </w:r>
            <w:r>
              <w:rPr/>
              <w:t>，（等次分值选择：</w:t>
            </w:r>
            <w:r>
              <w:rPr/>
              <w:t>0.0;</w:t>
            </w:r>
            <w:r>
              <w:rPr/>
              <w:t>1.0;</w:t>
            </w:r>
            <w:r>
              <w:rPr/>
              <w:t>4.0;</w:t>
            </w:r>
            <w:r>
              <w:rPr/>
              <w:t>8.0;</w:t>
            </w:r>
            <w:r>
              <w:rPr/>
              <w:t>12.0;</w:t>
            </w:r>
            <w:r>
              <w:rPr/>
              <w:t>）</w:t>
            </w:r>
          </w:p>
        </w:tc>
        <w:tc>
          <w:tcPr>
            <w:tcW w:type="dxa" w:w="5076"/>
          </w:tcPr>
          <w:p>
            <w:pPr>
              <w:pStyle w:val="null3"/>
              <w:jc w:val="left"/>
            </w:pPr>
            <w:r>
              <w:rPr/>
              <w:t>根据投标人提供的安全、文明施工、环保措施进行综合评审： （1）针对项目实际情况，有先进、具体、完整、可行的安全、文明施工、环保措施，采用规范准确、清晰的，得12分； （2）针对项目实际情况，安全文明、环保措施较完整，采用规范较准确的，得8分； （3）针对项目实际情况，安全文明、环保措施基本完整，采用规范基本准确的，得4分； （4）安全文明、环保措施不力，或采用规范不正确的，得1分。 （5）未提供对应内容的不得分。</w:t>
            </w:r>
          </w:p>
        </w:tc>
      </w:tr>
      <w:tr>
        <w:tc>
          <w:tcPr>
            <w:tcW w:type="dxa" w:w="922"/>
            <w:gridSpan w:val="2"/>
            <w:vMerge/>
          </w:tcPr>
          <w:p/>
        </w:tc>
        <w:tc>
          <w:tcPr>
            <w:tcW w:type="dxa" w:w="2307"/>
          </w:tcPr>
          <w:p>
            <w:pPr>
              <w:pStyle w:val="null3"/>
              <w:jc w:val="left"/>
            </w:pPr>
            <w:r>
              <w:rPr/>
              <w:t>应急处置预案 (12.0分)</w:t>
            </w:r>
            <w:r>
              <w:rPr/>
              <w:t>，（等次分值选择：</w:t>
            </w:r>
            <w:r>
              <w:rPr/>
              <w:t>0.0;</w:t>
            </w:r>
            <w:r>
              <w:rPr/>
              <w:t>1.0;</w:t>
            </w:r>
            <w:r>
              <w:rPr/>
              <w:t>4.0;</w:t>
            </w:r>
            <w:r>
              <w:rPr/>
              <w:t>8.0;</w:t>
            </w:r>
            <w:r>
              <w:rPr/>
              <w:t>12.0;</w:t>
            </w:r>
            <w:r>
              <w:rPr/>
              <w:t>）</w:t>
            </w:r>
          </w:p>
        </w:tc>
        <w:tc>
          <w:tcPr>
            <w:tcW w:type="dxa" w:w="5076"/>
          </w:tcPr>
          <w:p>
            <w:pPr>
              <w:pStyle w:val="null3"/>
              <w:jc w:val="left"/>
            </w:pPr>
            <w:r>
              <w:rPr/>
              <w:t>根据投标人提供的应急处置预案（包括但不限于防台防汛应急处置预案、雨水管网及配套设施故障应急处置预案、排水设施堵塞、渗漏、坍塌、暴雨、井盖缺失或损坏，人员设备安排，应急响应时限等）进行综合评审： （1）投标人提供的应急处置预案详细完整、科学可行，能够高效顺利完成本项目的，得12分； （2）投标人提供的应急处置预案完整、可行性较高，能够完成本项目的，得8分； （3）投标人提供的应急处置预案基本完整、可行性一般，基本能够完成本项目的，得4分； （4）投标人提供的应急处置预案不够全面、可行性较差，部分完成本项目，得1分； （5）未提供对应内容的不得分。</w:t>
            </w:r>
          </w:p>
        </w:tc>
      </w:tr>
      <w:tr>
        <w:tc>
          <w:tcPr>
            <w:tcW w:type="dxa" w:w="922"/>
            <w:gridSpan w:val="2"/>
            <w:vMerge w:val="restart"/>
          </w:tcPr>
          <w:p>
            <w:pPr>
              <w:pStyle w:val="null3"/>
              <w:jc w:val="center"/>
            </w:pPr>
            <w:r>
              <w:rPr/>
              <w:t>商务部分</w:t>
            </w:r>
          </w:p>
        </w:tc>
        <w:tc>
          <w:tcPr>
            <w:tcW w:type="dxa" w:w="2307"/>
          </w:tcPr>
          <w:p>
            <w:pPr>
              <w:pStyle w:val="null3"/>
              <w:jc w:val="left"/>
            </w:pPr>
            <w:r>
              <w:rPr/>
              <w:t>企业实力 (9.0分)</w:t>
            </w:r>
          </w:p>
        </w:tc>
        <w:tc>
          <w:tcPr>
            <w:tcW w:type="dxa" w:w="5076"/>
          </w:tcPr>
          <w:p>
            <w:pPr>
              <w:pStyle w:val="null3"/>
              <w:jc w:val="left"/>
            </w:pPr>
            <w:r>
              <w:rPr/>
              <w:t>投标人具有由国家认监委批准设立的认证机构颁发并在有效期内的质量管理体系认证、环境管理体系认证、职业健康安全管理体系认证，每个得3分，最高得9分。 注：须提供有效证书复印件并加盖投标人公章，不符合以上要求的不得分。</w:t>
            </w:r>
          </w:p>
        </w:tc>
      </w:tr>
      <w:tr>
        <w:tc>
          <w:tcPr>
            <w:tcW w:type="dxa" w:w="922"/>
            <w:gridSpan w:val="2"/>
            <w:vMerge/>
          </w:tcPr>
          <w:p/>
        </w:tc>
        <w:tc>
          <w:tcPr>
            <w:tcW w:type="dxa" w:w="2307"/>
          </w:tcPr>
          <w:p>
            <w:pPr>
              <w:pStyle w:val="null3"/>
              <w:jc w:val="left"/>
            </w:pPr>
            <w:r>
              <w:rPr/>
              <w:t>团队实力 (9.0分)</w:t>
            </w:r>
          </w:p>
        </w:tc>
        <w:tc>
          <w:tcPr>
            <w:tcW w:type="dxa" w:w="5076"/>
          </w:tcPr>
          <w:p>
            <w:pPr>
              <w:pStyle w:val="null3"/>
              <w:jc w:val="left"/>
            </w:pPr>
            <w:r>
              <w:rPr/>
              <w:t>1、拟投入本项目项目负责1人（仅1人）： 同时具备二级（或以上）注册建造师证书（专业类别：市政公用工程）及中级（或以上）职称（专业类别：市政公用工程或给排水工程）的，得5分，本项最高得5分。 2、拟投入本项目团队其他成员（项目负责人除外）： （1）具备注册安全工程师的，每人得3分，本项最高得3分。 （2）具备专职安全员（安全生产考核合格证书C类证）的，每人得 1分，本项最高得1分。 注：须提供人员证书复印件及投标人为其购买的距开标前六个月内（不含开标当月）任意一个月社保证明复印件加盖投标人公章，否则不得分。（关于以上人员评分，一人只计一次得分，不重计分）</w:t>
            </w:r>
          </w:p>
        </w:tc>
      </w:tr>
      <w:tr>
        <w:tc>
          <w:tcPr>
            <w:tcW w:type="dxa" w:w="922"/>
            <w:gridSpan w:val="2"/>
            <w:vMerge/>
          </w:tcPr>
          <w:p/>
        </w:tc>
        <w:tc>
          <w:tcPr>
            <w:tcW w:type="dxa" w:w="2307"/>
          </w:tcPr>
          <w:p>
            <w:pPr>
              <w:pStyle w:val="null3"/>
              <w:jc w:val="left"/>
            </w:pPr>
            <w:r>
              <w:rPr/>
              <w:t>项目业绩 (12.0分)</w:t>
            </w:r>
          </w:p>
        </w:tc>
        <w:tc>
          <w:tcPr>
            <w:tcW w:type="dxa" w:w="5076"/>
          </w:tcPr>
          <w:p>
            <w:pPr>
              <w:pStyle w:val="null3"/>
              <w:jc w:val="left"/>
            </w:pPr>
            <w:r>
              <w:rPr/>
              <w:t>投标人具有市政工程（或管道维护或清淤服务或排涝抢险服务）类项目业绩的，每个业绩得3分，最高得12分。 注：须提供合同复印件加盖投标人公章，不符合以上要求不得分。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rFonts w:ascii="宋体" w:hAnsi="宋体" w:cs="宋体" w:eastAsia="宋体"/>
          <w:sz w:val="48"/>
          <w:b/>
          <w:color w:val="222222"/>
        </w:rPr>
        <w:t xml:space="preserve"> </w:t>
      </w:r>
    </w:p>
    <w:p>
      <w:pPr>
        <w:pStyle w:val="null3"/>
        <w:shd w:fill="FFFFFF"/>
        <w:spacing w:before="0" w:after="0"/>
        <w:ind w:left="0" w:right="0"/>
        <w:jc w:val="center"/>
      </w:pPr>
      <w:r>
        <w:rPr>
          <w:rFonts w:ascii="宋体" w:hAnsi="宋体" w:cs="宋体" w:eastAsia="宋体"/>
          <w:sz w:val="48"/>
          <w:b/>
          <w:color w:val="222222"/>
        </w:rPr>
        <w:t xml:space="preserve"> </w:t>
      </w:r>
    </w:p>
    <w:p>
      <w:pPr>
        <w:pStyle w:val="null3"/>
        <w:shd w:fill="FFFFFF"/>
        <w:spacing w:before="0" w:after="0"/>
        <w:ind w:left="0" w:right="0"/>
        <w:jc w:val="center"/>
      </w:pPr>
      <w:r>
        <w:rPr>
          <w:rFonts w:ascii="宋体" w:hAnsi="宋体" w:cs="宋体" w:eastAsia="宋体"/>
          <w:sz w:val="48"/>
          <w:b/>
          <w:color w:val="222222"/>
        </w:rPr>
        <w:t xml:space="preserve"> </w:t>
      </w:r>
    </w:p>
    <w:p>
      <w:pPr>
        <w:pStyle w:val="null3"/>
        <w:shd w:fill="FFFFFF"/>
        <w:spacing w:before="0" w:after="0"/>
        <w:ind w:left="0" w:right="0"/>
        <w:jc w:val="center"/>
      </w:pPr>
      <w:r>
        <w:rPr>
          <w:rFonts w:ascii="宋体" w:hAnsi="宋体" w:cs="宋体" w:eastAsia="宋体"/>
          <w:sz w:val="48"/>
          <w:b/>
          <w:color w:val="222222"/>
        </w:rPr>
        <w:t xml:space="preserve"> </w:t>
      </w:r>
    </w:p>
    <w:p>
      <w:pPr>
        <w:pStyle w:val="null3"/>
        <w:shd w:fill="FFFFFF"/>
        <w:spacing w:before="0" w:after="0"/>
        <w:ind w:left="0" w:right="0"/>
        <w:jc w:val="center"/>
      </w:pPr>
      <w:r>
        <w:rPr>
          <w:rFonts w:ascii="宋体" w:hAnsi="宋体" w:cs="宋体" w:eastAsia="宋体"/>
          <w:sz w:val="48"/>
          <w:b/>
          <w:color w:val="222222"/>
        </w:rPr>
        <w:t>广东省政府采购</w:t>
      </w:r>
    </w:p>
    <w:p>
      <w:pPr>
        <w:pStyle w:val="null3"/>
        <w:shd w:fill="FFFFFF"/>
        <w:spacing w:before="150" w:after="150"/>
        <w:ind w:left="0" w:right="0"/>
        <w:jc w:val="both"/>
      </w:pPr>
      <w:r>
        <w:rPr>
          <w:rFonts w:ascii="helvetica" w:hAnsi="helvetica" w:cs="helvetica" w:eastAsia="helvetica"/>
          <w:sz w:val="27"/>
          <w:color w:val="222222"/>
        </w:rPr>
        <w:t xml:space="preserve"> </w:t>
      </w:r>
    </w:p>
    <w:p>
      <w:pPr>
        <w:pStyle w:val="null3"/>
        <w:shd w:fill="FFFFFF"/>
        <w:spacing w:before="0" w:after="0"/>
        <w:ind w:left="0" w:right="0"/>
        <w:jc w:val="center"/>
      </w:pPr>
      <w:r>
        <w:rPr>
          <w:rFonts w:ascii="宋体" w:hAnsi="宋体" w:cs="宋体" w:eastAsia="宋体"/>
          <w:sz w:val="48"/>
          <w:b/>
          <w:color w:val="222222"/>
        </w:rPr>
        <w:t>合　同　书</w:t>
      </w:r>
    </w:p>
    <w:p>
      <w:pPr>
        <w:pStyle w:val="null3"/>
        <w:shd w:fill="FFFFFF"/>
        <w:spacing w:before="0" w:after="0"/>
        <w:ind w:left="0" w:right="0"/>
        <w:jc w:val="center"/>
      </w:pPr>
      <w:r>
        <w:br/>
      </w:r>
      <w:r>
        <w:br/>
      </w:r>
      <w:r>
        <w:br/>
      </w:r>
      <w:r>
        <w:br/>
      </w:r>
      <w:r>
        <w:br/>
      </w:r>
      <w:r>
        <w:br/>
      </w:r>
      <w:r>
        <w:br/>
      </w:r>
      <w:r>
        <w:br/>
      </w:r>
      <w:r>
        <w:rPr>
          <w:rFonts w:ascii="helvetica" w:hAnsi="helvetica" w:cs="helvetica" w:eastAsia="helvetica"/>
          <w:sz w:val="27"/>
          <w:color w:val="222222"/>
        </w:rPr>
        <w:t xml:space="preserve"> </w:t>
      </w:r>
    </w:p>
    <w:p>
      <w:pPr>
        <w:pStyle w:val="null3"/>
        <w:shd w:fill="FFFFFF"/>
        <w:spacing w:before="0" w:after="0"/>
        <w:ind w:left="0" w:right="0"/>
        <w:jc w:val="center"/>
      </w:pPr>
      <w:r>
        <w:rPr>
          <w:rFonts w:ascii="宋体" w:hAnsi="宋体" w:cs="宋体" w:eastAsia="宋体"/>
          <w:sz w:val="28"/>
          <w:color w:val="222222"/>
        </w:rPr>
        <w:t>采购计划编号：</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p>
    <w:p>
      <w:pPr>
        <w:pStyle w:val="null3"/>
        <w:shd w:fill="FFFFFF"/>
        <w:spacing w:before="150" w:after="150"/>
        <w:ind w:left="0" w:right="0"/>
        <w:jc w:val="both"/>
      </w:pPr>
      <w:r>
        <w:rPr>
          <w:rFonts w:ascii="helvetica" w:hAnsi="helvetica" w:cs="helvetica" w:eastAsia="helvetica"/>
          <w:sz w:val="27"/>
          <w:color w:val="222222"/>
        </w:rPr>
        <w:t xml:space="preserve"> </w:t>
      </w:r>
    </w:p>
    <w:p>
      <w:pPr>
        <w:pStyle w:val="null3"/>
        <w:shd w:fill="FFFFFF"/>
        <w:spacing w:before="0" w:after="0"/>
        <w:ind w:left="0" w:right="0"/>
        <w:jc w:val="center"/>
      </w:pPr>
      <w:r>
        <w:rPr>
          <w:rFonts w:ascii="宋体" w:hAnsi="宋体" w:cs="宋体" w:eastAsia="宋体"/>
          <w:sz w:val="28"/>
          <w:color w:val="222222"/>
        </w:rPr>
        <w:t>项目编号：</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p>
    <w:p>
      <w:pPr>
        <w:pStyle w:val="null3"/>
        <w:shd w:fill="FFFFFF"/>
        <w:spacing w:before="150" w:after="150"/>
        <w:ind w:left="0" w:right="0"/>
        <w:jc w:val="both"/>
      </w:pPr>
      <w:r>
        <w:rPr>
          <w:rFonts w:ascii="helvetica" w:hAnsi="helvetica" w:cs="helvetica" w:eastAsia="helvetica"/>
          <w:sz w:val="27"/>
          <w:color w:val="222222"/>
        </w:rPr>
        <w:t xml:space="preserve"> </w:t>
      </w:r>
    </w:p>
    <w:p>
      <w:pPr>
        <w:pStyle w:val="null3"/>
        <w:shd w:fill="FFFFFF"/>
        <w:spacing w:before="0" w:after="0"/>
        <w:ind w:left="0" w:right="0"/>
        <w:jc w:val="center"/>
      </w:pPr>
      <w:r>
        <w:rPr>
          <w:rFonts w:ascii="宋体" w:hAnsi="宋体" w:cs="宋体" w:eastAsia="宋体"/>
          <w:sz w:val="28"/>
          <w:color w:val="222222"/>
        </w:rPr>
        <w:t>项目名称：</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jc w:val="both"/>
      </w:pPr>
      <w:r>
        <w:br/>
      </w:r>
      <w:r>
        <w:rPr>
          <w:rFonts w:ascii="helvetica" w:hAnsi="helvetica" w:cs="helvetica" w:eastAsia="helvetica"/>
          <w:sz w:val="27"/>
          <w:color w:val="222222"/>
        </w:rPr>
        <w:t xml:space="preserve"> </w:t>
      </w:r>
    </w:p>
    <w:p>
      <w:pPr>
        <w:pStyle w:val="null3"/>
        <w:shd w:fill="FFFFFF"/>
        <w:spacing w:before="0" w:after="0"/>
        <w:ind w:left="0" w:right="0"/>
        <w:jc w:val="both"/>
      </w:pPr>
      <w:r>
        <w:rPr>
          <w:rFonts w:ascii="宋体" w:hAnsi="宋体" w:cs="宋体" w:eastAsia="宋体"/>
          <w:sz w:val="27"/>
          <w:b/>
          <w:color w:val="222222"/>
        </w:rPr>
        <w:t>甲方：</w:t>
      </w:r>
      <w:r>
        <w:rPr>
          <w:rFonts w:ascii="宋体" w:hAnsi="宋体" w:cs="宋体" w:eastAsia="宋体"/>
          <w:sz w:val="27"/>
          <w:b/>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p>
    <w:p>
      <w:pPr>
        <w:pStyle w:val="null3"/>
        <w:shd w:fill="FFFFFF"/>
        <w:spacing w:before="0" w:after="0"/>
        <w:ind w:left="0" w:right="0"/>
        <w:jc w:val="both"/>
      </w:pPr>
      <w:r>
        <w:rPr>
          <w:rFonts w:ascii="宋体" w:hAnsi="宋体" w:cs="宋体" w:eastAsia="宋体"/>
          <w:sz w:val="27"/>
          <w:color w:val="222222"/>
        </w:rPr>
        <w:t>电话：</w:t>
      </w:r>
      <w:r>
        <w:rPr>
          <w:rFonts w:ascii="宋体" w:hAnsi="宋体" w:cs="宋体" w:eastAsia="宋体"/>
          <w:sz w:val="27"/>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color w:val="222222"/>
        </w:rPr>
        <w:t>传真</w:t>
      </w:r>
      <w:r>
        <w:rPr>
          <w:rFonts w:ascii="宋体" w:hAnsi="宋体" w:cs="宋体" w:eastAsia="宋体"/>
          <w:sz w:val="27"/>
          <w:color w:val="222222"/>
        </w:rPr>
        <w:t xml:space="preserve"> </w:t>
      </w:r>
      <w:r>
        <w:rPr>
          <w:rFonts w:ascii="宋体" w:hAnsi="宋体" w:cs="宋体" w:eastAsia="宋体"/>
          <w:sz w:val="27"/>
          <w:color w:val="222222"/>
        </w:rPr>
        <w:t>：</w:t>
      </w:r>
      <w:r>
        <w:rPr>
          <w:rFonts w:ascii="宋体" w:hAnsi="宋体" w:cs="宋体" w:eastAsia="宋体"/>
          <w:sz w:val="27"/>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color w:val="222222"/>
        </w:rPr>
        <w:t>地址：</w:t>
      </w:r>
      <w:r>
        <w:rPr>
          <w:rFonts w:ascii="宋体" w:hAnsi="宋体" w:cs="宋体" w:eastAsia="宋体"/>
          <w:sz w:val="27"/>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p>
    <w:p>
      <w:pPr>
        <w:pStyle w:val="null3"/>
        <w:shd w:fill="FFFFFF"/>
        <w:spacing w:before="0" w:after="0"/>
        <w:ind w:left="0" w:right="0"/>
        <w:jc w:val="both"/>
      </w:pPr>
      <w:r>
        <w:rPr>
          <w:rFonts w:ascii="宋体" w:hAnsi="宋体" w:cs="宋体" w:eastAsia="宋体"/>
          <w:sz w:val="27"/>
          <w:b/>
          <w:color w:val="222222"/>
        </w:rPr>
        <w:t>乙方：</w:t>
      </w:r>
      <w:r>
        <w:rPr>
          <w:rFonts w:ascii="宋体" w:hAnsi="宋体" w:cs="宋体" w:eastAsia="宋体"/>
          <w:sz w:val="27"/>
          <w:b/>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p>
    <w:p>
      <w:pPr>
        <w:pStyle w:val="null3"/>
        <w:shd w:fill="FFFFFF"/>
        <w:spacing w:before="0" w:after="0"/>
        <w:ind w:left="0" w:right="0"/>
        <w:jc w:val="both"/>
      </w:pPr>
      <w:r>
        <w:rPr>
          <w:rFonts w:ascii="宋体" w:hAnsi="宋体" w:cs="宋体" w:eastAsia="宋体"/>
          <w:sz w:val="27"/>
          <w:color w:val="222222"/>
        </w:rPr>
        <w:t>电话：</w:t>
      </w:r>
      <w:r>
        <w:rPr>
          <w:rFonts w:ascii="宋体" w:hAnsi="宋体" w:cs="宋体" w:eastAsia="宋体"/>
          <w:sz w:val="27"/>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color w:val="222222"/>
        </w:rPr>
        <w:t>传真：</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color w:val="222222"/>
        </w:rPr>
        <w:t>地址：</w:t>
      </w:r>
      <w:r>
        <w:rPr>
          <w:rFonts w:ascii="宋体" w:hAnsi="宋体" w:cs="宋体" w:eastAsia="宋体"/>
          <w:sz w:val="27"/>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p>
    <w:p>
      <w:pPr>
        <w:pStyle w:val="null3"/>
        <w:shd w:fill="FFFFFF"/>
        <w:spacing w:before="150" w:after="150"/>
        <w:ind w:left="0" w:right="0"/>
        <w:jc w:val="both"/>
      </w:pPr>
      <w:r>
        <w:rPr>
          <w:rFonts w:ascii="helvetica" w:hAnsi="helvetica" w:cs="helvetica" w:eastAsia="helvetica"/>
          <w:sz w:val="27"/>
          <w:color w:val="222222"/>
        </w:rPr>
        <w:t xml:space="preserve"> </w:t>
      </w:r>
    </w:p>
    <w:p>
      <w:pPr>
        <w:pStyle w:val="null3"/>
        <w:shd w:fill="FFFFFF"/>
        <w:spacing w:before="0" w:after="0"/>
        <w:ind w:left="0" w:right="0"/>
        <w:jc w:val="both"/>
      </w:pPr>
      <w:r>
        <w:rPr>
          <w:rFonts w:ascii="宋体" w:hAnsi="宋体" w:cs="宋体" w:eastAsia="宋体"/>
          <w:sz w:val="27"/>
          <w:color w:val="222222"/>
        </w:rPr>
        <w:t xml:space="preserve"> </w:t>
      </w:r>
      <w:r>
        <w:rPr>
          <w:rFonts w:ascii="宋体" w:hAnsi="宋体" w:cs="宋体" w:eastAsia="宋体"/>
          <w:sz w:val="27"/>
          <w:color w:val="222222"/>
        </w:rPr>
        <w:t xml:space="preserve"> </w:t>
      </w:r>
      <w:r>
        <w:rPr>
          <w:rFonts w:ascii="宋体" w:hAnsi="宋体" w:cs="宋体" w:eastAsia="宋体"/>
          <w:sz w:val="27"/>
          <w:color w:val="222222"/>
        </w:rPr>
        <w:t>根据</w:t>
      </w:r>
      <w:r>
        <w:rPr>
          <w:rFonts w:ascii="宋体" w:hAnsi="宋体" w:cs="宋体" w:eastAsia="宋体"/>
          <w:sz w:val="27"/>
          <w:color w:val="222222"/>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项目</w:t>
      </w:r>
      <w:r>
        <w:rPr>
          <w:rFonts w:ascii="宋体" w:hAnsi="宋体" w:cs="宋体" w:eastAsia="宋体"/>
          <w:sz w:val="27"/>
          <w:color w:val="222222"/>
          <w:u w:val="single"/>
        </w:rPr>
        <w:t xml:space="preserve"> </w:t>
      </w:r>
      <w:r>
        <w:rPr>
          <w:rFonts w:ascii="宋体" w:hAnsi="宋体" w:cs="宋体" w:eastAsia="宋体"/>
          <w:sz w:val="27"/>
          <w:color w:val="222222"/>
        </w:rPr>
        <w:t>的采购结果，按照《中华人民共和国政府采购法》，《</w:t>
      </w:r>
      <w:r>
        <w:rPr>
          <w:rFonts w:ascii="宋体" w:hAnsi="宋体" w:cs="宋体" w:eastAsia="宋体"/>
          <w:sz w:val="27"/>
          <w:color w:val="222222"/>
        </w:rPr>
        <w:t>中华人民共和国民法典(合同编)</w:t>
      </w:r>
      <w:r>
        <w:rPr>
          <w:rFonts w:ascii="宋体" w:hAnsi="宋体" w:cs="宋体" w:eastAsia="宋体"/>
          <w:sz w:val="27"/>
          <w:color w:val="222222"/>
        </w:rPr>
        <w:t>》的规定，经双方协商，本着平等互利和诚实信用的原则，一致同意遵守本合同如下。</w:t>
      </w:r>
    </w:p>
    <w:p>
      <w:pPr>
        <w:pStyle w:val="null3"/>
        <w:shd w:fill="FFFFFF"/>
        <w:spacing w:before="0" w:after="0"/>
        <w:ind w:left="0" w:right="0"/>
        <w:jc w:val="both"/>
      </w:pPr>
      <w:r>
        <w:rPr>
          <w:rFonts w:ascii="宋体" w:hAnsi="宋体" w:cs="宋体" w:eastAsia="宋体"/>
          <w:sz w:val="27"/>
          <w:b/>
          <w:color w:val="222222"/>
        </w:rPr>
        <w:t>一、合同金额</w:t>
      </w:r>
    </w:p>
    <w:p>
      <w:pPr>
        <w:pStyle w:val="null3"/>
        <w:shd w:fill="FFFFFF"/>
        <w:spacing w:before="0" w:after="0"/>
        <w:ind w:left="0" w:right="0"/>
        <w:jc w:val="both"/>
      </w:pPr>
      <w:r>
        <w:rPr>
          <w:rFonts w:ascii="宋体" w:hAnsi="宋体" w:cs="宋体" w:eastAsia="宋体"/>
          <w:sz w:val="27"/>
          <w:color w:val="222222"/>
        </w:rPr>
        <w:t>　　合同金额为（大写）：_____________元（￥_________元）人民币。</w:t>
      </w:r>
    </w:p>
    <w:p>
      <w:pPr>
        <w:pStyle w:val="null3"/>
        <w:shd w:fill="FFFFFF"/>
        <w:spacing w:before="0" w:after="0"/>
        <w:ind w:left="0" w:right="0"/>
        <w:jc w:val="both"/>
      </w:pPr>
      <w:r>
        <w:rPr>
          <w:rFonts w:ascii="宋体" w:hAnsi="宋体" w:cs="宋体" w:eastAsia="宋体"/>
          <w:sz w:val="27"/>
          <w:b/>
          <w:color w:val="222222"/>
        </w:rPr>
        <w:t>二、服务范围</w:t>
      </w:r>
    </w:p>
    <w:p>
      <w:pPr>
        <w:pStyle w:val="null3"/>
        <w:shd w:fill="FFFFFF"/>
        <w:spacing w:before="0" w:after="0"/>
        <w:ind w:left="0" w:right="0"/>
        <w:jc w:val="both"/>
      </w:pPr>
      <w:r>
        <w:rPr>
          <w:rFonts w:ascii="宋体" w:hAnsi="宋体" w:cs="宋体" w:eastAsia="宋体"/>
          <w:sz w:val="27"/>
          <w:color w:val="222222"/>
        </w:rPr>
        <w:t>　　甲方聘请乙方提供以下服务：</w:t>
      </w:r>
    </w:p>
    <w:p>
      <w:pPr>
        <w:pStyle w:val="null3"/>
        <w:shd w:fill="FFFFFF"/>
        <w:spacing w:before="0" w:after="0"/>
        <w:ind w:left="0" w:right="0"/>
        <w:jc w:val="both"/>
      </w:pPr>
      <w:r>
        <w:rPr>
          <w:rFonts w:ascii="宋体" w:hAnsi="宋体" w:cs="宋体" w:eastAsia="宋体"/>
          <w:sz w:val="27"/>
          <w:color w:val="222222"/>
        </w:rPr>
        <w:t>　　1．</w:t>
      </w:r>
      <w:r>
        <w:rPr>
          <w:rFonts w:ascii="宋体" w:hAnsi="宋体" w:cs="宋体" w:eastAsia="宋体"/>
          <w:sz w:val="27"/>
          <w:color w:val="222222"/>
          <w:u w:val="single"/>
        </w:rPr>
        <w:t>　　　　　　　　　　　</w:t>
      </w:r>
      <w:r>
        <w:rPr>
          <w:rFonts w:ascii="宋体" w:hAnsi="宋体" w:cs="宋体" w:eastAsia="宋体"/>
          <w:sz w:val="27"/>
          <w:color w:val="222222"/>
        </w:rPr>
        <w:t>。</w:t>
      </w:r>
    </w:p>
    <w:p>
      <w:pPr>
        <w:pStyle w:val="null3"/>
        <w:shd w:fill="FFFFFF"/>
        <w:spacing w:before="0" w:after="0"/>
        <w:ind w:left="0" w:right="0"/>
        <w:jc w:val="both"/>
      </w:pPr>
      <w:r>
        <w:rPr>
          <w:rFonts w:ascii="宋体" w:hAnsi="宋体" w:cs="宋体" w:eastAsia="宋体"/>
          <w:sz w:val="27"/>
          <w:color w:val="222222"/>
        </w:rPr>
        <w:t>　　2．</w:t>
      </w:r>
      <w:r>
        <w:rPr>
          <w:rFonts w:ascii="宋体" w:hAnsi="宋体" w:cs="宋体" w:eastAsia="宋体"/>
          <w:sz w:val="27"/>
          <w:color w:val="222222"/>
          <w:u w:val="single"/>
        </w:rPr>
        <w:t>　　　　　　　　　　　</w:t>
      </w:r>
    </w:p>
    <w:p>
      <w:pPr>
        <w:pStyle w:val="null3"/>
        <w:shd w:fill="FFFFFF"/>
        <w:spacing w:before="0" w:after="0"/>
        <w:ind w:left="0" w:right="0"/>
        <w:jc w:val="both"/>
      </w:pPr>
      <w:r>
        <w:rPr>
          <w:rFonts w:ascii="宋体" w:hAnsi="宋体" w:cs="宋体" w:eastAsia="宋体"/>
          <w:sz w:val="27"/>
          <w:color w:val="222222"/>
        </w:rPr>
        <w:t>……</w:t>
      </w:r>
    </w:p>
    <w:p>
      <w:pPr>
        <w:pStyle w:val="null3"/>
        <w:shd w:fill="FFFFFF"/>
        <w:spacing w:before="0" w:after="0"/>
        <w:ind w:left="0" w:right="0"/>
        <w:jc w:val="both"/>
      </w:pPr>
      <w:r>
        <w:rPr>
          <w:rFonts w:ascii="宋体" w:hAnsi="宋体" w:cs="宋体" w:eastAsia="宋体"/>
          <w:sz w:val="27"/>
          <w:b/>
          <w:color w:val="222222"/>
        </w:rPr>
        <w:t>三、甲方乙方的权利和义务</w:t>
      </w:r>
    </w:p>
    <w:p>
      <w:pPr>
        <w:pStyle w:val="null3"/>
        <w:shd w:fill="FFFFFF"/>
        <w:spacing w:before="0" w:after="0"/>
        <w:ind w:left="0" w:right="0"/>
        <w:jc w:val="both"/>
      </w:pPr>
      <w:r>
        <w:rPr>
          <w:rFonts w:ascii="宋体" w:hAnsi="宋体" w:cs="宋体" w:eastAsia="宋体"/>
          <w:sz w:val="27"/>
          <w:color w:val="222222"/>
        </w:rPr>
        <w:t>　　1.甲方的权利和义务</w:t>
      </w:r>
    </w:p>
    <w:p>
      <w:pPr>
        <w:pStyle w:val="null3"/>
        <w:shd w:fill="FFFFFF"/>
        <w:spacing w:before="0" w:after="0"/>
        <w:ind w:left="0" w:right="0"/>
        <w:jc w:val="both"/>
      </w:pPr>
      <w:r>
        <w:rPr>
          <w:rFonts w:ascii="宋体" w:hAnsi="宋体" w:cs="宋体" w:eastAsia="宋体"/>
          <w:sz w:val="27"/>
          <w:color w:val="222222"/>
        </w:rPr>
        <w:t>　　2.乙方的权利和义务</w:t>
      </w:r>
    </w:p>
    <w:p>
      <w:pPr>
        <w:pStyle w:val="null3"/>
        <w:shd w:fill="FFFFFF"/>
        <w:spacing w:before="0" w:after="0"/>
        <w:ind w:left="0" w:right="0"/>
        <w:jc w:val="both"/>
      </w:pPr>
      <w:r>
        <w:rPr>
          <w:rFonts w:ascii="宋体" w:hAnsi="宋体" w:cs="宋体" w:eastAsia="宋体"/>
          <w:sz w:val="27"/>
          <w:b/>
          <w:color w:val="222222"/>
        </w:rPr>
        <w:t>四、服务期间（项目完成期限）</w:t>
      </w:r>
    </w:p>
    <w:p>
      <w:pPr>
        <w:pStyle w:val="null3"/>
        <w:shd w:fill="FFFFFF"/>
        <w:spacing w:before="0" w:after="0"/>
        <w:ind w:left="0" w:right="0"/>
        <w:jc w:val="both"/>
      </w:pPr>
      <w:r>
        <w:rPr>
          <w:rFonts w:ascii="宋体" w:hAnsi="宋体" w:cs="宋体" w:eastAsia="宋体"/>
          <w:sz w:val="27"/>
          <w:color w:val="222222"/>
        </w:rPr>
        <w:t>　　1.委托服务期间自______年______月至______年______月止。</w:t>
      </w:r>
    </w:p>
    <w:p>
      <w:pPr>
        <w:pStyle w:val="null3"/>
        <w:shd w:fill="FFFFFF"/>
        <w:spacing w:before="0" w:after="0"/>
        <w:ind w:left="0" w:right="0"/>
        <w:jc w:val="both"/>
      </w:pPr>
      <w:r>
        <w:rPr>
          <w:rFonts w:ascii="宋体" w:hAnsi="宋体" w:cs="宋体" w:eastAsia="宋体"/>
          <w:sz w:val="27"/>
          <w:b/>
          <w:color w:val="222222"/>
        </w:rPr>
        <w:t>五、付款方式</w:t>
      </w:r>
    </w:p>
    <w:p>
      <w:pPr>
        <w:pStyle w:val="null3"/>
        <w:shd w:fill="FFFFFF"/>
        <w:spacing w:before="0" w:after="0"/>
        <w:ind w:left="0" w:right="0"/>
        <w:jc w:val="both"/>
      </w:pPr>
      <w:r>
        <w:rPr>
          <w:rFonts w:ascii="宋体" w:hAnsi="宋体" w:cs="宋体" w:eastAsia="宋体"/>
          <w:sz w:val="27"/>
          <w:color w:val="222222"/>
        </w:rPr>
        <w:t>　　由甲方按下列程序在</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rPr>
        <w:t xml:space="preserve"> </w:t>
      </w:r>
      <w:r>
        <w:rPr>
          <w:rFonts w:ascii="宋体" w:hAnsi="宋体" w:cs="宋体" w:eastAsia="宋体"/>
          <w:sz w:val="27"/>
          <w:color w:val="222222"/>
        </w:rPr>
        <w:t>内付款：</w:t>
      </w:r>
    </w:p>
    <w:p>
      <w:pPr>
        <w:pStyle w:val="null3"/>
        <w:shd w:fill="FFFFFF"/>
        <w:spacing w:before="0" w:after="0"/>
        <w:ind w:left="0" w:right="0"/>
        <w:jc w:val="both"/>
      </w:pPr>
      <w:r>
        <w:rPr>
          <w:rFonts w:ascii="宋体" w:hAnsi="宋体" w:cs="宋体" w:eastAsia="宋体"/>
          <w:sz w:val="27"/>
          <w:color w:val="222222"/>
        </w:rPr>
        <w:t>　　1.在合同实施及服务人员到达服务地后__天内，甲方应将第一次付　　款总服务费的__(-%)付给乙方。</w:t>
      </w:r>
    </w:p>
    <w:p>
      <w:pPr>
        <w:pStyle w:val="null3"/>
        <w:shd w:fill="FFFFFF"/>
        <w:spacing w:before="0" w:after="0"/>
        <w:ind w:left="0" w:right="0"/>
        <w:jc w:val="both"/>
      </w:pPr>
      <w:r>
        <w:rPr>
          <w:rFonts w:ascii="宋体" w:hAnsi="宋体" w:cs="宋体" w:eastAsia="宋体"/>
          <w:sz w:val="27"/>
          <w:color w:val="222222"/>
        </w:rPr>
        <w:t>　　2.第二次付款额应为总服务费的__(-%)，甲方应在乙方已经准备好，并递交了服务报告及其它相关文件，而这些报告和文件符合合同附件上的要求并被甲方验收后付给乙方。</w:t>
      </w:r>
    </w:p>
    <w:p>
      <w:pPr>
        <w:pStyle w:val="null3"/>
        <w:shd w:fill="FFFFFF"/>
        <w:spacing w:before="0" w:after="0"/>
        <w:ind w:left="0" w:right="0"/>
        <w:jc w:val="both"/>
      </w:pPr>
      <w:r>
        <w:rPr>
          <w:rFonts w:ascii="宋体" w:hAnsi="宋体" w:cs="宋体" w:eastAsia="宋体"/>
          <w:sz w:val="27"/>
          <w:color w:val="222222"/>
        </w:rPr>
        <w:t>　　3.最后一次付款额应为总服务费的__(-%)，甲方应在乙方递交了服务总结报告和说明并完全履行合同完毕_________日内付给乙方。</w:t>
      </w:r>
    </w:p>
    <w:p>
      <w:pPr>
        <w:pStyle w:val="null3"/>
        <w:shd w:fill="FFFFFF"/>
        <w:spacing w:before="0" w:after="0"/>
        <w:ind w:left="0" w:right="0"/>
        <w:jc w:val="both"/>
      </w:pPr>
      <w:r>
        <w:rPr>
          <w:rFonts w:ascii="宋体" w:hAnsi="宋体" w:cs="宋体" w:eastAsia="宋体"/>
          <w:sz w:val="27"/>
          <w:color w:val="222222"/>
        </w:rPr>
        <w:t>　　4.对于满足合同约定支付条件的，甲方应当自收到发票后30日内将资金支付到合同约定的乙方账户，不得以机构变动、人员更替、政策调整等为由延迟付款，不得将采购文件和合同中未规定的义务作为向乙方付款的条件。</w:t>
      </w:r>
    </w:p>
    <w:p>
      <w:pPr>
        <w:pStyle w:val="null3"/>
        <w:shd w:fill="FFFFFF"/>
        <w:spacing w:before="0" w:after="0"/>
        <w:ind w:left="0" w:right="0"/>
        <w:jc w:val="both"/>
      </w:pPr>
      <w:r>
        <w:rPr>
          <w:rFonts w:ascii="宋体" w:hAnsi="宋体" w:cs="宋体" w:eastAsia="宋体"/>
          <w:sz w:val="27"/>
          <w:b/>
          <w:color w:val="222222"/>
        </w:rPr>
        <w:t>六、知识产权归属</w:t>
      </w:r>
    </w:p>
    <w:p>
      <w:pPr>
        <w:pStyle w:val="null3"/>
        <w:shd w:fill="FFFFFF"/>
        <w:spacing w:before="0" w:after="0"/>
        <w:ind w:left="0" w:right="0"/>
        <w:jc w:val="both"/>
      </w:pPr>
      <w:r>
        <w:rPr>
          <w:rFonts w:ascii="宋体" w:hAnsi="宋体" w:cs="宋体" w:eastAsia="宋体"/>
          <w:sz w:val="27"/>
          <w:b/>
          <w:color w:val="222222"/>
        </w:rPr>
        <w:t>七、保密</w:t>
      </w:r>
    </w:p>
    <w:p>
      <w:pPr>
        <w:pStyle w:val="null3"/>
        <w:shd w:fill="FFFFFF"/>
        <w:spacing w:before="0" w:after="0"/>
        <w:ind w:left="0" w:right="0"/>
        <w:jc w:val="both"/>
      </w:pPr>
      <w:r>
        <w:rPr>
          <w:rFonts w:ascii="宋体" w:hAnsi="宋体" w:cs="宋体" w:eastAsia="宋体"/>
          <w:sz w:val="27"/>
          <w:b/>
          <w:color w:val="222222"/>
        </w:rPr>
        <w:t>八、违约责任与赔偿损失</w:t>
      </w:r>
    </w:p>
    <w:p>
      <w:pPr>
        <w:pStyle w:val="null3"/>
        <w:shd w:fill="FFFFFF"/>
        <w:spacing w:before="0" w:after="0"/>
        <w:ind w:left="0" w:right="0"/>
        <w:jc w:val="both"/>
      </w:pPr>
      <w:r>
        <w:rPr>
          <w:rFonts w:ascii="宋体" w:hAnsi="宋体" w:cs="宋体" w:eastAsia="宋体"/>
          <w:sz w:val="27"/>
          <w:color w:val="222222"/>
        </w:rPr>
        <w:t>　　1.乙方提供的服务不符合本合同规定的，甲方有权拒收，并且乙方须向甲方方支付本合同总价5%的违约金。</w:t>
      </w:r>
    </w:p>
    <w:p>
      <w:pPr>
        <w:pStyle w:val="null3"/>
        <w:shd w:fill="FFFFFF"/>
        <w:spacing w:before="0" w:after="0"/>
        <w:ind w:left="0" w:right="0"/>
        <w:jc w:val="both"/>
      </w:pPr>
      <w:r>
        <w:rPr>
          <w:rFonts w:ascii="宋体" w:hAnsi="宋体" w:cs="宋体" w:eastAsia="宋体"/>
          <w:sz w:val="27"/>
          <w:color w:val="222222"/>
        </w:rPr>
        <w:t>　　2.乙方未能按本合同规定的交货时间提供服务，从逾期之日起每日按本合同总价3‰的数额向甲方支付违约金；逾期半个月以上的，甲方有权终止合同，由此造成的甲方经济损失由乙方承担。</w:t>
      </w:r>
    </w:p>
    <w:p>
      <w:pPr>
        <w:pStyle w:val="null3"/>
        <w:shd w:fill="FFFFFF"/>
        <w:spacing w:before="0" w:after="0"/>
        <w:ind w:left="0" w:right="0"/>
        <w:jc w:val="both"/>
      </w:pPr>
      <w:r>
        <w:rPr>
          <w:rFonts w:ascii="宋体" w:hAnsi="宋体" w:cs="宋体" w:eastAsia="宋体"/>
          <w:sz w:val="27"/>
          <w:color w:val="222222"/>
        </w:rPr>
        <w:t>　　3.甲方无正当理由拒收接受服务，到期拒付服务款项的，甲方向乙方偿付本合同总的5%的违约金。甲方人逾期付款，则每日按本合同总价的3‰向乙方偿付违约金。</w:t>
      </w:r>
    </w:p>
    <w:p>
      <w:pPr>
        <w:pStyle w:val="null3"/>
        <w:shd w:fill="FFFFFF"/>
        <w:spacing w:before="0" w:after="0"/>
        <w:ind w:left="0" w:right="0"/>
        <w:jc w:val="both"/>
      </w:pPr>
      <w:r>
        <w:rPr>
          <w:rFonts w:ascii="宋体" w:hAnsi="宋体" w:cs="宋体" w:eastAsia="宋体"/>
          <w:sz w:val="27"/>
          <w:color w:val="222222"/>
        </w:rPr>
        <w:t>　　4.对于因甲方原因导致变更、中止或者终止政府采购合同的，甲方应当依照以下合同约定对供应商受到的损失予以赔偿或者补偿：</w:t>
      </w:r>
    </w:p>
    <w:p>
      <w:pPr>
        <w:pStyle w:val="null3"/>
        <w:shd w:fill="FFFFFF"/>
        <w:spacing w:before="0" w:after="0"/>
        <w:ind w:left="0" w:right="0"/>
        <w:jc w:val="both"/>
      </w:pP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p>
    <w:p>
      <w:pPr>
        <w:pStyle w:val="null3"/>
        <w:shd w:fill="FFFFFF"/>
        <w:spacing w:before="0" w:after="0"/>
        <w:ind w:left="0" w:right="0"/>
        <w:jc w:val="both"/>
      </w:pPr>
      <w:r>
        <w:rPr>
          <w:rFonts w:ascii="宋体" w:hAnsi="宋体" w:cs="宋体" w:eastAsia="宋体"/>
          <w:sz w:val="27"/>
          <w:color w:val="222222"/>
        </w:rPr>
        <w:t>　　5.其它违约责任按《</w:t>
      </w:r>
      <w:r>
        <w:rPr>
          <w:rFonts w:ascii="宋体" w:hAnsi="宋体" w:cs="宋体" w:eastAsia="宋体"/>
          <w:sz w:val="27"/>
          <w:color w:val="222222"/>
        </w:rPr>
        <w:t>中华人民共和国民法典(合同编)</w:t>
      </w:r>
      <w:r>
        <w:rPr>
          <w:rFonts w:ascii="宋体" w:hAnsi="宋体" w:cs="宋体" w:eastAsia="宋体"/>
          <w:sz w:val="27"/>
          <w:color w:val="222222"/>
        </w:rPr>
        <w:t>》处理。</w:t>
      </w:r>
    </w:p>
    <w:p>
      <w:pPr>
        <w:pStyle w:val="null3"/>
        <w:shd w:fill="FFFFFF"/>
        <w:spacing w:before="0" w:after="0"/>
        <w:ind w:left="0" w:right="0"/>
        <w:jc w:val="both"/>
      </w:pPr>
      <w:r>
        <w:rPr>
          <w:rFonts w:ascii="宋体" w:hAnsi="宋体" w:cs="宋体" w:eastAsia="宋体"/>
          <w:sz w:val="27"/>
          <w:b/>
          <w:color w:val="222222"/>
        </w:rPr>
        <w:t>九、争议的解决</w:t>
      </w:r>
    </w:p>
    <w:p>
      <w:pPr>
        <w:pStyle w:val="null3"/>
        <w:shd w:fill="FFFFFF"/>
        <w:spacing w:before="0" w:after="0"/>
        <w:ind w:left="0" w:right="0" w:firstLine="400"/>
        <w:jc w:val="both"/>
      </w:pPr>
      <w:r>
        <w:rPr>
          <w:rFonts w:ascii="宋体" w:hAnsi="宋体" w:cs="宋体" w:eastAsia="宋体"/>
          <w:sz w:val="27"/>
          <w:color w:val="222222"/>
        </w:rPr>
        <w:t>合同执行过程中发生的任何争议，如双方不能通过友好协商解决，按相关法律法规处理。</w:t>
      </w:r>
      <w:r>
        <w:rPr>
          <w:rFonts w:ascii="helvetica" w:hAnsi="helvetica" w:cs="helvetica" w:eastAsia="helvetica"/>
          <w:sz w:val="27"/>
          <w:color w:val="222222"/>
        </w:rPr>
        <w:t xml:space="preserve"> </w:t>
      </w:r>
      <w:r>
        <w:rPr>
          <w:rFonts w:ascii="宋体" w:hAnsi="宋体" w:cs="宋体" w:eastAsia="宋体"/>
          <w:sz w:val="27"/>
          <w:color w:val="222222"/>
        </w:rPr>
        <w:t xml:space="preserve"> </w:t>
      </w:r>
      <w:r>
        <w:rPr>
          <w:rFonts w:ascii="helvetica" w:hAnsi="helvetica" w:cs="helvetica" w:eastAsia="helvetica"/>
          <w:sz w:val="27"/>
          <w:color w:val="222222"/>
        </w:rPr>
        <w:t xml:space="preserve"> </w:t>
      </w:r>
      <w:r>
        <w:rPr>
          <w:rFonts w:ascii="helvetica" w:hAnsi="helvetica" w:cs="helvetica" w:eastAsia="helvetica"/>
          <w:sz w:val="27"/>
          <w:color w:val="222222"/>
        </w:rPr>
        <w:t xml:space="preserve"> </w:t>
      </w:r>
      <w:r>
        <w:rPr>
          <w:rFonts w:ascii="helvetica" w:hAnsi="helvetica" w:cs="helvetica" w:eastAsia="helvetica"/>
          <w:sz w:val="27"/>
          <w:color w:val="222222"/>
        </w:rPr>
        <w:t xml:space="preserve"> </w:t>
      </w:r>
    </w:p>
    <w:p>
      <w:pPr>
        <w:pStyle w:val="null3"/>
        <w:shd w:fill="FFFFFF"/>
        <w:spacing w:before="0" w:after="0"/>
        <w:ind w:left="0" w:right="0"/>
        <w:jc w:val="both"/>
      </w:pPr>
      <w:r>
        <w:rPr>
          <w:rFonts w:ascii="宋体" w:hAnsi="宋体" w:cs="宋体" w:eastAsia="宋体"/>
          <w:sz w:val="27"/>
          <w:b/>
          <w:color w:val="222222"/>
        </w:rPr>
        <w:t>十、不可抗力</w:t>
      </w:r>
    </w:p>
    <w:p>
      <w:pPr>
        <w:pStyle w:val="null3"/>
        <w:shd w:fill="FFFFFF"/>
        <w:spacing w:before="0" w:after="0"/>
        <w:ind w:left="0" w:right="0"/>
        <w:jc w:val="both"/>
      </w:pPr>
      <w:r>
        <w:rPr>
          <w:rFonts w:ascii="宋体" w:hAnsi="宋体" w:cs="宋体" w:eastAsia="宋体"/>
          <w:sz w:val="27"/>
          <w:color w:val="222222"/>
        </w:rPr>
        <w:t>　　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pStyle w:val="null3"/>
        <w:shd w:fill="FFFFFF"/>
        <w:spacing w:before="0" w:after="0"/>
        <w:ind w:left="0" w:right="0"/>
        <w:jc w:val="both"/>
      </w:pPr>
      <w:r>
        <w:rPr>
          <w:rFonts w:ascii="宋体" w:hAnsi="宋体" w:cs="宋体" w:eastAsia="宋体"/>
          <w:sz w:val="27"/>
          <w:b/>
          <w:color w:val="222222"/>
        </w:rPr>
        <w:t>十一、税费</w:t>
      </w:r>
    </w:p>
    <w:p>
      <w:pPr>
        <w:pStyle w:val="null3"/>
        <w:shd w:fill="FFFFFF"/>
        <w:spacing w:before="0" w:after="0"/>
        <w:ind w:left="0" w:right="0"/>
        <w:jc w:val="both"/>
      </w:pPr>
      <w:r>
        <w:rPr>
          <w:rFonts w:ascii="宋体" w:hAnsi="宋体" w:cs="宋体" w:eastAsia="宋体"/>
          <w:sz w:val="27"/>
          <w:color w:val="222222"/>
        </w:rPr>
        <w:t>　　在中国境内、外发生的与本合同执行有关的一切税费均由乙方负担。</w:t>
      </w:r>
    </w:p>
    <w:p>
      <w:pPr>
        <w:pStyle w:val="null3"/>
        <w:shd w:fill="FFFFFF"/>
        <w:spacing w:before="0" w:after="0"/>
        <w:ind w:left="0" w:right="0"/>
        <w:jc w:val="both"/>
      </w:pPr>
      <w:r>
        <w:rPr>
          <w:rFonts w:ascii="宋体" w:hAnsi="宋体" w:cs="宋体" w:eastAsia="宋体"/>
          <w:sz w:val="27"/>
          <w:b/>
          <w:color w:val="222222"/>
        </w:rPr>
        <w:t>十二、其它</w:t>
      </w:r>
    </w:p>
    <w:p>
      <w:pPr>
        <w:pStyle w:val="null3"/>
        <w:shd w:fill="FFFFFF"/>
        <w:spacing w:before="0" w:after="0"/>
        <w:ind w:left="0" w:right="0"/>
        <w:jc w:val="both"/>
      </w:pPr>
      <w:r>
        <w:rPr>
          <w:rFonts w:ascii="宋体" w:hAnsi="宋体" w:cs="宋体" w:eastAsia="宋体"/>
          <w:sz w:val="27"/>
          <w:color w:val="222222"/>
        </w:rPr>
        <w:t>　　1.本合同所有附件、招标文件、投标文件、中标通知书均为合同的有效组成部分，与本合同具有同等法律效力。</w:t>
      </w:r>
    </w:p>
    <w:p>
      <w:pPr>
        <w:pStyle w:val="null3"/>
        <w:shd w:fill="FFFFFF"/>
        <w:spacing w:before="0" w:after="0"/>
        <w:ind w:left="0" w:right="0"/>
        <w:jc w:val="both"/>
      </w:pPr>
      <w:r>
        <w:rPr>
          <w:rFonts w:ascii="宋体" w:hAnsi="宋体" w:cs="宋体" w:eastAsia="宋体"/>
          <w:sz w:val="27"/>
          <w:color w:val="222222"/>
        </w:rPr>
        <w:t>　　2.在执行本合同的过程中，所有经双方签署确认的文件（包括会议纪要、补充协议、往来信函）即成为本合同的有效组成部分。</w:t>
      </w:r>
    </w:p>
    <w:p>
      <w:pPr>
        <w:pStyle w:val="null3"/>
        <w:shd w:fill="FFFFFF"/>
        <w:spacing w:before="0" w:after="0"/>
        <w:ind w:left="0" w:right="0"/>
        <w:jc w:val="both"/>
      </w:pPr>
      <w:r>
        <w:rPr>
          <w:rFonts w:ascii="宋体" w:hAnsi="宋体" w:cs="宋体" w:eastAsia="宋体"/>
          <w:sz w:val="27"/>
          <w:color w:val="222222"/>
        </w:rPr>
        <w:t>　　3.如一方地址、电话、传真号码有变更，应在变更当日内书面通知对方，否则，应承担相应责任。</w:t>
      </w:r>
    </w:p>
    <w:p>
      <w:pPr>
        <w:pStyle w:val="null3"/>
        <w:shd w:fill="FFFFFF"/>
        <w:spacing w:before="0" w:after="0"/>
        <w:ind w:left="0" w:right="0"/>
        <w:jc w:val="both"/>
      </w:pPr>
      <w:r>
        <w:rPr>
          <w:rFonts w:ascii="宋体" w:hAnsi="宋体" w:cs="宋体" w:eastAsia="宋体"/>
          <w:sz w:val="27"/>
          <w:color w:val="222222"/>
        </w:rPr>
        <w:t>　　4.除甲方事先书面同意外，乙方不得部分或全部转让其应履行的合同项下的义务。</w:t>
      </w:r>
    </w:p>
    <w:p>
      <w:pPr>
        <w:pStyle w:val="null3"/>
        <w:shd w:fill="FFFFFF"/>
        <w:spacing w:before="0" w:after="0"/>
        <w:ind w:left="0" w:right="0"/>
        <w:jc w:val="both"/>
      </w:pPr>
      <w:r>
        <w:rPr>
          <w:rFonts w:ascii="宋体" w:hAnsi="宋体" w:cs="宋体" w:eastAsia="宋体"/>
          <w:sz w:val="27"/>
          <w:b/>
          <w:color w:val="222222"/>
        </w:rPr>
        <w:t>十三、合同生效</w:t>
      </w:r>
    </w:p>
    <w:p>
      <w:pPr>
        <w:pStyle w:val="null3"/>
        <w:shd w:fill="FFFFFF"/>
        <w:spacing w:before="0" w:after="0"/>
        <w:ind w:left="0" w:right="0"/>
        <w:jc w:val="both"/>
      </w:pPr>
      <w:r>
        <w:rPr>
          <w:rFonts w:ascii="宋体" w:hAnsi="宋体" w:cs="宋体" w:eastAsia="宋体"/>
          <w:sz w:val="27"/>
          <w:color w:val="222222"/>
        </w:rPr>
        <w:t>　　1.本合同在甲乙双方法人代表或其授权代表签字盖章后生效。</w:t>
      </w:r>
    </w:p>
    <w:p>
      <w:pPr>
        <w:pStyle w:val="null3"/>
        <w:shd w:fill="FFFFFF"/>
        <w:spacing w:before="0" w:after="0"/>
        <w:ind w:left="0" w:right="0"/>
        <w:jc w:val="both"/>
      </w:pPr>
      <w:r>
        <w:rPr>
          <w:rFonts w:ascii="宋体" w:hAnsi="宋体" w:cs="宋体" w:eastAsia="宋体"/>
          <w:sz w:val="27"/>
          <w:color w:val="222222"/>
        </w:rPr>
        <w:t>　　2.合同一式</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rPr>
        <w:t xml:space="preserve"> </w:t>
      </w:r>
      <w:r>
        <w:rPr>
          <w:rFonts w:ascii="宋体" w:hAnsi="宋体" w:cs="宋体" w:eastAsia="宋体"/>
          <w:sz w:val="27"/>
          <w:color w:val="222222"/>
        </w:rPr>
        <w:t>份。</w:t>
      </w:r>
    </w:p>
    <w:p>
      <w:pPr>
        <w:pStyle w:val="null3"/>
        <w:shd w:fill="FFFFFF"/>
        <w:spacing w:before="150" w:after="150"/>
        <w:ind w:left="0" w:right="0"/>
        <w:jc w:val="both"/>
      </w:pPr>
      <w:r>
        <w:rPr>
          <w:rFonts w:ascii="helvetica" w:hAnsi="helvetica" w:cs="helvetica" w:eastAsia="helvetica"/>
          <w:sz w:val="27"/>
          <w:color w:val="222222"/>
        </w:rPr>
        <w:t xml:space="preserve"> </w:t>
      </w:r>
    </w:p>
    <w:p>
      <w:pPr>
        <w:pStyle w:val="null3"/>
        <w:shd w:fill="FFFFFF"/>
        <w:spacing w:before="0" w:after="0"/>
        <w:ind w:left="0" w:right="0"/>
        <w:jc w:val="both"/>
      </w:pPr>
      <w:r>
        <w:rPr>
          <w:rFonts w:ascii="宋体" w:hAnsi="宋体" w:cs="宋体" w:eastAsia="宋体"/>
          <w:sz w:val="27"/>
          <w:b/>
          <w:color w:val="222222"/>
        </w:rPr>
        <w:t>甲方（盖章）：</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乙方（盖章）：</w:t>
      </w:r>
    </w:p>
    <w:p>
      <w:pPr>
        <w:pStyle w:val="null3"/>
        <w:shd w:fill="FFFFFF"/>
        <w:spacing w:before="0" w:after="0"/>
        <w:ind w:left="0" w:right="0"/>
        <w:jc w:val="both"/>
      </w:pPr>
      <w:r>
        <w:rPr>
          <w:rFonts w:ascii="宋体" w:hAnsi="宋体" w:cs="宋体" w:eastAsia="宋体"/>
          <w:sz w:val="27"/>
          <w:b/>
          <w:color w:val="222222"/>
        </w:rPr>
        <w:t>代表：</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代表：</w:t>
      </w:r>
    </w:p>
    <w:p>
      <w:pPr>
        <w:pStyle w:val="null3"/>
        <w:shd w:fill="FFFFFF"/>
        <w:spacing w:before="0" w:after="0"/>
        <w:ind w:left="0" w:right="0"/>
        <w:jc w:val="both"/>
      </w:pPr>
      <w:r>
        <w:rPr>
          <w:rFonts w:ascii="宋体" w:hAnsi="宋体" w:cs="宋体" w:eastAsia="宋体"/>
          <w:sz w:val="27"/>
          <w:color w:val="222222"/>
        </w:rPr>
        <w:t>签订地点：</w:t>
      </w:r>
    </w:p>
    <w:p>
      <w:pPr>
        <w:pStyle w:val="null3"/>
        <w:shd w:fill="FFFFFF"/>
        <w:spacing w:before="0" w:after="0"/>
        <w:ind w:left="0" w:right="0"/>
        <w:jc w:val="both"/>
      </w:pPr>
      <w:r>
        <w:rPr>
          <w:rFonts w:ascii="宋体" w:hAnsi="宋体" w:cs="宋体" w:eastAsia="宋体"/>
          <w:sz w:val="27"/>
          <w:color w:val="222222"/>
        </w:rPr>
        <w:t>签订日期：　　　年　　月　　日</w:t>
      </w:r>
      <w:r>
        <w:rPr>
          <w:rFonts w:ascii="宋体" w:hAnsi="宋体" w:cs="宋体" w:eastAsia="宋体"/>
          <w:sz w:val="27"/>
          <w:color w:val="222222"/>
        </w:rPr>
        <w:t xml:space="preserve"> </w:t>
      </w:r>
      <w:r>
        <w:rPr>
          <w:rFonts w:ascii="宋体" w:hAnsi="宋体" w:cs="宋体" w:eastAsia="宋体"/>
          <w:sz w:val="27"/>
          <w:color w:val="222222"/>
        </w:rPr>
        <w:t xml:space="preserve"> 签订日期：　　　年　　月　　日</w:t>
      </w:r>
    </w:p>
    <w:p>
      <w:pPr>
        <w:pStyle w:val="null3"/>
        <w:shd w:fill="FFFFFF"/>
        <w:spacing w:before="0" w:after="0"/>
        <w:ind w:left="0" w:right="0"/>
        <w:jc w:val="both"/>
      </w:pPr>
      <w:r>
        <w:rPr>
          <w:rFonts w:ascii="宋体" w:hAnsi="宋体" w:cs="宋体" w:eastAsia="宋体"/>
          <w:sz w:val="27"/>
          <w:color w:val="222222"/>
        </w:rPr>
        <w:t>开户名称：</w:t>
      </w:r>
    </w:p>
    <w:p>
      <w:pPr>
        <w:pStyle w:val="null3"/>
        <w:shd w:fill="FFFFFF"/>
        <w:spacing w:before="0" w:after="0"/>
        <w:ind w:left="0" w:right="0"/>
        <w:jc w:val="both"/>
      </w:pPr>
      <w:r>
        <w:rPr>
          <w:rFonts w:ascii="宋体" w:hAnsi="宋体" w:cs="宋体" w:eastAsia="宋体"/>
          <w:sz w:val="27"/>
          <w:color w:val="222222"/>
        </w:rPr>
        <w:t>银行帐号：</w:t>
      </w:r>
    </w:p>
    <w:p>
      <w:pPr>
        <w:pStyle w:val="null3"/>
        <w:shd w:fill="FFFFFF"/>
        <w:spacing w:before="0" w:after="0"/>
        <w:ind w:left="0" w:right="0"/>
        <w:jc w:val="both"/>
      </w:pPr>
      <w:r>
        <w:rPr>
          <w:rFonts w:ascii="宋体" w:hAnsi="宋体" w:cs="宋体" w:eastAsia="宋体"/>
          <w:sz w:val="27"/>
          <w:color w:val="222222"/>
        </w:rPr>
        <w:t>开 户 行：</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3.具有履行合同所必须的设备和专业技术能力的声明。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441900033-2024-00171</w:t>
      </w:r>
    </w:p>
    <w:p>
      <w:pPr>
        <w:pStyle w:val="null3"/>
        <w:jc w:val="center"/>
        <w:outlineLvl w:val="3"/>
      </w:pPr>
      <w:r>
        <w:rPr>
          <w:sz w:val="24"/>
          <w:b/>
        </w:rPr>
        <w:t>采购项目编号：</w:t>
      </w:r>
      <w:r>
        <w:rPr>
          <w:sz w:val="24"/>
          <w:b/>
        </w:rPr>
        <w:t>441900033-2024-00171</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广东政通招标有限公司</w:t>
      </w:r>
    </w:p>
    <w:p>
      <w:pPr>
        <w:pStyle w:val="null3"/>
        <w:ind w:firstLine="480"/>
      </w:pPr>
      <w:r>
        <w:rPr/>
        <w:t xml:space="preserve"> 你方组织的</w:t>
      </w:r>
      <w:r>
        <w:rPr>
          <w:u w:val="single"/>
        </w:rPr>
        <w:t>“</w:t>
      </w:r>
      <w:r>
        <w:rPr>
          <w:u w:val="single"/>
        </w:rPr>
        <w:t>东莞市麻涌镇雨水排水管养护服务项目</w:t>
      </w:r>
      <w:r>
        <w:rPr>
          <w:u w:val="single"/>
        </w:rPr>
        <w:t>”</w:t>
      </w:r>
      <w:r>
        <w:rPr/>
        <w:t>项目的招标[采购项目编号为：</w:t>
      </w:r>
      <w:r>
        <w:rPr>
          <w:u w:val="single"/>
        </w:rPr>
        <w:t>441900033-2024-00171</w:t>
      </w:r>
      <w:r>
        <w:rPr/>
        <w:t>]，我方愿参与投标。</w:t>
      </w:r>
    </w:p>
    <w:p>
      <w:pPr>
        <w:pStyle w:val="null3"/>
        <w:ind w:firstLine="480"/>
      </w:pPr>
      <w:r>
        <w:rPr/>
        <w:t>我方确认收到贵方提供的</w:t>
      </w:r>
      <w:r>
        <w:rPr>
          <w:u w:val="single"/>
        </w:rPr>
        <w:t>“</w:t>
      </w:r>
      <w:r>
        <w:rPr>
          <w:u w:val="single"/>
        </w:rPr>
        <w:t>东莞市麻涌镇雨水排水管养护服务项目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（十三）我方承诺遵守《中华人民共和国劳动民法典》有关规定和《中华人民共和国妇女权益保障法》中关于“劳动和社会保障权益”的有关要求。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服务期限</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广东政通招标有限公司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东莞市麻涌镇雨水排水管养护服务项目</w:t>
      </w:r>
      <w:r>
        <w:rPr/>
        <w:t>”项目采购[采购项目编号为</w:t>
      </w:r>
      <w:r>
        <w:rPr/>
        <w:t>441900033-2024-00171</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东莞市麻涌镇水务工程运营中心</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广东政通招标有限公司</w:t>
      </w:r>
    </w:p>
    <w:p>
      <w:pPr>
        <w:pStyle w:val="null3"/>
        <w:ind w:firstLine="480"/>
      </w:pPr>
      <w:r>
        <w:rPr/>
        <w:t xml:space="preserve"> 如果我方在贵采购代理机构组织的</w:t>
      </w:r>
      <w:r>
        <w:rPr/>
        <w:t>东莞市麻涌镇雨水排水管养护服务项目</w:t>
      </w:r>
      <w:r>
        <w:rPr/>
        <w:t>招标中获中标（采购项目编号：</w:t>
      </w:r>
      <w:r>
        <w:rPr/>
        <w:t>441900033-2024-00171</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广东政通招标有限公司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广东政通招标有限公司</w:t>
      </w:r>
    </w:p>
    <w:p>
      <w:pPr>
        <w:pStyle w:val="null3"/>
        <w:ind w:firstLine="480"/>
      </w:pPr>
      <w:r>
        <w:rPr/>
        <w:t>我单位已登记并准备参与“</w:t>
      </w:r>
      <w:r>
        <w:rPr/>
        <w:t>东莞市麻涌镇雨水排水管养护服务项目</w:t>
      </w:r>
      <w:r>
        <w:rPr/>
        <w:t>”项目（采购项目编号：</w:t>
      </w:r>
      <w:r>
        <w:rPr/>
        <w:t>441900033-2024-00171</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