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441900011-2024-00093</w:t>
      </w:r>
    </w:p>
    <w:p>
      <w:pPr>
        <w:pStyle w:val="null3"/>
        <w:jc w:val="center"/>
        <w:outlineLvl w:val="3"/>
      </w:pPr>
      <w:r>
        <w:rPr>
          <w:sz w:val="24"/>
          <w:b/>
        </w:rPr>
        <w:t>采购项目编号：</w:t>
      </w:r>
      <w:r>
        <w:rPr>
          <w:sz w:val="24"/>
          <w:b/>
        </w:rPr>
        <w:t>441900011-2024-00093</w:t>
      </w:r>
    </w:p>
    <w:p>
      <w:pPr>
        <w:pStyle w:val="null3"/>
        <w:jc w:val="center"/>
        <w:outlineLvl w:val="3"/>
      </w:pPr>
      <w:r>
        <w:rPr>
          <w:sz w:val="24"/>
          <w:b/>
        </w:rPr>
        <w:t>项目名称：</w:t>
      </w:r>
      <w:r>
        <w:rPr>
          <w:sz w:val="24"/>
          <w:b/>
        </w:rPr>
        <w:t>东莞滨海湾新区智慧道路前端设备运维服务项目</w:t>
      </w:r>
    </w:p>
    <w:p>
      <w:pPr>
        <w:pStyle w:val="null3"/>
        <w:jc w:val="center"/>
        <w:outlineLvl w:val="3"/>
      </w:pPr>
      <w:r>
        <w:rPr>
          <w:sz w:val="24"/>
          <w:b/>
        </w:rPr>
        <w:t>采购人：</w:t>
      </w:r>
      <w:r>
        <w:rPr>
          <w:sz w:val="24"/>
          <w:b/>
        </w:rPr>
        <w:t>东莞滨海湾新区管理委员会</w:t>
      </w:r>
    </w:p>
    <w:p>
      <w:pPr>
        <w:pStyle w:val="null3"/>
        <w:jc w:val="center"/>
        <w:outlineLvl w:val="3"/>
      </w:pPr>
      <w:r>
        <w:rPr>
          <w:sz w:val="24"/>
          <w:b/>
        </w:rPr>
        <w:t>采购代理机构：</w:t>
      </w:r>
      <w:r>
        <w:rPr>
          <w:sz w:val="24"/>
          <w:b/>
        </w:rPr>
        <w:t>广东政通招标有限公司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广东政通招标有限公司</w:t>
      </w:r>
      <w:r>
        <w:rPr/>
        <w:t>受</w:t>
      </w:r>
      <w:r>
        <w:rPr/>
        <w:t>东莞滨海湾新区管理委员会</w:t>
      </w:r>
      <w:r>
        <w:rPr/>
        <w:t>的委托，采用</w:t>
      </w:r>
      <w:r>
        <w:rPr/>
        <w:t>公开招标</w:t>
      </w:r>
      <w:r>
        <w:rPr/>
        <w:t>方式组织采购</w:t>
      </w:r>
      <w:r>
        <w:rPr/>
        <w:t>东莞滨海湾新区智慧道路前端设备运维服务项目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东莞滨海湾新区智慧道路前端设备运维服务项目</w:t>
      </w:r>
    </w:p>
    <w:p>
      <w:pPr>
        <w:pStyle w:val="null3"/>
        <w:ind w:firstLine="480"/>
      </w:pPr>
      <w:r>
        <w:rPr/>
        <w:t>采购计划编号：</w:t>
      </w:r>
      <w:r>
        <w:rPr/>
        <w:t>441900011-2024-00093</w:t>
      </w:r>
    </w:p>
    <w:p>
      <w:pPr>
        <w:pStyle w:val="null3"/>
        <w:ind w:firstLine="480"/>
      </w:pPr>
      <w:r>
        <w:rPr/>
        <w:t>采购项目编号：</w:t>
      </w:r>
      <w:r>
        <w:rPr/>
        <w:t>441900011-2024-00093</w:t>
      </w:r>
    </w:p>
    <w:p>
      <w:pPr>
        <w:pStyle w:val="null3"/>
        <w:ind w:firstLine="480"/>
      </w:pPr>
      <w:r>
        <w:rPr/>
        <w:t>采购方式：</w:t>
      </w:r>
      <w:r>
        <w:rPr/>
        <w:t>公开招标</w:t>
      </w:r>
    </w:p>
    <w:p>
      <w:pPr>
        <w:pStyle w:val="null3"/>
        <w:ind w:firstLine="480"/>
      </w:pPr>
      <w:r>
        <w:rPr/>
        <w:t>预算金额：</w:t>
      </w:r>
      <w:r>
        <w:rPr/>
        <w:t>3,489,000.00</w:t>
      </w:r>
      <w:r>
        <w:rPr/>
        <w:t>元</w:t>
      </w:r>
    </w:p>
    <w:p>
      <w:pPr>
        <w:pStyle w:val="null3"/>
        <w:outlineLvl w:val="3"/>
      </w:pPr>
      <w:r>
        <w:rPr>
          <w:sz w:val="24"/>
          <w:b/>
        </w:rPr>
        <w:t>2.项目内容及需求情况（采购项目技术规格、参数及要求）</w:t>
      </w:r>
    </w:p>
    <w:p>
      <w:pPr>
        <w:pStyle w:val="null3"/>
      </w:pPr>
      <w:r>
        <w:rPr/>
        <w:t>采购包1(东莞滨海湾新区智慧道路前端设备运维服务项目):</w:t>
      </w:r>
    </w:p>
    <w:p>
      <w:pPr>
        <w:pStyle w:val="null3"/>
      </w:pPr>
      <w:r>
        <w:rPr/>
        <w:t>采购包预算金额：3,489,000.00元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硬件运维服务</w:t>
            </w:r>
          </w:p>
        </w:tc>
        <w:tc>
          <w:tcPr>
            <w:tcW w:type="dxa" w:w="2052"/>
          </w:tcPr>
          <w:p>
            <w:pPr>
              <w:pStyle w:val="null3"/>
            </w:pPr>
            <w:r>
              <w:rPr/>
              <w:t>东莞滨海湾新区智慧道路前端设备运维服务项目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3,489,000.00</w:t>
            </w:r>
          </w:p>
        </w:tc>
        <w:tc>
          <w:tcPr>
            <w:tcW w:type="dxa" w:w="977"/>
          </w:tcPr>
          <w:p>
            <w:pPr>
              <w:pStyle w:val="null3"/>
            </w:pPr>
            <w:r>
              <w:rPr/>
              <w:t>否</w:t>
            </w:r>
          </w:p>
        </w:tc>
      </w:tr>
    </w:tbl>
    <w:p>
      <w:pPr>
        <w:pStyle w:val="null3"/>
      </w:pPr>
      <w:r>
        <w:rPr/>
        <w:t>本采购包接受联合体投标</w:t>
      </w:r>
    </w:p>
    <w:p>
      <w:pPr>
        <w:pStyle w:val="null3"/>
      </w:pPr>
      <w:r>
        <w:rPr/>
        <w:t>合同分包：不允许合同分包</w:t>
      </w:r>
    </w:p>
    <w:p>
      <w:pPr>
        <w:pStyle w:val="null3"/>
      </w:pPr>
      <w:r>
        <w:rPr/>
        <w:t>合同履行期限：自合同签订之日起1年</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2）有依法缴纳税收和社会保障资金的良好记录：投标（响应）文件中提供《资格条件承诺函》，可参考公告附件格式。</w:t>
      </w:r>
    </w:p>
    <w:p>
      <w:pPr>
        <w:pStyle w:val="null3"/>
      </w:pPr>
      <w:r>
        <w:rPr/>
        <w:t>3）具有良好的商业信誉和健全的财务会计制度：投标（响应）文件中提供《资格条件承诺函》，可参考公告附件格式。</w:t>
      </w:r>
    </w:p>
    <w:p>
      <w:pPr>
        <w:pStyle w:val="null3"/>
      </w:pPr>
      <w:r>
        <w:rPr/>
        <w:t>4）履行合同所必需的设备和专业技术能力：投标（响应）文件中提供《资格条件承诺函》，可参考公告附件格式。</w:t>
      </w:r>
    </w:p>
    <w:p>
      <w:pPr>
        <w:pStyle w:val="null3"/>
      </w:pPr>
      <w:r>
        <w:rPr/>
        <w:t>5）参加采购活动前3年内，在经营活动中没有重大违法记录：投标（响应）文件中提供《资格条件承诺函》。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采购包1（东莞滨海湾新区智慧道路前端设备运维服务项目）：</w:t>
      </w:r>
      <w:r>
        <w:rPr/>
        <w:t>本项目不属于专门面向中小企业的采购项目</w:t>
      </w:r>
    </w:p>
    <w:p>
      <w:pPr>
        <w:pStyle w:val="null3"/>
        <w:outlineLvl w:val="3"/>
      </w:pPr>
      <w:r>
        <w:rPr>
          <w:sz w:val="24"/>
          <w:b/>
        </w:rPr>
        <w:t>3.本项目特定的资格要求：</w:t>
      </w:r>
    </w:p>
    <w:p>
      <w:pPr>
        <w:pStyle w:val="null3"/>
      </w:pPr>
      <w:r>
        <w:rPr/>
        <w:t>采购包1（东莞滨海湾新区智慧道路前端设备运维服务项目）：</w:t>
      </w:r>
    </w:p>
    <w:p>
      <w:pPr>
        <w:pStyle w:val="null3"/>
      </w:pPr>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pPr>
      <w:r>
        <w:rPr/>
        <w:t>3)投标人须具有以下有效期内的任一资质证书： 1）机电设备安装工程专业承包叁级（或以上）资质证书； 2）机电工程施工总承包乙级（或以上）资质证书【或更换资质证书前机电工程施工总承包叁级（或以上）资质证书】； 3）建筑机电工程专业承包乙级（或以上）资质证书【或更换资质证书前城市及道路照明工程专业承包叁级（或以上）资质证书或更换资质证书前建筑机电安装工程专业承包叁级（或以上）资质证书】； 4）市政公用工程施工总承包乙级（或以上）资质证书【或更换资质证书前有效期内市政公用工程施工总承包叁级（或以上）资质证书】； 5）《承装（修、试）电力设施许可证》五级（或以上）证书。 注：1）资质证书已过期的按《住房和城乡建设部办公厅关于建设工程企业资质有关事宜的通知（建办市函〔2022〕361号）》、《广东省住房和城乡建设厅关于建设工程企业资质有关事宜的通知（粤建许函〔2022〕846号》执行，相关文件如有更新，以最新发布的文件规定为准。2）以联合体形式参加响应的，联合体各方中至少有一方符合以上资质条件。</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东莞滨海湾新区管理委员会</w:t>
      </w:r>
    </w:p>
    <w:p>
      <w:pPr>
        <w:pStyle w:val="null3"/>
        <w:ind w:firstLine="480"/>
      </w:pPr>
      <w:r>
        <w:rPr/>
        <w:t xml:space="preserve"> 地址：</w:t>
      </w:r>
      <w:r>
        <w:rPr/>
        <w:t>东莞滨海湾新区湾区1号</w:t>
      </w:r>
    </w:p>
    <w:p>
      <w:pPr>
        <w:pStyle w:val="null3"/>
        <w:ind w:firstLine="480"/>
      </w:pPr>
      <w:r>
        <w:rPr/>
        <w:t xml:space="preserve"> 联系方式：</w:t>
      </w:r>
      <w:r>
        <w:rPr/>
        <w:t>0769-26889224</w:t>
      </w:r>
    </w:p>
    <w:p>
      <w:pPr>
        <w:pStyle w:val="null3"/>
        <w:outlineLvl w:val="3"/>
      </w:pPr>
      <w:r>
        <w:rPr>
          <w:sz w:val="24"/>
          <w:b/>
        </w:rPr>
        <w:t xml:space="preserve"> 2.采购代理机构信息</w:t>
      </w:r>
    </w:p>
    <w:p>
      <w:pPr>
        <w:pStyle w:val="null3"/>
        <w:ind w:firstLine="480"/>
      </w:pPr>
      <w:r>
        <w:rPr/>
        <w:t xml:space="preserve"> 名称：</w:t>
      </w:r>
      <w:r>
        <w:rPr/>
        <w:t>广东政通招标有限公司</w:t>
      </w:r>
    </w:p>
    <w:p>
      <w:pPr>
        <w:pStyle w:val="null3"/>
        <w:ind w:firstLine="480"/>
      </w:pPr>
      <w:r>
        <w:rPr/>
        <w:t xml:space="preserve"> 地址：</w:t>
      </w:r>
      <w:r>
        <w:rPr/>
        <w:t>广东省东莞市南城街道广东省东莞市南城街道鸿福路199号410、411室</w:t>
      </w:r>
    </w:p>
    <w:p>
      <w:pPr>
        <w:pStyle w:val="null3"/>
        <w:ind w:firstLine="480"/>
      </w:pPr>
      <w:r>
        <w:rPr/>
        <w:t xml:space="preserve"> 联系方式：</w:t>
      </w:r>
      <w:r>
        <w:rPr/>
        <w:t>0769-22881803</w:t>
      </w:r>
    </w:p>
    <w:p>
      <w:pPr>
        <w:pStyle w:val="null3"/>
        <w:outlineLvl w:val="3"/>
      </w:pPr>
      <w:r>
        <w:rPr>
          <w:sz w:val="24"/>
          <w:b/>
        </w:rPr>
        <w:t xml:space="preserve"> 3.项目联系方式</w:t>
      </w:r>
    </w:p>
    <w:p>
      <w:pPr>
        <w:pStyle w:val="null3"/>
        <w:ind w:firstLine="480"/>
      </w:pPr>
      <w:r>
        <w:rPr/>
        <w:t xml:space="preserve"> 项目联系人：</w:t>
      </w:r>
      <w:r>
        <w:rPr/>
        <w:t>杨俊平</w:t>
      </w:r>
    </w:p>
    <w:p>
      <w:pPr>
        <w:pStyle w:val="null3"/>
        <w:ind w:firstLine="480"/>
      </w:pPr>
      <w:r>
        <w:rPr/>
        <w:t xml:space="preserve"> 电话：</w:t>
      </w:r>
      <w:r>
        <w:rPr/>
        <w:t>0769-22881803</w:t>
      </w:r>
    </w:p>
    <w:p>
      <w:pPr>
        <w:pStyle w:val="null3"/>
        <w:outlineLvl w:val="3"/>
      </w:pPr>
      <w:r>
        <w:rPr>
          <w:sz w:val="24"/>
          <w:b/>
        </w:rPr>
        <w:t xml:space="preserve"> 4.技术支持联系方式</w:t>
      </w:r>
    </w:p>
    <w:p>
      <w:pPr>
        <w:pStyle w:val="null3"/>
        <w:ind w:firstLine="480"/>
      </w:pPr>
      <w:r>
        <w:rPr/>
        <w:t>云平台联系方式：020-88696588</w:t>
      </w:r>
    </w:p>
    <w:p>
      <w:pPr>
        <w:pStyle w:val="null3"/>
      </w:pPr>
      <w:r>
        <w:rPr/>
        <w:t xml:space="preserve"> 采购代理机构：</w:t>
      </w:r>
      <w:r>
        <w:rPr/>
        <w:t>广东政通招标有限公司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东莞滨海湾新区智慧道路前端设备运维服务项目</w:t>
      </w:r>
    </w:p>
    <w:p>
      <w:pPr>
        <w:pStyle w:val="null3"/>
      </w:pPr>
      <w:r>
        <w:rPr/>
        <w:t>采购包1（东莞滨海湾新区智慧道路前端设备运维服务项目）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自合同签订之日起1年</w:t>
            </w:r>
          </w:p>
        </w:tc>
      </w:tr>
      <w:tr>
        <w:tc>
          <w:tcPr>
            <w:tcW w:type="dxa" w:w="4153"/>
          </w:tcPr>
          <w:p>
            <w:pPr>
              <w:pStyle w:val="null3"/>
            </w:pPr>
            <w:r>
              <w:rPr/>
              <w:t>标的提供的地点</w:t>
            </w:r>
          </w:p>
        </w:tc>
        <w:tc>
          <w:tcPr>
            <w:tcW w:type="dxa" w:w="4153"/>
          </w:tcPr>
          <w:p>
            <w:pPr>
              <w:pStyle w:val="null3"/>
            </w:pPr>
            <w:r>
              <w:rPr/>
              <w:t>采购人指定位置</w:t>
            </w:r>
          </w:p>
        </w:tc>
      </w:tr>
      <w:tr>
        <w:tc>
          <w:tcPr>
            <w:tcW w:type="dxa" w:w="4153"/>
          </w:tcPr>
          <w:p>
            <w:pPr>
              <w:pStyle w:val="null3"/>
            </w:pPr>
            <w:r>
              <w:rPr/>
              <w:t>付款方式</w:t>
            </w:r>
          </w:p>
        </w:tc>
        <w:tc>
          <w:tcPr>
            <w:tcW w:type="dxa" w:w="4153"/>
          </w:tcPr>
          <w:p>
            <w:pPr>
              <w:pStyle w:val="null3"/>
            </w:pPr>
            <w:r>
              <w:rPr/>
              <w:t>1期：支付比例10%,签订合同后，采购人收到中标人开具有效的相应发票等请款资料后30个工作日内支付合同金额的10%给中标人。</w:t>
            </w:r>
          </w:p>
          <w:p>
            <w:pPr>
              <w:pStyle w:val="null3"/>
            </w:pPr>
            <w:r>
              <w:rPr/>
              <w:t>2期：支付比例15%,合同服务期满3个月，采购人收到中标人开具有效的相应发票等请款资料的30个工作日内支付合同金额的15%给中标人。</w:t>
            </w:r>
          </w:p>
          <w:p>
            <w:pPr>
              <w:pStyle w:val="null3"/>
            </w:pPr>
            <w:r>
              <w:rPr/>
              <w:t>3期：支付比例25%,合同服务期满6个月，采购人收到中标人开具有效的相应发票等请款资料的30个工作日内支付合同金额的25%给中标人。</w:t>
            </w:r>
          </w:p>
          <w:p>
            <w:pPr>
              <w:pStyle w:val="null3"/>
            </w:pPr>
            <w:r>
              <w:rPr/>
              <w:t>4期：支付比例25%,合同服务期满9个月，采购人收到中标人开具有效的相应发票等请款资料的30个工作日内支付合同金额的25%给中标人。</w:t>
            </w:r>
          </w:p>
          <w:p>
            <w:pPr>
              <w:pStyle w:val="null3"/>
            </w:pPr>
            <w:r>
              <w:rPr/>
              <w:t>5期：支付比例25%,合同服务期满12个月并且通过采购人验收后，采购人收到中标人开具有效的相应发票等请款资料的30个工作日内支付合同金额的25%给中标人。 注：如每个支付期考核发生相应的扣款，则支付金额按扣款后的实际结算金额支付（即实际结算金额=季度服务费金额-相应扣款金额）。</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1期：服务期结束后，按国家及相关行业标准进行验收。</w:t>
            </w:r>
          </w:p>
        </w:tc>
      </w:tr>
      <w:tr>
        <w:tc>
          <w:tcPr>
            <w:tcW w:type="dxa" w:w="4153"/>
          </w:tcPr>
          <w:p>
            <w:pPr>
              <w:pStyle w:val="null3"/>
            </w:pPr>
            <w:r>
              <w:rPr/>
              <w:t>履约保证金</w:t>
            </w:r>
          </w:p>
        </w:tc>
        <w:tc>
          <w:tcPr>
            <w:tcW w:type="dxa" w:w="4153"/>
          </w:tcPr>
          <w:p>
            <w:pPr>
              <w:pStyle w:val="null3"/>
            </w:pPr>
            <w:r>
              <w:rPr/>
              <w:t>收取比例：5%,说明：中标人应在领取中标通知书之后签订合同之前递交履约保证金，履约保证金金额为合同金额的5%，履约保证金可采用保证金（银行转账、电汇）方式，或采用银行出具的履约担保函方式。①以银行转账形式提供履约担保的，履约保证金在最终验收合格后，中标人向采购人提交退回履约保证金的申请、履约保证金汇款凭证复印件、采购合同、采购项目验收报告原件、中标通知书复印件，前往采购人办理履约保证金退还手续。在本项目合同执行期间，如因中标人的过失或工作不配合的原因造成采购人经济损失的，采购人有权根据损失的数额直接在履约保证金中扣除并书面通知中标人。发生下列情况之一的，履约保证金不予退还：（1）中标人将本项目转让给他人，或者在投标文件中未说明，且未经采购人同意，将中标项目分包给他人的，采购人可依法不予退还其履约保证金；（2）中标人在履行采购合同期间，违反有关法律法规的规定及合同约定的条款，损害了采购人的利益，采购人可依法不予退还其履约保证金。②以履约保函形式提供履约担保的，中标人履行完毕合同义务后，及履约保证函到期时，采购人将履约保函退回给中标人。在本项目合同执行期间，如因中标人的过失或工作不配合的原因造成采购人经济损失的，采购人有权按照履约保函中的条款执行并书面通知中标人。</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其他，报价要求:报价应包括本次招标所有服务内容的费用，包括运维服务费、监控点电费、人工、材料、措施费、税费以及合同实施过程中等全部费用。 合同条款:投标人实质响应合同各条款。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硬件运维服务</w:t>
            </w:r>
          </w:p>
        </w:tc>
        <w:tc>
          <w:tcPr>
            <w:tcW w:type="dxa" w:w="933"/>
          </w:tcPr>
          <w:p>
            <w:pPr>
              <w:pStyle w:val="null3"/>
              <w:jc w:val="left"/>
            </w:pPr>
            <w:r>
              <w:rPr/>
              <w:t>东莞滨海湾新区智慧道路前端设备运维服务项目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3,489,000.00</w:t>
            </w:r>
          </w:p>
        </w:tc>
        <w:tc>
          <w:tcPr>
            <w:tcW w:type="dxa" w:w="933"/>
          </w:tcPr>
          <w:p>
            <w:pPr>
              <w:pStyle w:val="null3"/>
              <w:jc w:val="right"/>
            </w:pPr>
            <w:r>
              <w:rPr/>
              <w:t>3,489,000.00</w:t>
            </w:r>
          </w:p>
        </w:tc>
        <w:tc>
          <w:tcPr>
            <w:tcW w:type="dxa" w:w="840"/>
          </w:tcPr>
          <w:p>
            <w:pPr>
              <w:pStyle w:val="null3"/>
            </w:pPr>
            <w:r>
              <w:rPr/>
              <w:t>软件和信息技术服务业</w:t>
            </w:r>
          </w:p>
        </w:tc>
        <w:tc>
          <w:tcPr>
            <w:tcW w:type="dxa" w:w="933"/>
          </w:tcPr>
          <w:p>
            <w:pPr>
              <w:pStyle w:val="null3"/>
            </w:pPr>
            <w:r>
              <w:rPr/>
              <w:t>详见附表一</w:t>
            </w:r>
          </w:p>
        </w:tc>
      </w:tr>
    </w:tbl>
    <w:p>
      <w:pPr>
        <w:pStyle w:val="null3"/>
      </w:pPr>
      <w:r>
        <w:rPr>
          <w:b/>
        </w:rPr>
        <w:t>附表</w:t>
      </w:r>
      <w:r>
        <w:rPr>
          <w:b/>
        </w:rPr>
        <w:t>一</w:t>
      </w:r>
      <w:r>
        <w:rPr>
          <w:b/>
        </w:rPr>
        <w:t>：</w:t>
      </w:r>
      <w:r>
        <w:rPr>
          <w:b/>
        </w:rPr>
        <w:t>东莞滨海湾新区智慧道路前端设备运维服务项目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outlineLvl w:val="3"/>
            </w:pPr>
            <w:r>
              <w:rPr>
                <w:sz w:val="24"/>
                <w:b/>
              </w:rPr>
              <w:t>一、项目概况</w:t>
            </w:r>
          </w:p>
          <w:p>
            <w:pPr>
              <w:pStyle w:val="null3"/>
              <w:ind w:left="420"/>
              <w:jc w:val="both"/>
              <w:outlineLvl w:val="1"/>
            </w:pPr>
            <w:r>
              <w:rPr>
                <w:sz w:val="21"/>
                <w:b/>
              </w:rPr>
              <w:t>1.1.项目概述</w:t>
            </w:r>
          </w:p>
          <w:p>
            <w:pPr>
              <w:pStyle w:val="null3"/>
              <w:ind w:left="420"/>
              <w:jc w:val="both"/>
              <w:outlineLvl w:val="2"/>
            </w:pPr>
            <w:r>
              <w:rPr>
                <w:sz w:val="21"/>
                <w:b/>
              </w:rPr>
              <w:t>1.1.1.项目基本情况</w:t>
            </w:r>
          </w:p>
          <w:p>
            <w:pPr>
              <w:pStyle w:val="null3"/>
              <w:ind w:firstLine="560"/>
              <w:jc w:val="both"/>
            </w:pPr>
            <w:r>
              <w:rPr>
                <w:sz w:val="21"/>
              </w:rPr>
              <w:t>本次运维项目包括原建设项目东莞滨海湾新区智慧灯杆试点项目灯杆设备采购项目（以下简称试点项目）和东莞滨海湾新区交椅湾智慧道路</w:t>
            </w:r>
            <w:r>
              <w:rPr>
                <w:sz w:val="21"/>
              </w:rPr>
              <w:t>(二期）滨海湾大道、中海路、华海路、振海路、东海路前端设备采购项目（以下简称二期项目）两期建设的全部设备。</w:t>
            </w:r>
          </w:p>
          <w:p>
            <w:pPr>
              <w:pStyle w:val="null3"/>
              <w:ind w:left="420"/>
              <w:jc w:val="both"/>
              <w:outlineLvl w:val="2"/>
            </w:pPr>
            <w:r>
              <w:rPr>
                <w:sz w:val="21"/>
                <w:b/>
              </w:rPr>
              <w:t>1.1.2.设施设备使用情况</w:t>
            </w:r>
          </w:p>
          <w:p>
            <w:pPr>
              <w:pStyle w:val="null3"/>
              <w:ind w:firstLine="420"/>
              <w:jc w:val="left"/>
            </w:pPr>
            <w:r>
              <w:rPr>
                <w:sz w:val="21"/>
              </w:rPr>
              <w:t>智慧道路前端设施设备包括，智慧灯杆、供配电系统、智能照明控制系统、交通信号控制系统、电子警察系统、智能标志牌统、视频监控系统、智慧公交站台、</w:t>
            </w:r>
            <w:r>
              <w:rPr>
                <w:sz w:val="21"/>
              </w:rPr>
              <w:t>LED信息发布屏、紧急呼叫与公共广播、环境气象监测、井盖监测等设施设备，目前设备运行良好。基于智慧道路前端设备构建设备智联“一张网”，通过物联智控等手段，打通跨品牌智联终端通信协议，实现所有道路设施无障碍接入平台，打造“人-车-路-环境”多源城市道路大数据融合“感知神经末销”，为滨海湾智慧城市管理中心提供安全可控的在线监测、业务联动、远程维保等管理和服务功能的城市运行感知数据支撑，夯实滨海湾数字底座，</w:t>
            </w:r>
            <w:r>
              <w:rPr>
                <w:sz w:val="21"/>
                <w:shd w:fill="FFFFFF" w:val="clear"/>
              </w:rPr>
              <w:t>满足城市照明、交通、安防、市政等社会治理事件的一网统管、高效协同，提升城市精细化管理能力和现代化管理水平，助力打造</w:t>
            </w:r>
            <w:r>
              <w:rPr>
                <w:sz w:val="21"/>
                <w:shd w:fill="FFFFFF" w:val="clear"/>
              </w:rPr>
              <w:t>“智慧滨海湾、数字未来城”。</w:t>
            </w:r>
          </w:p>
          <w:p>
            <w:pPr>
              <w:pStyle w:val="null3"/>
              <w:ind w:left="420"/>
              <w:jc w:val="both"/>
              <w:outlineLvl w:val="1"/>
            </w:pPr>
            <w:r>
              <w:rPr>
                <w:sz w:val="21"/>
                <w:b/>
              </w:rPr>
              <w:t>1.2.项目运维目标</w:t>
            </w:r>
          </w:p>
          <w:p>
            <w:pPr>
              <w:pStyle w:val="null3"/>
              <w:ind w:firstLine="420"/>
              <w:jc w:val="both"/>
            </w:pPr>
            <w:r>
              <w:rPr>
                <w:sz w:val="21"/>
              </w:rPr>
              <w:t>本项目主要是对滨海湾新区智慧道路试点及二期项目建设的前端路面设备进行运维保养，主要包含以下设备的正常维护：前端箱式变电站</w:t>
            </w:r>
            <w:r>
              <w:rPr>
                <w:sz w:val="21"/>
              </w:rPr>
              <w:t>5台、10KV高压分支箱1台、电箱2台、灯杆1279杆、综合机箱9台、电子警察22套、各类摄像机1076台、路牌349套、广播音柱89套、户外显示屏42套、一键呼叫89套、井盖传感器2415套、气象传感器10、环境传感器10套、水位传感器20套及配套设施供电线路，项目采用完全外包的模式，服务周期为一年。项目需规范维护工作流程，落实责任，保证智慧道路前端设备正常运行，满足管委会各部门业务正常运行的需要。</w:t>
            </w:r>
          </w:p>
          <w:p>
            <w:pPr>
              <w:pStyle w:val="null3"/>
              <w:ind w:firstLine="420"/>
              <w:jc w:val="both"/>
            </w:pPr>
            <w:r>
              <w:rPr>
                <w:sz w:val="21"/>
              </w:rPr>
              <w:t>实现智慧道路前端设备的定期维护和管理，包括设备巡检、故障处理等工作，从而减少设备故障率和维修次数，并提高设备可靠性和稳定性。</w:t>
            </w:r>
          </w:p>
          <w:p>
            <w:pPr>
              <w:pStyle w:val="null3"/>
              <w:ind w:firstLine="420"/>
              <w:jc w:val="both"/>
            </w:pPr>
            <w:r>
              <w:rPr>
                <w:sz w:val="21"/>
              </w:rPr>
              <w:t>建立设备运维日志和故障记录，及时发现和解决设备问题，把握设备运行情况，制定科学的设备运维计划。</w:t>
            </w:r>
          </w:p>
          <w:p>
            <w:pPr>
              <w:pStyle w:val="null3"/>
              <w:ind w:firstLine="420"/>
              <w:jc w:val="both"/>
            </w:pPr>
            <w:r>
              <w:rPr>
                <w:sz w:val="21"/>
              </w:rPr>
              <w:t>不断优化智慧道路前端设备的运行效率，提高设备数据采集和传输能力，为交通管理提供更加全面有效的数据支持。</w:t>
            </w:r>
          </w:p>
          <w:p>
            <w:pPr>
              <w:pStyle w:val="null3"/>
              <w:ind w:firstLine="420"/>
              <w:jc w:val="both"/>
            </w:pPr>
            <w:r>
              <w:rPr>
                <w:sz w:val="21"/>
              </w:rPr>
              <w:t>通过维护促进功能的完善与发展，满足管委会各部门业务不断发展的需要。</w:t>
            </w:r>
          </w:p>
          <w:p>
            <w:pPr>
              <w:pStyle w:val="null3"/>
              <w:jc w:val="both"/>
              <w:outlineLvl w:val="3"/>
            </w:pPr>
            <w:r>
              <w:rPr>
                <w:sz w:val="24"/>
                <w:b/>
              </w:rPr>
              <w:t>二、现状及需求分析</w:t>
            </w:r>
          </w:p>
          <w:p>
            <w:pPr>
              <w:pStyle w:val="null3"/>
              <w:ind w:left="420"/>
              <w:jc w:val="both"/>
              <w:outlineLvl w:val="1"/>
            </w:pPr>
            <w:r>
              <w:rPr>
                <w:sz w:val="21"/>
                <w:b/>
              </w:rPr>
              <w:t>2.1.项目现状分析</w:t>
            </w:r>
          </w:p>
          <w:p>
            <w:pPr>
              <w:pStyle w:val="null3"/>
              <w:ind w:left="420"/>
              <w:jc w:val="both"/>
              <w:outlineLvl w:val="2"/>
            </w:pPr>
            <w:r>
              <w:rPr>
                <w:sz w:val="21"/>
                <w:b/>
              </w:rPr>
              <w:t>2.1.1.项目现状</w:t>
            </w:r>
          </w:p>
          <w:p>
            <w:pPr>
              <w:pStyle w:val="null3"/>
              <w:ind w:firstLine="420"/>
              <w:jc w:val="both"/>
            </w:pPr>
            <w:r>
              <w:rPr>
                <w:sz w:val="21"/>
              </w:rPr>
              <w:t>东莞滨海湾新区智慧道路经过试点项目和二期项目两期建设，其中试点项目建设范围包括兴海路（</w:t>
            </w:r>
            <w:r>
              <w:rPr>
                <w:sz w:val="21"/>
              </w:rPr>
              <w:t>1.8公里）、迎宾路（282米）两条道路，二期项目建设范围包括滨海湾大道（4.46公里）、中海路（2.62公里）、振海路（1.58公里）、华海路（1.69公里）、东海路（2.65公里）、规划二路（564米）共6条道路，以及10个出入口道闸和保安亭；整体项目运行良好。</w:t>
            </w:r>
          </w:p>
          <w:p>
            <w:pPr>
              <w:pStyle w:val="null3"/>
              <w:ind w:firstLine="420"/>
              <w:jc w:val="both"/>
            </w:pPr>
            <w:r>
              <w:rPr>
                <w:sz w:val="21"/>
              </w:rPr>
              <w:t>目前，滨海湾智慧道路已完成集智能照明、视频监控、井盖监测、交通信号控制、电子警察、信息发布屏、紧急呼叫、公共广播、环境气象监测、水位监控、智能发光标牌等多功能于一体的智慧多功能杆</w:t>
            </w:r>
            <w:r>
              <w:rPr>
                <w:sz w:val="21"/>
              </w:rPr>
              <w:t>1279杆、智能公交站、道闸等道路设备，设备采用数据统一汇聚到滨海湾城市管理中心。实现视频监控、智慧照明、感知设备、信息发布等功能，涉及公交、交警、城管、市政等多个职能部门的业务应用。</w:t>
            </w:r>
          </w:p>
          <w:p>
            <w:pPr>
              <w:pStyle w:val="null3"/>
              <w:ind w:left="420"/>
              <w:jc w:val="both"/>
              <w:outlineLvl w:val="2"/>
            </w:pPr>
            <w:r>
              <w:rPr>
                <w:sz w:val="21"/>
                <w:b/>
              </w:rPr>
              <w:t>2.1.2.日常维护需求分析</w:t>
            </w:r>
          </w:p>
          <w:p>
            <w:pPr>
              <w:pStyle w:val="null3"/>
              <w:ind w:firstLine="420"/>
              <w:jc w:val="both"/>
            </w:pPr>
            <w:r>
              <w:rPr>
                <w:sz w:val="21"/>
              </w:rPr>
              <w:t>为保证滨海湾新区智慧道路项目的质量，实现预期的使用效果，及时掌握设备运行的情况，快速的排除各类故障，现需以外包的形式面向社会招聘系统维护服务商，对整个智慧道路前端设备进行维护和保养。并要求中标人针对本项目制定的日常维护方案包括定期维护保养，特殊天气维护方案和节假日、大型活动维护方案。</w:t>
            </w:r>
          </w:p>
          <w:p>
            <w:pPr>
              <w:pStyle w:val="null3"/>
              <w:ind w:left="420"/>
              <w:jc w:val="both"/>
              <w:outlineLvl w:val="3"/>
            </w:pPr>
            <w:r>
              <w:rPr>
                <w:sz w:val="21"/>
                <w:b/>
              </w:rPr>
              <w:t>2.1.2.1.智慧灯杆及道路照明维护需求</w:t>
            </w:r>
          </w:p>
          <w:p>
            <w:pPr>
              <w:pStyle w:val="null3"/>
              <w:ind w:firstLine="420"/>
              <w:jc w:val="both"/>
            </w:pPr>
            <w:r>
              <w:rPr>
                <w:sz w:val="21"/>
              </w:rPr>
              <w:t>道路照明维护的目标是确保道路夜间照明效果良好，提高行车和行人的安全性。</w:t>
            </w:r>
          </w:p>
          <w:p>
            <w:pPr>
              <w:pStyle w:val="null3"/>
              <w:ind w:firstLine="420"/>
              <w:jc w:val="both"/>
            </w:pPr>
            <w:r>
              <w:rPr>
                <w:sz w:val="21"/>
              </w:rPr>
              <w:t>需要对道路照明设备进行定期巡查和维护，包括灯杆、灯具、节点、线路等的检查和更换以及设备防盗。</w:t>
            </w:r>
          </w:p>
          <w:p>
            <w:pPr>
              <w:pStyle w:val="null3"/>
              <w:ind w:firstLine="420"/>
              <w:jc w:val="both"/>
            </w:pPr>
            <w:r>
              <w:rPr>
                <w:sz w:val="21"/>
              </w:rPr>
              <w:t>需要建立道路照明设备表面定期清洗计划，及时清除城市照明设施上包括灯杆、电箱、设备箱等设施的乱张贴、乱涂写和乱拉挂。</w:t>
            </w:r>
          </w:p>
          <w:p>
            <w:pPr>
              <w:pStyle w:val="null3"/>
              <w:ind w:firstLine="420"/>
              <w:jc w:val="both"/>
            </w:pPr>
            <w:r>
              <w:rPr>
                <w:sz w:val="21"/>
              </w:rPr>
              <w:t>需要建立灯杆、电箱喷漆翻新计划，每季度对灯杆等其他影响观瞻的设备表面按规定定期喷漆。</w:t>
            </w:r>
          </w:p>
          <w:p>
            <w:pPr>
              <w:pStyle w:val="null3"/>
              <w:ind w:firstLine="420"/>
              <w:jc w:val="both"/>
            </w:pPr>
            <w:r>
              <w:rPr>
                <w:sz w:val="21"/>
              </w:rPr>
              <w:t>需要建立道路照明设备的故障报修机制，对居民或相关部门报修的路灯故障及时修复。</w:t>
            </w:r>
          </w:p>
          <w:p>
            <w:pPr>
              <w:pStyle w:val="null3"/>
              <w:ind w:firstLine="420"/>
              <w:jc w:val="both"/>
            </w:pPr>
            <w:r>
              <w:rPr>
                <w:sz w:val="21"/>
              </w:rPr>
              <w:t>需要建立道路照明设备维护记录，记录每次巡查和维护的时间、地点、问题和处理情况，以便后续跟踪和分析。</w:t>
            </w:r>
          </w:p>
          <w:p>
            <w:pPr>
              <w:pStyle w:val="null3"/>
              <w:ind w:firstLine="420"/>
              <w:jc w:val="both"/>
            </w:pPr>
            <w:r>
              <w:rPr>
                <w:sz w:val="21"/>
              </w:rPr>
              <w:t>需要建立道路照明设备维护人员的管理和培训机制，确保维护人员具备专业知识和技能。</w:t>
            </w:r>
          </w:p>
          <w:p>
            <w:pPr>
              <w:pStyle w:val="null3"/>
              <w:ind w:firstLine="420"/>
              <w:jc w:val="both"/>
            </w:pPr>
            <w:r>
              <w:rPr>
                <w:sz w:val="21"/>
              </w:rPr>
              <w:t>需要建立道路照明设备备品备件管理机制，确保设备故障第一时间得到修复。</w:t>
            </w:r>
          </w:p>
          <w:p>
            <w:pPr>
              <w:pStyle w:val="null3"/>
              <w:ind w:firstLine="420"/>
              <w:jc w:val="both"/>
            </w:pPr>
            <w:r>
              <w:rPr>
                <w:sz w:val="21"/>
              </w:rPr>
              <w:t>需要与供电部门进行配合，确保路灯供电正常并及时处理供电故障。</w:t>
            </w:r>
          </w:p>
          <w:p>
            <w:pPr>
              <w:pStyle w:val="null3"/>
              <w:ind w:firstLine="420"/>
              <w:jc w:val="both"/>
            </w:pPr>
            <w:r>
              <w:rPr>
                <w:sz w:val="21"/>
              </w:rPr>
              <w:t>需要定期评估路灯照明效果，根据评估结果进行调整和改进，以提高照明效果和节能减排。</w:t>
            </w:r>
          </w:p>
          <w:p>
            <w:pPr>
              <w:pStyle w:val="null3"/>
              <w:ind w:firstLine="420"/>
              <w:jc w:val="both"/>
            </w:pPr>
            <w:r>
              <w:rPr>
                <w:sz w:val="21"/>
              </w:rPr>
              <w:t>需要建立路灯照明维护的监督和考核机制，确保维护工作的质量和效果。</w:t>
            </w:r>
          </w:p>
          <w:p>
            <w:pPr>
              <w:pStyle w:val="null3"/>
              <w:ind w:firstLine="420"/>
              <w:jc w:val="both"/>
            </w:pPr>
            <w:r>
              <w:rPr>
                <w:sz w:val="21"/>
              </w:rPr>
              <w:t>道路高低压配电设备的维护必须确保设备的安全性，包括防止电气火灾、电击等安全隐患，及时发现和排除设备故障，保障人员和设备的安全。</w:t>
            </w:r>
          </w:p>
          <w:p>
            <w:pPr>
              <w:pStyle w:val="null3"/>
              <w:ind w:firstLine="420"/>
              <w:jc w:val="both"/>
            </w:pPr>
            <w:r>
              <w:rPr>
                <w:sz w:val="21"/>
              </w:rPr>
              <w:t>在设备发生故障或者突发情况时，需要能够快速响应并进行维修，以减少设备停运时间，避免对道路交通和安全产生影响。</w:t>
            </w:r>
          </w:p>
          <w:p>
            <w:pPr>
              <w:pStyle w:val="null3"/>
              <w:ind w:left="420"/>
              <w:jc w:val="both"/>
              <w:outlineLvl w:val="3"/>
            </w:pPr>
            <w:r>
              <w:rPr>
                <w:sz w:val="21"/>
                <w:b/>
              </w:rPr>
              <w:t>2.1.2.2.道路视频监控维护需求</w:t>
            </w:r>
          </w:p>
          <w:p>
            <w:pPr>
              <w:pStyle w:val="null3"/>
              <w:ind w:firstLine="420"/>
              <w:jc w:val="both"/>
            </w:pPr>
            <w:r>
              <w:rPr>
                <w:sz w:val="21"/>
              </w:rPr>
              <w:t>需要建立日常巡检制度，巡查摄像头设备，检查摄像头的清晰度、焦距、灵敏度和工作状态等指标，防止意外损坏或失效的情况发生。</w:t>
            </w:r>
          </w:p>
          <w:p>
            <w:pPr>
              <w:pStyle w:val="null3"/>
              <w:ind w:firstLine="420"/>
              <w:jc w:val="both"/>
            </w:pPr>
            <w:r>
              <w:rPr>
                <w:sz w:val="21"/>
              </w:rPr>
              <w:t>定期更换和维护摄像头的镜头、光圈和云台等部件，保证清晰度和焦距的基础上，保证摄像头的可控性和灵敏度。</w:t>
            </w:r>
          </w:p>
          <w:p>
            <w:pPr>
              <w:pStyle w:val="null3"/>
              <w:ind w:firstLine="420"/>
              <w:jc w:val="both"/>
            </w:pPr>
            <w:r>
              <w:rPr>
                <w:sz w:val="21"/>
              </w:rPr>
              <w:t>定期检查监控设备的网络连接、传输速率和传输质量等指标，保证摄像头与监控中心之间的数据传输畅通。</w:t>
            </w:r>
          </w:p>
          <w:p>
            <w:pPr>
              <w:pStyle w:val="null3"/>
              <w:ind w:firstLine="420"/>
              <w:jc w:val="both"/>
            </w:pPr>
            <w:r>
              <w:rPr>
                <w:sz w:val="21"/>
              </w:rPr>
              <w:t>当发现摄像头出现故障或失效的情况时，立即进行维护和修理，并及时更换故障的部件和设备。</w:t>
            </w:r>
          </w:p>
          <w:p>
            <w:pPr>
              <w:pStyle w:val="null3"/>
              <w:ind w:firstLine="420"/>
              <w:jc w:val="both"/>
            </w:pPr>
            <w:r>
              <w:rPr>
                <w:sz w:val="21"/>
              </w:rPr>
              <w:t>定期对视频监控设备进行更新升级和软件更新，及时满足监控需求的变化和更新。</w:t>
            </w:r>
          </w:p>
          <w:p>
            <w:pPr>
              <w:pStyle w:val="null3"/>
              <w:ind w:firstLine="420"/>
              <w:jc w:val="both"/>
            </w:pPr>
            <w:r>
              <w:rPr>
                <w:sz w:val="21"/>
              </w:rPr>
              <w:t>对于道路监控画面涉及的信息和事件应当有专门负责的人员进行及时汇总、记录和报告，以提供相关部门的及时支持，以保证交通出行的畅通和安全。</w:t>
            </w:r>
          </w:p>
          <w:p>
            <w:pPr>
              <w:pStyle w:val="null3"/>
              <w:ind w:left="420"/>
              <w:jc w:val="both"/>
              <w:outlineLvl w:val="3"/>
            </w:pPr>
            <w:r>
              <w:rPr>
                <w:sz w:val="21"/>
                <w:b/>
              </w:rPr>
              <w:t>2.1.2.3.电子警察维护需求</w:t>
            </w:r>
          </w:p>
          <w:p>
            <w:pPr>
              <w:pStyle w:val="null3"/>
              <w:ind w:firstLine="420"/>
              <w:jc w:val="both"/>
            </w:pPr>
            <w:r>
              <w:rPr>
                <w:sz w:val="21"/>
              </w:rPr>
              <w:t>需要定期对电子警察清洁，因为电子警察设备通常放置在路边或交通路口等场所，容易受到外部环境的影响，需要定期清洁设备表面和镜头，以保证影像采集的质量。</w:t>
            </w:r>
          </w:p>
          <w:p>
            <w:pPr>
              <w:pStyle w:val="null3"/>
              <w:ind w:firstLine="420"/>
              <w:jc w:val="both"/>
            </w:pPr>
            <w:r>
              <w:rPr>
                <w:sz w:val="21"/>
              </w:rPr>
              <w:t>为了保证电子警察设备采集到准确的数据，需要定期对其进行校准，确保其记录的数据与实际情况相符，同时检查设备是否存在故障现象。</w:t>
            </w:r>
          </w:p>
          <w:p>
            <w:pPr>
              <w:pStyle w:val="null3"/>
              <w:ind w:firstLine="420"/>
              <w:jc w:val="both"/>
            </w:pPr>
            <w:r>
              <w:rPr>
                <w:sz w:val="21"/>
              </w:rPr>
              <w:t>需要定期检查设备的运行状态，确保其正常工作，例如检查镜头是否清晰，摄像头是否损坏等等。</w:t>
            </w:r>
          </w:p>
          <w:p>
            <w:pPr>
              <w:pStyle w:val="null3"/>
              <w:ind w:firstLine="420"/>
              <w:jc w:val="both"/>
            </w:pPr>
            <w:r>
              <w:rPr>
                <w:sz w:val="21"/>
              </w:rPr>
              <w:t>电子警察设备需要稳定运行，因此需要确保设备的电源供应和网络连接稳定，避免影响设备的采集和上传数据的能力。</w:t>
            </w:r>
          </w:p>
          <w:p>
            <w:pPr>
              <w:pStyle w:val="null3"/>
              <w:ind w:firstLine="420"/>
              <w:jc w:val="both"/>
            </w:pPr>
            <w:r>
              <w:rPr>
                <w:sz w:val="21"/>
              </w:rPr>
              <w:t>如果电子警察设备出现故障，应及时进行维修和更换，以免影响其正常使用。</w:t>
            </w:r>
          </w:p>
          <w:p>
            <w:pPr>
              <w:pStyle w:val="null3"/>
              <w:ind w:firstLine="420"/>
              <w:jc w:val="both"/>
            </w:pPr>
            <w:r>
              <w:rPr>
                <w:sz w:val="21"/>
              </w:rPr>
              <w:t>通过定期的维护和保养，可以确保电子警察设备的正常运行和准确监测，提高交通违法的检测率和执法效果。</w:t>
            </w:r>
          </w:p>
          <w:p>
            <w:pPr>
              <w:pStyle w:val="null3"/>
              <w:ind w:left="420"/>
              <w:jc w:val="both"/>
              <w:outlineLvl w:val="3"/>
            </w:pPr>
            <w:r>
              <w:rPr>
                <w:sz w:val="21"/>
                <w:b/>
              </w:rPr>
              <w:t>2.1.2.4.交通信号灯设备维护需求</w:t>
            </w:r>
          </w:p>
          <w:p>
            <w:pPr>
              <w:pStyle w:val="null3"/>
              <w:ind w:firstLine="420"/>
              <w:jc w:val="both"/>
            </w:pPr>
            <w:r>
              <w:rPr>
                <w:sz w:val="21"/>
              </w:rPr>
              <w:t>需要定期检查交通信号灯的各项部件，如灯泡、电线、控制器及其他电子设备，确保其正常运行。</w:t>
            </w:r>
          </w:p>
          <w:p>
            <w:pPr>
              <w:pStyle w:val="null3"/>
              <w:ind w:firstLine="420"/>
              <w:jc w:val="both"/>
            </w:pPr>
            <w:r>
              <w:rPr>
                <w:sz w:val="21"/>
              </w:rPr>
              <w:t>需要检查交通信号灯的亮度和颜色是否符合标准，以确保其能够清晰地指示交通情况。</w:t>
            </w:r>
          </w:p>
          <w:p>
            <w:pPr>
              <w:pStyle w:val="null3"/>
              <w:ind w:firstLine="420"/>
              <w:jc w:val="both"/>
            </w:pPr>
            <w:r>
              <w:rPr>
                <w:sz w:val="21"/>
              </w:rPr>
              <w:t>对于需要更换或修理的部件，及时进行维护和更换，以保证信号灯的长期稳定运行。</w:t>
            </w:r>
          </w:p>
          <w:p>
            <w:pPr>
              <w:pStyle w:val="null3"/>
              <w:ind w:firstLine="420"/>
              <w:jc w:val="both"/>
            </w:pPr>
            <w:r>
              <w:rPr>
                <w:sz w:val="21"/>
              </w:rPr>
              <w:t>对于电控箱和灯杆等设备，应定期进行检测和维护，并保持其干净、整洁。</w:t>
            </w:r>
          </w:p>
          <w:p>
            <w:pPr>
              <w:pStyle w:val="null3"/>
              <w:ind w:firstLine="420"/>
              <w:jc w:val="both"/>
            </w:pPr>
            <w:r>
              <w:rPr>
                <w:sz w:val="21"/>
              </w:rPr>
              <w:t>对于信号灯控制程序的升级、维护和改进等工作，应及时跟进，以保证交通信号灯的安全和稳定性。</w:t>
            </w:r>
          </w:p>
          <w:p>
            <w:pPr>
              <w:pStyle w:val="null3"/>
              <w:ind w:firstLine="420"/>
              <w:jc w:val="both"/>
            </w:pPr>
            <w:r>
              <w:rPr>
                <w:sz w:val="21"/>
              </w:rPr>
              <w:t>对于信号灯周围交通环境的变化，如道路扩建、交通流量增加等问题，应及时进行调整和改进，以适应交通环境的变化。</w:t>
            </w:r>
          </w:p>
          <w:p>
            <w:pPr>
              <w:pStyle w:val="null3"/>
              <w:ind w:firstLine="420"/>
              <w:jc w:val="both"/>
            </w:pPr>
            <w:r>
              <w:rPr>
                <w:sz w:val="21"/>
              </w:rPr>
              <w:t>及时更新信号灯的数据记录，如故障记录、运行时长、功耗等信息，以便于管理人员进行维护和管理。</w:t>
            </w:r>
          </w:p>
          <w:p>
            <w:pPr>
              <w:pStyle w:val="null3"/>
              <w:ind w:left="420"/>
              <w:jc w:val="both"/>
              <w:outlineLvl w:val="3"/>
            </w:pPr>
            <w:r>
              <w:rPr>
                <w:sz w:val="21"/>
                <w:b/>
              </w:rPr>
              <w:t>2.1.2.5.公交站台维护需求</w:t>
            </w:r>
          </w:p>
          <w:p>
            <w:pPr>
              <w:pStyle w:val="null3"/>
              <w:ind w:firstLine="420"/>
              <w:jc w:val="both"/>
            </w:pPr>
            <w:r>
              <w:rPr>
                <w:sz w:val="21"/>
              </w:rPr>
              <w:t>需要定期对公交站台进行清洁，包括站台地面、座椅、广告牌等的清扫和擦拭，保持站台的整洁干净。</w:t>
            </w:r>
          </w:p>
          <w:p>
            <w:pPr>
              <w:pStyle w:val="null3"/>
              <w:ind w:firstLine="420"/>
              <w:jc w:val="both"/>
            </w:pPr>
            <w:r>
              <w:rPr>
                <w:sz w:val="21"/>
              </w:rPr>
              <w:t>及时对站台设备进行检修和维护，如视频监控、</w:t>
            </w:r>
            <w:r>
              <w:rPr>
                <w:sz w:val="21"/>
              </w:rPr>
              <w:t>LCD候车信息屏、LED信息屏、音响设备等，确保其正常运行和使用。</w:t>
            </w:r>
          </w:p>
          <w:p>
            <w:pPr>
              <w:pStyle w:val="null3"/>
              <w:ind w:firstLine="420"/>
              <w:jc w:val="both"/>
            </w:pPr>
            <w:r>
              <w:rPr>
                <w:sz w:val="21"/>
              </w:rPr>
              <w:t>需要定期对站台的信息屏幕进行检查和维修，保证信息显示的准确和正常。同时，对站台的广告牌进行更新和维护，确保广告的清晰可见。</w:t>
            </w:r>
          </w:p>
          <w:p>
            <w:pPr>
              <w:pStyle w:val="null3"/>
              <w:ind w:firstLine="420"/>
              <w:jc w:val="both"/>
            </w:pPr>
            <w:r>
              <w:rPr>
                <w:sz w:val="21"/>
              </w:rPr>
              <w:t>对公交站台周围的环境进行维护和整理，保持站台的整洁，提高站台周围的美观度。</w:t>
            </w:r>
          </w:p>
          <w:p>
            <w:pPr>
              <w:pStyle w:val="null3"/>
              <w:ind w:firstLine="420"/>
              <w:jc w:val="both"/>
            </w:pPr>
            <w:r>
              <w:rPr>
                <w:sz w:val="21"/>
              </w:rPr>
              <w:t>对站台的安全设施进行定期检查和维修，如站台护栏、站牌等，确保其完好无损，保障乘客的安全。</w:t>
            </w:r>
          </w:p>
          <w:p>
            <w:pPr>
              <w:pStyle w:val="null3"/>
              <w:ind w:firstLine="420"/>
              <w:jc w:val="both"/>
            </w:pPr>
            <w:r>
              <w:rPr>
                <w:sz w:val="21"/>
              </w:rPr>
              <w:t>对站台的照明设备进行定期检查和维护，确保站台的照明充足，提高乘客的安全感。</w:t>
            </w:r>
          </w:p>
          <w:p>
            <w:pPr>
              <w:pStyle w:val="null3"/>
              <w:ind w:firstLine="420"/>
              <w:jc w:val="both"/>
            </w:pPr>
            <w:r>
              <w:rPr>
                <w:sz w:val="21"/>
              </w:rPr>
              <w:t>补充公交线路信息：根据实际情况，及时更新站台的公交线路信息，确保乘客能及时获取到准确的线路信息。</w:t>
            </w:r>
          </w:p>
          <w:p>
            <w:pPr>
              <w:pStyle w:val="null3"/>
              <w:ind w:left="420"/>
              <w:jc w:val="both"/>
              <w:outlineLvl w:val="3"/>
            </w:pPr>
            <w:r>
              <w:rPr>
                <w:sz w:val="21"/>
                <w:b/>
              </w:rPr>
              <w:t>2.1.2.6.智能交通标志维护需求</w:t>
            </w:r>
          </w:p>
          <w:p>
            <w:pPr>
              <w:pStyle w:val="null3"/>
              <w:ind w:firstLine="420"/>
              <w:jc w:val="both"/>
            </w:pPr>
            <w:r>
              <w:rPr>
                <w:sz w:val="21"/>
              </w:rPr>
              <w:t>需要定期检查交通标志的亮度、反射度和颜色等状态，确保标志的清晰度和可视性。</w:t>
            </w:r>
          </w:p>
          <w:p>
            <w:pPr>
              <w:pStyle w:val="null3"/>
              <w:ind w:firstLine="420"/>
              <w:jc w:val="both"/>
            </w:pPr>
            <w:r>
              <w:rPr>
                <w:sz w:val="21"/>
              </w:rPr>
              <w:t>检查交通标志的位置和高度是否适当，标志的内容是否正确、完整和合法。</w:t>
            </w:r>
          </w:p>
          <w:p>
            <w:pPr>
              <w:pStyle w:val="null3"/>
              <w:ind w:firstLine="420"/>
              <w:jc w:val="both"/>
            </w:pPr>
            <w:r>
              <w:rPr>
                <w:sz w:val="21"/>
              </w:rPr>
              <w:t>检查交通标志的支架、螺丝等安装件是否完好、稳固，并进行及时的维修和更换。</w:t>
            </w:r>
          </w:p>
          <w:p>
            <w:pPr>
              <w:pStyle w:val="null3"/>
              <w:ind w:firstLine="420"/>
              <w:jc w:val="both"/>
            </w:pPr>
            <w:r>
              <w:rPr>
                <w:sz w:val="21"/>
              </w:rPr>
              <w:t>检查交通标志周围的景观和设施，如树木、灯杆、广告牌等，装修工程时避免影响路面标志的视觉效果。</w:t>
            </w:r>
          </w:p>
          <w:p>
            <w:pPr>
              <w:pStyle w:val="null3"/>
              <w:ind w:firstLine="420"/>
              <w:jc w:val="both"/>
            </w:pPr>
            <w:r>
              <w:rPr>
                <w:sz w:val="21"/>
              </w:rPr>
              <w:t>定期对新的和更新后的交通标志进行检查和实测效果，确保标志在实际道路使用过程中的有效性和生效性。</w:t>
            </w:r>
          </w:p>
          <w:p>
            <w:pPr>
              <w:pStyle w:val="null3"/>
              <w:ind w:firstLine="420"/>
              <w:jc w:val="both"/>
            </w:pPr>
            <w:r>
              <w:rPr>
                <w:sz w:val="21"/>
              </w:rPr>
              <w:t>在交通标志上涂刷涂料和进行清洁时，应选择符合要求的防腐合适颜色的涂料并进行合理、规范的程序和步骤。</w:t>
            </w:r>
          </w:p>
          <w:p>
            <w:pPr>
              <w:pStyle w:val="null3"/>
              <w:ind w:firstLine="420"/>
              <w:jc w:val="both"/>
            </w:pPr>
            <w:r>
              <w:rPr>
                <w:sz w:val="21"/>
              </w:rPr>
              <w:t>及时更新道路标志牌、路面标线、电子信息等设备，及时提供路况信息和相应的维修保养。</w:t>
            </w:r>
          </w:p>
          <w:p>
            <w:pPr>
              <w:pStyle w:val="null3"/>
              <w:ind w:left="420"/>
              <w:jc w:val="both"/>
              <w:outlineLvl w:val="3"/>
            </w:pPr>
            <w:r>
              <w:rPr>
                <w:sz w:val="21"/>
                <w:b/>
              </w:rPr>
              <w:t>2.1.2.7.道闸与保安亭需求</w:t>
            </w:r>
          </w:p>
          <w:p>
            <w:pPr>
              <w:pStyle w:val="null3"/>
              <w:ind w:firstLine="420"/>
              <w:jc w:val="both"/>
            </w:pPr>
            <w:r>
              <w:rPr>
                <w:sz w:val="21"/>
              </w:rPr>
              <w:t>定期对车辆道闸进行检查，包括机械部件、电气系统、控制系统等是否正常工作，发现问题及时修复或更换故障部件。</w:t>
            </w:r>
          </w:p>
          <w:p>
            <w:pPr>
              <w:pStyle w:val="null3"/>
              <w:ind w:firstLine="420"/>
              <w:jc w:val="both"/>
            </w:pPr>
            <w:r>
              <w:rPr>
                <w:sz w:val="21"/>
              </w:rPr>
              <w:t>定期清洁车辆道闸的外观和内部部件，特别是机械部件和传感器部分，确保正常工作，防止污物积累影响使用效果。</w:t>
            </w:r>
          </w:p>
          <w:p>
            <w:pPr>
              <w:pStyle w:val="null3"/>
              <w:ind w:firstLine="420"/>
              <w:jc w:val="both"/>
            </w:pPr>
            <w:r>
              <w:rPr>
                <w:sz w:val="21"/>
              </w:rPr>
              <w:t>定期为车辆道闸的运动部件涂抹润滑油，保证机械运作的顺畅和减少磨损，延长使用寿命。</w:t>
            </w:r>
          </w:p>
          <w:p>
            <w:pPr>
              <w:pStyle w:val="null3"/>
              <w:ind w:firstLine="420"/>
              <w:jc w:val="both"/>
            </w:pPr>
            <w:r>
              <w:rPr>
                <w:sz w:val="21"/>
              </w:rPr>
              <w:t>在设备使用过程中出现突发故障时，需要及时进行维修，修复损坏的部件或更换可疑的部件，确保车辆道闸的正常运行。</w:t>
            </w:r>
          </w:p>
          <w:p>
            <w:pPr>
              <w:pStyle w:val="null3"/>
              <w:ind w:firstLine="420"/>
              <w:jc w:val="both"/>
            </w:pPr>
            <w:r>
              <w:rPr>
                <w:sz w:val="21"/>
              </w:rPr>
              <w:t>定期检查保安亭的电气设备，包括照明、监控设备、通讯设备等是否正常工作，发现问题及时修复或更换故障部件。</w:t>
            </w:r>
          </w:p>
          <w:p>
            <w:pPr>
              <w:pStyle w:val="null3"/>
              <w:ind w:firstLine="420"/>
              <w:jc w:val="both"/>
            </w:pPr>
            <w:r>
              <w:rPr>
                <w:sz w:val="21"/>
              </w:rPr>
              <w:t>保安亭需要进行防水处理，定期检查保安亭的屋顶和墙壁是否存在漏水现象，及时进行修补和保养，以保证内部设施和设备完好。</w:t>
            </w:r>
          </w:p>
          <w:p>
            <w:pPr>
              <w:pStyle w:val="null3"/>
              <w:ind w:firstLine="420"/>
              <w:jc w:val="both"/>
            </w:pPr>
            <w:r>
              <w:rPr>
                <w:sz w:val="21"/>
              </w:rPr>
              <w:t>在保安亭使用过程中出现突发故障时，需要及时进行维修，修复损坏的部件或更换可疑的部件，确保保安亭的正常使用。</w:t>
            </w:r>
          </w:p>
          <w:p>
            <w:pPr>
              <w:pStyle w:val="null3"/>
              <w:ind w:left="420"/>
              <w:jc w:val="both"/>
              <w:outlineLvl w:val="3"/>
            </w:pPr>
            <w:r>
              <w:rPr>
                <w:sz w:val="21"/>
                <w:b/>
              </w:rPr>
              <w:t>2.1.2.8.其它道路设施维护需求</w:t>
            </w:r>
          </w:p>
          <w:p>
            <w:pPr>
              <w:pStyle w:val="null3"/>
              <w:ind w:firstLine="420"/>
              <w:jc w:val="both"/>
            </w:pPr>
            <w:r>
              <w:rPr>
                <w:sz w:val="21"/>
              </w:rPr>
              <w:t>本项目除以上专项设施外还包括其它道路设施，如井盖传感器、紧急呼叫、公共广播、环境传感、气象传感、水位传感等设施。</w:t>
            </w:r>
          </w:p>
          <w:p>
            <w:pPr>
              <w:pStyle w:val="null3"/>
              <w:ind w:firstLine="420"/>
              <w:jc w:val="both"/>
            </w:pPr>
            <w:r>
              <w:rPr>
                <w:sz w:val="21"/>
              </w:rPr>
              <w:t>需要定期对井盖传感器、紧急呼叫、公共广播、环境传感、气象传感、水位传感等设施进行检查，确保其正常工作。检查设备设施的连接情况、电源供应情况等，确保设备设施工作正常。</w:t>
            </w:r>
          </w:p>
          <w:p>
            <w:pPr>
              <w:pStyle w:val="null3"/>
              <w:ind w:firstLine="420"/>
              <w:jc w:val="both"/>
            </w:pPr>
            <w:r>
              <w:rPr>
                <w:sz w:val="21"/>
              </w:rPr>
              <w:t>定期对井盖传感器、环境传感、气象传感、水位传感等设施进行清洁和保养，包括清除传感器设备表面的灰尘、杂物等，确保传感器的灵敏度和准确性。</w:t>
            </w:r>
          </w:p>
          <w:p>
            <w:pPr>
              <w:pStyle w:val="null3"/>
              <w:ind w:firstLine="420"/>
              <w:jc w:val="both"/>
            </w:pPr>
            <w:r>
              <w:rPr>
                <w:sz w:val="21"/>
              </w:rPr>
              <w:t>井盖传感器采用电池供电，需要定期检查电池的电量，并及时更换电池。确保传感器能够持续工作，并确保传感器对井盖状态的准确监测。</w:t>
            </w:r>
          </w:p>
          <w:p>
            <w:pPr>
              <w:pStyle w:val="null3"/>
              <w:ind w:firstLine="420"/>
              <w:jc w:val="both"/>
            </w:pPr>
            <w:r>
              <w:rPr>
                <w:sz w:val="21"/>
              </w:rPr>
              <w:t>如果发现井盖传感器、紧急呼叫、公共广播、环境传感、气象传感、水位传感等设施出现故障，需要及时进行维修或更换。对于设施设备无法正常工作的情况，需要进行故障排除并进行修复，以保证设施设备的正常运行。</w:t>
            </w:r>
          </w:p>
          <w:p>
            <w:pPr>
              <w:pStyle w:val="null3"/>
              <w:ind w:firstLine="420"/>
              <w:jc w:val="both"/>
            </w:pPr>
            <w:r>
              <w:rPr>
                <w:sz w:val="21"/>
              </w:rPr>
              <w:t>对井盖传感器、环境传感、气象传感、水位传感进行安全防护，防止恶意破坏或不当操作导致传感器损坏。同时，加强对传感器所在区域的巡查和管理，确保传感器的安全运行。</w:t>
            </w:r>
          </w:p>
          <w:p>
            <w:pPr>
              <w:pStyle w:val="null3"/>
              <w:ind w:left="420"/>
              <w:jc w:val="both"/>
              <w:outlineLvl w:val="3"/>
            </w:pPr>
            <w:r>
              <w:rPr>
                <w:sz w:val="21"/>
                <w:b/>
              </w:rPr>
              <w:t>2.1.2.9.特殊天气保障需求</w:t>
            </w:r>
          </w:p>
          <w:p>
            <w:pPr>
              <w:pStyle w:val="null3"/>
              <w:ind w:firstLine="420"/>
              <w:jc w:val="both"/>
            </w:pPr>
            <w:r>
              <w:rPr>
                <w:sz w:val="21"/>
              </w:rPr>
              <w:t>中标人维护人员时刻关注天气变化，遭遇灾害天气，提前检查加固外场设备的安全，及时做好保护措施，减少因灾害天气造成的损失及后果。</w:t>
            </w:r>
          </w:p>
          <w:p>
            <w:pPr>
              <w:pStyle w:val="null3"/>
              <w:ind w:firstLine="420"/>
              <w:jc w:val="both"/>
            </w:pPr>
            <w:r>
              <w:rPr>
                <w:sz w:val="21"/>
              </w:rPr>
              <w:t>在台风多发季节加强对对机箱等容易进水设备的巡查，提前做好保护措施</w:t>
            </w:r>
          </w:p>
          <w:p>
            <w:pPr>
              <w:pStyle w:val="null3"/>
              <w:ind w:firstLine="420"/>
              <w:jc w:val="both"/>
            </w:pPr>
            <w:r>
              <w:rPr>
                <w:sz w:val="21"/>
              </w:rPr>
              <w:t>在雷雨季节来临之前，加强对防雷系统的检查，减少由于雷雨天气造成的损失及后果</w:t>
            </w:r>
          </w:p>
          <w:p>
            <w:pPr>
              <w:pStyle w:val="null3"/>
              <w:ind w:left="420"/>
              <w:jc w:val="both"/>
              <w:outlineLvl w:val="3"/>
            </w:pPr>
            <w:r>
              <w:rPr>
                <w:sz w:val="21"/>
                <w:b/>
              </w:rPr>
              <w:t>2.1.2.10.节假日、大型活动维护需求</w:t>
            </w:r>
          </w:p>
          <w:p>
            <w:pPr>
              <w:pStyle w:val="null3"/>
              <w:ind w:firstLine="420"/>
              <w:jc w:val="both"/>
            </w:pPr>
            <w:r>
              <w:rPr>
                <w:sz w:val="21"/>
              </w:rPr>
              <w:t>要求中标人对重大节日以及特殊事件的维护抢修成立专门的</w:t>
            </w:r>
            <w:r>
              <w:rPr>
                <w:sz w:val="21"/>
              </w:rPr>
              <w:t>“特殊事件维护小组”，用于处理重大特殊紧急事件，配合相关部门做好节假日及大型活动的保障计划。</w:t>
            </w:r>
          </w:p>
          <w:p>
            <w:pPr>
              <w:pStyle w:val="null3"/>
              <w:ind w:firstLine="420"/>
              <w:jc w:val="both"/>
            </w:pPr>
            <w:r>
              <w:rPr>
                <w:sz w:val="21"/>
              </w:rPr>
              <w:t>在重要节日比如每年的国庆节、劳动节，以及重大活动组织进行的情况下，</w:t>
            </w:r>
            <w:r>
              <w:rPr>
                <w:sz w:val="21"/>
              </w:rPr>
              <w:t>“特殊事件维护小组”开始工作响应，提前对路口设备点加强巡检、保洁、保养和维护，并配合交警、公安等部门完成相关警保联动工作等。具体为重要节日每2天巡检1次，特殊重大活动时尽量做到1天1次，保证每两天维护1次。</w:t>
            </w:r>
          </w:p>
          <w:p>
            <w:pPr>
              <w:pStyle w:val="null3"/>
              <w:ind w:firstLine="420"/>
              <w:jc w:val="both"/>
            </w:pPr>
            <w:r>
              <w:rPr>
                <w:sz w:val="21"/>
              </w:rPr>
              <w:t>每年的特殊事件下的维护，专门小组都要做好维护巡检记录。</w:t>
            </w:r>
          </w:p>
          <w:p>
            <w:pPr>
              <w:pStyle w:val="null3"/>
              <w:ind w:left="420"/>
              <w:jc w:val="both"/>
              <w:outlineLvl w:val="2"/>
            </w:pPr>
            <w:r>
              <w:rPr>
                <w:sz w:val="21"/>
                <w:b/>
              </w:rPr>
              <w:t>2.1.3.系统故障应急服务需求</w:t>
            </w:r>
          </w:p>
          <w:p>
            <w:pPr>
              <w:pStyle w:val="null3"/>
              <w:ind w:firstLine="420"/>
              <w:jc w:val="both"/>
            </w:pPr>
            <w:r>
              <w:rPr>
                <w:sz w:val="21"/>
              </w:rPr>
              <w:t>系统故障分为：系统本身故障及系统因受到外力影响造成的故障。</w:t>
            </w:r>
          </w:p>
          <w:p>
            <w:pPr>
              <w:pStyle w:val="null3"/>
              <w:ind w:firstLine="420"/>
              <w:jc w:val="both"/>
            </w:pPr>
            <w:r>
              <w:rPr>
                <w:sz w:val="21"/>
              </w:rPr>
              <w:t>当系统因受到外力影响造成故障抢修（不可抗力因素除外），实行一事一报，中标人会收集并提供相关影像、书面文件、通告等证明，完成调查取证后，向用户提出维修方案，经用户单位同意后，由中标人负责购买维修，在完成抢修和恢复工作后，及时向业主递交相关材料。故障抢修和恢复费用由中标人向相关责任方进行追偿，业主应予以配合支持；如因无法确定责任方或责任方无赔偿能力等造成无法追偿，则损失由中标人自行承担。</w:t>
            </w:r>
          </w:p>
          <w:p>
            <w:pPr>
              <w:pStyle w:val="null3"/>
              <w:ind w:firstLine="420"/>
              <w:jc w:val="both"/>
            </w:pPr>
            <w:r>
              <w:rPr>
                <w:sz w:val="21"/>
              </w:rPr>
              <w:t>因台风、地震等不可抗力导致设备故障的，相关损失由业主承担。</w:t>
            </w:r>
          </w:p>
          <w:p>
            <w:pPr>
              <w:pStyle w:val="null3"/>
              <w:ind w:firstLine="420"/>
              <w:jc w:val="both"/>
            </w:pPr>
            <w:r>
              <w:rPr>
                <w:sz w:val="21"/>
              </w:rPr>
              <w:t>值班人员在接到抢修电话的第一时间里，将及时通知相关抢修人员。抢修人员接到通知后要尽快到现场，并向负责维护抢修的负责人汇报。抢修结束及时把结果反馈给相关负责人。</w:t>
            </w:r>
          </w:p>
          <w:p>
            <w:pPr>
              <w:pStyle w:val="null3"/>
              <w:ind w:firstLine="420"/>
              <w:jc w:val="both"/>
            </w:pPr>
            <w:r>
              <w:rPr>
                <w:sz w:val="21"/>
              </w:rPr>
              <w:t>每天做好各项维修记录，包括故障报修单位、时间、地点等。</w:t>
            </w:r>
          </w:p>
          <w:p>
            <w:pPr>
              <w:pStyle w:val="null3"/>
              <w:ind w:firstLine="420"/>
              <w:jc w:val="both"/>
            </w:pPr>
            <w:r>
              <w:rPr>
                <w:sz w:val="21"/>
              </w:rPr>
              <w:t>每周周一前做一份抢修维护记录交相关负责人确认，并提交维护周报；</w:t>
            </w:r>
          </w:p>
          <w:p>
            <w:pPr>
              <w:pStyle w:val="null3"/>
              <w:ind w:firstLine="420"/>
              <w:jc w:val="both"/>
            </w:pPr>
            <w:r>
              <w:rPr>
                <w:sz w:val="21"/>
              </w:rPr>
              <w:t>每个月第一周周一前提交上月月维护总结</w:t>
            </w:r>
          </w:p>
          <w:p>
            <w:pPr>
              <w:pStyle w:val="null3"/>
              <w:ind w:firstLine="420"/>
              <w:jc w:val="both"/>
            </w:pPr>
            <w:r>
              <w:rPr>
                <w:sz w:val="21"/>
              </w:rPr>
              <w:t>对于疑难故障，在故障解决后</w:t>
            </w:r>
            <w:r>
              <w:rPr>
                <w:sz w:val="21"/>
              </w:rPr>
              <w:t>2天内提交相关报告；</w:t>
            </w:r>
          </w:p>
          <w:p>
            <w:pPr>
              <w:pStyle w:val="null3"/>
              <w:ind w:firstLine="420"/>
              <w:jc w:val="both"/>
            </w:pPr>
            <w:r>
              <w:rPr>
                <w:sz w:val="21"/>
              </w:rPr>
              <w:t>在接到保障电话后</w:t>
            </w:r>
            <w:r>
              <w:rPr>
                <w:sz w:val="21"/>
              </w:rPr>
              <w:t>1小时内响应并到用户现场，24小时解决问题。如果系统故障在检修24小时内无法排除。</w:t>
            </w:r>
          </w:p>
          <w:p>
            <w:pPr>
              <w:pStyle w:val="null3"/>
              <w:ind w:firstLine="420"/>
              <w:jc w:val="both"/>
            </w:pPr>
            <w:r>
              <w:rPr>
                <w:sz w:val="21"/>
              </w:rPr>
              <w:t>应急故障处理详细内容如下：</w:t>
            </w:r>
          </w:p>
          <w:p>
            <w:pPr>
              <w:pStyle w:val="null3"/>
              <w:ind w:firstLine="420"/>
              <w:jc w:val="both"/>
            </w:pPr>
            <w:r>
              <w:rPr>
                <w:sz w:val="21"/>
              </w:rPr>
              <w:t>中标人在滨海湾新区提供驻场维护小组并设立</w:t>
            </w:r>
            <w:r>
              <w:rPr>
                <w:sz w:val="21"/>
              </w:rPr>
              <w:t>7×24×365服务专用电话，接受维修指令，分为：</w:t>
            </w:r>
          </w:p>
          <w:p>
            <w:pPr>
              <w:pStyle w:val="null3"/>
              <w:ind w:firstLine="420"/>
              <w:jc w:val="both"/>
            </w:pPr>
            <w:r>
              <w:rPr>
                <w:sz w:val="21"/>
              </w:rPr>
              <w:t>1.一般设备故障：1小时内赶赴现场，5小时内排除故障；如属夜间故障则需在次日凌晨0点前排除故障；特殊情况除外。</w:t>
            </w:r>
          </w:p>
          <w:p>
            <w:pPr>
              <w:pStyle w:val="null3"/>
              <w:ind w:firstLine="420"/>
              <w:jc w:val="both"/>
            </w:pPr>
            <w:r>
              <w:rPr>
                <w:sz w:val="21"/>
              </w:rPr>
              <w:t>2.主设备故障：30分钟内赶赴现场（特殊紧急情况，需15分钟赶赴现场），处理时限应在3小时内完成（特殊紧急情况处理时限为30分钟至1小时）；特殊情况除外。</w:t>
            </w:r>
          </w:p>
          <w:p>
            <w:pPr>
              <w:pStyle w:val="null3"/>
              <w:jc w:val="both"/>
            </w:pPr>
            <w:r>
              <w:rPr>
                <w:sz w:val="21"/>
              </w:rPr>
              <w:t xml:space="preserve">      3.</w:t>
            </w:r>
            <w:r>
              <w:rPr>
                <w:sz w:val="21"/>
              </w:rPr>
              <w:t>应急通信故障：按不同时期的相关工作要求进行；在启动各类自然灾害或者重大节日活动等通讯保障预案后，应在规定时间内完成相关工作。</w:t>
            </w:r>
          </w:p>
        </w:tc>
      </w:tr>
      <w:tr>
        <w:tc>
          <w:tcPr>
            <w:tcW w:type="dxa" w:w="2076"/>
          </w:tcPr>
          <w:p/>
        </w:tc>
        <w:tc>
          <w:tcPr>
            <w:tcW w:type="dxa" w:w="415"/>
          </w:tcPr>
          <w:p>
            <w:pPr>
              <w:pStyle w:val="null3"/>
            </w:pPr>
            <w:r>
              <w:rPr/>
              <w:t>2</w:t>
            </w:r>
          </w:p>
        </w:tc>
        <w:tc>
          <w:tcPr>
            <w:tcW w:type="dxa" w:w="5814"/>
          </w:tcPr>
          <w:p>
            <w:pPr>
              <w:pStyle w:val="null3"/>
              <w:jc w:val="both"/>
              <w:outlineLvl w:val="3"/>
            </w:pPr>
            <w:r>
              <w:rPr>
                <w:sz w:val="24"/>
                <w:b/>
              </w:rPr>
              <w:t>三、运维内容</w:t>
            </w:r>
          </w:p>
          <w:p>
            <w:pPr>
              <w:pStyle w:val="null3"/>
              <w:ind w:left="420"/>
              <w:jc w:val="both"/>
              <w:outlineLvl w:val="1"/>
            </w:pPr>
            <w:r>
              <w:rPr>
                <w:sz w:val="21"/>
                <w:b/>
              </w:rPr>
              <w:t>3.1.运维整体情况</w:t>
            </w:r>
          </w:p>
          <w:p>
            <w:pPr>
              <w:pStyle w:val="null3"/>
              <w:ind w:left="420"/>
              <w:jc w:val="both"/>
              <w:outlineLvl w:val="2"/>
            </w:pPr>
            <w:r>
              <w:rPr>
                <w:sz w:val="21"/>
                <w:b/>
              </w:rPr>
              <w:t>3.1.1.维护范围</w:t>
            </w:r>
          </w:p>
          <w:p>
            <w:pPr>
              <w:pStyle w:val="null3"/>
              <w:ind w:firstLine="420"/>
              <w:jc w:val="both"/>
            </w:pPr>
            <w:r>
              <w:rPr>
                <w:sz w:val="21"/>
              </w:rPr>
              <w:t>包括兴海路、迎宾路、滨海湾大道、中海路、振海路、华海路、东海路、规划二路</w:t>
            </w:r>
            <w:r>
              <w:rPr>
                <w:sz w:val="21"/>
              </w:rPr>
              <w:t>8条智慧道路配套设备，以及10个出入口保安亭和道闸。</w:t>
            </w:r>
          </w:p>
          <w:p>
            <w:pPr>
              <w:pStyle w:val="null3"/>
              <w:ind w:left="420"/>
              <w:jc w:val="both"/>
              <w:outlineLvl w:val="2"/>
            </w:pPr>
            <w:r>
              <w:rPr>
                <w:sz w:val="21"/>
                <w:b/>
              </w:rPr>
              <w:t>3.1.2.维护设备</w:t>
            </w:r>
          </w:p>
          <w:p>
            <w:pPr>
              <w:pStyle w:val="null3"/>
              <w:ind w:firstLine="420"/>
              <w:jc w:val="both"/>
            </w:pPr>
            <w:r>
              <w:rPr>
                <w:sz w:val="21"/>
              </w:rPr>
              <w:t>智慧灯杆</w:t>
            </w:r>
            <w:r>
              <w:rPr>
                <w:sz w:val="21"/>
              </w:rPr>
              <w:t>1279支（含LED路灯及单灯控制节点），路由器3台，4G无线路由器11台，综合智能网关88台，交换机504台,AP基站17个,公共广播94个,紧急呼叫90个,信息发布屏中屏10块，信息发布屏大屏32块,环境、气象各10个，水位监测各19个,道路井盖监测2590个,挂杆配电箱471个，公交站台4座，道闸32处，综合设备箱8台，900W电子警察5组，测速卡口1组，交通信号机9套，箱式变压器6套，成品保安亭10套，人行信号灯26组，交通信号灯91组,多功能人行一体机43组，400W高清摄像球机351台，400W高清摄像枪机351台，400W高清人脸枪机352台，各类标志牌505块。以及附属配件。详见附件《项目内容清单》</w:t>
            </w:r>
          </w:p>
          <w:p>
            <w:pPr>
              <w:pStyle w:val="null3"/>
              <w:ind w:left="420"/>
              <w:jc w:val="both"/>
              <w:outlineLvl w:val="1"/>
            </w:pPr>
            <w:r>
              <w:rPr>
                <w:sz w:val="21"/>
                <w:b/>
              </w:rPr>
              <w:t>3.2.维护内容</w:t>
            </w:r>
          </w:p>
          <w:p>
            <w:pPr>
              <w:pStyle w:val="null3"/>
              <w:ind w:left="420"/>
              <w:jc w:val="both"/>
              <w:outlineLvl w:val="2"/>
            </w:pPr>
            <w:r>
              <w:rPr>
                <w:sz w:val="21"/>
                <w:b/>
              </w:rPr>
              <w:t>3.2.1.维护基本原则</w:t>
            </w:r>
          </w:p>
          <w:p>
            <w:pPr>
              <w:pStyle w:val="null3"/>
              <w:ind w:firstLine="420"/>
              <w:jc w:val="both"/>
            </w:pPr>
            <w:r>
              <w:rPr>
                <w:sz w:val="21"/>
              </w:rPr>
              <w:t>日常维护、季节性检测及重大节日检查、测试电缆、灯具：每年四次。</w:t>
            </w:r>
          </w:p>
          <w:p>
            <w:pPr>
              <w:pStyle w:val="null3"/>
              <w:ind w:firstLine="420"/>
              <w:jc w:val="both"/>
            </w:pPr>
            <w:r>
              <w:rPr>
                <w:sz w:val="21"/>
              </w:rPr>
              <w:t>灯杆清洗、灯具灯头护罩擦拭、检查：每年四次。</w:t>
            </w:r>
          </w:p>
          <w:p>
            <w:pPr>
              <w:pStyle w:val="null3"/>
              <w:ind w:firstLine="420"/>
              <w:jc w:val="both"/>
            </w:pPr>
            <w:r>
              <w:rPr>
                <w:sz w:val="21"/>
              </w:rPr>
              <w:t>中标人应配备与其养护活动相应的管理人员、专业技术人员、养护人员、特种作业人员。</w:t>
            </w:r>
          </w:p>
          <w:p>
            <w:pPr>
              <w:pStyle w:val="null3"/>
              <w:ind w:firstLine="420"/>
              <w:jc w:val="both"/>
            </w:pPr>
            <w:r>
              <w:rPr>
                <w:sz w:val="21"/>
              </w:rPr>
              <w:t>定期进行设备巡检和维护，确保设备正常运行并及时发现和修复潜在问题，避免因设备故障发生道路事故。</w:t>
            </w:r>
          </w:p>
          <w:p>
            <w:pPr>
              <w:pStyle w:val="null3"/>
              <w:ind w:firstLine="420"/>
              <w:jc w:val="both"/>
            </w:pPr>
            <w:r>
              <w:rPr>
                <w:sz w:val="21"/>
              </w:rPr>
              <w:t>定期清洁设备表面的灰尘、杂物、烟灰等；定期对设备进行保养，包括设备内部清洁、机械部件润滑、线缆接口检查等，以保证设备正常工作和延长设备寿命。</w:t>
            </w:r>
          </w:p>
          <w:p>
            <w:pPr>
              <w:pStyle w:val="null3"/>
              <w:ind w:firstLine="420"/>
              <w:jc w:val="both"/>
            </w:pPr>
            <w:r>
              <w:rPr>
                <w:sz w:val="21"/>
              </w:rPr>
              <w:t>定期对设备进行校准和调试，确保设备展现准确的数据和信息，提高其可靠性和准确性。</w:t>
            </w:r>
          </w:p>
          <w:p>
            <w:pPr>
              <w:pStyle w:val="null3"/>
              <w:ind w:firstLine="420"/>
              <w:jc w:val="both"/>
            </w:pPr>
            <w:r>
              <w:rPr>
                <w:sz w:val="21"/>
              </w:rPr>
              <w:t>对于发现的设备故障和损坏，要及时修复，避免对道路运行和信息采集造成影响。</w:t>
            </w:r>
          </w:p>
          <w:p>
            <w:pPr>
              <w:pStyle w:val="null3"/>
              <w:ind w:firstLine="420"/>
              <w:jc w:val="both"/>
            </w:pPr>
            <w:r>
              <w:rPr>
                <w:sz w:val="21"/>
              </w:rPr>
              <w:t>建立完善的备件管理制度，及时储备常用备件，以方便设备维修和更换。</w:t>
            </w:r>
          </w:p>
          <w:p>
            <w:pPr>
              <w:pStyle w:val="null3"/>
              <w:ind w:firstLine="420"/>
              <w:jc w:val="both"/>
            </w:pPr>
            <w:r>
              <w:rPr>
                <w:sz w:val="21"/>
              </w:rPr>
              <w:t>确保设备的安全防护措施完善，包括加固设备支架、设置防护罩、防雷防水等，以提高设备的稳定性和安全性。</w:t>
            </w:r>
          </w:p>
          <w:p>
            <w:pPr>
              <w:pStyle w:val="null3"/>
              <w:ind w:firstLine="420"/>
              <w:jc w:val="both"/>
            </w:pPr>
            <w:r>
              <w:rPr>
                <w:sz w:val="21"/>
              </w:rPr>
              <w:t>对养护人员进行专业培训，提高其对设备的操作和养护能力，确保设备的正常运行和维护。</w:t>
            </w:r>
          </w:p>
          <w:p>
            <w:pPr>
              <w:pStyle w:val="null3"/>
              <w:ind w:firstLine="420"/>
              <w:jc w:val="both"/>
            </w:pPr>
            <w:r>
              <w:rPr>
                <w:sz w:val="21"/>
              </w:rPr>
              <w:t>应定期进行检测和评价，及时掌握智慧道路设施设备的运行现状。</w:t>
            </w:r>
          </w:p>
          <w:p>
            <w:pPr>
              <w:pStyle w:val="null3"/>
              <w:ind w:left="420"/>
              <w:jc w:val="both"/>
              <w:outlineLvl w:val="2"/>
            </w:pPr>
            <w:r>
              <w:rPr>
                <w:sz w:val="21"/>
                <w:b/>
              </w:rPr>
              <w:t>3.2.2.智慧灯杆及道路照明系统</w:t>
            </w:r>
          </w:p>
          <w:p>
            <w:pPr>
              <w:pStyle w:val="null3"/>
              <w:ind w:firstLine="420"/>
              <w:jc w:val="both"/>
            </w:pPr>
            <w:r>
              <w:rPr>
                <w:sz w:val="21"/>
              </w:rPr>
              <w:t>智慧灯杆及道路照明系统包括灯杆、灯具、节点、线缆（含线缆通道、检修井）、高低压配电箱及其附属设施设备的日常巡查、定期检修、故障维修、清洁养护等工作。</w:t>
            </w:r>
          </w:p>
          <w:p>
            <w:pPr>
              <w:pStyle w:val="null3"/>
              <w:ind w:left="420"/>
              <w:jc w:val="both"/>
              <w:outlineLvl w:val="3"/>
            </w:pPr>
            <w:r>
              <w:rPr>
                <w:sz w:val="21"/>
                <w:b/>
              </w:rPr>
              <w:t>3.2.2.1.日常巡查</w:t>
            </w:r>
          </w:p>
          <w:p>
            <w:pPr>
              <w:pStyle w:val="null3"/>
              <w:ind w:firstLine="420"/>
              <w:jc w:val="both"/>
            </w:pPr>
            <w:r>
              <w:rPr>
                <w:sz w:val="21"/>
              </w:rPr>
              <w:t>设施巡查每周应不少于一次，对智慧灯杆及道路照明设施设备的全面巡查包括设备完好度、清洁度，并将巡查情况以书面形式向采购人汇报。</w:t>
            </w:r>
          </w:p>
          <w:p>
            <w:pPr>
              <w:pStyle w:val="null3"/>
              <w:jc w:val="both"/>
            </w:pPr>
            <w:r>
              <w:rPr>
                <w:sz w:val="21"/>
                <w:b/>
              </w:rPr>
              <w:t>3.2.2.1.1.照明设施巡查：</w:t>
            </w:r>
          </w:p>
          <w:p>
            <w:pPr>
              <w:pStyle w:val="null3"/>
              <w:ind w:firstLine="420"/>
              <w:jc w:val="both"/>
            </w:pPr>
            <w:r>
              <w:rPr>
                <w:sz w:val="21"/>
              </w:rPr>
              <w:t>1）照明设施及附属设施外观完好情况；</w:t>
            </w:r>
          </w:p>
          <w:p>
            <w:pPr>
              <w:pStyle w:val="null3"/>
              <w:ind w:firstLine="420"/>
              <w:jc w:val="both"/>
            </w:pPr>
            <w:r>
              <w:rPr>
                <w:sz w:val="21"/>
              </w:rPr>
              <w:t>2）其他施工对照明设施的影响；</w:t>
            </w:r>
          </w:p>
          <w:p>
            <w:pPr>
              <w:pStyle w:val="null3"/>
              <w:ind w:firstLine="420"/>
              <w:jc w:val="both"/>
            </w:pPr>
            <w:r>
              <w:rPr>
                <w:sz w:val="21"/>
              </w:rPr>
              <w:t>3）不符合安全距离而影响照明效果的树木。</w:t>
            </w:r>
          </w:p>
          <w:p>
            <w:pPr>
              <w:pStyle w:val="null3"/>
              <w:ind w:firstLine="420"/>
              <w:jc w:val="both"/>
            </w:pPr>
            <w:r>
              <w:rPr>
                <w:sz w:val="21"/>
              </w:rPr>
              <w:t>2、巡查其他损坏照明设施的现象应包括下列内容：</w:t>
            </w:r>
          </w:p>
          <w:p>
            <w:pPr>
              <w:pStyle w:val="null3"/>
              <w:ind w:firstLine="420"/>
              <w:jc w:val="both"/>
            </w:pPr>
            <w:r>
              <w:rPr>
                <w:sz w:val="21"/>
              </w:rPr>
              <w:t>1）在照明设施上的刻划、涂污等；</w:t>
            </w:r>
          </w:p>
          <w:p>
            <w:pPr>
              <w:pStyle w:val="null3"/>
              <w:ind w:firstLine="420"/>
              <w:jc w:val="both"/>
            </w:pPr>
            <w:r>
              <w:rPr>
                <w:sz w:val="21"/>
              </w:rPr>
              <w:t>2）在照明设施安全距离内，擅自植树、挖坑取土或者设置其他物体；倾倒含酸、碱、盐等腐蚀物或具有腐蚀性的废渣、废液等；</w:t>
            </w:r>
          </w:p>
          <w:p>
            <w:pPr>
              <w:pStyle w:val="null3"/>
              <w:ind w:firstLine="420"/>
              <w:jc w:val="both"/>
            </w:pPr>
            <w:r>
              <w:rPr>
                <w:sz w:val="21"/>
              </w:rPr>
              <w:t>3）擅自在照明设施上张贴、悬挂、设置宣传品、广告等；</w:t>
            </w:r>
          </w:p>
          <w:p>
            <w:pPr>
              <w:pStyle w:val="null3"/>
              <w:ind w:firstLine="420"/>
              <w:jc w:val="both"/>
            </w:pPr>
            <w:r>
              <w:rPr>
                <w:sz w:val="21"/>
              </w:rPr>
              <w:t>4）擅自在照明设施上架设线缆、安置其它设施或者接用电源等；</w:t>
            </w:r>
          </w:p>
          <w:p>
            <w:pPr>
              <w:pStyle w:val="null3"/>
              <w:ind w:firstLine="420"/>
              <w:jc w:val="both"/>
            </w:pPr>
            <w:r>
              <w:rPr>
                <w:sz w:val="21"/>
              </w:rPr>
              <w:t>5）擅自迁移、拆除、利用照明设施；</w:t>
            </w:r>
          </w:p>
          <w:p>
            <w:pPr>
              <w:pStyle w:val="null3"/>
              <w:ind w:firstLine="420"/>
              <w:jc w:val="both"/>
            </w:pPr>
            <w:r>
              <w:rPr>
                <w:sz w:val="21"/>
              </w:rPr>
              <w:t>6）其他可能影响照明设施正常运行的行为。</w:t>
            </w:r>
          </w:p>
          <w:p>
            <w:pPr>
              <w:pStyle w:val="null3"/>
              <w:jc w:val="both"/>
            </w:pPr>
            <w:r>
              <w:rPr>
                <w:sz w:val="21"/>
                <w:b/>
              </w:rPr>
              <w:t>3.2.2.1.2.灯杆巡查：</w:t>
            </w:r>
          </w:p>
          <w:p>
            <w:pPr>
              <w:pStyle w:val="null3"/>
              <w:ind w:firstLine="420"/>
              <w:jc w:val="both"/>
            </w:pPr>
            <w:r>
              <w:rPr>
                <w:sz w:val="21"/>
              </w:rPr>
              <w:t>1）灯杆、灯臂歪斜情况；</w:t>
            </w:r>
          </w:p>
          <w:p>
            <w:pPr>
              <w:pStyle w:val="null3"/>
              <w:ind w:firstLine="420"/>
              <w:jc w:val="both"/>
            </w:pPr>
            <w:r>
              <w:rPr>
                <w:sz w:val="21"/>
              </w:rPr>
              <w:t>2）灯杆表面乱写画、乱张贴，脱漆、颜色褪变等情况</w:t>
            </w:r>
          </w:p>
          <w:p>
            <w:pPr>
              <w:pStyle w:val="null3"/>
              <w:ind w:firstLine="420"/>
              <w:jc w:val="both"/>
            </w:pPr>
            <w:r>
              <w:rPr>
                <w:sz w:val="21"/>
              </w:rPr>
              <w:t>3）灯杆周围泥土流失、地基沉降等情况；</w:t>
            </w:r>
          </w:p>
          <w:p>
            <w:pPr>
              <w:pStyle w:val="null3"/>
              <w:ind w:firstLine="420"/>
              <w:jc w:val="both"/>
            </w:pPr>
            <w:r>
              <w:rPr>
                <w:sz w:val="21"/>
              </w:rPr>
              <w:t>4）灯杆、灯臂、法兰、紧固件等金属构件锈蚀、裂缝和凹凸等现象；</w:t>
            </w:r>
          </w:p>
          <w:p>
            <w:pPr>
              <w:pStyle w:val="null3"/>
              <w:ind w:firstLine="420"/>
              <w:jc w:val="both"/>
            </w:pPr>
            <w:r>
              <w:rPr>
                <w:sz w:val="21"/>
              </w:rPr>
              <w:t>5）基础螺栓和灯杆下法兰盘混凝土结面保护应完整无缺损；</w:t>
            </w:r>
          </w:p>
          <w:p>
            <w:pPr>
              <w:pStyle w:val="null3"/>
              <w:ind w:firstLine="420"/>
              <w:jc w:val="both"/>
            </w:pPr>
            <w:r>
              <w:rPr>
                <w:sz w:val="21"/>
              </w:rPr>
              <w:t>6）灯杆号牌应字迹清晰、完整；</w:t>
            </w:r>
          </w:p>
          <w:p>
            <w:pPr>
              <w:pStyle w:val="null3"/>
              <w:ind w:firstLine="420"/>
              <w:jc w:val="both"/>
            </w:pPr>
            <w:r>
              <w:rPr>
                <w:sz w:val="21"/>
              </w:rPr>
              <w:t>7）灯杆内电缆、引流线及接地接零保护接头牢固，电缆接头及终端无发热烧坏痕迹；</w:t>
            </w:r>
          </w:p>
          <w:p>
            <w:pPr>
              <w:pStyle w:val="null3"/>
              <w:ind w:firstLine="420"/>
              <w:jc w:val="both"/>
            </w:pPr>
            <w:r>
              <w:rPr>
                <w:sz w:val="21"/>
              </w:rPr>
              <w:t>8）接线板固定牢靠，螺栓紧固无锈蚀，熔断器熔体规格与负荷相匹配；</w:t>
            </w:r>
          </w:p>
          <w:p>
            <w:pPr>
              <w:pStyle w:val="null3"/>
              <w:ind w:firstLine="420"/>
              <w:jc w:val="both"/>
            </w:pPr>
            <w:r>
              <w:rPr>
                <w:sz w:val="21"/>
              </w:rPr>
              <w:t>9）灯杆检修门应开闭灵巧、防盗结构完好无异常；</w:t>
            </w:r>
          </w:p>
          <w:p>
            <w:pPr>
              <w:pStyle w:val="null3"/>
              <w:jc w:val="both"/>
            </w:pPr>
            <w:r>
              <w:rPr>
                <w:sz w:val="21"/>
                <w:b/>
              </w:rPr>
              <w:t>3.2.2.1.3.灯具、节点巡查：</w:t>
            </w:r>
          </w:p>
          <w:p>
            <w:pPr>
              <w:pStyle w:val="null3"/>
              <w:ind w:firstLine="420"/>
              <w:jc w:val="both"/>
            </w:pPr>
            <w:r>
              <w:rPr>
                <w:sz w:val="21"/>
              </w:rPr>
              <w:t>1）灯具、节点外壳完整度，无破损、锈蚀及缺陷；</w:t>
            </w:r>
          </w:p>
          <w:p>
            <w:pPr>
              <w:pStyle w:val="null3"/>
              <w:ind w:firstLine="420"/>
              <w:jc w:val="both"/>
            </w:pPr>
            <w:r>
              <w:rPr>
                <w:sz w:val="21"/>
              </w:rPr>
              <w:t>2）灯具透光罩应完整度，无裂纹、穿孔，反光器无变形断裂、光亮无积污，灯头无松动；</w:t>
            </w:r>
          </w:p>
          <w:p>
            <w:pPr>
              <w:pStyle w:val="null3"/>
              <w:jc w:val="both"/>
            </w:pPr>
            <w:r>
              <w:rPr>
                <w:sz w:val="21"/>
                <w:b/>
              </w:rPr>
              <w:t>3.2.2.1.4.高低压配电箱巡查</w:t>
            </w:r>
          </w:p>
          <w:p>
            <w:pPr>
              <w:pStyle w:val="null3"/>
              <w:ind w:firstLine="420"/>
              <w:jc w:val="both"/>
            </w:pPr>
            <w:r>
              <w:rPr>
                <w:sz w:val="21"/>
              </w:rPr>
              <w:t>1）配电箱体应完整，不渗水，箱内无积灰，外壳脱漆、锈蚀面积应等情况；</w:t>
            </w:r>
          </w:p>
          <w:p>
            <w:pPr>
              <w:pStyle w:val="null3"/>
              <w:ind w:firstLine="420"/>
              <w:jc w:val="both"/>
            </w:pPr>
            <w:r>
              <w:rPr>
                <w:sz w:val="21"/>
              </w:rPr>
              <w:t>2）接触器、开关、熔断器等电气元件工作情况，导线绝缘良好，表面清洁，无松动、变形、缺损和烧焦变色；</w:t>
            </w:r>
          </w:p>
          <w:p>
            <w:pPr>
              <w:pStyle w:val="null3"/>
              <w:ind w:firstLine="420"/>
              <w:jc w:val="both"/>
            </w:pPr>
            <w:r>
              <w:rPr>
                <w:sz w:val="21"/>
              </w:rPr>
              <w:t>3）熔断器熔体规格、自动开关整定值；</w:t>
            </w:r>
          </w:p>
          <w:p>
            <w:pPr>
              <w:pStyle w:val="null3"/>
              <w:ind w:firstLine="420"/>
              <w:jc w:val="both"/>
            </w:pPr>
            <w:r>
              <w:rPr>
                <w:sz w:val="21"/>
              </w:rPr>
              <w:t>4）配电箱仪表应完好，指示正确，各部件连接坚固，无松动或变形情况；</w:t>
            </w:r>
          </w:p>
          <w:p>
            <w:pPr>
              <w:pStyle w:val="null3"/>
              <w:ind w:firstLine="420"/>
              <w:jc w:val="both"/>
            </w:pPr>
            <w:r>
              <w:rPr>
                <w:sz w:val="21"/>
              </w:rPr>
              <w:t>5）箱体与门保护接地连接牢固，箱门锁开启灵活；</w:t>
            </w:r>
          </w:p>
          <w:p>
            <w:pPr>
              <w:pStyle w:val="null3"/>
              <w:ind w:firstLine="420"/>
              <w:jc w:val="both"/>
            </w:pPr>
            <w:r>
              <w:rPr>
                <w:sz w:val="21"/>
              </w:rPr>
              <w:t>6）对可视的电缆头进行外观检查。</w:t>
            </w:r>
          </w:p>
          <w:p>
            <w:pPr>
              <w:pStyle w:val="null3"/>
              <w:jc w:val="both"/>
            </w:pPr>
            <w:r>
              <w:rPr>
                <w:sz w:val="21"/>
                <w:b/>
              </w:rPr>
              <w:t>3.2.2.1.5.管线及工作井巡查</w:t>
            </w:r>
          </w:p>
          <w:p>
            <w:pPr>
              <w:pStyle w:val="null3"/>
              <w:ind w:firstLine="420"/>
              <w:jc w:val="both"/>
            </w:pPr>
            <w:r>
              <w:rPr>
                <w:sz w:val="21"/>
              </w:rPr>
              <w:t>1）周边环境巡查，发现电缆线路附近有修路开挖、地面沉降、化学腐蚀及地面堆积物等异常现象时应采取相应措施；</w:t>
            </w:r>
          </w:p>
          <w:p>
            <w:pPr>
              <w:pStyle w:val="null3"/>
              <w:ind w:firstLine="420"/>
              <w:jc w:val="both"/>
            </w:pPr>
            <w:r>
              <w:rPr>
                <w:sz w:val="21"/>
              </w:rPr>
              <w:t>2）电缆线路裸露的保护管、电缆铠装应无锈蚀；</w:t>
            </w:r>
          </w:p>
          <w:p>
            <w:pPr>
              <w:pStyle w:val="null3"/>
              <w:ind w:firstLine="420"/>
              <w:jc w:val="both"/>
            </w:pPr>
            <w:r>
              <w:rPr>
                <w:sz w:val="21"/>
              </w:rPr>
              <w:t>3）工作井井内电缆回路标志牌清晰度、完整度，井内无杂物、积水，井盖无断裂、破损、缺角，井盖端面与框上端面无落差；</w:t>
            </w:r>
          </w:p>
          <w:p>
            <w:pPr>
              <w:pStyle w:val="null3"/>
              <w:ind w:firstLine="420"/>
              <w:jc w:val="both"/>
            </w:pPr>
            <w:r>
              <w:rPr>
                <w:sz w:val="21"/>
              </w:rPr>
              <w:t>4）工作井内电缆接头包裹应严实，连接牢固，铠装接地良好；</w:t>
            </w:r>
          </w:p>
          <w:p>
            <w:pPr>
              <w:pStyle w:val="null3"/>
              <w:ind w:firstLine="420"/>
              <w:jc w:val="both"/>
            </w:pPr>
            <w:r>
              <w:rPr>
                <w:sz w:val="21"/>
              </w:rPr>
              <w:t>5）暴雨后应及时对低洼地带的电缆井进行检查；</w:t>
            </w:r>
          </w:p>
          <w:p>
            <w:pPr>
              <w:pStyle w:val="null3"/>
              <w:ind w:firstLine="420"/>
              <w:jc w:val="both"/>
            </w:pPr>
            <w:r>
              <w:rPr>
                <w:sz w:val="21"/>
              </w:rPr>
              <w:t>5）有含酸、碱、盐等有强腐蚀性的残留物流入工作井时，应及时进行封闭处理并上报。</w:t>
            </w:r>
          </w:p>
          <w:p>
            <w:pPr>
              <w:pStyle w:val="null3"/>
              <w:ind w:left="420"/>
              <w:jc w:val="both"/>
              <w:outlineLvl w:val="3"/>
            </w:pPr>
            <w:r>
              <w:rPr>
                <w:sz w:val="21"/>
                <w:b/>
              </w:rPr>
              <w:t>3.2.2.2.设施检测</w:t>
            </w:r>
          </w:p>
          <w:p>
            <w:pPr>
              <w:pStyle w:val="null3"/>
              <w:ind w:firstLine="420"/>
              <w:jc w:val="both"/>
            </w:pPr>
            <w:r>
              <w:rPr>
                <w:sz w:val="21"/>
              </w:rPr>
              <w:t>1、按供电部门有关规定，每季度定期常规检查箱变、配电箱、控制箱、电缆、灯具各一次；</w:t>
            </w:r>
          </w:p>
          <w:p>
            <w:pPr>
              <w:pStyle w:val="null3"/>
              <w:ind w:firstLine="420"/>
              <w:jc w:val="both"/>
            </w:pPr>
            <w:r>
              <w:rPr>
                <w:sz w:val="21"/>
              </w:rPr>
              <w:t>2、重大节日（元旦、春节、五一、国庆）前两周之内常规检查电缆、灯具共四次；</w:t>
            </w:r>
          </w:p>
          <w:p>
            <w:pPr>
              <w:pStyle w:val="null3"/>
              <w:ind w:firstLine="420"/>
              <w:jc w:val="both"/>
            </w:pPr>
            <w:r>
              <w:rPr>
                <w:sz w:val="21"/>
              </w:rPr>
              <w:t>3、电缆每年绝缘测试一次；</w:t>
            </w:r>
          </w:p>
          <w:p>
            <w:pPr>
              <w:pStyle w:val="null3"/>
              <w:ind w:firstLine="420"/>
              <w:jc w:val="both"/>
            </w:pPr>
            <w:r>
              <w:rPr>
                <w:sz w:val="21"/>
              </w:rPr>
              <w:t>4、箱变每年预防性试验检测一次并出具有效的检测报告(注：此项目必须由具有相应资质的企业施工并经采购人确认资质后于每年的春季实施)，检测报告要及时上报南方电网或市(街道)各级安全部门检查，检测费及检测结果涉及的病害和缺陷所需的维修费、元件更换费均由中标人承担（箱变因达到使用年限、整体老化需更换和不可抗拒自然灾害造成的损坏所涉及修复更换费用无需中标人承担)</w:t>
            </w:r>
          </w:p>
          <w:p>
            <w:pPr>
              <w:pStyle w:val="null3"/>
              <w:ind w:left="420"/>
              <w:jc w:val="both"/>
              <w:outlineLvl w:val="3"/>
            </w:pPr>
            <w:r>
              <w:rPr>
                <w:sz w:val="21"/>
                <w:b/>
              </w:rPr>
              <w:t>3.2.2.3.故障维修</w:t>
            </w:r>
          </w:p>
          <w:p>
            <w:pPr>
              <w:pStyle w:val="null3"/>
              <w:ind w:firstLine="420"/>
              <w:jc w:val="both"/>
            </w:pPr>
            <w:r>
              <w:rPr>
                <w:sz w:val="21"/>
              </w:rPr>
              <w:t>故障分为一般故障和严重故障</w:t>
            </w:r>
          </w:p>
          <w:p>
            <w:pPr>
              <w:pStyle w:val="null3"/>
              <w:ind w:firstLine="420"/>
              <w:jc w:val="both"/>
            </w:pPr>
            <w:r>
              <w:rPr>
                <w:sz w:val="21"/>
              </w:rPr>
              <w:t>故障处理及时率要求达到</w:t>
            </w:r>
            <w:r>
              <w:rPr>
                <w:sz w:val="21"/>
              </w:rPr>
              <w:t>99%，中标人应满足以下养护维修时限要求：一般故障应当在24小时之内处理完毕；严重故障除不可抗力外，应当于5日内处理完毕，高压线路或专用变压器故障可根据实际情况适当延长。涉及重大安全运行事故或突发事件，维护单位应在接报半小时内赶至现场组织处理。</w:t>
            </w:r>
          </w:p>
          <w:p>
            <w:pPr>
              <w:pStyle w:val="null3"/>
              <w:ind w:firstLine="420"/>
              <w:jc w:val="both"/>
            </w:pPr>
            <w:r>
              <w:rPr>
                <w:sz w:val="21"/>
              </w:rPr>
              <w:t>电缆被盗引起故障，当晚进行排查并将故障范围减到最小，线路故障必须于次日</w:t>
            </w:r>
            <w:r>
              <w:rPr>
                <w:sz w:val="21"/>
              </w:rPr>
              <w:t>18时前修复并根据被盗情况制定应对方案，对被盗多发路段电缆进行加固，由此所产生的费用由中标人承担；如损坏、被盗情况非常严重或故障涉及工程量较大确实在规定时间内不能完成，经得采购人同意后在规定时间内完成修复。</w:t>
            </w:r>
          </w:p>
          <w:p>
            <w:pPr>
              <w:pStyle w:val="null3"/>
              <w:ind w:firstLine="420"/>
              <w:jc w:val="both"/>
            </w:pPr>
            <w:r>
              <w:rPr>
                <w:sz w:val="21"/>
              </w:rPr>
              <w:t>对于一些无法维修设备，需要对设备进行更换，以确保故障维修的质量和安全性。在保修期内设备，维护单位负责免费更换，保修期外设备，维护单位负责更换，设备费用无需中标人承担。</w:t>
            </w:r>
          </w:p>
          <w:p>
            <w:pPr>
              <w:pStyle w:val="null3"/>
              <w:ind w:left="420"/>
              <w:jc w:val="both"/>
              <w:outlineLvl w:val="3"/>
            </w:pPr>
            <w:r>
              <w:rPr>
                <w:sz w:val="21"/>
                <w:b/>
              </w:rPr>
              <w:t>3.2.2.4.清洁养护</w:t>
            </w:r>
          </w:p>
          <w:p>
            <w:pPr>
              <w:pStyle w:val="null3"/>
              <w:ind w:firstLine="420"/>
              <w:jc w:val="both"/>
            </w:pPr>
            <w:r>
              <w:rPr>
                <w:sz w:val="21"/>
              </w:rPr>
              <w:t>1、灯杆、箱体及其他影响观瞻的设备表面每年喷漆翻新一次，必须在每年12月31日前完成；</w:t>
            </w:r>
          </w:p>
          <w:p>
            <w:pPr>
              <w:pStyle w:val="null3"/>
              <w:ind w:firstLine="420"/>
              <w:jc w:val="both"/>
            </w:pPr>
            <w:r>
              <w:rPr>
                <w:sz w:val="21"/>
              </w:rPr>
              <w:t>2、灯杆、灯罩、箱体、设备表面每季度清洗一次，分别在季度结束前完成；</w:t>
            </w:r>
          </w:p>
          <w:p>
            <w:pPr>
              <w:pStyle w:val="null3"/>
              <w:ind w:left="420"/>
              <w:jc w:val="both"/>
              <w:outlineLvl w:val="3"/>
            </w:pPr>
            <w:r>
              <w:rPr>
                <w:sz w:val="21"/>
                <w:b/>
              </w:rPr>
              <w:t>3.2.2.5  设备迁改</w:t>
            </w:r>
          </w:p>
          <w:p>
            <w:pPr>
              <w:pStyle w:val="null3"/>
              <w:ind w:firstLine="420"/>
              <w:jc w:val="both"/>
            </w:pPr>
            <w:r>
              <w:rPr>
                <w:sz w:val="21"/>
              </w:rPr>
              <w:t>项目服务期内，在设备迁改总费用不超过</w:t>
            </w:r>
            <w:r>
              <w:rPr>
                <w:sz w:val="21"/>
              </w:rPr>
              <w:t>5万元的情况下，维护单位每年免费提供10个灯杆点位（含基础、灯杆及设备拆除安装等），5个大型自发光标志牌，10个小牌的迁改。</w:t>
            </w:r>
          </w:p>
          <w:p>
            <w:pPr>
              <w:pStyle w:val="null3"/>
              <w:ind w:left="420"/>
              <w:jc w:val="both"/>
              <w:outlineLvl w:val="2"/>
            </w:pPr>
            <w:r>
              <w:rPr>
                <w:sz w:val="21"/>
                <w:b/>
              </w:rPr>
              <w:t>3.2.3.道路视频监控系统</w:t>
            </w:r>
          </w:p>
          <w:p>
            <w:pPr>
              <w:pStyle w:val="null3"/>
              <w:ind w:firstLine="420"/>
              <w:jc w:val="both"/>
            </w:pPr>
            <w:r>
              <w:rPr>
                <w:sz w:val="21"/>
              </w:rPr>
              <w:t>中标人负责对东莞滨海湾新区智慧道路项目高清视频监控系统建设的所有前端监控点提供维护运转服务，包括：</w:t>
            </w:r>
          </w:p>
          <w:p>
            <w:pPr>
              <w:pStyle w:val="null3"/>
              <w:ind w:firstLine="420"/>
              <w:jc w:val="both"/>
            </w:pPr>
            <w:r>
              <w:rPr>
                <w:sz w:val="21"/>
              </w:rPr>
              <w:t>1、对监控点前端的高清摄像机、人脸摄像机、交换机及电源等进行维护保养，保障其正常运行；</w:t>
            </w:r>
          </w:p>
          <w:p>
            <w:pPr>
              <w:pStyle w:val="null3"/>
              <w:ind w:firstLine="420"/>
              <w:jc w:val="both"/>
            </w:pPr>
            <w:r>
              <w:rPr>
                <w:sz w:val="21"/>
              </w:rPr>
              <w:t>2、对监控点开展日常巡检、应急维护、季度巡检工作；</w:t>
            </w:r>
          </w:p>
          <w:p>
            <w:pPr>
              <w:pStyle w:val="null3"/>
              <w:ind w:firstLine="420"/>
              <w:jc w:val="both"/>
            </w:pPr>
            <w:r>
              <w:rPr>
                <w:sz w:val="21"/>
              </w:rPr>
              <w:t>3、对摄像机、端子、接头、跳线、电源适配器等常损辅材的保养。</w:t>
            </w:r>
          </w:p>
          <w:p>
            <w:pPr>
              <w:pStyle w:val="null3"/>
              <w:ind w:firstLine="420"/>
              <w:jc w:val="both"/>
            </w:pPr>
            <w:r>
              <w:rPr>
                <w:sz w:val="21"/>
              </w:rPr>
              <w:t>4、项目一年内取电线路老化后的改造，包括负责排除前端供电线路故障，对电线中断、供电电气设备损坏进行修复和更换，及时消除供电隐患。</w:t>
            </w:r>
          </w:p>
          <w:p>
            <w:pPr>
              <w:pStyle w:val="null3"/>
              <w:ind w:left="420"/>
              <w:jc w:val="both"/>
              <w:outlineLvl w:val="3"/>
            </w:pPr>
            <w:r>
              <w:rPr>
                <w:sz w:val="21"/>
                <w:b/>
              </w:rPr>
              <w:t>3.2.3.1.定期巡检</w:t>
            </w:r>
          </w:p>
          <w:p>
            <w:pPr>
              <w:pStyle w:val="null3"/>
              <w:ind w:firstLine="420"/>
              <w:jc w:val="both"/>
            </w:pPr>
            <w:r>
              <w:rPr>
                <w:sz w:val="21"/>
              </w:rPr>
              <w:t>每月应不少于一次对每个前端监控点进行一次巡检，巡检包括：</w:t>
            </w:r>
          </w:p>
          <w:p>
            <w:pPr>
              <w:pStyle w:val="null3"/>
              <w:ind w:firstLine="420"/>
              <w:jc w:val="both"/>
            </w:pPr>
            <w:r>
              <w:rPr>
                <w:sz w:val="21"/>
              </w:rPr>
              <w:t>1、查看基础设施设备（摄像头、电箱等）有无遭到损坏（被车磕、撞、碰、绊等）。</w:t>
            </w:r>
          </w:p>
          <w:p>
            <w:pPr>
              <w:pStyle w:val="null3"/>
              <w:ind w:firstLine="420"/>
              <w:jc w:val="both"/>
            </w:pPr>
            <w:r>
              <w:rPr>
                <w:sz w:val="21"/>
              </w:rPr>
              <w:t>2、查看基础设施设备（摄像头、电箱等）有无被人为破坏（被撬、砸、拆、偷）。</w:t>
            </w:r>
          </w:p>
          <w:p>
            <w:pPr>
              <w:pStyle w:val="null3"/>
              <w:ind w:firstLine="420"/>
              <w:jc w:val="both"/>
            </w:pPr>
            <w:r>
              <w:rPr>
                <w:sz w:val="21"/>
              </w:rPr>
              <w:t>3、查看基础设施设备是否完整、整洁</w:t>
            </w:r>
          </w:p>
          <w:p>
            <w:pPr>
              <w:pStyle w:val="null3"/>
              <w:ind w:firstLine="420"/>
              <w:jc w:val="both"/>
            </w:pPr>
            <w:r>
              <w:rPr>
                <w:sz w:val="21"/>
              </w:rPr>
              <w:t>4、中心定期做好图像质量不好等检测，要及时配合予以修复、调整，不能修复的则予以更换。</w:t>
            </w:r>
          </w:p>
          <w:p>
            <w:pPr>
              <w:pStyle w:val="null3"/>
              <w:ind w:firstLine="420"/>
              <w:jc w:val="both"/>
            </w:pPr>
            <w:r>
              <w:rPr>
                <w:sz w:val="21"/>
              </w:rPr>
              <w:t>5、如有发现设备、辅材损坏等情况，要及时予以修复，不能修复的则予以更换。</w:t>
            </w:r>
          </w:p>
          <w:p>
            <w:pPr>
              <w:pStyle w:val="null3"/>
              <w:ind w:left="420"/>
              <w:jc w:val="both"/>
              <w:outlineLvl w:val="3"/>
            </w:pPr>
            <w:r>
              <w:rPr>
                <w:sz w:val="21"/>
                <w:b/>
              </w:rPr>
              <w:t>3.2.3.2.保养、维护</w:t>
            </w:r>
          </w:p>
          <w:p>
            <w:pPr>
              <w:pStyle w:val="null3"/>
              <w:ind w:firstLine="420"/>
              <w:jc w:val="both"/>
            </w:pPr>
            <w:r>
              <w:rPr>
                <w:sz w:val="21"/>
              </w:rPr>
              <w:t>在每个季度安排人员至少对每个前端设备进行一次保养</w:t>
            </w:r>
          </w:p>
          <w:p>
            <w:pPr>
              <w:pStyle w:val="null3"/>
              <w:ind w:firstLine="420"/>
              <w:jc w:val="both"/>
            </w:pPr>
            <w:r>
              <w:rPr>
                <w:sz w:val="21"/>
              </w:rPr>
              <w:t>1、对监控点机箱里电气设备进行清尘、清洁和检查。及时发现故障、隐患并及时处理，把故障消灭在萌芽状态，避免扩大故障范围；</w:t>
            </w:r>
          </w:p>
          <w:p>
            <w:pPr>
              <w:pStyle w:val="null3"/>
              <w:ind w:firstLine="420"/>
              <w:jc w:val="both"/>
            </w:pPr>
            <w:r>
              <w:rPr>
                <w:sz w:val="21"/>
              </w:rPr>
              <w:t>2、擦试防护罩，前视玻璃的除尘等；</w:t>
            </w:r>
          </w:p>
          <w:p>
            <w:pPr>
              <w:pStyle w:val="null3"/>
              <w:ind w:firstLine="420"/>
              <w:jc w:val="both"/>
            </w:pPr>
            <w:r>
              <w:rPr>
                <w:sz w:val="21"/>
              </w:rPr>
              <w:t>3、对发现的问题及时处理，以保证系统持续、稳定、安全地运行。</w:t>
            </w:r>
          </w:p>
          <w:p>
            <w:pPr>
              <w:pStyle w:val="null3"/>
              <w:ind w:firstLine="420"/>
              <w:jc w:val="both"/>
            </w:pPr>
            <w:r>
              <w:rPr>
                <w:sz w:val="21"/>
              </w:rPr>
              <w:t>4、对被树枝遮档或其它物体遮档，要及时剪枝和清理。</w:t>
            </w:r>
          </w:p>
          <w:p>
            <w:pPr>
              <w:pStyle w:val="null3"/>
              <w:ind w:left="420"/>
              <w:jc w:val="both"/>
              <w:outlineLvl w:val="3"/>
            </w:pPr>
            <w:r>
              <w:rPr>
                <w:sz w:val="21"/>
                <w:b/>
              </w:rPr>
              <w:t>3.2.3.3.性能测试</w:t>
            </w:r>
          </w:p>
          <w:p>
            <w:pPr>
              <w:pStyle w:val="null3"/>
              <w:ind w:firstLine="420"/>
              <w:jc w:val="both"/>
            </w:pPr>
            <w:r>
              <w:rPr>
                <w:sz w:val="21"/>
              </w:rPr>
              <w:t>1、在每个季度安排人员至少对各类电器设备进行一次检测并做好参数记录。在每年的3月份雷雨季节来临前，检查所有的监控点的避雷是否正常，检查各接地线是否正常。以保证在雷雨季节避雷器被击而造成设备损坏。</w:t>
            </w:r>
          </w:p>
          <w:p>
            <w:pPr>
              <w:pStyle w:val="null3"/>
              <w:ind w:firstLine="420"/>
              <w:jc w:val="both"/>
            </w:pPr>
            <w:r>
              <w:rPr>
                <w:sz w:val="21"/>
              </w:rPr>
              <w:t>2、根据需要调整传输设备的相关参数:对光传输线路损耗指标进行测试，确保图像及控制正常、网络无丢包，光线路物理故障时及时通知运营商维护。</w:t>
            </w:r>
          </w:p>
        </w:tc>
      </w:tr>
      <w:tr>
        <w:tc>
          <w:tcPr>
            <w:tcW w:type="dxa" w:w="2076"/>
          </w:tcPr>
          <w:p/>
        </w:tc>
        <w:tc>
          <w:tcPr>
            <w:tcW w:type="dxa" w:w="415"/>
          </w:tcPr>
          <w:p>
            <w:pPr>
              <w:pStyle w:val="null3"/>
            </w:pPr>
            <w:r>
              <w:rPr/>
              <w:t>3</w:t>
            </w:r>
          </w:p>
        </w:tc>
        <w:tc>
          <w:tcPr>
            <w:tcW w:type="dxa" w:w="5814"/>
          </w:tcPr>
          <w:p>
            <w:pPr>
              <w:pStyle w:val="null3"/>
              <w:ind w:left="420"/>
              <w:jc w:val="both"/>
              <w:outlineLvl w:val="3"/>
            </w:pPr>
            <w:r>
              <w:rPr>
                <w:sz w:val="21"/>
                <w:b/>
              </w:rPr>
              <w:t>3.2.3.4.故障响应</w:t>
            </w:r>
          </w:p>
          <w:p>
            <w:pPr>
              <w:pStyle w:val="null3"/>
              <w:ind w:firstLine="420"/>
              <w:jc w:val="both"/>
            </w:pPr>
            <w:r>
              <w:rPr>
                <w:sz w:val="21"/>
              </w:rPr>
              <w:t>针对系统的故障，中标人应制定详细的运行维护服务保障方案，及时受理建设方故障报表、电话报修。</w:t>
            </w:r>
          </w:p>
          <w:p>
            <w:pPr>
              <w:pStyle w:val="null3"/>
              <w:ind w:firstLine="420"/>
              <w:jc w:val="both"/>
            </w:pPr>
            <w:r>
              <w:rPr>
                <w:sz w:val="21"/>
              </w:rPr>
              <w:t>故障级别定义及解决时间要求如表所示。</w:t>
            </w:r>
          </w:p>
          <w:tbl>
            <w:tblPr>
              <w:tblBorders>
                <w:top w:val="none" w:color="000000" w:sz="4"/>
                <w:left w:val="none" w:color="000000" w:sz="4"/>
                <w:bottom w:val="none" w:color="000000" w:sz="4"/>
                <w:right w:val="none" w:color="000000" w:sz="4"/>
                <w:insideH w:val="none"/>
                <w:insideV w:val="none"/>
              </w:tblBorders>
            </w:tblPr>
            <w:tblGrid>
              <w:gridCol w:w="926"/>
              <w:gridCol w:w="926"/>
              <w:gridCol w:w="926"/>
              <w:gridCol w:w="926"/>
              <w:gridCol w:w="926"/>
              <w:gridCol w:w="926"/>
            </w:tblGrid>
            <w:tr>
              <w:tc>
                <w:tcPr>
                  <w:tcW w:type="dxa" w:w="9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故障级别</w:t>
                  </w:r>
                </w:p>
              </w:tc>
              <w:tc>
                <w:tcPr>
                  <w:tcW w:type="dxa" w:w="9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技术人员到场时间</w:t>
                  </w:r>
                </w:p>
              </w:tc>
              <w:tc>
                <w:tcPr>
                  <w:tcW w:type="dxa" w:w="9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提出解决方案</w:t>
                  </w:r>
                </w:p>
              </w:tc>
              <w:tc>
                <w:tcPr>
                  <w:tcW w:type="dxa" w:w="9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备件到场时间</w:t>
                  </w:r>
                </w:p>
              </w:tc>
              <w:tc>
                <w:tcPr>
                  <w:tcW w:type="dxa" w:w="9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解决时间</w:t>
                  </w:r>
                </w:p>
              </w:tc>
              <w:tc>
                <w:tcPr>
                  <w:tcW w:type="dxa" w:w="9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其他</w:t>
                  </w:r>
                </w:p>
              </w:tc>
            </w:tr>
            <w:tr>
              <w:tc>
                <w:tcPr>
                  <w:tcW w:type="dxa" w:w="9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Ⅰ级：属于重特大故障，其具体现象为系统崩溃</w:t>
                  </w:r>
                </w:p>
                <w:p>
                  <w:pPr>
                    <w:pStyle w:val="null3"/>
                    <w:jc w:val="both"/>
                  </w:pPr>
                </w:p>
              </w:tc>
              <w:tc>
                <w:tcPr>
                  <w:tcW w:type="dxa" w:w="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接报30min以内到现场</w:t>
                  </w:r>
                </w:p>
              </w:tc>
              <w:tc>
                <w:tcPr>
                  <w:tcW w:type="dxa" w:w="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到现场后1h内提交故障解决方案</w:t>
                  </w:r>
                </w:p>
              </w:tc>
              <w:tc>
                <w:tcPr>
                  <w:tcW w:type="dxa" w:w="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提出解决方案后1</w:t>
                  </w:r>
                </w:p>
                <w:p>
                  <w:pPr>
                    <w:pStyle w:val="null3"/>
                    <w:jc w:val="both"/>
                  </w:pPr>
                  <w:r>
                    <w:rPr>
                      <w:sz w:val="21"/>
                    </w:rPr>
                    <w:t>h到现场</w:t>
                  </w:r>
                </w:p>
              </w:tc>
              <w:tc>
                <w:tcPr>
                  <w:tcW w:type="dxa" w:w="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接报3h以内</w:t>
                  </w:r>
                </w:p>
              </w:tc>
              <w:tc>
                <w:tcPr>
                  <w:tcW w:type="dxa" w:w="9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特殊情况，由建设方电话通知或下发纸质通知单，3</w:t>
                  </w:r>
                </w:p>
                <w:p>
                  <w:pPr>
                    <w:pStyle w:val="null3"/>
                    <w:jc w:val="both"/>
                  </w:pPr>
                  <w:r>
                    <w:rPr>
                      <w:sz w:val="21"/>
                    </w:rPr>
                    <w:t>h内应修复</w:t>
                  </w:r>
                </w:p>
              </w:tc>
            </w:tr>
            <w:tr>
              <w:tc>
                <w:tcPr>
                  <w:tcW w:type="dxa" w:w="9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Ⅱ级：属于严重问题，其具体现象为分系统发生故障、或小面积瘫痪但不影响系统整体运行</w:t>
                  </w:r>
                </w:p>
              </w:tc>
              <w:tc>
                <w:tcPr>
                  <w:tcW w:type="dxa" w:w="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接报30min以内到现场</w:t>
                  </w:r>
                </w:p>
              </w:tc>
              <w:tc>
                <w:tcPr>
                  <w:tcW w:type="dxa" w:w="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到现场后1h内提交故障解决方案</w:t>
                  </w:r>
                </w:p>
              </w:tc>
              <w:tc>
                <w:tcPr>
                  <w:tcW w:type="dxa" w:w="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提出解决方案后1h到现场</w:t>
                  </w:r>
                </w:p>
              </w:tc>
              <w:tc>
                <w:tcPr>
                  <w:tcW w:type="dxa" w:w="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接报6h以内</w:t>
                  </w:r>
                </w:p>
              </w:tc>
              <w:tc>
                <w:tcPr>
                  <w:tcW w:type="dxa" w:w="926"/>
                  <w:vMerge/>
                  <w:tcBorders>
                    <w:top w:val="none" w:color="000000" w:sz="4"/>
                    <w:left w:val="none" w:color="000000" w:sz="4"/>
                    <w:bottom w:val="single" w:color="000000" w:sz="4"/>
                    <w:right w:val="single" w:color="000000" w:sz="4"/>
                  </w:tcBorders>
                </w:tcPr>
                <w:p/>
              </w:tc>
            </w:tr>
            <w:tr>
              <w:tc>
                <w:tcPr>
                  <w:tcW w:type="dxa" w:w="9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Ⅲ级：属于普通问题，其具体现象为前端监控点单个摄像机故障、前端监控点传输设备或线路故障</w:t>
                  </w:r>
                </w:p>
              </w:tc>
              <w:tc>
                <w:tcPr>
                  <w:tcW w:type="dxa" w:w="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接报2h内到现场</w:t>
                  </w:r>
                </w:p>
              </w:tc>
              <w:tc>
                <w:tcPr>
                  <w:tcW w:type="dxa" w:w="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即时提交或到现场后1h内提交解决方案</w:t>
                  </w:r>
                </w:p>
              </w:tc>
              <w:tc>
                <w:tcPr>
                  <w:tcW w:type="dxa" w:w="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视情况而定</w:t>
                  </w:r>
                </w:p>
              </w:tc>
              <w:tc>
                <w:tcPr>
                  <w:tcW w:type="dxa" w:w="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接报12h以内</w:t>
                  </w:r>
                </w:p>
              </w:tc>
              <w:tc>
                <w:tcPr>
                  <w:tcW w:type="dxa" w:w="926"/>
                  <w:vMerge/>
                  <w:tcBorders>
                    <w:top w:val="none" w:color="000000" w:sz="4"/>
                    <w:left w:val="none" w:color="000000" w:sz="4"/>
                    <w:bottom w:val="single" w:color="000000" w:sz="4"/>
                    <w:right w:val="single" w:color="000000" w:sz="4"/>
                  </w:tcBorders>
                </w:tcPr>
                <w:p/>
              </w:tc>
            </w:tr>
          </w:tbl>
          <w:p>
            <w:pPr>
              <w:pStyle w:val="null3"/>
              <w:ind w:firstLine="420"/>
              <w:jc w:val="both"/>
            </w:pPr>
            <w:r>
              <w:rPr>
                <w:sz w:val="21"/>
              </w:rPr>
              <w:t>故障响应要求如下：</w:t>
            </w:r>
          </w:p>
          <w:p>
            <w:pPr>
              <w:pStyle w:val="null3"/>
              <w:ind w:firstLine="420"/>
              <w:jc w:val="both"/>
            </w:pPr>
            <w:r>
              <w:rPr>
                <w:sz w:val="21"/>
              </w:rPr>
              <w:t>a)中标人及时提供主要设备发生故障时的应急处理方案，并保证对故障设备的及时维修和更换；</w:t>
            </w:r>
          </w:p>
          <w:p>
            <w:pPr>
              <w:pStyle w:val="null3"/>
              <w:ind w:firstLine="420"/>
              <w:jc w:val="both"/>
            </w:pPr>
            <w:r>
              <w:rPr>
                <w:sz w:val="21"/>
              </w:rPr>
              <w:t>b)制定光纤网络传输故障时的应急处理方案，保证光纤网络及时恢复正常传输；</w:t>
            </w:r>
          </w:p>
          <w:p>
            <w:pPr>
              <w:pStyle w:val="null3"/>
              <w:ind w:firstLine="420"/>
              <w:jc w:val="both"/>
            </w:pPr>
            <w:r>
              <w:rPr>
                <w:sz w:val="21"/>
              </w:rPr>
              <w:t>c)如果设备停产，根据备品备件考核要求及时提供相同性能或者性能更优的替代品，并保证不同时期提供的同类产品兼容。</w:t>
            </w:r>
          </w:p>
        </w:tc>
      </w:tr>
      <w:tr>
        <w:tc>
          <w:tcPr>
            <w:tcW w:type="dxa" w:w="2076"/>
          </w:tcPr>
          <w:p/>
        </w:tc>
        <w:tc>
          <w:tcPr>
            <w:tcW w:type="dxa" w:w="415"/>
          </w:tcPr>
          <w:p>
            <w:pPr>
              <w:pStyle w:val="null3"/>
            </w:pPr>
            <w:r>
              <w:rPr/>
              <w:t>4</w:t>
            </w:r>
          </w:p>
        </w:tc>
        <w:tc>
          <w:tcPr>
            <w:tcW w:type="dxa" w:w="5814"/>
          </w:tcPr>
          <w:p>
            <w:pPr>
              <w:pStyle w:val="null3"/>
              <w:ind w:left="420"/>
              <w:jc w:val="both"/>
              <w:outlineLvl w:val="3"/>
            </w:pPr>
            <w:r>
              <w:rPr>
                <w:sz w:val="21"/>
                <w:b/>
              </w:rPr>
              <w:t>3.2.3.5.保密要求</w:t>
            </w:r>
          </w:p>
          <w:p>
            <w:pPr>
              <w:pStyle w:val="null3"/>
              <w:ind w:firstLine="420"/>
              <w:jc w:val="both"/>
            </w:pPr>
            <w:r>
              <w:rPr>
                <w:sz w:val="21"/>
              </w:rPr>
              <w:t>中标人应加强对运维人员有关安全保密方面的法律法规的学习，严格遵守《中华人民共和国保守国家秘密法》等法律法规和公安机关保密管理工作相关规定，严格保守在公安机关办公场所工作中（以下简称</w:t>
            </w:r>
            <w:r>
              <w:rPr>
                <w:sz w:val="21"/>
              </w:rPr>
              <w:t>“工作中”）所接触的国家秘密和警务工作秘密。坚决做到不该说的秘密不说，不该知悉的秘密不问，不该看的秘密不看。</w:t>
            </w:r>
          </w:p>
          <w:p>
            <w:pPr>
              <w:pStyle w:val="null3"/>
              <w:ind w:firstLine="420"/>
              <w:jc w:val="both"/>
            </w:pPr>
            <w:r>
              <w:rPr>
                <w:sz w:val="21"/>
              </w:rPr>
              <w:t>不得擅自记录、复制、拍摄、摘抄、收藏在工作中涉及的国家秘密、警务工作秘密和敏感信息；严禁将公安机关内部文件、信息、会议、谈话等内容泄露给无关人员；严禁将工作中接触到的相关工作方案及实施规划透露给无关人员；未经许可，不得擅自翻阅与本人工作无关的文件和资料。</w:t>
            </w:r>
          </w:p>
          <w:p>
            <w:pPr>
              <w:pStyle w:val="null3"/>
              <w:ind w:firstLine="420"/>
              <w:jc w:val="both"/>
            </w:pPr>
            <w:r>
              <w:rPr>
                <w:sz w:val="21"/>
              </w:rPr>
              <w:t>工作中如使用公安信息网，须严格遵守公安信息网安全管理规定，严禁发生</w:t>
            </w:r>
            <w:r>
              <w:rPr>
                <w:sz w:val="21"/>
              </w:rPr>
              <w:t>“一机两用”、移动存储介质内外网交叉混用及越权访问内部信息等违规行为；严禁将从公安信息网上获得的警务工作秘密及内部信息、数据透露给无关人员；严禁私自下载、拷贝公安网设备（包括终端计算机、服务器等）中存储的各类文件；不得泄露公安信息网相关设备、业务系统等的口令、密钥；未经许可，严禁使用软件、程序及其他技术手段对公安信息网等内部网络进行扫描和嗅探。</w:t>
            </w:r>
          </w:p>
          <w:p>
            <w:pPr>
              <w:pStyle w:val="null3"/>
              <w:ind w:firstLine="420"/>
              <w:jc w:val="both"/>
            </w:pPr>
            <w:r>
              <w:rPr>
                <w:sz w:val="21"/>
              </w:rPr>
              <w:t>严禁泄露公安机关警务科技研究、发明、装备器材及相关技术资料中涉及的国家秘密和警务工作秘密；在对外科技或学术交流中，不得发表涉及公安工作国家秘密和警务工作秘密的技术文档和论文。</w:t>
            </w:r>
          </w:p>
          <w:p>
            <w:pPr>
              <w:pStyle w:val="null3"/>
              <w:ind w:firstLine="420"/>
              <w:jc w:val="both"/>
            </w:pPr>
            <w:r>
              <w:rPr>
                <w:sz w:val="21"/>
              </w:rPr>
              <w:t>未经工作所在地公安机关负责人许可，不得擅自带领无关人员进入公安机关内部办公场所和接触国家秘密及警务工作秘密。</w:t>
            </w:r>
          </w:p>
          <w:p>
            <w:pPr>
              <w:pStyle w:val="null3"/>
              <w:ind w:left="420"/>
              <w:jc w:val="both"/>
              <w:outlineLvl w:val="2"/>
            </w:pPr>
            <w:r>
              <w:rPr>
                <w:sz w:val="21"/>
                <w:b/>
              </w:rPr>
              <w:t>3.2.4.电子警察系统</w:t>
            </w:r>
          </w:p>
          <w:p>
            <w:pPr>
              <w:pStyle w:val="null3"/>
              <w:ind w:firstLine="420"/>
              <w:jc w:val="both"/>
            </w:pPr>
            <w:r>
              <w:rPr>
                <w:sz w:val="21"/>
              </w:rPr>
              <w:t>电子警察监控系统前端设备维护：含违停抓拍球、违法抓拍枪、测速卡口、测速雷达、红绿灯检测服务器、补光灯、智能管理终端、传输设备维护、杆件、标志牌、线路及其附属设备维护，为提供维护质量需提供备品机，用于应急维护。</w:t>
            </w:r>
          </w:p>
          <w:p>
            <w:pPr>
              <w:pStyle w:val="null3"/>
              <w:ind w:left="420"/>
              <w:jc w:val="both"/>
              <w:outlineLvl w:val="3"/>
            </w:pPr>
            <w:r>
              <w:rPr>
                <w:sz w:val="21"/>
                <w:b/>
              </w:rPr>
              <w:t>3.2.4.1.定期巡检</w:t>
            </w:r>
          </w:p>
          <w:p>
            <w:pPr>
              <w:pStyle w:val="null3"/>
              <w:ind w:firstLine="420"/>
              <w:jc w:val="both"/>
            </w:pPr>
            <w:r>
              <w:rPr>
                <w:sz w:val="21"/>
              </w:rPr>
              <w:t>每个月至少对每个前端监控点进行一次巡检，巡检包括：</w:t>
            </w:r>
          </w:p>
          <w:p>
            <w:pPr>
              <w:pStyle w:val="null3"/>
              <w:ind w:firstLine="420"/>
              <w:jc w:val="both"/>
            </w:pPr>
            <w:r>
              <w:rPr>
                <w:sz w:val="21"/>
              </w:rPr>
              <w:t>1、物理检查</w:t>
            </w:r>
          </w:p>
          <w:p>
            <w:pPr>
              <w:pStyle w:val="null3"/>
              <w:ind w:firstLine="420"/>
              <w:jc w:val="both"/>
            </w:pPr>
            <w:r>
              <w:rPr>
                <w:sz w:val="21"/>
              </w:rPr>
              <w:t>检查设备是否依原标定位置存在：系统中前端设备的标定位置应与设备实际安装位置一致；检查设备及安装部件的完整性、破损情况及牢固程度：设备及安装部件应齐全、无明显破损，设备安装应牢固。</w:t>
            </w:r>
          </w:p>
          <w:p>
            <w:pPr>
              <w:pStyle w:val="null3"/>
              <w:ind w:firstLine="420"/>
              <w:jc w:val="both"/>
            </w:pPr>
            <w:r>
              <w:rPr>
                <w:sz w:val="21"/>
              </w:rPr>
              <w:t>2、运行环境检查</w:t>
            </w:r>
          </w:p>
          <w:p>
            <w:pPr>
              <w:pStyle w:val="null3"/>
              <w:ind w:firstLine="420"/>
              <w:jc w:val="both"/>
            </w:pPr>
            <w:r>
              <w:rPr>
                <w:sz w:val="21"/>
              </w:rPr>
              <w:t>检查前端有无影响摄像机取机、灯光补光范围和设备正常工作的因素：及时清理影响摄像机取机、灯光补光范围的遮挡物；对于无法现场自行处置的遮挡物和影响设备正常工作的因素，应详细记录相关情况并提出改进意见，协调使用单位或其他相关单位处置。</w:t>
            </w:r>
          </w:p>
          <w:p>
            <w:pPr>
              <w:pStyle w:val="null3"/>
              <w:ind w:firstLine="420"/>
              <w:jc w:val="both"/>
            </w:pPr>
            <w:r>
              <w:rPr>
                <w:sz w:val="21"/>
              </w:rPr>
              <w:t>3、电气参数与性能检查</w:t>
            </w:r>
          </w:p>
          <w:p>
            <w:pPr>
              <w:pStyle w:val="null3"/>
              <w:ind w:firstLine="420"/>
              <w:jc w:val="both"/>
            </w:pPr>
            <w:r>
              <w:rPr>
                <w:sz w:val="21"/>
              </w:rPr>
              <w:t>检查摄像机及其配套设备（包括电源、风扇、加热、辅助照明装置等）的工作状态：摄像机及其配套设备工作应正常，采用仪器仪表测量摄像机的相关指标，并进行相应调整，应满足使用管理要求。</w:t>
            </w:r>
          </w:p>
          <w:p>
            <w:pPr>
              <w:pStyle w:val="null3"/>
              <w:ind w:firstLine="420"/>
              <w:jc w:val="both"/>
            </w:pPr>
            <w:r>
              <w:rPr>
                <w:sz w:val="21"/>
              </w:rPr>
              <w:t>6、设备调整</w:t>
            </w:r>
          </w:p>
          <w:p>
            <w:pPr>
              <w:pStyle w:val="null3"/>
              <w:ind w:firstLine="420"/>
              <w:jc w:val="both"/>
            </w:pPr>
            <w:r>
              <w:rPr>
                <w:sz w:val="21"/>
              </w:rPr>
              <w:t>根据视频监控需要调整前端摄像机的焦距、监控范围等：设备应处于良好的运行状态，监控图像质量及监控范围应满足使用管理要求。</w:t>
            </w:r>
          </w:p>
          <w:p>
            <w:pPr>
              <w:pStyle w:val="null3"/>
              <w:ind w:left="420"/>
              <w:jc w:val="both"/>
              <w:outlineLvl w:val="3"/>
            </w:pPr>
            <w:r>
              <w:rPr>
                <w:sz w:val="21"/>
                <w:b/>
              </w:rPr>
              <w:t>3.2.4.2.保养、维护</w:t>
            </w:r>
          </w:p>
          <w:p>
            <w:pPr>
              <w:pStyle w:val="null3"/>
              <w:ind w:firstLine="420"/>
              <w:jc w:val="both"/>
            </w:pPr>
            <w:r>
              <w:rPr>
                <w:sz w:val="21"/>
              </w:rPr>
              <w:t>每个月安排人员至少对每个前端设备进行一次保养</w:t>
            </w:r>
          </w:p>
          <w:p>
            <w:pPr>
              <w:pStyle w:val="null3"/>
              <w:ind w:firstLine="420"/>
              <w:jc w:val="both"/>
            </w:pPr>
            <w:r>
              <w:rPr>
                <w:sz w:val="21"/>
              </w:rPr>
              <w:t>1、对监控点机箱里电气设备进行清尘、清洁和检查。及时发现故障、隐患并及时处理，把故障消灭在萌芽状态，避免扩大故障范围；</w:t>
            </w:r>
          </w:p>
          <w:p>
            <w:pPr>
              <w:pStyle w:val="null3"/>
              <w:ind w:firstLine="420"/>
              <w:jc w:val="both"/>
            </w:pPr>
            <w:r>
              <w:rPr>
                <w:sz w:val="21"/>
              </w:rPr>
              <w:t>2、擦试防护罩，前视玻璃的除尘等；</w:t>
            </w:r>
          </w:p>
          <w:p>
            <w:pPr>
              <w:pStyle w:val="null3"/>
              <w:ind w:firstLine="420"/>
              <w:jc w:val="both"/>
            </w:pPr>
            <w:r>
              <w:rPr>
                <w:sz w:val="21"/>
              </w:rPr>
              <w:t>3、对发现的问题及时处理，以保证系统持续、稳定、安全地运行。</w:t>
            </w:r>
          </w:p>
          <w:p>
            <w:pPr>
              <w:pStyle w:val="null3"/>
              <w:ind w:firstLine="420"/>
              <w:jc w:val="both"/>
            </w:pPr>
            <w:r>
              <w:rPr>
                <w:sz w:val="21"/>
              </w:rPr>
              <w:t>4、对被树枝遮档或其它物体遮档，要及时剪枝和清理。</w:t>
            </w:r>
          </w:p>
          <w:p>
            <w:pPr>
              <w:pStyle w:val="null3"/>
              <w:ind w:firstLine="420"/>
              <w:jc w:val="both"/>
            </w:pPr>
            <w:r>
              <w:rPr>
                <w:sz w:val="21"/>
              </w:rPr>
              <w:t>5、清洁和整理传输设备、过线间、手孔井等：保持井环井盖无损坏，密封性能好，井盖盖好在井环上，保持手孔井清洁干燥，无老鼠、蚂蚁、蟑螂等害虫，垃圾、杂物、废旧电缆等。</w:t>
            </w:r>
          </w:p>
          <w:p>
            <w:pPr>
              <w:pStyle w:val="null3"/>
              <w:ind w:left="420"/>
              <w:jc w:val="both"/>
              <w:outlineLvl w:val="3"/>
            </w:pPr>
            <w:r>
              <w:rPr>
                <w:sz w:val="21"/>
                <w:b/>
              </w:rPr>
              <w:t>3.2.4.3.性能测试</w:t>
            </w:r>
          </w:p>
          <w:p>
            <w:pPr>
              <w:pStyle w:val="null3"/>
              <w:ind w:firstLine="420"/>
              <w:jc w:val="both"/>
            </w:pPr>
            <w:r>
              <w:rPr>
                <w:sz w:val="21"/>
              </w:rPr>
              <w:t>1、在每个季度安排人员至少对各类电器设备进行一次检测并做好参数记录。在每年的3月份雷雨季节来临前，检查所有的监控点的避雷是否正常，检查各接地线是否正常。以保证在雷雨季节避雷器被击而造成设备损坏。</w:t>
            </w:r>
          </w:p>
          <w:p>
            <w:pPr>
              <w:pStyle w:val="null3"/>
              <w:ind w:firstLine="420"/>
              <w:jc w:val="both"/>
            </w:pPr>
            <w:r>
              <w:rPr>
                <w:sz w:val="21"/>
              </w:rPr>
              <w:t>2、根据需要调整传输设备的相关参数:对光传输线路损耗指标进行测试，确保图像及控制正常、网络无丢包，光线路物理故障时及时通知运营商维护。</w:t>
            </w:r>
          </w:p>
          <w:p>
            <w:pPr>
              <w:pStyle w:val="null3"/>
              <w:ind w:left="420"/>
              <w:jc w:val="both"/>
              <w:outlineLvl w:val="3"/>
            </w:pPr>
            <w:r>
              <w:rPr>
                <w:sz w:val="21"/>
                <w:b/>
              </w:rPr>
              <w:t>3.2.4.4.故障响应</w:t>
            </w:r>
          </w:p>
          <w:p>
            <w:pPr>
              <w:pStyle w:val="null3"/>
              <w:ind w:firstLine="420"/>
              <w:jc w:val="both"/>
            </w:pPr>
            <w:r>
              <w:rPr>
                <w:sz w:val="21"/>
              </w:rPr>
              <w:t>针对系统的故障，中标人应制定详细的运行维护服务保障方案，及时受理建设方故障报表、电话报修。</w:t>
            </w:r>
          </w:p>
          <w:p>
            <w:pPr>
              <w:pStyle w:val="null3"/>
              <w:ind w:firstLine="420"/>
              <w:jc w:val="both"/>
            </w:pPr>
            <w:r>
              <w:rPr>
                <w:sz w:val="21"/>
              </w:rPr>
              <w:t>故障级别定义及解决时间要求如表所示。</w:t>
            </w:r>
          </w:p>
          <w:tbl>
            <w:tblPr>
              <w:tblBorders>
                <w:top w:val="none" w:color="000000" w:sz="4"/>
                <w:left w:val="none" w:color="000000" w:sz="4"/>
                <w:bottom w:val="none" w:color="000000" w:sz="4"/>
                <w:right w:val="none" w:color="000000" w:sz="4"/>
                <w:insideH w:val="none"/>
                <w:insideV w:val="none"/>
              </w:tblBorders>
            </w:tblPr>
            <w:tblGrid>
              <w:gridCol w:w="1806"/>
              <w:gridCol w:w="733"/>
              <w:gridCol w:w="830"/>
              <w:gridCol w:w="626"/>
              <w:gridCol w:w="493"/>
              <w:gridCol w:w="1111"/>
            </w:tblGrid>
            <w:tr>
              <w:tc>
                <w:tcPr>
                  <w:tcW w:type="dxa" w:w="18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故障级别</w:t>
                  </w:r>
                </w:p>
              </w:tc>
              <w:tc>
                <w:tcPr>
                  <w:tcW w:type="dxa" w:w="7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技术人员到场时间</w:t>
                  </w:r>
                </w:p>
              </w:tc>
              <w:tc>
                <w:tcPr>
                  <w:tcW w:type="dxa" w:w="8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提出解决方案</w:t>
                  </w:r>
                </w:p>
              </w:tc>
              <w:tc>
                <w:tcPr>
                  <w:tcW w:type="dxa" w:w="6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备件到场时间</w:t>
                  </w:r>
                </w:p>
              </w:tc>
              <w:tc>
                <w:tcPr>
                  <w:tcW w:type="dxa" w:w="4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解决时间</w:t>
                  </w:r>
                </w:p>
              </w:tc>
              <w:tc>
                <w:tcPr>
                  <w:tcW w:type="dxa" w:w="11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w:t>
                  </w:r>
                </w:p>
              </w:tc>
            </w:tr>
            <w:tr>
              <w:tc>
                <w:tcPr>
                  <w:tcW w:type="dxa" w:w="1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Ⅰ级：属于重特大故障，其具体现象为系统崩溃</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接报</w:t>
                  </w:r>
                  <w:r>
                    <w:rPr>
                      <w:sz w:val="21"/>
                    </w:rPr>
                    <w:t>30min以内到现场</w:t>
                  </w:r>
                </w:p>
              </w:tc>
              <w:tc>
                <w:tcPr>
                  <w:tcW w:type="dxa" w:w="8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到现场后</w:t>
                  </w:r>
                  <w:r>
                    <w:rPr>
                      <w:sz w:val="21"/>
                    </w:rPr>
                    <w:t>1h内提交故障解决方案</w:t>
                  </w:r>
                </w:p>
              </w:tc>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提出解决方案后</w:t>
                  </w:r>
                  <w:r>
                    <w:rPr>
                      <w:sz w:val="21"/>
                    </w:rPr>
                    <w:t>1</w:t>
                  </w:r>
                </w:p>
                <w:p>
                  <w:pPr>
                    <w:pStyle w:val="null3"/>
                    <w:jc w:val="both"/>
                  </w:pPr>
                  <w:r>
                    <w:rPr>
                      <w:sz w:val="21"/>
                    </w:rPr>
                    <w:t>h到现场</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接报</w:t>
                  </w:r>
                  <w:r>
                    <w:rPr>
                      <w:sz w:val="21"/>
                    </w:rPr>
                    <w:t>3h以内</w:t>
                  </w:r>
                </w:p>
              </w:tc>
              <w:tc>
                <w:tcPr>
                  <w:tcW w:type="dxa" w:w="11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特殊情况，由建设方电话通知或下发纸质通知单，</w:t>
                  </w:r>
                  <w:r>
                    <w:rPr>
                      <w:sz w:val="21"/>
                    </w:rPr>
                    <w:t>3</w:t>
                  </w:r>
                </w:p>
                <w:p>
                  <w:pPr>
                    <w:pStyle w:val="null3"/>
                    <w:jc w:val="both"/>
                  </w:pPr>
                  <w:r>
                    <w:rPr>
                      <w:sz w:val="21"/>
                    </w:rPr>
                    <w:t>h内应修复</w:t>
                  </w:r>
                </w:p>
              </w:tc>
            </w:tr>
            <w:tr>
              <w:tc>
                <w:tcPr>
                  <w:tcW w:type="dxa" w:w="1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Ⅱ级：属于严重问题，其具体现象为分系统发生故障、或小面积瘫痪但不影响系统整体运行</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接报</w:t>
                  </w:r>
                  <w:r>
                    <w:rPr>
                      <w:sz w:val="21"/>
                    </w:rPr>
                    <w:t>30min以内到现场</w:t>
                  </w:r>
                </w:p>
              </w:tc>
              <w:tc>
                <w:tcPr>
                  <w:tcW w:type="dxa" w:w="8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到现场后</w:t>
                  </w:r>
                  <w:r>
                    <w:rPr>
                      <w:sz w:val="21"/>
                    </w:rPr>
                    <w:t>1h内提交故障解决方案</w:t>
                  </w:r>
                </w:p>
              </w:tc>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提出解决方案后</w:t>
                  </w:r>
                  <w:r>
                    <w:rPr>
                      <w:sz w:val="21"/>
                    </w:rPr>
                    <w:t>1h到现场</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接报</w:t>
                  </w:r>
                  <w:r>
                    <w:rPr>
                      <w:sz w:val="21"/>
                    </w:rPr>
                    <w:t>6h以内</w:t>
                  </w:r>
                </w:p>
              </w:tc>
              <w:tc>
                <w:tcPr>
                  <w:tcW w:type="dxa" w:w="1111"/>
                  <w:vMerge/>
                  <w:tcBorders>
                    <w:top w:val="none" w:color="000000" w:sz="4"/>
                    <w:left w:val="single" w:color="000000" w:sz="4"/>
                    <w:bottom w:val="single" w:color="000000" w:sz="4"/>
                    <w:right w:val="single" w:color="000000" w:sz="4"/>
                  </w:tcBorders>
                </w:tcPr>
                <w:p/>
              </w:tc>
            </w:tr>
            <w:tr>
              <w:tc>
                <w:tcPr>
                  <w:tcW w:type="dxa" w:w="1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Ⅲ级：属于普通问题，其具体现象为前端监控点单个摄像机故障、前端监控点传输设备或线路故障</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接报</w:t>
                  </w:r>
                  <w:r>
                    <w:rPr>
                      <w:sz w:val="21"/>
                    </w:rPr>
                    <w:t>2h内到现场</w:t>
                  </w:r>
                </w:p>
              </w:tc>
              <w:tc>
                <w:tcPr>
                  <w:tcW w:type="dxa" w:w="8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即时提交或到现场后</w:t>
                  </w:r>
                  <w:r>
                    <w:rPr>
                      <w:sz w:val="21"/>
                    </w:rPr>
                    <w:t>1h内提交解决方案</w:t>
                  </w:r>
                </w:p>
              </w:tc>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视情况而定</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接报</w:t>
                  </w:r>
                  <w:r>
                    <w:rPr>
                      <w:sz w:val="21"/>
                    </w:rPr>
                    <w:t>12h以内</w:t>
                  </w:r>
                </w:p>
              </w:tc>
              <w:tc>
                <w:tcPr>
                  <w:tcW w:type="dxa" w:w="1111"/>
                  <w:vMerge/>
                  <w:tcBorders>
                    <w:top w:val="none" w:color="000000" w:sz="4"/>
                    <w:left w:val="single" w:color="000000" w:sz="4"/>
                    <w:bottom w:val="single" w:color="000000" w:sz="4"/>
                    <w:right w:val="single" w:color="000000" w:sz="4"/>
                  </w:tcBorders>
                </w:tcPr>
                <w:p/>
              </w:tc>
            </w:tr>
          </w:tbl>
          <w:p>
            <w:pPr>
              <w:pStyle w:val="null3"/>
              <w:ind w:firstLine="420"/>
              <w:jc w:val="both"/>
            </w:pPr>
            <w:r>
              <w:rPr>
                <w:sz w:val="21"/>
              </w:rPr>
              <w:t>故障响应要求如下：</w:t>
            </w:r>
          </w:p>
          <w:p>
            <w:pPr>
              <w:pStyle w:val="null3"/>
              <w:ind w:firstLine="420"/>
              <w:jc w:val="both"/>
            </w:pPr>
            <w:r>
              <w:rPr>
                <w:sz w:val="21"/>
              </w:rPr>
              <w:t>a)中标人及时提供主要设备发生故障时的应急处理方案，并保证对故障设备的及时维修和更换；</w:t>
            </w:r>
          </w:p>
          <w:p>
            <w:pPr>
              <w:pStyle w:val="null3"/>
              <w:ind w:firstLine="420"/>
              <w:jc w:val="both"/>
            </w:pPr>
            <w:r>
              <w:rPr>
                <w:sz w:val="21"/>
              </w:rPr>
              <w:t>b)制定光纤网络传输故障时的应急处理方案，保证光纤网络及时恢复正常传输；</w:t>
            </w:r>
          </w:p>
          <w:p>
            <w:pPr>
              <w:pStyle w:val="null3"/>
              <w:ind w:firstLine="420"/>
              <w:jc w:val="both"/>
            </w:pPr>
            <w:r>
              <w:rPr>
                <w:sz w:val="21"/>
              </w:rPr>
              <w:t>c)如果设备停产，根据备品备件考核要求及时提供相同性能或者性能更优的替代品，并保证不同时期提供的同类产品兼容。</w:t>
            </w:r>
          </w:p>
          <w:p>
            <w:pPr>
              <w:pStyle w:val="null3"/>
              <w:ind w:left="420"/>
              <w:jc w:val="both"/>
              <w:outlineLvl w:val="3"/>
            </w:pPr>
            <w:r>
              <w:rPr>
                <w:sz w:val="21"/>
                <w:b/>
              </w:rPr>
              <w:t>3.2.4.5.保密要求</w:t>
            </w:r>
          </w:p>
          <w:p>
            <w:pPr>
              <w:pStyle w:val="null3"/>
              <w:ind w:firstLine="420"/>
              <w:jc w:val="both"/>
            </w:pPr>
            <w:r>
              <w:rPr>
                <w:sz w:val="21"/>
              </w:rPr>
              <w:t>中标人应加强对运维人员有关安全保密方面的法律法规的学习，严格遵守《中华人民共和国保守国家秘密法》等法律法规和公安机关保密管理工作相关规定，严格保守在公安机关办公场所工作中（以下简称</w:t>
            </w:r>
            <w:r>
              <w:rPr>
                <w:sz w:val="21"/>
              </w:rPr>
              <w:t>“工作中”）所接触的国家秘密和警务工作秘密。坚决做到不该说的秘密不说，不该知悉的秘密不问，不该看的秘密不看。</w:t>
            </w:r>
          </w:p>
          <w:p>
            <w:pPr>
              <w:pStyle w:val="null3"/>
              <w:ind w:firstLine="420"/>
              <w:jc w:val="both"/>
            </w:pPr>
            <w:r>
              <w:rPr>
                <w:sz w:val="21"/>
              </w:rPr>
              <w:t>不得擅自记录、复制、拍摄、摘抄、收藏在工作中涉及的国家秘密、警务工作秘密和敏感信息；严禁将公安机关内部文件、信息、会议、谈话等内容泄露给无关人员；严禁将工作中接触到的相关工作方案及实施规划透露给无关人员；未经许可，不得擅自翻阅与本人工作无关的文件和资料。</w:t>
            </w:r>
          </w:p>
          <w:p>
            <w:pPr>
              <w:pStyle w:val="null3"/>
              <w:ind w:firstLine="420"/>
              <w:jc w:val="both"/>
            </w:pPr>
            <w:r>
              <w:rPr>
                <w:sz w:val="21"/>
              </w:rPr>
              <w:t>工作中如使用公安信息网，须严格遵守公安信息网安全管理规定，严禁发生</w:t>
            </w:r>
            <w:r>
              <w:rPr>
                <w:sz w:val="21"/>
              </w:rPr>
              <w:t>“一机两用”、移动存储介质内外网交叉混用及越权访问内部信息等违规行为；严禁将从公安信息网上获得的警务工作秘密及内部信息、数据透露给无关人员；严禁私自下载、拷贝公安网设备（包括终端计算机、服务器等）中存储的各类文件；不得泄露公安信息网相关设备、业务系统等的口令、密钥；未经许可，严禁使用软件、程序及其他技术手段对公安信息网等内部网络进行扫描和嗅探。</w:t>
            </w:r>
          </w:p>
          <w:p>
            <w:pPr>
              <w:pStyle w:val="null3"/>
              <w:ind w:firstLine="420"/>
              <w:jc w:val="both"/>
            </w:pPr>
            <w:r>
              <w:rPr>
                <w:sz w:val="21"/>
              </w:rPr>
              <w:t>严禁泄露公安机关警务科技研究、发明、装备器材及相关技术资料中涉及的国家秘密和警务工作秘密；在对外科技或学术交流中，不得发表涉及公安工作国家秘密和警务工作秘密的技术文档和论文。</w:t>
            </w:r>
          </w:p>
          <w:p>
            <w:pPr>
              <w:pStyle w:val="null3"/>
              <w:ind w:firstLine="420"/>
              <w:jc w:val="both"/>
            </w:pPr>
            <w:r>
              <w:rPr>
                <w:sz w:val="21"/>
              </w:rPr>
              <w:t>未经工作所在地公安机关负责人许可，不得擅自带领无关人员进入公安机关内部办公场所和接触国家秘密及警务工作秘密。</w:t>
            </w:r>
          </w:p>
          <w:p>
            <w:pPr>
              <w:pStyle w:val="null3"/>
              <w:ind w:left="420"/>
              <w:jc w:val="both"/>
              <w:outlineLvl w:val="2"/>
            </w:pPr>
            <w:r>
              <w:rPr>
                <w:sz w:val="21"/>
                <w:b/>
              </w:rPr>
              <w:t>3.2.5.交通信号控制系统</w:t>
            </w:r>
          </w:p>
          <w:p>
            <w:pPr>
              <w:pStyle w:val="null3"/>
              <w:ind w:firstLine="420"/>
              <w:jc w:val="both"/>
            </w:pPr>
            <w:r>
              <w:rPr>
                <w:sz w:val="21"/>
              </w:rPr>
              <w:t>交通信号控制系统前端维护包括：机动车信号灯、人行信号灯、多功能人行灯一体机、交通控制服务器以及配置线缆、电源引入等设备维护、方案配时优化。</w:t>
            </w:r>
          </w:p>
          <w:p>
            <w:pPr>
              <w:pStyle w:val="null3"/>
              <w:ind w:left="420"/>
              <w:jc w:val="both"/>
              <w:outlineLvl w:val="3"/>
            </w:pPr>
            <w:r>
              <w:rPr>
                <w:sz w:val="21"/>
                <w:b/>
              </w:rPr>
              <w:t>3.2.5.1.定期巡检</w:t>
            </w:r>
          </w:p>
          <w:p>
            <w:pPr>
              <w:pStyle w:val="null3"/>
              <w:ind w:firstLine="420"/>
              <w:jc w:val="both"/>
            </w:pPr>
            <w:r>
              <w:rPr>
                <w:sz w:val="21"/>
              </w:rPr>
              <w:t>每个季度至少对每个前端设备进行一次巡检，巡检包括</w:t>
            </w:r>
            <w:r>
              <w:rPr>
                <w:sz w:val="21"/>
              </w:rPr>
              <w:t>:</w:t>
            </w:r>
          </w:p>
          <w:p>
            <w:pPr>
              <w:pStyle w:val="null3"/>
              <w:ind w:firstLine="420"/>
              <w:jc w:val="both"/>
            </w:pPr>
            <w:r>
              <w:rPr>
                <w:sz w:val="21"/>
              </w:rPr>
              <w:t>1、检查信号机主控板、相位板、车检板等信号机内板件是否正常工作，电源模块输出是否正常；</w:t>
            </w:r>
          </w:p>
          <w:p>
            <w:pPr>
              <w:pStyle w:val="null3"/>
              <w:ind w:firstLine="420"/>
              <w:jc w:val="both"/>
            </w:pPr>
            <w:r>
              <w:rPr>
                <w:sz w:val="21"/>
              </w:rPr>
              <w:t>2、检查信号设施之间、信号设施与交通组织、交通标志、标线是否存有矛盾冲突；</w:t>
            </w:r>
          </w:p>
          <w:p>
            <w:pPr>
              <w:pStyle w:val="null3"/>
              <w:ind w:firstLine="420"/>
              <w:jc w:val="both"/>
            </w:pPr>
            <w:r>
              <w:rPr>
                <w:sz w:val="21"/>
              </w:rPr>
              <w:t>3、检查信号设施被遮挡情况，广告标志悬挂情况、设施脏污和小广告张贴情况；</w:t>
            </w:r>
          </w:p>
          <w:p>
            <w:pPr>
              <w:pStyle w:val="null3"/>
              <w:ind w:firstLine="420"/>
              <w:jc w:val="both"/>
            </w:pPr>
            <w:r>
              <w:rPr>
                <w:sz w:val="21"/>
              </w:rPr>
              <w:t>4、检查管道和窨井堵塞情况、井盖及周边缺失破损情况。</w:t>
            </w:r>
          </w:p>
          <w:p>
            <w:pPr>
              <w:pStyle w:val="null3"/>
              <w:ind w:firstLine="420"/>
              <w:jc w:val="both"/>
            </w:pPr>
            <w:r>
              <w:rPr>
                <w:sz w:val="21"/>
              </w:rPr>
              <w:t>5、检查机箱门（锁）关闭和完好情况、手控按钮正常使用情况。</w:t>
            </w:r>
          </w:p>
          <w:p>
            <w:pPr>
              <w:pStyle w:val="null3"/>
              <w:ind w:firstLine="420"/>
              <w:jc w:val="both"/>
            </w:pPr>
            <w:r>
              <w:rPr>
                <w:sz w:val="21"/>
              </w:rPr>
              <w:t>6、检查信号灯路口外单位施工开挖情况。</w:t>
            </w:r>
          </w:p>
          <w:p>
            <w:pPr>
              <w:pStyle w:val="null3"/>
              <w:ind w:firstLine="420"/>
              <w:jc w:val="both"/>
            </w:pPr>
            <w:r>
              <w:rPr>
                <w:sz w:val="21"/>
              </w:rPr>
              <w:t>7、检查信号灯杆、信号灯、信号机柜结构件是否有锈蚀、倾斜、损坏，是否存在安全隐患或被附着其他设施。</w:t>
            </w:r>
          </w:p>
          <w:p>
            <w:pPr>
              <w:pStyle w:val="null3"/>
              <w:ind w:firstLine="420"/>
              <w:jc w:val="both"/>
            </w:pPr>
            <w:r>
              <w:rPr>
                <w:sz w:val="21"/>
              </w:rPr>
              <w:t>8、检查信号设施供电电缆和控制电缆是否外露、破损、漏电，机箱和杆体是否带电；或因道路积水、城市内涝可能造成信号设施漏电的情况。</w:t>
            </w:r>
          </w:p>
          <w:p>
            <w:pPr>
              <w:pStyle w:val="null3"/>
              <w:ind w:firstLine="420"/>
              <w:jc w:val="both"/>
            </w:pPr>
            <w:r>
              <w:rPr>
                <w:sz w:val="21"/>
              </w:rPr>
              <w:t>9检查信号灯的灯珠是否正常工作，包括灯是否熄灭、灯光是否亮度均匀或者过暗等情况。</w:t>
            </w:r>
          </w:p>
          <w:p>
            <w:pPr>
              <w:pStyle w:val="null3"/>
              <w:ind w:firstLine="420"/>
              <w:jc w:val="both"/>
            </w:pPr>
            <w:r>
              <w:rPr>
                <w:sz w:val="21"/>
              </w:rPr>
              <w:t>10、巡检当中发现的重大安全隐患应及时处置，并立即报告。</w:t>
            </w:r>
          </w:p>
          <w:p>
            <w:pPr>
              <w:pStyle w:val="null3"/>
              <w:ind w:firstLine="420"/>
              <w:jc w:val="both"/>
            </w:pPr>
            <w:r>
              <w:rPr>
                <w:sz w:val="21"/>
              </w:rPr>
              <w:t>11、检查信号灯的配时是否合理，根据道路交通流量和需求进行调整。</w:t>
            </w:r>
          </w:p>
          <w:p>
            <w:pPr>
              <w:pStyle w:val="null3"/>
              <w:ind w:left="420"/>
              <w:jc w:val="both"/>
              <w:outlineLvl w:val="3"/>
            </w:pPr>
            <w:r>
              <w:rPr>
                <w:sz w:val="21"/>
                <w:b/>
              </w:rPr>
              <w:t>3.2.5.2.保养、维护</w:t>
            </w:r>
          </w:p>
          <w:p>
            <w:pPr>
              <w:pStyle w:val="null3"/>
              <w:ind w:firstLine="420"/>
              <w:jc w:val="both"/>
            </w:pPr>
            <w:r>
              <w:rPr>
                <w:sz w:val="21"/>
              </w:rPr>
              <w:t>1、每月对维护保养的信号灯进行一次全部检查，处理存在的故障和问题。</w:t>
            </w:r>
          </w:p>
          <w:p>
            <w:pPr>
              <w:pStyle w:val="null3"/>
              <w:ind w:firstLine="420"/>
              <w:jc w:val="both"/>
            </w:pPr>
            <w:r>
              <w:rPr>
                <w:sz w:val="21"/>
              </w:rPr>
              <w:t>2、定期每半年一次对信号灯具清洗和保养，做到灯具外壳、透光玻璃、背板、遮罩、内部反光杆干净无尘，无破损，无老化变形。灯壳内无积水，密封性能好，亮度符合要求，信号灯具在杆上安装牢固，竖式安装时应垂直，横向安装时应平行，机动车信号灯具显示面正对所控制的机动车道，人行横道信号灯具显示面应正对人行横道，若有损坏或不完整的需要及时更换。</w:t>
            </w:r>
          </w:p>
          <w:p>
            <w:pPr>
              <w:pStyle w:val="null3"/>
              <w:ind w:firstLine="420"/>
              <w:jc w:val="both"/>
            </w:pPr>
            <w:r>
              <w:rPr>
                <w:sz w:val="21"/>
              </w:rPr>
              <w:t>3、每一年度对交通信号灯线路、设备进行一次彻底检查，更换老化的易损件。</w:t>
            </w:r>
          </w:p>
          <w:p>
            <w:pPr>
              <w:pStyle w:val="null3"/>
              <w:ind w:left="420"/>
              <w:jc w:val="both"/>
              <w:outlineLvl w:val="3"/>
            </w:pPr>
            <w:r>
              <w:rPr>
                <w:sz w:val="21"/>
                <w:b/>
              </w:rPr>
              <w:t>3.2.5.3.性能测试</w:t>
            </w:r>
          </w:p>
          <w:p>
            <w:pPr>
              <w:pStyle w:val="null3"/>
              <w:ind w:firstLine="420"/>
              <w:jc w:val="both"/>
            </w:pPr>
            <w:r>
              <w:rPr>
                <w:sz w:val="21"/>
              </w:rPr>
              <w:t>以三个月为一周期，成交供应商对各类电器设备进行检测、并做好参数记录。在每年的</w:t>
            </w:r>
            <w:r>
              <w:rPr>
                <w:sz w:val="21"/>
              </w:rPr>
              <w:t>3月份雷雨季节来临前，着重对所有信号灯的接地电阻进行测试和数据记录，并检查所有的信号灯的避雷是否正常。对测试后数据达不到要求的点采用增加接地桩等措施解决，以减小接地电阻。并更换被雷击穿的避雷器。同时，检查各接地线是否正常。以保证在雷雨季节避雷器被击而造成设备损坏。依据接地电阻测试要求（信号杆及信号机箱外壳接地阻抗在10欧姆以下），对接地电阻六个月为一测试周期，因避雷器被击而造成设备损坏，由成交供应商自行承担所需费用。如果由于地接线不符合要求发生触电事故的，由中标人承担责任。</w:t>
            </w:r>
          </w:p>
          <w:p>
            <w:pPr>
              <w:pStyle w:val="null3"/>
              <w:ind w:left="420"/>
              <w:jc w:val="both"/>
              <w:outlineLvl w:val="3"/>
            </w:pPr>
            <w:r>
              <w:rPr>
                <w:sz w:val="21"/>
                <w:b/>
              </w:rPr>
              <w:t>3.2.5.4.特殊保障工作</w:t>
            </w:r>
          </w:p>
          <w:p>
            <w:pPr>
              <w:pStyle w:val="null3"/>
              <w:ind w:firstLine="420"/>
              <w:jc w:val="both"/>
            </w:pPr>
            <w:r>
              <w:rPr>
                <w:sz w:val="21"/>
              </w:rPr>
              <w:t>在重要交通警卫保障工作时，要根据指示开展相关工作，如配合检查。日常要根据指示对维护的交通安全设施进行排查、对不合理、有问题的安全设施及时进行调整，提高路口通行效率。</w:t>
            </w:r>
          </w:p>
          <w:p>
            <w:pPr>
              <w:pStyle w:val="null3"/>
              <w:ind w:left="420"/>
              <w:jc w:val="both"/>
              <w:outlineLvl w:val="3"/>
            </w:pPr>
            <w:r>
              <w:rPr>
                <w:sz w:val="21"/>
                <w:b/>
              </w:rPr>
              <w:t>3.2.5.5.故障处理</w:t>
            </w:r>
          </w:p>
          <w:p>
            <w:pPr>
              <w:pStyle w:val="null3"/>
              <w:ind w:firstLine="420"/>
              <w:jc w:val="both"/>
            </w:pPr>
            <w:r>
              <w:rPr>
                <w:sz w:val="21"/>
              </w:rPr>
              <w:t>1、一般故障</w:t>
            </w:r>
          </w:p>
          <w:p>
            <w:pPr>
              <w:pStyle w:val="null3"/>
              <w:ind w:firstLine="420"/>
              <w:jc w:val="both"/>
            </w:pPr>
            <w:r>
              <w:rPr>
                <w:sz w:val="21"/>
              </w:rPr>
              <w:t>一般故障表现为不影响道路交通安全的其他一般故障，发现故障后能自动降级到更可靠的控制方式，保证信号灯控制主机继续正常工作。</w:t>
            </w:r>
          </w:p>
          <w:p>
            <w:pPr>
              <w:pStyle w:val="null3"/>
              <w:ind w:firstLine="420"/>
              <w:jc w:val="both"/>
            </w:pPr>
            <w:r>
              <w:rPr>
                <w:sz w:val="21"/>
              </w:rPr>
              <w:t>（</w:t>
            </w:r>
            <w:r>
              <w:rPr>
                <w:sz w:val="21"/>
              </w:rPr>
              <w:t>1）通信故障</w:t>
            </w:r>
          </w:p>
          <w:p>
            <w:pPr>
              <w:pStyle w:val="null3"/>
              <w:ind w:firstLine="420"/>
              <w:jc w:val="both"/>
            </w:pPr>
            <w:r>
              <w:rPr>
                <w:sz w:val="21"/>
              </w:rPr>
              <w:t>交通控制服务器与中心之间的通讯故障，这种情况下，基于区域控制的方案会自动降级到单点</w:t>
            </w:r>
            <w:r>
              <w:rPr>
                <w:sz w:val="21"/>
              </w:rPr>
              <w:t>/线协调的控制方式。</w:t>
            </w:r>
          </w:p>
          <w:p>
            <w:pPr>
              <w:pStyle w:val="null3"/>
              <w:ind w:firstLine="420"/>
              <w:jc w:val="both"/>
            </w:pPr>
            <w:r>
              <w:rPr>
                <w:sz w:val="21"/>
              </w:rPr>
              <w:t>（</w:t>
            </w:r>
            <w:r>
              <w:rPr>
                <w:sz w:val="21"/>
              </w:rPr>
              <w:t>2）车辆检测故障</w:t>
            </w:r>
          </w:p>
          <w:p>
            <w:pPr>
              <w:pStyle w:val="null3"/>
              <w:ind w:firstLine="420"/>
              <w:jc w:val="both"/>
            </w:pPr>
            <w:r>
              <w:rPr>
                <w:sz w:val="21"/>
              </w:rPr>
              <w:t>交通控制服务器通过设定的故障检测机制，基于雷达感应控制的方案会自动降级到多时段周期控制。</w:t>
            </w:r>
          </w:p>
          <w:p>
            <w:pPr>
              <w:pStyle w:val="null3"/>
              <w:ind w:firstLine="420"/>
              <w:jc w:val="both"/>
            </w:pPr>
            <w:r>
              <w:rPr>
                <w:sz w:val="21"/>
              </w:rPr>
              <w:t>（</w:t>
            </w:r>
            <w:r>
              <w:rPr>
                <w:sz w:val="21"/>
              </w:rPr>
              <w:t>3）电源故障</w:t>
            </w:r>
          </w:p>
          <w:p>
            <w:pPr>
              <w:pStyle w:val="null3"/>
              <w:ind w:firstLine="420"/>
              <w:jc w:val="both"/>
            </w:pPr>
            <w:r>
              <w:rPr>
                <w:sz w:val="21"/>
              </w:rPr>
              <w:t>交通控制服务器电源电压超出正常使用范围时，交通控制服务器能自动检测，并生成故障报警信息。</w:t>
            </w:r>
          </w:p>
          <w:p>
            <w:pPr>
              <w:pStyle w:val="null3"/>
              <w:ind w:firstLine="420"/>
              <w:jc w:val="both"/>
            </w:pPr>
            <w:r>
              <w:rPr>
                <w:sz w:val="21"/>
              </w:rPr>
              <w:t>2、严重故障</w:t>
            </w:r>
          </w:p>
          <w:p>
            <w:pPr>
              <w:pStyle w:val="null3"/>
              <w:ind w:firstLine="420"/>
              <w:jc w:val="both"/>
            </w:pPr>
            <w:r>
              <w:rPr>
                <w:sz w:val="21"/>
              </w:rPr>
              <w:t>当发生严重故障时，交通信号控制机立即改为黄闪控制。</w:t>
            </w:r>
          </w:p>
          <w:p>
            <w:pPr>
              <w:pStyle w:val="null3"/>
              <w:ind w:firstLine="420"/>
              <w:jc w:val="both"/>
            </w:pPr>
            <w:r>
              <w:rPr>
                <w:sz w:val="21"/>
              </w:rPr>
              <w:t>严重故障包括以下几种情况：</w:t>
            </w:r>
          </w:p>
          <w:p>
            <w:pPr>
              <w:pStyle w:val="null3"/>
              <w:ind w:firstLine="420"/>
              <w:jc w:val="both"/>
            </w:pPr>
            <w:r>
              <w:rPr>
                <w:sz w:val="21"/>
              </w:rPr>
              <w:t>（</w:t>
            </w:r>
            <w:r>
              <w:rPr>
                <w:sz w:val="21"/>
              </w:rPr>
              <w:t>1）绿冲突故障</w:t>
            </w:r>
          </w:p>
          <w:p>
            <w:pPr>
              <w:pStyle w:val="null3"/>
              <w:ind w:firstLine="420"/>
              <w:jc w:val="both"/>
            </w:pPr>
            <w:r>
              <w:rPr>
                <w:sz w:val="21"/>
              </w:rPr>
              <w:t>预先设定的冲突相位（不同时点亮绿灯的相位）在实际运行中发生同时点亮绿灯的情况，绿冲突可能导致严重的交通事故；</w:t>
            </w:r>
          </w:p>
          <w:p>
            <w:pPr>
              <w:pStyle w:val="null3"/>
              <w:ind w:firstLine="420"/>
              <w:jc w:val="both"/>
            </w:pPr>
            <w:r>
              <w:rPr>
                <w:sz w:val="21"/>
              </w:rPr>
              <w:t>（</w:t>
            </w:r>
            <w:r>
              <w:rPr>
                <w:sz w:val="21"/>
              </w:rPr>
              <w:t>2）同一灯组红绿冲突故障</w:t>
            </w:r>
          </w:p>
          <w:p>
            <w:pPr>
              <w:pStyle w:val="null3"/>
              <w:ind w:firstLine="420"/>
              <w:jc w:val="both"/>
            </w:pPr>
            <w:r>
              <w:rPr>
                <w:sz w:val="21"/>
              </w:rPr>
              <w:t>信号灯线发生搭线或其他短路现象时，可能会导致同一灯组的红绿信号同时点亮，这种情况的发生将使驾驶员无所适从；</w:t>
            </w:r>
          </w:p>
          <w:p>
            <w:pPr>
              <w:pStyle w:val="null3"/>
              <w:ind w:firstLine="420"/>
              <w:jc w:val="both"/>
            </w:pPr>
            <w:r>
              <w:rPr>
                <w:sz w:val="21"/>
              </w:rPr>
              <w:t>（</w:t>
            </w:r>
            <w:r>
              <w:rPr>
                <w:sz w:val="21"/>
              </w:rPr>
              <w:t>3）一组相位对应红灯信号均故障</w:t>
            </w:r>
          </w:p>
          <w:p>
            <w:pPr>
              <w:pStyle w:val="null3"/>
              <w:ind w:firstLine="420"/>
              <w:jc w:val="both"/>
            </w:pPr>
            <w:r>
              <w:rPr>
                <w:sz w:val="21"/>
              </w:rPr>
              <w:t>某一路输出所有信号灯的红灯均不能点亮，将导致该相位的机动车没有停止信号；</w:t>
            </w:r>
          </w:p>
          <w:p>
            <w:pPr>
              <w:pStyle w:val="null3"/>
              <w:ind w:firstLine="420"/>
              <w:jc w:val="both"/>
            </w:pPr>
            <w:r>
              <w:rPr>
                <w:sz w:val="21"/>
              </w:rPr>
              <w:t>3、故障存储与发送</w:t>
            </w:r>
          </w:p>
          <w:p>
            <w:pPr>
              <w:pStyle w:val="null3"/>
              <w:ind w:firstLine="420"/>
              <w:jc w:val="both"/>
            </w:pPr>
            <w:r>
              <w:rPr>
                <w:sz w:val="21"/>
              </w:rPr>
              <w:t>交通控制服务器能对所有在运行期间采集的故障信息进行存储记录，并向中心上传故障信息，所存储的信息也可通过手提电脑安装的工具软件显示、查阅。</w:t>
            </w:r>
          </w:p>
          <w:p>
            <w:pPr>
              <w:pStyle w:val="null3"/>
              <w:ind w:firstLine="420"/>
              <w:jc w:val="both"/>
            </w:pPr>
            <w:r>
              <w:rPr>
                <w:sz w:val="21"/>
              </w:rPr>
              <w:t>4、保障维修</w:t>
            </w:r>
          </w:p>
          <w:p>
            <w:pPr>
              <w:pStyle w:val="null3"/>
              <w:ind w:firstLine="420"/>
              <w:jc w:val="both"/>
            </w:pPr>
            <w:r>
              <w:rPr>
                <w:sz w:val="21"/>
              </w:rPr>
              <w:t>中标人要保障维修电话一天</w:t>
            </w:r>
            <w:r>
              <w:rPr>
                <w:sz w:val="21"/>
              </w:rPr>
              <w:t>24小时畅通，发现信号灯发生故障或造成交通阻塞，立即要向负责部门报告，同时通知专业维修人员，马上到现场抢修，做到接到报修通知1小时内到达现场，2小时内修复，严重故障维修做到当日问题当日解决，当日无法维修的，要求成交供应商提供同等品质的备件，直至修复能正常使用为止。</w:t>
            </w:r>
          </w:p>
          <w:p>
            <w:pPr>
              <w:pStyle w:val="null3"/>
              <w:ind w:left="420"/>
              <w:jc w:val="both"/>
              <w:outlineLvl w:val="2"/>
            </w:pPr>
            <w:r>
              <w:rPr>
                <w:sz w:val="21"/>
                <w:b/>
              </w:rPr>
              <w:t>3.2.6.公交站台设施</w:t>
            </w:r>
          </w:p>
          <w:p>
            <w:pPr>
              <w:pStyle w:val="null3"/>
              <w:ind w:firstLine="420"/>
              <w:jc w:val="both"/>
            </w:pPr>
            <w:r>
              <w:rPr>
                <w:sz w:val="21"/>
              </w:rPr>
              <w:t>公交站台设备前端维护包括公交站台主体、座椅、公交站牌、</w:t>
            </w:r>
            <w:r>
              <w:rPr>
                <w:sz w:val="21"/>
              </w:rPr>
              <w:t>LCD屏、LED屏、应急广播、视频监控、站台照明、交换机、控制器等设施设备及附属配件。</w:t>
            </w:r>
          </w:p>
          <w:p>
            <w:pPr>
              <w:pStyle w:val="null3"/>
              <w:ind w:left="420"/>
              <w:jc w:val="both"/>
              <w:outlineLvl w:val="3"/>
            </w:pPr>
            <w:r>
              <w:rPr>
                <w:sz w:val="21"/>
                <w:b/>
              </w:rPr>
              <w:t>3.2.6.1.日常检查</w:t>
            </w:r>
          </w:p>
          <w:p>
            <w:pPr>
              <w:pStyle w:val="null3"/>
              <w:ind w:firstLine="420"/>
              <w:jc w:val="both"/>
            </w:pPr>
            <w:r>
              <w:rPr>
                <w:sz w:val="21"/>
              </w:rPr>
              <w:t>根据一定周期（详见第</w:t>
            </w:r>
            <w:r>
              <w:rPr>
                <w:sz w:val="21"/>
              </w:rPr>
              <w:t>3检查周期）对公交站台基础设施易损部位和设备的运行状态,结合日常生产运营管理进行的现场检查。</w:t>
            </w:r>
          </w:p>
          <w:p>
            <w:pPr>
              <w:pStyle w:val="null3"/>
              <w:ind w:firstLine="420"/>
              <w:jc w:val="both"/>
            </w:pPr>
            <w:r>
              <w:rPr>
                <w:sz w:val="21"/>
              </w:rPr>
              <w:t>公交站台详细检查</w:t>
            </w:r>
            <w:r>
              <w:rPr>
                <w:sz w:val="21"/>
              </w:rPr>
              <w:t>:应在日常巡查的基础上,按一定的检查周期通过仪器检测包括公交站台设备电缆老化、电阻等测试,对公交基础设施有关信息进行的收集、分析、验算和判定的检查。</w:t>
            </w:r>
          </w:p>
          <w:p>
            <w:pPr>
              <w:pStyle w:val="null3"/>
              <w:ind w:left="420"/>
              <w:jc w:val="both"/>
              <w:outlineLvl w:val="3"/>
            </w:pPr>
            <w:r>
              <w:rPr>
                <w:sz w:val="21"/>
                <w:b/>
              </w:rPr>
              <w:t>3.2.6.2.站台维修</w:t>
            </w:r>
          </w:p>
          <w:p>
            <w:pPr>
              <w:pStyle w:val="null3"/>
              <w:ind w:firstLine="420"/>
              <w:jc w:val="both"/>
            </w:pPr>
            <w:r>
              <w:rPr>
                <w:sz w:val="21"/>
              </w:rPr>
              <w:t>公交站台维修可分为一级维护和二级维修，一级维修：应及时修复或排除公交基础设施的轻微损伤或小故障</w:t>
            </w:r>
            <w:r>
              <w:rPr>
                <w:sz w:val="21"/>
              </w:rPr>
              <w:t>,以保持公交基础设施正常使用功能和运行状态的日常小修、保养。二级维修:应对公交基础设施进行的局部或全面修理及修缮,以恢复或提高公交基础设施正常使用功能和运行状态的大、中修工程。</w:t>
            </w:r>
          </w:p>
          <w:p>
            <w:pPr>
              <w:pStyle w:val="null3"/>
              <w:ind w:left="420"/>
              <w:jc w:val="both"/>
              <w:outlineLvl w:val="3"/>
            </w:pPr>
            <w:r>
              <w:rPr>
                <w:sz w:val="21"/>
                <w:b/>
              </w:rPr>
              <w:t>3.2.6.3.检查周期</w:t>
            </w:r>
          </w:p>
          <w:p>
            <w:pPr>
              <w:pStyle w:val="null3"/>
              <w:ind w:firstLine="420"/>
              <w:jc w:val="center"/>
            </w:pPr>
            <w:r>
              <w:rPr>
                <w:sz w:val="21"/>
              </w:rPr>
              <w:t>公交站线网检查周期表</w:t>
            </w:r>
          </w:p>
          <w:tbl>
            <w:tblPr>
              <w:tblBorders>
                <w:top w:val="none" w:color="000000" w:sz="4"/>
                <w:left w:val="none" w:color="000000" w:sz="4"/>
                <w:bottom w:val="none" w:color="000000" w:sz="4"/>
                <w:right w:val="none" w:color="000000" w:sz="4"/>
                <w:insideH w:val="none"/>
                <w:insideV w:val="none"/>
              </w:tblBorders>
            </w:tblPr>
            <w:tblGrid>
              <w:gridCol w:w="827"/>
              <w:gridCol w:w="1230"/>
              <w:gridCol w:w="1230"/>
              <w:gridCol w:w="2279"/>
            </w:tblGrid>
            <w:tr>
              <w:tc>
                <w:tcPr>
                  <w:tcW w:type="dxa" w:w="8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2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检查项目</w:t>
                  </w:r>
                </w:p>
              </w:tc>
              <w:tc>
                <w:tcPr>
                  <w:tcW w:type="dxa" w:w="12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检查周期</w:t>
                  </w:r>
                </w:p>
              </w:tc>
              <w:tc>
                <w:tcPr>
                  <w:tcW w:type="dxa" w:w="22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备注</w:t>
                  </w:r>
                </w:p>
              </w:tc>
            </w:tr>
            <w:tr>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网点</w:t>
                  </w:r>
                </w:p>
              </w:tc>
              <w:tc>
                <w:tcPr>
                  <w:tcW w:type="dxa" w:w="1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3个月</w:t>
                  </w:r>
                </w:p>
              </w:tc>
              <w:tc>
                <w:tcPr>
                  <w:tcW w:type="dxa" w:w="227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1、节假日前增加1次;</w:t>
                  </w:r>
                </w:p>
                <w:p>
                  <w:pPr>
                    <w:pStyle w:val="null3"/>
                    <w:jc w:val="both"/>
                  </w:pPr>
                  <w:r>
                    <w:rPr>
                      <w:sz w:val="21"/>
                    </w:rPr>
                    <w:t>2、季节转换前增加1次</w:t>
                  </w:r>
                </w:p>
              </w:tc>
            </w:tr>
            <w:tr>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路段</w:t>
                  </w:r>
                </w:p>
              </w:tc>
              <w:tc>
                <w:tcPr>
                  <w:tcW w:type="dxa" w:w="1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6个月</w:t>
                  </w:r>
                </w:p>
              </w:tc>
              <w:tc>
                <w:tcPr>
                  <w:tcW w:type="dxa" w:w="2279"/>
                  <w:vMerge/>
                  <w:tcBorders>
                    <w:top w:val="none" w:color="000000" w:sz="4"/>
                    <w:left w:val="none" w:color="000000" w:sz="4"/>
                    <w:bottom w:val="single" w:color="000000" w:sz="4"/>
                    <w:right w:val="single" w:color="000000" w:sz="4"/>
                  </w:tcBorders>
                </w:tcPr>
                <w:p/>
              </w:tc>
            </w:tr>
            <w:tr>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场内</w:t>
                  </w:r>
                </w:p>
              </w:tc>
              <w:tc>
                <w:tcPr>
                  <w:tcW w:type="dxa" w:w="1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3个月</w:t>
                  </w:r>
                </w:p>
              </w:tc>
              <w:tc>
                <w:tcPr>
                  <w:tcW w:type="dxa" w:w="2279"/>
                  <w:vMerge/>
                  <w:tcBorders>
                    <w:top w:val="none" w:color="000000" w:sz="4"/>
                    <w:left w:val="none" w:color="000000" w:sz="4"/>
                    <w:bottom w:val="single" w:color="000000" w:sz="4"/>
                    <w:right w:val="single" w:color="000000" w:sz="4"/>
                  </w:tcBorders>
                </w:tcPr>
                <w:p/>
              </w:tc>
            </w:tr>
          </w:tbl>
          <w:p>
            <w:pPr>
              <w:pStyle w:val="null3"/>
              <w:ind w:firstLine="420"/>
              <w:jc w:val="center"/>
            </w:pPr>
            <w:r>
              <w:rPr>
                <w:sz w:val="21"/>
              </w:rPr>
              <w:t>场站智能化设施详细检查的内容和周期</w:t>
            </w:r>
          </w:p>
          <w:tbl>
            <w:tblPr>
              <w:tblBorders>
                <w:top w:val="none" w:color="000000" w:sz="4"/>
                <w:left w:val="none" w:color="000000" w:sz="4"/>
                <w:bottom w:val="none" w:color="000000" w:sz="4"/>
                <w:right w:val="none" w:color="000000" w:sz="4"/>
                <w:insideH w:val="none"/>
                <w:insideV w:val="none"/>
              </w:tblBorders>
            </w:tblPr>
            <w:tblGrid>
              <w:gridCol w:w="576"/>
              <w:gridCol w:w="1298"/>
              <w:gridCol w:w="2844"/>
              <w:gridCol w:w="859"/>
            </w:tblGrid>
            <w:tr>
              <w:tc>
                <w:tcPr>
                  <w:tcW w:type="dxa" w:w="5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2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名称</w:t>
                  </w:r>
                </w:p>
              </w:tc>
              <w:tc>
                <w:tcPr>
                  <w:tcW w:type="dxa" w:w="28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内容</w:t>
                  </w:r>
                </w:p>
              </w:tc>
              <w:tc>
                <w:tcPr>
                  <w:tcW w:type="dxa" w:w="8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周期</w:t>
                  </w:r>
                </w:p>
              </w:tc>
            </w:tr>
            <w:tr>
              <w:tc>
                <w:tcPr>
                  <w:tcW w:type="dxa" w:w="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前端设备</w:t>
                  </w:r>
                </w:p>
              </w:tc>
              <w:tc>
                <w:tcPr>
                  <w:tcW w:type="dxa" w:w="2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前端摄像机、探测器、报警设备、控制设备、信息发布终端等</w:t>
                  </w:r>
                </w:p>
              </w:tc>
              <w:tc>
                <w:tcPr>
                  <w:tcW w:type="dxa" w:w="8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6个月</w:t>
                  </w:r>
                </w:p>
              </w:tc>
            </w:tr>
            <w:tr>
              <w:tc>
                <w:tcPr>
                  <w:tcW w:type="dxa" w:w="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传输设备</w:t>
                  </w:r>
                </w:p>
              </w:tc>
              <w:tc>
                <w:tcPr>
                  <w:tcW w:type="dxa" w:w="2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管线质量、防雷接地、屏蔽情况、线路接头质量、传输光纤质量</w:t>
                  </w:r>
                </w:p>
              </w:tc>
              <w:tc>
                <w:tcPr>
                  <w:tcW w:type="dxa" w:w="8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6个月</w:t>
                  </w:r>
                </w:p>
              </w:tc>
            </w:tr>
          </w:tbl>
          <w:p>
            <w:pPr>
              <w:pStyle w:val="null3"/>
              <w:ind w:left="420"/>
              <w:jc w:val="both"/>
              <w:outlineLvl w:val="2"/>
            </w:pPr>
            <w:r>
              <w:rPr>
                <w:sz w:val="21"/>
                <w:b/>
              </w:rPr>
              <w:t>3.2.7.智能交通标志系统</w:t>
            </w:r>
          </w:p>
          <w:p>
            <w:pPr>
              <w:pStyle w:val="null3"/>
              <w:ind w:firstLine="420"/>
              <w:jc w:val="both"/>
            </w:pPr>
            <w:r>
              <w:rPr>
                <w:sz w:val="21"/>
              </w:rPr>
              <w:t>针对智慧道路前端各种智能标志牌的检查包括日常巡查、定期检查、专项检查和安全检测。</w:t>
            </w:r>
          </w:p>
          <w:p>
            <w:pPr>
              <w:pStyle w:val="null3"/>
              <w:ind w:left="420"/>
              <w:jc w:val="both"/>
              <w:outlineLvl w:val="3"/>
            </w:pPr>
            <w:r>
              <w:rPr>
                <w:sz w:val="21"/>
                <w:b/>
              </w:rPr>
              <w:t>3.2.7.1.日常巡查</w:t>
            </w:r>
          </w:p>
          <w:p>
            <w:pPr>
              <w:pStyle w:val="null3"/>
              <w:ind w:firstLine="420"/>
              <w:jc w:val="both"/>
            </w:pPr>
            <w:r>
              <w:rPr>
                <w:sz w:val="21"/>
              </w:rPr>
              <w:t>日常巡查是为及时发现标志、标线损坏、污染及其他影响正常功能的情况，开展的日常检查、查看工作。日常巡查频率应按道路类别、级别、养护等级分别制定，对某条道路，宜</w:t>
            </w:r>
            <w:r>
              <w:rPr>
                <w:sz w:val="21"/>
              </w:rPr>
              <w:t>1~3天巡查一次。日常巡查宜以目测为主，可配备相应的工具进行测量。通过调研中标人可知，道路巡查的方式通常以驱车或步行为主，则巡查的内容以驱车或步行能观察到的情况制定，标志的巡查内容如表所示。</w:t>
            </w:r>
          </w:p>
          <w:p>
            <w:pPr>
              <w:pStyle w:val="null3"/>
              <w:ind w:firstLine="420"/>
              <w:jc w:val="center"/>
            </w:pPr>
            <w:r>
              <w:rPr>
                <w:sz w:val="21"/>
              </w:rPr>
              <w:t>标志日常巡查内容</w:t>
            </w:r>
          </w:p>
          <w:tbl>
            <w:tblPr>
              <w:tblBorders>
                <w:top w:val="none" w:color="000000" w:sz="4"/>
                <w:left w:val="none" w:color="000000" w:sz="4"/>
                <w:bottom w:val="none" w:color="000000" w:sz="4"/>
                <w:right w:val="none" w:color="000000" w:sz="4"/>
                <w:insideH w:val="none"/>
                <w:insideV w:val="none"/>
              </w:tblBorders>
            </w:tblPr>
            <w:tblGrid>
              <w:gridCol w:w="1182"/>
              <w:gridCol w:w="4405"/>
            </w:tblGrid>
            <w:tr>
              <w:tc>
                <w:tcPr>
                  <w:tcW w:type="dxa" w:w="11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设施</w:t>
                  </w:r>
                </w:p>
              </w:tc>
              <w:tc>
                <w:tcPr>
                  <w:tcW w:type="dxa" w:w="44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巡查内容</w:t>
                  </w:r>
                </w:p>
              </w:tc>
            </w:tr>
            <w:tr>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标志</w:t>
                  </w:r>
                </w:p>
              </w:tc>
              <w:tc>
                <w:tcPr>
                  <w:tcW w:type="dxa" w:w="4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(1)标志有无遮挡;</w:t>
                  </w:r>
                </w:p>
                <w:p>
                  <w:pPr>
                    <w:pStyle w:val="null3"/>
                    <w:jc w:val="both"/>
                  </w:pPr>
                  <w:r>
                    <w:rPr>
                      <w:sz w:val="21"/>
                    </w:rPr>
                    <w:t>(2)标志外观是否清洁，是否有明显锈蚀;</w:t>
                  </w:r>
                </w:p>
                <w:p>
                  <w:pPr>
                    <w:pStyle w:val="null3"/>
                    <w:jc w:val="both"/>
                  </w:pPr>
                  <w:r>
                    <w:rPr>
                      <w:sz w:val="21"/>
                    </w:rPr>
                    <w:t>(3)标志外观是否完整;</w:t>
                  </w:r>
                </w:p>
                <w:p>
                  <w:pPr>
                    <w:pStyle w:val="null3"/>
                    <w:jc w:val="both"/>
                  </w:pPr>
                  <w:r>
                    <w:rPr>
                      <w:sz w:val="21"/>
                    </w:rPr>
                    <w:t>(4)标志上是否附着有非交通标志;</w:t>
                  </w:r>
                </w:p>
                <w:p>
                  <w:pPr>
                    <w:pStyle w:val="null3"/>
                    <w:jc w:val="both"/>
                  </w:pPr>
                  <w:r>
                    <w:rPr>
                      <w:sz w:val="21"/>
                    </w:rPr>
                    <w:t>(5)标志版面内容是否清晰、信息是否准确、是否存在与其他设施信息冲突；</w:t>
                  </w:r>
                </w:p>
                <w:p>
                  <w:pPr>
                    <w:pStyle w:val="null3"/>
                    <w:jc w:val="both"/>
                  </w:pPr>
                  <w:r>
                    <w:rPr>
                      <w:sz w:val="21"/>
                    </w:rPr>
                    <w:t>(6)标志立柱、横梁、标志板有无明显破损、变形；</w:t>
                  </w:r>
                </w:p>
                <w:p>
                  <w:pPr>
                    <w:pStyle w:val="null3"/>
                    <w:jc w:val="both"/>
                  </w:pPr>
                  <w:r>
                    <w:rPr>
                      <w:sz w:val="21"/>
                    </w:rPr>
                    <w:t>(7)标志配电和网络设施运行是否正常；</w:t>
                  </w:r>
                </w:p>
                <w:p>
                  <w:pPr>
                    <w:pStyle w:val="null3"/>
                    <w:jc w:val="both"/>
                  </w:pPr>
                  <w:r>
                    <w:rPr>
                      <w:sz w:val="21"/>
                    </w:rPr>
                    <w:t>(8)标志LED信息是否正确显示。</w:t>
                  </w:r>
                </w:p>
              </w:tc>
            </w:tr>
          </w:tbl>
          <w:p/>
        </w:tc>
      </w:tr>
      <w:tr>
        <w:tc>
          <w:tcPr>
            <w:tcW w:type="dxa" w:w="2076"/>
          </w:tcPr>
          <w:p/>
        </w:tc>
        <w:tc>
          <w:tcPr>
            <w:tcW w:type="dxa" w:w="415"/>
          </w:tcPr>
          <w:p>
            <w:pPr>
              <w:pStyle w:val="null3"/>
            </w:pPr>
            <w:r>
              <w:rPr/>
              <w:t>5</w:t>
            </w:r>
          </w:p>
        </w:tc>
        <w:tc>
          <w:tcPr>
            <w:tcW w:type="dxa" w:w="5814"/>
          </w:tcPr>
          <w:p>
            <w:pPr>
              <w:pStyle w:val="null3"/>
              <w:ind w:left="420"/>
              <w:jc w:val="both"/>
              <w:outlineLvl w:val="3"/>
            </w:pPr>
            <w:r>
              <w:rPr>
                <w:sz w:val="21"/>
                <w:b/>
              </w:rPr>
              <w:t>3.2.7.2.定期检修</w:t>
            </w:r>
          </w:p>
          <w:p>
            <w:pPr>
              <w:pStyle w:val="null3"/>
              <w:ind w:firstLine="420"/>
              <w:jc w:val="both"/>
            </w:pPr>
            <w:r>
              <w:rPr>
                <w:sz w:val="21"/>
              </w:rPr>
              <w:t>定期检查是为评定标志使用功能、制定养护计划提供基本依据，定期对标志、标线的技术状况进行的全面检查。标志定期检查的频率宜不少于</w:t>
            </w:r>
            <w:r>
              <w:rPr>
                <w:sz w:val="21"/>
              </w:rPr>
              <w:t>1次/年，检查时间建议为春季或秋季，以避免不利天气的影响。定期检查以目测观察结合必要的量测仪器和设备检测进行，必须接近标志、标线仔细检查其技术状况。</w:t>
            </w:r>
          </w:p>
          <w:p>
            <w:pPr>
              <w:pStyle w:val="null3"/>
              <w:ind w:firstLine="420"/>
              <w:jc w:val="both"/>
            </w:pPr>
            <w:r>
              <w:rPr>
                <w:sz w:val="21"/>
              </w:rPr>
              <w:t>根据《道路交通标志板及支撑件》（</w:t>
            </w:r>
            <w:r>
              <w:rPr>
                <w:sz w:val="21"/>
              </w:rPr>
              <w:t>GB/T 23827—2009），除基础外，道路交通标志由标志板及支撑件组成。其中，标志板由标志底板、板面以及滑槽、铆钉等构件组成，支撑件由立柱、横梁、法兰盘、抱箍和紧固件等构件组成。则标志定期检查项目为上述各构件及标志整体情况，各检查项目的检查内容和方法如表所示。</w:t>
            </w:r>
          </w:p>
          <w:p>
            <w:pPr>
              <w:pStyle w:val="null3"/>
              <w:ind w:firstLine="420"/>
              <w:jc w:val="center"/>
            </w:pPr>
            <w:r>
              <w:rPr>
                <w:sz w:val="21"/>
              </w:rPr>
              <w:t>标志定期检查的检查内容、检查方法</w:t>
            </w:r>
          </w:p>
          <w:tbl>
            <w:tblPr>
              <w:tblBorders>
                <w:top w:val="none" w:color="000000" w:sz="4"/>
                <w:left w:val="none" w:color="000000" w:sz="4"/>
                <w:bottom w:val="none" w:color="000000" w:sz="4"/>
                <w:right w:val="none" w:color="000000" w:sz="4"/>
                <w:insideH w:val="none"/>
                <w:insideV w:val="none"/>
              </w:tblBorders>
            </w:tblPr>
            <w:tblGrid>
              <w:gridCol w:w="1074"/>
              <w:gridCol w:w="2534"/>
              <w:gridCol w:w="1970"/>
            </w:tblGrid>
            <w:tr>
              <w:tc>
                <w:tcPr>
                  <w:tcW w:type="dxa" w:w="10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检查项目</w:t>
                  </w:r>
                </w:p>
              </w:tc>
              <w:tc>
                <w:tcPr>
                  <w:tcW w:type="dxa" w:w="25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检查内容</w:t>
                  </w:r>
                </w:p>
              </w:tc>
              <w:tc>
                <w:tcPr>
                  <w:tcW w:type="dxa" w:w="19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检查方法</w:t>
                  </w:r>
                </w:p>
              </w:tc>
            </w:tr>
            <w:tr>
              <w:tc>
                <w:tcPr>
                  <w:tcW w:type="dxa" w:w="107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标志整体</w:t>
                  </w:r>
                </w:p>
              </w:tc>
              <w:tc>
                <w:tcPr>
                  <w:tcW w:type="dxa" w:w="2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有无遮挡</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目测</w:t>
                  </w:r>
                </w:p>
              </w:tc>
            </w:tr>
            <w:tr>
              <w:tc>
                <w:tcPr>
                  <w:tcW w:type="dxa" w:w="1074"/>
                  <w:vMerge/>
                  <w:tcBorders>
                    <w:top w:val="none" w:color="000000" w:sz="4"/>
                    <w:left w:val="single" w:color="000000" w:sz="4"/>
                    <w:bottom w:val="single" w:color="000000" w:sz="4"/>
                    <w:right w:val="single" w:color="000000" w:sz="4"/>
                  </w:tcBorders>
                </w:tcPr>
                <w:p/>
              </w:tc>
              <w:tc>
                <w:tcPr>
                  <w:tcW w:type="dxa" w:w="2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外观是否清洁</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目测</w:t>
                  </w:r>
                </w:p>
              </w:tc>
            </w:tr>
            <w:tr>
              <w:tc>
                <w:tcPr>
                  <w:tcW w:type="dxa" w:w="1074"/>
                  <w:vMerge/>
                  <w:tcBorders>
                    <w:top w:val="none" w:color="000000" w:sz="4"/>
                    <w:left w:val="single" w:color="000000" w:sz="4"/>
                    <w:bottom w:val="single" w:color="000000" w:sz="4"/>
                    <w:right w:val="single" w:color="000000" w:sz="4"/>
                  </w:tcBorders>
                </w:tcPr>
                <w:p/>
              </w:tc>
              <w:tc>
                <w:tcPr>
                  <w:tcW w:type="dxa" w:w="2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外观是否完整，缺失的构件位置及数量。</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目测</w:t>
                  </w:r>
                </w:p>
              </w:tc>
            </w:tr>
            <w:tr>
              <w:tc>
                <w:tcPr>
                  <w:tcW w:type="dxa" w:w="1074"/>
                  <w:vMerge/>
                  <w:tcBorders>
                    <w:top w:val="none" w:color="000000" w:sz="4"/>
                    <w:left w:val="single" w:color="000000" w:sz="4"/>
                    <w:bottom w:val="single" w:color="000000" w:sz="4"/>
                    <w:right w:val="single" w:color="000000" w:sz="4"/>
                  </w:tcBorders>
                </w:tcPr>
                <w:p/>
              </w:tc>
              <w:tc>
                <w:tcPr>
                  <w:tcW w:type="dxa" w:w="2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是否附着有非交通标志</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目测</w:t>
                  </w:r>
                </w:p>
              </w:tc>
            </w:tr>
            <w:tr>
              <w:tc>
                <w:tcPr>
                  <w:tcW w:type="dxa" w:w="107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标志板</w:t>
                  </w:r>
                </w:p>
              </w:tc>
              <w:tc>
                <w:tcPr>
                  <w:tcW w:type="dxa" w:w="2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版面内容是否清晰、信息是否准确、是否存在与其他设施信息冲突。</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目测</w:t>
                  </w:r>
                </w:p>
              </w:tc>
            </w:tr>
            <w:tr>
              <w:tc>
                <w:tcPr>
                  <w:tcW w:type="dxa" w:w="1074"/>
                  <w:vMerge/>
                  <w:tcBorders>
                    <w:top w:val="none" w:color="000000" w:sz="4"/>
                    <w:left w:val="single" w:color="000000" w:sz="4"/>
                    <w:bottom w:val="single" w:color="000000" w:sz="4"/>
                    <w:right w:val="single" w:color="000000" w:sz="4"/>
                  </w:tcBorders>
                </w:tcPr>
                <w:p/>
              </w:tc>
              <w:tc>
                <w:tcPr>
                  <w:tcW w:type="dxa" w:w="2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反光膜逆反射系数</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逆反射系数测试仪</w:t>
                  </w:r>
                </w:p>
              </w:tc>
            </w:tr>
            <w:tr>
              <w:tc>
                <w:tcPr>
                  <w:tcW w:type="dxa" w:w="1074"/>
                  <w:vMerge/>
                  <w:tcBorders>
                    <w:top w:val="none" w:color="000000" w:sz="4"/>
                    <w:left w:val="single" w:color="000000" w:sz="4"/>
                    <w:bottom w:val="single" w:color="000000" w:sz="4"/>
                    <w:right w:val="single" w:color="000000" w:sz="4"/>
                  </w:tcBorders>
                </w:tcPr>
                <w:p/>
              </w:tc>
              <w:tc>
                <w:tcPr>
                  <w:tcW w:type="dxa" w:w="2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反光膜冬种颜色的色品坐标及亮度因数</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测色仪</w:t>
                  </w:r>
                </w:p>
              </w:tc>
            </w:tr>
            <w:tr>
              <w:tc>
                <w:tcPr>
                  <w:tcW w:type="dxa" w:w="1074"/>
                  <w:vMerge/>
                  <w:tcBorders>
                    <w:top w:val="none" w:color="000000" w:sz="4"/>
                    <w:left w:val="single" w:color="000000" w:sz="4"/>
                    <w:bottom w:val="single" w:color="000000" w:sz="4"/>
                    <w:right w:val="single" w:color="000000" w:sz="4"/>
                  </w:tcBorders>
                </w:tcPr>
                <w:p/>
              </w:tc>
              <w:tc>
                <w:tcPr>
                  <w:tcW w:type="dxa" w:w="2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标志板下缘距路面高度</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经纬仪、全站仪或尺量</w:t>
                  </w:r>
                </w:p>
              </w:tc>
            </w:tr>
            <w:tr>
              <w:tc>
                <w:tcPr>
                  <w:tcW w:type="dxa" w:w="1074"/>
                  <w:vMerge/>
                  <w:tcBorders>
                    <w:top w:val="none" w:color="000000" w:sz="4"/>
                    <w:left w:val="single" w:color="000000" w:sz="4"/>
                    <w:bottom w:val="single" w:color="000000" w:sz="4"/>
                    <w:right w:val="single" w:color="000000" w:sz="4"/>
                  </w:tcBorders>
                </w:tcPr>
                <w:p/>
              </w:tc>
              <w:tc>
                <w:tcPr>
                  <w:tcW w:type="dxa" w:w="2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底板、板面有无破损、变形，出现以上缺陷的位置及程度。</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目测</w:t>
                  </w:r>
                </w:p>
              </w:tc>
            </w:tr>
            <w:tr>
              <w:tc>
                <w:tcPr>
                  <w:tcW w:type="dxa" w:w="1074"/>
                  <w:vMerge/>
                  <w:tcBorders>
                    <w:top w:val="none" w:color="000000" w:sz="4"/>
                    <w:left w:val="single" w:color="000000" w:sz="4"/>
                    <w:bottom w:val="single" w:color="000000" w:sz="4"/>
                    <w:right w:val="single" w:color="000000" w:sz="4"/>
                  </w:tcBorders>
                </w:tcPr>
                <w:p/>
              </w:tc>
              <w:tc>
                <w:tcPr>
                  <w:tcW w:type="dxa" w:w="2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滑槽、铆钉有无缺失、松动、损坏，表面有无破损、锈蚀，出现以上缺陷的位置、数量及程度。</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铜锤、目测</w:t>
                  </w:r>
                </w:p>
              </w:tc>
            </w:tr>
            <w:tr>
              <w:tc>
                <w:tcPr>
                  <w:tcW w:type="dxa" w:w="107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支撑件</w:t>
                  </w:r>
                </w:p>
              </w:tc>
              <w:tc>
                <w:tcPr>
                  <w:tcW w:type="dxa" w:w="2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立柱、横梁有无歪斜、变形、晃动，表面有无破损、锈蚀，出现以上缺陷的位置及程度。</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尺量、铜锤、目测</w:t>
                  </w:r>
                </w:p>
              </w:tc>
            </w:tr>
            <w:tr>
              <w:tc>
                <w:tcPr>
                  <w:tcW w:type="dxa" w:w="1074"/>
                  <w:vMerge/>
                  <w:tcBorders>
                    <w:top w:val="none" w:color="000000" w:sz="4"/>
                    <w:left w:val="single" w:color="000000" w:sz="4"/>
                    <w:bottom w:val="single" w:color="000000" w:sz="4"/>
                    <w:right w:val="single" w:color="000000" w:sz="4"/>
                  </w:tcBorders>
                </w:tcPr>
                <w:p/>
              </w:tc>
              <w:tc>
                <w:tcPr>
                  <w:tcW w:type="dxa" w:w="2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法兰盘、抱箍、紧固件有无缺失、松动、损坏，表面有无破损、锈蚀，出现以上缺陷的位置及程度。</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铜锤、目测</w:t>
                  </w:r>
                </w:p>
              </w:tc>
            </w:tr>
            <w:tr>
              <w:tc>
                <w:tcPr>
                  <w:tcW w:type="dxa" w:w="10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基础</w:t>
                  </w:r>
                </w:p>
              </w:tc>
              <w:tc>
                <w:tcPr>
                  <w:tcW w:type="dxa" w:w="2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是否稳定，有无下沉、移位，基础表面有无破损，出现以上缺陷的位置及程度。</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尺量、目测</w:t>
                  </w:r>
                </w:p>
              </w:tc>
            </w:tr>
            <w:tr>
              <w:tc>
                <w:tcPr>
                  <w:tcW w:type="dxa" w:w="107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电气</w:t>
                  </w:r>
                </w:p>
              </w:tc>
              <w:tc>
                <w:tcPr>
                  <w:tcW w:type="dxa" w:w="2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标志是否自主发光</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目测</w:t>
                  </w:r>
                </w:p>
              </w:tc>
            </w:tr>
            <w:tr>
              <w:tc>
                <w:tcPr>
                  <w:tcW w:type="dxa" w:w="1074"/>
                  <w:vMerge/>
                  <w:tcBorders>
                    <w:top w:val="none" w:color="000000" w:sz="4"/>
                    <w:left w:val="single" w:color="000000" w:sz="4"/>
                    <w:bottom w:val="single" w:color="000000" w:sz="4"/>
                    <w:right w:val="single" w:color="000000" w:sz="4"/>
                  </w:tcBorders>
                </w:tcPr>
                <w:p/>
              </w:tc>
              <w:tc>
                <w:tcPr>
                  <w:tcW w:type="dxa" w:w="2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标志</w:t>
                  </w:r>
                  <w:r>
                    <w:rPr>
                      <w:sz w:val="21"/>
                    </w:rPr>
                    <w:t>LED显示是否正常、有无灯珠缺失、损毁情况</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目测</w:t>
                  </w:r>
                </w:p>
              </w:tc>
            </w:tr>
            <w:tr>
              <w:tc>
                <w:tcPr>
                  <w:tcW w:type="dxa" w:w="1074"/>
                  <w:vMerge/>
                  <w:tcBorders>
                    <w:top w:val="none" w:color="000000" w:sz="4"/>
                    <w:left w:val="single" w:color="000000" w:sz="4"/>
                    <w:bottom w:val="single" w:color="000000" w:sz="4"/>
                    <w:right w:val="single" w:color="000000" w:sz="4"/>
                  </w:tcBorders>
                </w:tcPr>
                <w:p/>
              </w:tc>
              <w:tc>
                <w:tcPr>
                  <w:tcW w:type="dxa" w:w="2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标志供电电压是否正常</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万用表</w:t>
                  </w:r>
                </w:p>
              </w:tc>
            </w:tr>
            <w:tr>
              <w:tc>
                <w:tcPr>
                  <w:tcW w:type="dxa" w:w="10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网络</w:t>
                  </w:r>
                </w:p>
              </w:tc>
              <w:tc>
                <w:tcPr>
                  <w:tcW w:type="dxa" w:w="2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网络信号是否正常</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中心平台查看、测线仪</w:t>
                  </w:r>
                </w:p>
              </w:tc>
            </w:tr>
          </w:tbl>
          <w:p>
            <w:pPr>
              <w:pStyle w:val="null3"/>
              <w:ind w:left="420"/>
              <w:jc w:val="both"/>
              <w:outlineLvl w:val="3"/>
            </w:pPr>
            <w:r>
              <w:rPr>
                <w:sz w:val="21"/>
                <w:b/>
              </w:rPr>
              <w:t>3.2.7.3.专项检查</w:t>
            </w:r>
          </w:p>
          <w:p>
            <w:pPr>
              <w:pStyle w:val="null3"/>
              <w:ind w:firstLine="420"/>
              <w:jc w:val="both"/>
            </w:pPr>
            <w:r>
              <w:rPr>
                <w:sz w:val="21"/>
              </w:rPr>
              <w:t>专项检查为在极端天气过后或在重大会议、庆典等活动前，根据需要对标志、标线的技术状况进行的全面检查。因大风、暴雨、暴雪、冰雹等极端天气易对标志的结构造成损伤，则极端天气过后的专项检查应重点检查标志结构的稳定性、连接件的牢固性等情况，其检查方法与定期检查相同；重大活动前的专项检查的检查内容、检查方法与定期检查相同。专项检查和定期检查可结合开展。</w:t>
            </w:r>
          </w:p>
          <w:p>
            <w:pPr>
              <w:pStyle w:val="null3"/>
              <w:ind w:left="420"/>
              <w:jc w:val="both"/>
              <w:outlineLvl w:val="3"/>
            </w:pPr>
            <w:r>
              <w:rPr>
                <w:sz w:val="21"/>
                <w:b/>
              </w:rPr>
              <w:t>3.2.7.4.安全检测</w:t>
            </w:r>
          </w:p>
          <w:p>
            <w:pPr>
              <w:pStyle w:val="null3"/>
              <w:ind w:firstLine="420"/>
              <w:jc w:val="both"/>
            </w:pPr>
            <w:r>
              <w:rPr>
                <w:sz w:val="21"/>
              </w:rPr>
              <w:t>大型交通标志涉及结构安全问题，为查清其病害原因、破损程度或使用性能，应对其进行专门的试验检测、验算与分析等详细检查和鉴定工作，即安全检测。安全检测在以下情况结合开展：</w:t>
            </w:r>
          </w:p>
          <w:p>
            <w:pPr>
              <w:pStyle w:val="null3"/>
              <w:ind w:firstLine="420"/>
              <w:jc w:val="both"/>
            </w:pPr>
            <w:r>
              <w:rPr>
                <w:sz w:val="21"/>
              </w:rPr>
              <w:t>（</w:t>
            </w:r>
            <w:r>
              <w:rPr>
                <w:sz w:val="21"/>
              </w:rPr>
              <w:t>1）受撞击、火灾、爆炸、地震或其他外力因素等情况影响，易造成标志损伤时；</w:t>
            </w:r>
          </w:p>
          <w:p>
            <w:pPr>
              <w:pStyle w:val="null3"/>
              <w:ind w:firstLine="420"/>
              <w:jc w:val="both"/>
            </w:pPr>
            <w:r>
              <w:rPr>
                <w:sz w:val="21"/>
              </w:rPr>
              <w:t>（</w:t>
            </w:r>
            <w:r>
              <w:rPr>
                <w:sz w:val="21"/>
              </w:rPr>
              <w:t>2）日常巡查、定期检查与专项检查中发现存在安全隐患并难以判明病害原因及程度的问题时；</w:t>
            </w:r>
          </w:p>
          <w:p>
            <w:pPr>
              <w:pStyle w:val="null3"/>
              <w:ind w:firstLine="420"/>
              <w:jc w:val="both"/>
            </w:pPr>
            <w:r>
              <w:rPr>
                <w:sz w:val="21"/>
              </w:rPr>
              <w:t>（</w:t>
            </w:r>
            <w:r>
              <w:rPr>
                <w:sz w:val="21"/>
              </w:rPr>
              <w:t>3）标志自交工验收至设计使用年限止，宜5~8年进行一次安全检测；</w:t>
            </w:r>
          </w:p>
          <w:p>
            <w:pPr>
              <w:pStyle w:val="null3"/>
              <w:ind w:firstLine="420"/>
              <w:jc w:val="both"/>
            </w:pPr>
            <w:r>
              <w:rPr>
                <w:sz w:val="21"/>
              </w:rPr>
              <w:t>（</w:t>
            </w:r>
            <w:r>
              <w:rPr>
                <w:sz w:val="21"/>
              </w:rPr>
              <w:t>4）标志达到设计使用年限需延长使用时，宜2~5年进行一次安全检测。</w:t>
            </w:r>
          </w:p>
          <w:p>
            <w:pPr>
              <w:pStyle w:val="null3"/>
              <w:ind w:firstLine="420"/>
              <w:jc w:val="both"/>
            </w:pPr>
            <w:r>
              <w:rPr>
                <w:sz w:val="21"/>
              </w:rPr>
              <w:t>安全检测应根据标志的破损情况与性质，采用仪器设备进行现场测试及其他辅助试验，针对标志现状进行验算分析，形成鉴定结论。其检测内容、检测方法应符合相关标准规范的要求。</w:t>
            </w:r>
          </w:p>
          <w:p>
            <w:pPr>
              <w:pStyle w:val="null3"/>
              <w:ind w:left="420"/>
              <w:jc w:val="both"/>
              <w:outlineLvl w:val="3"/>
            </w:pPr>
            <w:r>
              <w:rPr>
                <w:sz w:val="21"/>
                <w:b/>
              </w:rPr>
              <w:t>3.2.7.5.保养、维护</w:t>
            </w:r>
          </w:p>
          <w:p>
            <w:pPr>
              <w:pStyle w:val="null3"/>
              <w:ind w:firstLine="420"/>
              <w:jc w:val="both"/>
            </w:pPr>
            <w:r>
              <w:rPr>
                <w:sz w:val="21"/>
              </w:rPr>
              <w:t>日常维护工作应避免在日间和交通繁忙时间进行，当天的工作量应当天完成，不能遗留作业面，如遇特殊情况，需延长（迟）维护时间的，中标人可报请采购人（或管理单位）批准；所有交通设施因各种原因被损坏或被盗的，一般在</w:t>
            </w:r>
            <w:r>
              <w:rPr>
                <w:sz w:val="21"/>
              </w:rPr>
              <w:t>12小时内修复，涉及抢险（修）等情况的，应在2小时内排除险情。</w:t>
            </w:r>
          </w:p>
          <w:p>
            <w:pPr>
              <w:pStyle w:val="null3"/>
              <w:ind w:firstLine="420"/>
              <w:jc w:val="both"/>
            </w:pPr>
            <w:r>
              <w:rPr>
                <w:sz w:val="21"/>
              </w:rPr>
              <w:t>遭遇自然灾害、发生交通事故或出现其他异常情况时，应及时进行附加的特殊检查，发现问题要及时记录和处理。</w:t>
            </w:r>
          </w:p>
          <w:p>
            <w:pPr>
              <w:pStyle w:val="null3"/>
              <w:ind w:left="420"/>
              <w:jc w:val="both"/>
              <w:outlineLvl w:val="3"/>
            </w:pPr>
            <w:r>
              <w:rPr>
                <w:sz w:val="21"/>
                <w:b/>
              </w:rPr>
              <w:t>3.2.7.6.技术状况评定</w:t>
            </w:r>
          </w:p>
          <w:p>
            <w:pPr>
              <w:pStyle w:val="null3"/>
              <w:ind w:firstLine="420"/>
              <w:jc w:val="both"/>
            </w:pPr>
            <w:r>
              <w:rPr>
                <w:sz w:val="21"/>
              </w:rPr>
              <w:t>标志定期检查或专项检查后，应进行技术状况评定，以了解标志的技术状况，为后续制定养护计划提供依据。标志技术状况评定时对照相应的技术状况等级评定标准，按优、良、中、差四个等级评定。标志、标线的技术状况等级评定标准分为定性描述和定量描述，定性描述为不可通过数值衡量的、需由养护人员主观判断的检查指标的技术状况描述，定量描述为可通过数值衡量的检查指标的技术状况描述，定性与定量相结合可准确判定标志的技术状况。技术状况评定时，取各检查项目评级中最低的一级作为该标志、标线的技术状况等级。当标志被评为</w:t>
            </w:r>
            <w:r>
              <w:rPr>
                <w:sz w:val="21"/>
              </w:rPr>
              <w:t>“差”级时，则认为其技术状况不合格。标志的技术状况等级评定标准分别如表所示。</w:t>
            </w:r>
          </w:p>
          <w:p>
            <w:pPr>
              <w:pStyle w:val="null3"/>
              <w:ind w:firstLine="420"/>
              <w:jc w:val="center"/>
            </w:pPr>
            <w:r>
              <w:rPr>
                <w:sz w:val="21"/>
              </w:rPr>
              <w:t>标志技术状况等级评定标准</w:t>
            </w:r>
          </w:p>
          <w:tbl>
            <w:tblPr>
              <w:tblBorders>
                <w:top w:val="none" w:color="000000" w:sz="4"/>
                <w:left w:val="none" w:color="000000" w:sz="4"/>
                <w:bottom w:val="none" w:color="000000" w:sz="4"/>
                <w:right w:val="none" w:color="000000" w:sz="4"/>
                <w:insideH w:val="none"/>
                <w:insideV w:val="none"/>
              </w:tblBorders>
            </w:tblPr>
            <w:tblGrid>
              <w:gridCol w:w="576"/>
              <w:gridCol w:w="2588"/>
              <w:gridCol w:w="2414"/>
            </w:tblGrid>
            <w:tr>
              <w:tc>
                <w:tcPr>
                  <w:tcW w:type="dxa" w:w="57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技术状况</w:t>
                  </w:r>
                </w:p>
              </w:tc>
              <w:tc>
                <w:tcPr>
                  <w:tcW w:type="dxa" w:w="500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技术状况等级描述</w:t>
                  </w:r>
                </w:p>
              </w:tc>
            </w:tr>
            <w:tr>
              <w:tc>
                <w:tcPr>
                  <w:tcW w:type="dxa" w:w="576"/>
                  <w:vMerge/>
                  <w:tcBorders>
                    <w:top w:val="single" w:color="000000" w:sz="4"/>
                    <w:left w:val="single" w:color="000000" w:sz="4"/>
                    <w:bottom w:val="single" w:color="000000" w:sz="4"/>
                    <w:right w:val="single" w:color="000000" w:sz="4"/>
                  </w:tcBorders>
                </w:tcPr>
                <w:p/>
              </w:tc>
              <w:tc>
                <w:tcPr>
                  <w:tcW w:type="dxa" w:w="2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定性描述</w:t>
                  </w:r>
                </w:p>
              </w:tc>
              <w:tc>
                <w:tcPr>
                  <w:tcW w:type="dxa" w:w="24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定量描述</w:t>
                  </w:r>
                </w:p>
              </w:tc>
            </w:tr>
            <w:tr>
              <w:tc>
                <w:tcPr>
                  <w:tcW w:type="dxa" w:w="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优</w:t>
                  </w:r>
                </w:p>
              </w:tc>
              <w:tc>
                <w:tcPr>
                  <w:tcW w:type="dxa" w:w="2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标志各部件完好，视认清晰。</w:t>
                  </w:r>
                </w:p>
              </w:tc>
              <w:tc>
                <w:tcPr>
                  <w:tcW w:type="dxa" w:w="2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标志板反光膜逆反射系数值</w:t>
                  </w:r>
                  <w:r>
                    <w:rPr>
                      <w:sz w:val="21"/>
                    </w:rPr>
                    <w:t>Rc:Rc&gt;90%Rs;</w:t>
                  </w:r>
                </w:p>
                <w:p>
                  <w:pPr>
                    <w:pStyle w:val="null3"/>
                    <w:jc w:val="left"/>
                  </w:pPr>
                  <w:r>
                    <w:rPr>
                      <w:sz w:val="21"/>
                    </w:rPr>
                    <w:t>反光膜冬种颜色的色品坐标及亮度因数保持在《道路交通反光膜》</w:t>
                  </w:r>
                  <w:r>
                    <w:rPr>
                      <w:sz w:val="21"/>
                    </w:rPr>
                    <w:t>(GB/T 18833)中表8或表9规定的范围内。</w:t>
                  </w:r>
                </w:p>
              </w:tc>
            </w:tr>
            <w:tr>
              <w:tc>
                <w:tcPr>
                  <w:tcW w:type="dxa" w:w="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良</w:t>
                  </w:r>
                </w:p>
              </w:tc>
              <w:tc>
                <w:tcPr>
                  <w:tcW w:type="dxa" w:w="2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1、标志外表有轻微污渍:</w:t>
                  </w:r>
                </w:p>
                <w:p>
                  <w:pPr>
                    <w:pStyle w:val="null3"/>
                    <w:jc w:val="left"/>
                  </w:pPr>
                  <w:r>
                    <w:rPr>
                      <w:sz w:val="21"/>
                    </w:rPr>
                    <w:t>2、标志外观完整;</w:t>
                  </w:r>
                </w:p>
                <w:p>
                  <w:pPr>
                    <w:pStyle w:val="null3"/>
                    <w:jc w:val="left"/>
                  </w:pPr>
                  <w:r>
                    <w:rPr>
                      <w:sz w:val="21"/>
                    </w:rPr>
                    <w:t>3、标志版面内容清晰、准确;</w:t>
                  </w:r>
                </w:p>
                <w:p>
                  <w:pPr>
                    <w:pStyle w:val="null3"/>
                    <w:jc w:val="left"/>
                  </w:pPr>
                  <w:r>
                    <w:rPr>
                      <w:sz w:val="21"/>
                    </w:rPr>
                    <w:t>4、标志底板、板面无明显破损、变形:</w:t>
                  </w:r>
                </w:p>
                <w:p>
                  <w:pPr>
                    <w:pStyle w:val="null3"/>
                    <w:jc w:val="left"/>
                  </w:pPr>
                  <w:r>
                    <w:rPr>
                      <w:sz w:val="21"/>
                    </w:rPr>
                    <w:t>5、标志板滑槽、铆钉无缺失，有个别松动、损坏，表面有轻微破损、锈蚀;</w:t>
                  </w:r>
                </w:p>
                <w:p>
                  <w:pPr>
                    <w:pStyle w:val="null3"/>
                    <w:jc w:val="left"/>
                  </w:pPr>
                  <w:r>
                    <w:rPr>
                      <w:sz w:val="21"/>
                    </w:rPr>
                    <w:t>6、标志立柱、横梁无明显歪斜、变形，表面有轻微破损、锈蚀;</w:t>
                  </w:r>
                </w:p>
                <w:p>
                  <w:pPr>
                    <w:pStyle w:val="null3"/>
                    <w:jc w:val="left"/>
                  </w:pPr>
                  <w:r>
                    <w:rPr>
                      <w:sz w:val="21"/>
                    </w:rPr>
                    <w:t>7、标志法兰盘、抱箍、紧固件无缺失、松动、损坏，表面有轻微破损、锈蚀:</w:t>
                  </w:r>
                </w:p>
                <w:p>
                  <w:pPr>
                    <w:pStyle w:val="null3"/>
                    <w:jc w:val="left"/>
                  </w:pPr>
                  <w:r>
                    <w:rPr>
                      <w:sz w:val="21"/>
                    </w:rPr>
                    <w:t>8、标志基础稳定，无明显下沉、移位，基础表面无破损。</w:t>
                  </w:r>
                </w:p>
              </w:tc>
              <w:tc>
                <w:tcPr>
                  <w:tcW w:type="dxa" w:w="2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1、标志板反光膜逆反射系数值 Rc:80%Rs≤RC&lt;90%Rs:</w:t>
                  </w:r>
                </w:p>
                <w:p>
                  <w:pPr>
                    <w:pStyle w:val="null3"/>
                    <w:jc w:val="left"/>
                  </w:pPr>
                  <w:r>
                    <w:rPr>
                      <w:sz w:val="21"/>
                    </w:rPr>
                    <w:t>2、反光膜冬种颜色的色品坐标及亮度因数保持在《道路交通反光膜》(GB/T 18833)中表8或表9规定的范围内:</w:t>
                  </w:r>
                </w:p>
                <w:p>
                  <w:pPr>
                    <w:pStyle w:val="null3"/>
                    <w:jc w:val="left"/>
                  </w:pPr>
                  <w:r>
                    <w:rPr>
                      <w:sz w:val="21"/>
                    </w:rPr>
                    <w:t>3、标志板下缘距路面高度与设计值之差LG:-10mm≤Le&lt;0:</w:t>
                  </w:r>
                </w:p>
                <w:p>
                  <w:pPr>
                    <w:pStyle w:val="null3"/>
                    <w:jc w:val="left"/>
                  </w:pPr>
                  <w:r>
                    <w:rPr>
                      <w:sz w:val="21"/>
                    </w:rPr>
                    <w:t>4、标志板滑槽、铆钉松动、损坏的累计数量N:0&lt;Nb≤1%NB总;</w:t>
                  </w:r>
                </w:p>
                <w:p>
                  <w:pPr>
                    <w:pStyle w:val="null3"/>
                    <w:jc w:val="left"/>
                  </w:pPr>
                  <w:r>
                    <w:rPr>
                      <w:sz w:val="21"/>
                    </w:rPr>
                    <w:t>5、立柱垂直度L:0&lt;Lc.≤1mm/m;</w:t>
                  </w:r>
                </w:p>
                <w:p>
                  <w:pPr>
                    <w:pStyle w:val="null3"/>
                    <w:jc w:val="left"/>
                  </w:pPr>
                  <w:r>
                    <w:rPr>
                      <w:sz w:val="21"/>
                    </w:rPr>
                    <w:t>6、金属构件表面破损、锈蚀的累计面积Sj:0&lt;Sr≤5%Sj总;</w:t>
                  </w:r>
                </w:p>
                <w:p>
                  <w:pPr>
                    <w:pStyle w:val="null3"/>
                    <w:jc w:val="left"/>
                  </w:pPr>
                  <w:r>
                    <w:rPr>
                      <w:sz w:val="21"/>
                    </w:rPr>
                    <w:t>7、标志基础移位Ly:0&lt;Lr≤15mm。</w:t>
                  </w:r>
                </w:p>
              </w:tc>
            </w:tr>
            <w:tr>
              <w:tc>
                <w:tcPr>
                  <w:tcW w:type="dxa" w:w="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w:t>
                  </w:r>
                </w:p>
              </w:tc>
              <w:tc>
                <w:tcPr>
                  <w:tcW w:type="dxa" w:w="2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1、标志外表有明显污渍:</w:t>
                  </w:r>
                </w:p>
                <w:p>
                  <w:pPr>
                    <w:pStyle w:val="null3"/>
                    <w:jc w:val="left"/>
                  </w:pPr>
                  <w:r>
                    <w:rPr>
                      <w:sz w:val="21"/>
                    </w:rPr>
                    <w:t>2、标志外观无明显缺失;</w:t>
                  </w:r>
                </w:p>
                <w:p>
                  <w:pPr>
                    <w:pStyle w:val="null3"/>
                    <w:jc w:val="left"/>
                  </w:pPr>
                  <w:r>
                    <w:rPr>
                      <w:sz w:val="21"/>
                    </w:rPr>
                    <w:t>3、标志版面内容有一定的视认不清;</w:t>
                  </w:r>
                </w:p>
                <w:p>
                  <w:pPr>
                    <w:pStyle w:val="null3"/>
                    <w:jc w:val="left"/>
                  </w:pPr>
                  <w:r>
                    <w:rPr>
                      <w:sz w:val="21"/>
                    </w:rPr>
                    <w:t>4、标志底板、板面有一定的破损、变形;</w:t>
                  </w:r>
                </w:p>
                <w:p>
                  <w:pPr>
                    <w:pStyle w:val="null3"/>
                    <w:jc w:val="left"/>
                  </w:pPr>
                  <w:r>
                    <w:rPr>
                      <w:sz w:val="21"/>
                    </w:rPr>
                    <w:t>5、标志板滑槽、铆钉有个别缺失，有一定数量的松动、损坏，表面有一定的破损、锈蚀:</w:t>
                  </w:r>
                </w:p>
                <w:p>
                  <w:pPr>
                    <w:pStyle w:val="null3"/>
                    <w:jc w:val="left"/>
                  </w:pPr>
                  <w:r>
                    <w:rPr>
                      <w:sz w:val="21"/>
                    </w:rPr>
                    <w:t>6、标志立柱、横梁有轻微歪斜、变形，表面有定的破损、锈蚀;</w:t>
                  </w:r>
                </w:p>
                <w:p>
                  <w:pPr>
                    <w:pStyle w:val="null3"/>
                    <w:jc w:val="left"/>
                  </w:pPr>
                  <w:r>
                    <w:rPr>
                      <w:sz w:val="21"/>
                    </w:rPr>
                    <w:t>7、标志法兰盘、抱箍、紧固件无缺失，有个别松动、损坏，表面有一定的破损、锈蚀;</w:t>
                  </w:r>
                </w:p>
                <w:p>
                  <w:pPr>
                    <w:pStyle w:val="null3"/>
                    <w:jc w:val="left"/>
                  </w:pPr>
                  <w:r>
                    <w:rPr>
                      <w:sz w:val="21"/>
                    </w:rPr>
                    <w:t>8、标志基础稳定，有轻微下沉、移位，基础表面有轻微破损。</w:t>
                  </w:r>
                </w:p>
              </w:tc>
              <w:tc>
                <w:tcPr>
                  <w:tcW w:type="dxa" w:w="2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1、标志板反光膜逆反射系数值Rc:70%RS≤Rc&lt;80%Rs;</w:t>
                  </w:r>
                </w:p>
                <w:p>
                  <w:pPr>
                    <w:pStyle w:val="null3"/>
                    <w:jc w:val="left"/>
                  </w:pPr>
                  <w:r>
                    <w:rPr>
                      <w:sz w:val="21"/>
                    </w:rPr>
                    <w:t>2、反光膜冬种颜色的色品坐标及亮度因数保持在《道路交通反光膜》(GB/T 18833)中表8或表9规定的范围内:</w:t>
                  </w:r>
                </w:p>
                <w:p>
                  <w:pPr>
                    <w:pStyle w:val="null3"/>
                    <w:jc w:val="left"/>
                  </w:pPr>
                  <w:r>
                    <w:rPr>
                      <w:sz w:val="21"/>
                    </w:rPr>
                    <w:t>3、标志板下缘距路面高度与设计值之差LG:-20mm≤IG&lt;-10mm;</w:t>
                  </w:r>
                </w:p>
                <w:p>
                  <w:pPr>
                    <w:pStyle w:val="null3"/>
                    <w:jc w:val="left"/>
                  </w:pPr>
                  <w:r>
                    <w:rPr>
                      <w:sz w:val="21"/>
                    </w:rPr>
                    <w:t>4、标志板滑槽、铆钉缺失、松动、损坏的累计数量N:1%NB总&lt;Nb≤10%NBa;</w:t>
                  </w:r>
                </w:p>
                <w:p>
                  <w:pPr>
                    <w:pStyle w:val="null3"/>
                    <w:jc w:val="left"/>
                  </w:pPr>
                  <w:r>
                    <w:rPr>
                      <w:sz w:val="21"/>
                    </w:rPr>
                    <w:t>5立杜垂直度Lc:1mm/m&lt;Lc≤2mm/m:</w:t>
                  </w:r>
                </w:p>
                <w:p>
                  <w:pPr>
                    <w:pStyle w:val="null3"/>
                    <w:jc w:val="left"/>
                  </w:pPr>
                  <w:r>
                    <w:rPr>
                      <w:sz w:val="21"/>
                    </w:rPr>
                    <w:t>6金属构件表面破损、锈蚀的累计面积Sj:5%Sj总&lt;Sj≤10%Sj总;</w:t>
                  </w:r>
                </w:p>
                <w:p>
                  <w:pPr>
                    <w:pStyle w:val="null3"/>
                    <w:jc w:val="left"/>
                  </w:pPr>
                  <w:r>
                    <w:rPr>
                      <w:sz w:val="21"/>
                    </w:rPr>
                    <w:t>7、标志基础移位Ly:15mm&lt;Lr≤30mm。</w:t>
                  </w:r>
                </w:p>
              </w:tc>
            </w:tr>
            <w:tr>
              <w:tc>
                <w:tcPr>
                  <w:tcW w:type="dxa" w:w="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差</w:t>
                  </w:r>
                </w:p>
              </w:tc>
              <w:tc>
                <w:tcPr>
                  <w:tcW w:type="dxa" w:w="2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1、标志外表有大面积污渍，且难以清除;</w:t>
                  </w:r>
                </w:p>
                <w:p>
                  <w:pPr>
                    <w:pStyle w:val="null3"/>
                    <w:jc w:val="left"/>
                  </w:pPr>
                  <w:r>
                    <w:rPr>
                      <w:sz w:val="21"/>
                    </w:rPr>
                    <w:t>2、标志外观有明显缺失;</w:t>
                  </w:r>
                </w:p>
                <w:p>
                  <w:pPr>
                    <w:pStyle w:val="null3"/>
                    <w:jc w:val="left"/>
                  </w:pPr>
                  <w:r>
                    <w:rPr>
                      <w:sz w:val="21"/>
                    </w:rPr>
                    <w:t>3、标志版面信息错误或内容有大片视认不清:</w:t>
                  </w:r>
                </w:p>
                <w:p>
                  <w:pPr>
                    <w:pStyle w:val="null3"/>
                    <w:jc w:val="left"/>
                  </w:pPr>
                  <w:r>
                    <w:rPr>
                      <w:sz w:val="21"/>
                    </w:rPr>
                    <w:t>4、标志底板、板面有明显破损、变形:</w:t>
                  </w:r>
                </w:p>
                <w:p>
                  <w:pPr>
                    <w:pStyle w:val="null3"/>
                    <w:jc w:val="left"/>
                  </w:pPr>
                  <w:r>
                    <w:rPr>
                      <w:sz w:val="21"/>
                    </w:rPr>
                    <w:t>5、标志板滑槽、铆钉有较多缺失、松动、损坏.表面有大面积破损、锈蚀:</w:t>
                  </w:r>
                </w:p>
                <w:p>
                  <w:pPr>
                    <w:pStyle w:val="null3"/>
                    <w:jc w:val="left"/>
                  </w:pPr>
                  <w:r>
                    <w:rPr>
                      <w:sz w:val="21"/>
                    </w:rPr>
                    <w:t>6、标志立柱、横梁有明显歪斜、变形、晃动，表面有大面积破损、锈蚀:</w:t>
                  </w:r>
                </w:p>
                <w:p>
                  <w:pPr>
                    <w:pStyle w:val="null3"/>
                    <w:jc w:val="left"/>
                  </w:pPr>
                  <w:r>
                    <w:rPr>
                      <w:sz w:val="21"/>
                    </w:rPr>
                    <w:t>7、标志法兰盘、抱箍、紧固件存在缺失，有较多松动、损坏，表面有大面积破损、锈蚀;</w:t>
                  </w:r>
                </w:p>
                <w:p>
                  <w:pPr>
                    <w:pStyle w:val="null3"/>
                    <w:jc w:val="left"/>
                  </w:pPr>
                  <w:r>
                    <w:rPr>
                      <w:sz w:val="21"/>
                    </w:rPr>
                    <w:t>8标志基础松动，有明显下沉、移位，基础表面有明显破损。</w:t>
                  </w:r>
                </w:p>
              </w:tc>
              <w:tc>
                <w:tcPr>
                  <w:tcW w:type="dxa" w:w="2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1、标志板反光膜逆反射系数值RC:RC&lt;70%Rs;</w:t>
                  </w:r>
                </w:p>
                <w:p>
                  <w:pPr>
                    <w:pStyle w:val="null3"/>
                    <w:jc w:val="left"/>
                  </w:pPr>
                  <w:r>
                    <w:rPr>
                      <w:sz w:val="21"/>
                    </w:rPr>
                    <w:t>2、反光膜冬种颜色的色品坐标及亮度因数不在《道路交通反光膜》(GB/T 18833)中表8或表9规定的范围内:</w:t>
                  </w:r>
                </w:p>
                <w:p>
                  <w:pPr>
                    <w:pStyle w:val="null3"/>
                    <w:jc w:val="left"/>
                  </w:pPr>
                  <w:r>
                    <w:rPr>
                      <w:sz w:val="21"/>
                    </w:rPr>
                    <w:t>3、标志板下缘距路面高度与设计值之差LG:LG&lt;-20mm;</w:t>
                  </w:r>
                </w:p>
                <w:p>
                  <w:pPr>
                    <w:pStyle w:val="null3"/>
                    <w:jc w:val="left"/>
                  </w:pPr>
                  <w:r>
                    <w:rPr>
                      <w:sz w:val="21"/>
                    </w:rPr>
                    <w:t>4、标志板滑槽、铆钉缺失、松动、损坏的累计数量Nb:Nb&gt;10%NB总;</w:t>
                  </w:r>
                </w:p>
                <w:p>
                  <w:pPr>
                    <w:pStyle w:val="null3"/>
                    <w:jc w:val="left"/>
                  </w:pPr>
                  <w:r>
                    <w:rPr>
                      <w:sz w:val="21"/>
                    </w:rPr>
                    <w:t>5、立杜垂直度Lc:Lc&gt;2mm/m;</w:t>
                  </w:r>
                </w:p>
                <w:p>
                  <w:pPr>
                    <w:pStyle w:val="null3"/>
                    <w:jc w:val="left"/>
                  </w:pPr>
                  <w:r>
                    <w:rPr>
                      <w:sz w:val="21"/>
                    </w:rPr>
                    <w:t>6、金属构件表面破损、锈蚀的累计面积Sj:Sj&gt;10%Sj总;</w:t>
                  </w:r>
                </w:p>
                <w:p>
                  <w:pPr>
                    <w:pStyle w:val="null3"/>
                    <w:jc w:val="left"/>
                  </w:pPr>
                  <w:r>
                    <w:rPr>
                      <w:sz w:val="21"/>
                    </w:rPr>
                    <w:t>7标志基础移位Ly:Ly&gt;30mm。</w:t>
                  </w:r>
                </w:p>
              </w:tc>
            </w:tr>
          </w:tbl>
          <w:p>
            <w:pPr>
              <w:pStyle w:val="null3"/>
              <w:ind w:firstLine="420"/>
              <w:jc w:val="both"/>
            </w:pPr>
            <w:r>
              <w:rPr>
                <w:sz w:val="21"/>
              </w:rPr>
              <w:t>注</w:t>
            </w:r>
            <w:r>
              <w:rPr>
                <w:sz w:val="21"/>
              </w:rPr>
              <w:t>:标志板反光膜逆反射系数值的观测条件为观测角0.2°、入射角为-4、15°、和30%时;</w:t>
            </w:r>
          </w:p>
          <w:p>
            <w:pPr>
              <w:pStyle w:val="null3"/>
              <w:ind w:firstLine="420"/>
              <w:jc w:val="both"/>
            </w:pPr>
            <w:r>
              <w:rPr>
                <w:sz w:val="21"/>
              </w:rPr>
              <w:t>Rs一一标志板反光膜设计逆反射系数值;</w:t>
            </w:r>
          </w:p>
          <w:p>
            <w:pPr>
              <w:pStyle w:val="null3"/>
              <w:ind w:firstLine="420"/>
              <w:jc w:val="both"/>
            </w:pPr>
            <w:r>
              <w:rPr>
                <w:sz w:val="21"/>
              </w:rPr>
              <w:t>Nb总一一标志板滑槽、铆钉调查的总数量;</w:t>
            </w:r>
          </w:p>
          <w:p>
            <w:pPr>
              <w:pStyle w:val="null3"/>
              <w:ind w:firstLine="420"/>
              <w:jc w:val="both"/>
            </w:pPr>
            <w:r>
              <w:rPr>
                <w:sz w:val="21"/>
              </w:rPr>
              <w:t>Sj总一一金属构件调查的总数量。</w:t>
            </w:r>
          </w:p>
        </w:tc>
      </w:tr>
      <w:tr>
        <w:tc>
          <w:tcPr>
            <w:tcW w:type="dxa" w:w="2076"/>
          </w:tcPr>
          <w:p/>
        </w:tc>
        <w:tc>
          <w:tcPr>
            <w:tcW w:type="dxa" w:w="415"/>
          </w:tcPr>
          <w:p>
            <w:pPr>
              <w:pStyle w:val="null3"/>
            </w:pPr>
            <w:r>
              <w:rPr/>
              <w:t>6</w:t>
            </w:r>
          </w:p>
        </w:tc>
        <w:tc>
          <w:tcPr>
            <w:tcW w:type="dxa" w:w="5814"/>
          </w:tcPr>
          <w:p>
            <w:pPr>
              <w:pStyle w:val="null3"/>
              <w:ind w:left="420"/>
              <w:jc w:val="both"/>
              <w:outlineLvl w:val="2"/>
            </w:pPr>
            <w:r>
              <w:rPr>
                <w:sz w:val="21"/>
                <w:b/>
              </w:rPr>
              <w:t>3.2.8.道闸与保安亭设施</w:t>
            </w:r>
          </w:p>
          <w:p>
            <w:pPr>
              <w:pStyle w:val="null3"/>
              <w:ind w:left="420"/>
              <w:jc w:val="both"/>
              <w:outlineLvl w:val="3"/>
            </w:pPr>
            <w:r>
              <w:rPr>
                <w:sz w:val="21"/>
                <w:b/>
              </w:rPr>
              <w:t>3.2.8.1.日常巡查</w:t>
            </w:r>
          </w:p>
          <w:p>
            <w:pPr>
              <w:pStyle w:val="null3"/>
              <w:ind w:firstLine="420"/>
              <w:jc w:val="both"/>
            </w:pPr>
            <w:r>
              <w:rPr>
                <w:sz w:val="21"/>
              </w:rPr>
              <w:t>车辆道闸巡查：巡查周期小于</w:t>
            </w:r>
            <w:r>
              <w:rPr>
                <w:sz w:val="21"/>
              </w:rPr>
              <w:t>60天</w:t>
            </w:r>
          </w:p>
          <w:p>
            <w:pPr>
              <w:pStyle w:val="null3"/>
              <w:ind w:firstLine="420"/>
              <w:jc w:val="both"/>
            </w:pPr>
            <w:r>
              <w:rPr>
                <w:sz w:val="21"/>
              </w:rPr>
              <w:t>定期检查道闸的机械结构、电气元件和控制系统，确保其正常工作。定期清洁道闸表面和内部部件，避免积灰和污垢影响使用。</w:t>
            </w:r>
          </w:p>
          <w:p>
            <w:pPr>
              <w:pStyle w:val="null3"/>
              <w:ind w:firstLine="420"/>
              <w:jc w:val="both"/>
            </w:pPr>
            <w:r>
              <w:rPr>
                <w:sz w:val="21"/>
              </w:rPr>
              <w:t>对道闸的运动部件进行润滑和保养，确保其顺畅运行。在合适的时间间隔内，为道闸的传动装置、轴承和摩擦部位添加润滑油，减少摩擦和磨损。</w:t>
            </w:r>
          </w:p>
          <w:p>
            <w:pPr>
              <w:pStyle w:val="null3"/>
              <w:ind w:firstLine="420"/>
              <w:jc w:val="both"/>
            </w:pPr>
            <w:r>
              <w:rPr>
                <w:sz w:val="21"/>
              </w:rPr>
              <w:t>定期进行设备的预防性检修，随时发现和解决潜在问题，避免设备故障对交通和安全带来影响。例如，检查道闸的电缆、电源以及控制系统的电路，确保线路连接良好，避免短路或断电情况。</w:t>
            </w:r>
          </w:p>
          <w:p>
            <w:pPr>
              <w:pStyle w:val="null3"/>
              <w:ind w:firstLine="420"/>
              <w:jc w:val="both"/>
            </w:pPr>
            <w:r>
              <w:rPr>
                <w:sz w:val="21"/>
              </w:rPr>
              <w:t>保安亭检查：巡查周期小于</w:t>
            </w:r>
            <w:r>
              <w:rPr>
                <w:sz w:val="21"/>
              </w:rPr>
              <w:t>90天</w:t>
            </w:r>
          </w:p>
          <w:p>
            <w:pPr>
              <w:pStyle w:val="null3"/>
              <w:ind w:firstLine="420"/>
              <w:jc w:val="both"/>
            </w:pPr>
            <w:r>
              <w:rPr>
                <w:sz w:val="21"/>
              </w:rPr>
              <w:t>保安亭外墙、玻璃、门窗等进行定期清洁，以确保良好的外观和透明度。保持室内卫生，定期打扫和除尘。</w:t>
            </w:r>
          </w:p>
          <w:p>
            <w:pPr>
              <w:pStyle w:val="null3"/>
              <w:ind w:firstLine="420"/>
              <w:jc w:val="both"/>
            </w:pPr>
            <w:r>
              <w:rPr>
                <w:sz w:val="21"/>
              </w:rPr>
              <w:t>保安亭内部设备的维护包括照明设备、监控设备、通讯设备等。定期检查设备的工作状态，更换损坏的部件，确保其正常运行。</w:t>
            </w:r>
          </w:p>
          <w:p>
            <w:pPr>
              <w:pStyle w:val="null3"/>
              <w:ind w:firstLine="420"/>
              <w:jc w:val="both"/>
            </w:pPr>
            <w:r>
              <w:rPr>
                <w:sz w:val="21"/>
              </w:rPr>
              <w:t>保安亭通常需要进行防水处理，对屋顶、墙壁、地板等部位进行检查，发现漏水和潮湿问题及时修补，防止设备损坏和腐蚀。</w:t>
            </w:r>
          </w:p>
          <w:p>
            <w:pPr>
              <w:pStyle w:val="null3"/>
              <w:ind w:firstLine="420"/>
              <w:jc w:val="both"/>
            </w:pPr>
            <w:r>
              <w:rPr>
                <w:sz w:val="21"/>
              </w:rPr>
              <w:t>定期检查保安亭的安全设施，例如防火设备、紧急按钮、逃生出口等，确保其可靠性和使用合规性。</w:t>
            </w:r>
          </w:p>
        </w:tc>
      </w:tr>
      <w:tr>
        <w:tc>
          <w:tcPr>
            <w:tcW w:type="dxa" w:w="2076"/>
          </w:tcPr>
          <w:p/>
        </w:tc>
        <w:tc>
          <w:tcPr>
            <w:tcW w:type="dxa" w:w="415"/>
          </w:tcPr>
          <w:p>
            <w:pPr>
              <w:pStyle w:val="null3"/>
            </w:pPr>
            <w:r>
              <w:rPr/>
              <w:t>7</w:t>
            </w:r>
          </w:p>
        </w:tc>
        <w:tc>
          <w:tcPr>
            <w:tcW w:type="dxa" w:w="5814"/>
          </w:tcPr>
          <w:p>
            <w:pPr>
              <w:pStyle w:val="null3"/>
              <w:ind w:left="420"/>
              <w:jc w:val="both"/>
              <w:outlineLvl w:val="3"/>
            </w:pPr>
            <w:r>
              <w:rPr>
                <w:sz w:val="21"/>
                <w:b/>
              </w:rPr>
              <w:t>3.2.8.2.故障维修</w:t>
            </w:r>
          </w:p>
          <w:p>
            <w:pPr>
              <w:pStyle w:val="null3"/>
              <w:ind w:firstLine="420"/>
              <w:jc w:val="both"/>
            </w:pPr>
            <w:r>
              <w:rPr>
                <w:sz w:val="21"/>
              </w:rPr>
              <w:t>道闸和保安亭故障报修流程：</w:t>
            </w:r>
          </w:p>
          <w:p>
            <w:pPr>
              <w:pStyle w:val="null3"/>
              <w:ind w:firstLine="420"/>
              <w:jc w:val="both"/>
            </w:pPr>
            <w:r>
              <w:rPr>
                <w:sz w:val="21"/>
              </w:rPr>
              <w:t>发现故障</w:t>
            </w:r>
            <w:r>
              <w:rPr>
                <w:sz w:val="21"/>
              </w:rPr>
              <w:t>——&gt;故障报修——&gt;故障评估——&gt;维修计划——&gt;维修执行——&gt;测试调试——&gt;维修记录——&gt;维修反馈和报告。</w:t>
            </w:r>
          </w:p>
          <w:p>
            <w:pPr>
              <w:pStyle w:val="null3"/>
              <w:ind w:firstLine="420"/>
              <w:jc w:val="both"/>
            </w:pPr>
            <w:r>
              <w:rPr>
                <w:sz w:val="21"/>
              </w:rPr>
              <w:t>1、当车辆道闸或保安亭发生故障时，相关人员需要及时进行故障报告。可以通过电话、微信、邮件或其他适当的方式向中标人或责任人员报告故障情况。</w:t>
            </w:r>
          </w:p>
          <w:p>
            <w:pPr>
              <w:pStyle w:val="null3"/>
              <w:ind w:firstLine="420"/>
              <w:jc w:val="both"/>
            </w:pPr>
            <w:r>
              <w:rPr>
                <w:sz w:val="21"/>
              </w:rPr>
              <w:t>2、中标人或责任人员需要对接收到的故障报告进行评估。中标人需要调查故障的性质、原因和可能的解决方案，并确定需要采取的措施。</w:t>
            </w:r>
          </w:p>
          <w:p>
            <w:pPr>
              <w:pStyle w:val="null3"/>
              <w:ind w:firstLine="420"/>
              <w:jc w:val="both"/>
            </w:pPr>
            <w:r>
              <w:rPr>
                <w:sz w:val="21"/>
              </w:rPr>
              <w:t>3、在进行故障评估之后，中标人需要制定维修计划。该计划会明确维修的时间安排、所需资源和所需修复步骤。</w:t>
            </w:r>
          </w:p>
          <w:p>
            <w:pPr>
              <w:pStyle w:val="null3"/>
              <w:ind w:firstLine="420"/>
              <w:jc w:val="both"/>
            </w:pPr>
            <w:r>
              <w:rPr>
                <w:sz w:val="21"/>
              </w:rPr>
              <w:t>4、根据维修计划，中标人实施维修措施。可能需要更换损坏的零件、进行调整、修复电气或机械问题等，以恢复车辆道闸或保安亭的正常功能。</w:t>
            </w:r>
          </w:p>
          <w:p>
            <w:pPr>
              <w:pStyle w:val="null3"/>
              <w:ind w:firstLine="420"/>
              <w:jc w:val="both"/>
            </w:pPr>
            <w:r>
              <w:rPr>
                <w:sz w:val="21"/>
              </w:rPr>
              <w:t>5、在完成维修后，中标人需要进行一系列测试和调试，以确保车辆道闸或保安亭的功能恢复正常，并符合预期的安全和性能要求。</w:t>
            </w:r>
          </w:p>
          <w:p>
            <w:pPr>
              <w:pStyle w:val="null3"/>
              <w:ind w:firstLine="420"/>
              <w:jc w:val="both"/>
            </w:pPr>
            <w:r>
              <w:rPr>
                <w:sz w:val="21"/>
              </w:rPr>
              <w:t>6、中标人需要记录维修过程和维修结果，包括所采取的措施、所更换的零件、维修时间等。这些记录和文件可以用于日后的维护和维修参考。</w:t>
            </w:r>
          </w:p>
          <w:p>
            <w:pPr>
              <w:pStyle w:val="null3"/>
              <w:ind w:firstLine="420"/>
              <w:jc w:val="both"/>
            </w:pPr>
            <w:r>
              <w:rPr>
                <w:sz w:val="21"/>
              </w:rPr>
              <w:t>7、经过维修的车辆道闸或保安亭通常需要进行验收。中标人或责任人员需要向相关人员提供维修反馈和报告，包括维修的范围、改进建议以及可能的预防措施。</w:t>
            </w:r>
          </w:p>
          <w:p>
            <w:pPr>
              <w:pStyle w:val="null3"/>
              <w:ind w:left="420"/>
              <w:jc w:val="both"/>
              <w:outlineLvl w:val="2"/>
            </w:pPr>
            <w:r>
              <w:rPr>
                <w:sz w:val="21"/>
                <w:b/>
              </w:rPr>
              <w:t>3.2.9.其它道路设施</w:t>
            </w:r>
          </w:p>
          <w:p>
            <w:pPr>
              <w:pStyle w:val="null3"/>
              <w:ind w:firstLine="420"/>
              <w:jc w:val="both"/>
            </w:pPr>
            <w:r>
              <w:rPr>
                <w:sz w:val="21"/>
              </w:rPr>
              <w:t>本项目除以上专项设施外其它道路设施，包括井盖传感器、紧急呼叫、公共广播、环境传感、气象传感、水位传感等设施维护内容：</w:t>
            </w:r>
          </w:p>
          <w:p>
            <w:pPr>
              <w:pStyle w:val="null3"/>
              <w:ind w:left="420"/>
              <w:jc w:val="both"/>
              <w:outlineLvl w:val="3"/>
            </w:pPr>
            <w:r>
              <w:rPr>
                <w:sz w:val="21"/>
                <w:b/>
              </w:rPr>
              <w:t>3.2.9.1.定期巡检：</w:t>
            </w:r>
          </w:p>
          <w:p>
            <w:pPr>
              <w:pStyle w:val="null3"/>
              <w:ind w:firstLine="420"/>
              <w:jc w:val="both"/>
            </w:pPr>
            <w:r>
              <w:rPr>
                <w:sz w:val="21"/>
              </w:rPr>
              <w:t>经常性检查的频率不少于</w:t>
            </w:r>
            <w:r>
              <w:rPr>
                <w:sz w:val="21"/>
              </w:rPr>
              <w:t>1次/月;定期检查的频率不少于1次/年;遭遇自然灾害、发生交通事故或出现其他异常情况时，应及时进行附加的特殊检查:设施更新改造之后，应进行全面的专项检查。</w:t>
            </w:r>
          </w:p>
          <w:p>
            <w:pPr>
              <w:pStyle w:val="null3"/>
              <w:ind w:firstLine="420"/>
              <w:jc w:val="both"/>
            </w:pPr>
            <w:r>
              <w:rPr>
                <w:sz w:val="21"/>
              </w:rPr>
              <w:t>检查井盖传感器、紧急呼叫、公共广播、环境传感、气象传感、水位传感的外观、连接线路等是否完好，并及时处理发现的问题。</w:t>
            </w:r>
          </w:p>
          <w:p>
            <w:pPr>
              <w:pStyle w:val="null3"/>
              <w:ind w:left="420"/>
              <w:jc w:val="both"/>
              <w:outlineLvl w:val="3"/>
            </w:pPr>
            <w:r>
              <w:rPr>
                <w:sz w:val="21"/>
                <w:b/>
              </w:rPr>
              <w:t>3.2.9.2.清洁保养：</w:t>
            </w:r>
          </w:p>
          <w:p>
            <w:pPr>
              <w:pStyle w:val="null3"/>
              <w:ind w:firstLine="420"/>
              <w:jc w:val="both"/>
            </w:pPr>
            <w:r>
              <w:rPr>
                <w:sz w:val="21"/>
              </w:rPr>
              <w:t>对井盖传感器、紧急呼叫、公共广播、环境传感、气象传感、水位传感及周围环境进行清洁，确保无积尘、杂物等影响正常运行。</w:t>
            </w:r>
          </w:p>
          <w:p>
            <w:pPr>
              <w:pStyle w:val="null3"/>
              <w:ind w:firstLine="420"/>
              <w:jc w:val="both"/>
            </w:pPr>
            <w:r>
              <w:rPr>
                <w:sz w:val="21"/>
              </w:rPr>
              <w:t>定期清理井盖传感器、水位传感周围的沙土、泥污等，防止影响传感器的准确检测。</w:t>
            </w:r>
          </w:p>
          <w:p>
            <w:pPr>
              <w:pStyle w:val="null3"/>
              <w:ind w:left="420"/>
              <w:jc w:val="both"/>
              <w:outlineLvl w:val="3"/>
            </w:pPr>
            <w:r>
              <w:rPr>
                <w:sz w:val="21"/>
                <w:b/>
              </w:rPr>
              <w:t>3.2.9.3.定期校准：</w:t>
            </w:r>
          </w:p>
          <w:p>
            <w:pPr>
              <w:pStyle w:val="null3"/>
              <w:ind w:firstLine="420"/>
              <w:jc w:val="both"/>
            </w:pPr>
            <w:r>
              <w:rPr>
                <w:sz w:val="21"/>
              </w:rPr>
              <w:t>对井盖监测器的传感器、环境传感、气象传感、水位传感进行定期校准，确保监测结果准确可靠。</w:t>
            </w:r>
          </w:p>
          <w:p>
            <w:pPr>
              <w:pStyle w:val="null3"/>
              <w:ind w:firstLine="420"/>
              <w:jc w:val="both"/>
            </w:pPr>
            <w:r>
              <w:rPr>
                <w:sz w:val="21"/>
              </w:rPr>
              <w:t>根据厂家要求或技术规范，进行校准操作，并记录相关数据。</w:t>
            </w:r>
          </w:p>
          <w:p>
            <w:pPr>
              <w:pStyle w:val="null3"/>
              <w:ind w:left="420"/>
              <w:jc w:val="both"/>
              <w:outlineLvl w:val="3"/>
            </w:pPr>
            <w:r>
              <w:rPr>
                <w:sz w:val="21"/>
                <w:b/>
              </w:rPr>
              <w:t>3.2.9.4.故障处理：</w:t>
            </w:r>
          </w:p>
          <w:p>
            <w:pPr>
              <w:pStyle w:val="null3"/>
              <w:ind w:firstLine="420"/>
              <w:jc w:val="both"/>
            </w:pPr>
            <w:r>
              <w:rPr>
                <w:sz w:val="21"/>
              </w:rPr>
              <w:t>发现井盖传感器、紧急呼叫、公共广播、环境传感、气象传感、水位传感出现故障或异常情况时，及时报修或更换设备。</w:t>
            </w:r>
          </w:p>
          <w:p>
            <w:pPr>
              <w:pStyle w:val="null3"/>
              <w:ind w:firstLine="420"/>
              <w:jc w:val="both"/>
            </w:pPr>
            <w:r>
              <w:rPr>
                <w:sz w:val="21"/>
              </w:rPr>
              <w:t>因交通事故、自然灾害或其他原因造成的设施损伤应及时进行修复。</w:t>
            </w:r>
          </w:p>
          <w:p>
            <w:pPr>
              <w:pStyle w:val="null3"/>
              <w:ind w:firstLine="420"/>
              <w:jc w:val="both"/>
            </w:pPr>
            <w:r>
              <w:rPr>
                <w:sz w:val="21"/>
              </w:rPr>
              <w:t>维修人员应具备相应的技术能力，确保故障能够及时有效地处理。</w:t>
            </w:r>
          </w:p>
          <w:p>
            <w:pPr>
              <w:pStyle w:val="null3"/>
              <w:ind w:firstLine="420"/>
              <w:jc w:val="both"/>
            </w:pPr>
            <w:r>
              <w:rPr>
                <w:sz w:val="21"/>
              </w:rPr>
              <w:t>对于事故多发路段和一些特殊路段，应结合公路安全保障工程的技术内容，及时改造完善各种交通安全设施。</w:t>
            </w:r>
          </w:p>
          <w:p>
            <w:pPr>
              <w:pStyle w:val="null3"/>
              <w:ind w:left="420"/>
              <w:jc w:val="both"/>
              <w:outlineLvl w:val="2"/>
            </w:pPr>
            <w:r>
              <w:rPr>
                <w:sz w:val="21"/>
                <w:b/>
              </w:rPr>
              <w:t>3.2.10.应急抢修</w:t>
            </w:r>
          </w:p>
          <w:p>
            <w:pPr>
              <w:pStyle w:val="null3"/>
              <w:ind w:firstLine="420"/>
              <w:jc w:val="both"/>
            </w:pPr>
            <w:r>
              <w:rPr>
                <w:sz w:val="21"/>
              </w:rPr>
              <w:t>应急抢修分为道路设施供电紧急故障抢修、道路设施外力紧急故障抢修和非设施紧急故障配合抢修等。</w:t>
            </w:r>
          </w:p>
          <w:p>
            <w:pPr>
              <w:pStyle w:val="null3"/>
              <w:ind w:firstLine="420"/>
              <w:jc w:val="both"/>
            </w:pPr>
            <w:r>
              <w:rPr>
                <w:sz w:val="21"/>
              </w:rPr>
              <w:t>1、道路设施供电紧急故障抢修应至少包括以下故障类型：</w:t>
            </w:r>
          </w:p>
          <w:p>
            <w:pPr>
              <w:pStyle w:val="null3"/>
              <w:ind w:firstLine="420"/>
              <w:jc w:val="both"/>
            </w:pPr>
            <w:r>
              <w:rPr>
                <w:sz w:val="21"/>
              </w:rPr>
              <w:t>a)夜间集中灭灯；</w:t>
            </w:r>
          </w:p>
          <w:p>
            <w:pPr>
              <w:pStyle w:val="null3"/>
              <w:ind w:firstLine="420"/>
              <w:jc w:val="both"/>
            </w:pPr>
            <w:r>
              <w:rPr>
                <w:sz w:val="21"/>
              </w:rPr>
              <w:t>b)白天集中亮灯；</w:t>
            </w:r>
          </w:p>
          <w:p>
            <w:pPr>
              <w:pStyle w:val="null3"/>
              <w:ind w:firstLine="420"/>
              <w:jc w:val="both"/>
            </w:pPr>
            <w:r>
              <w:rPr>
                <w:sz w:val="21"/>
              </w:rPr>
              <w:t>c)其他设施紧急故障等。</w:t>
            </w:r>
          </w:p>
          <w:p>
            <w:pPr>
              <w:pStyle w:val="null3"/>
              <w:ind w:firstLine="420"/>
              <w:jc w:val="both"/>
            </w:pPr>
            <w:r>
              <w:rPr>
                <w:sz w:val="21"/>
              </w:rPr>
              <w:t>2、道路设施外力紧急故障抢修应至少包括以下故障类型：</w:t>
            </w:r>
          </w:p>
          <w:p>
            <w:pPr>
              <w:pStyle w:val="null3"/>
              <w:ind w:firstLine="420"/>
              <w:jc w:val="both"/>
            </w:pPr>
            <w:r>
              <w:rPr>
                <w:sz w:val="21"/>
              </w:rPr>
              <w:t>a)外力撞杆；</w:t>
            </w:r>
          </w:p>
          <w:p>
            <w:pPr>
              <w:pStyle w:val="null3"/>
              <w:ind w:firstLine="420"/>
              <w:jc w:val="both"/>
            </w:pPr>
            <w:r>
              <w:rPr>
                <w:sz w:val="21"/>
              </w:rPr>
              <w:t>b)电井盖丢失、破损、位移，沟道进水；</w:t>
            </w:r>
          </w:p>
          <w:p>
            <w:pPr>
              <w:pStyle w:val="null3"/>
              <w:ind w:firstLine="420"/>
              <w:jc w:val="both"/>
            </w:pPr>
            <w:r>
              <w:rPr>
                <w:sz w:val="21"/>
              </w:rPr>
              <w:t>c)外力原因切断线路等。</w:t>
            </w:r>
          </w:p>
          <w:p>
            <w:pPr>
              <w:pStyle w:val="null3"/>
              <w:ind w:firstLine="420"/>
              <w:jc w:val="both"/>
            </w:pPr>
            <w:r>
              <w:rPr>
                <w:sz w:val="21"/>
              </w:rPr>
              <w:t>3、非道路设施紧急故障配合抢修应至少包括以下故障类型：</w:t>
            </w:r>
          </w:p>
          <w:p>
            <w:pPr>
              <w:pStyle w:val="null3"/>
              <w:ind w:firstLine="420"/>
              <w:jc w:val="both"/>
            </w:pPr>
            <w:r>
              <w:rPr>
                <w:sz w:val="21"/>
              </w:rPr>
              <w:t>a)配合切断道路设施电源；</w:t>
            </w:r>
          </w:p>
          <w:p>
            <w:pPr>
              <w:pStyle w:val="null3"/>
              <w:ind w:firstLine="420"/>
              <w:jc w:val="both"/>
            </w:pPr>
            <w:r>
              <w:rPr>
                <w:sz w:val="21"/>
              </w:rPr>
              <w:t>b)配合挪移道路设施；</w:t>
            </w:r>
          </w:p>
          <w:p>
            <w:pPr>
              <w:pStyle w:val="null3"/>
              <w:ind w:firstLine="420"/>
              <w:jc w:val="both"/>
            </w:pPr>
            <w:r>
              <w:rPr>
                <w:sz w:val="21"/>
              </w:rPr>
              <w:t>c)配合现场值守等。</w:t>
            </w:r>
          </w:p>
          <w:p>
            <w:pPr>
              <w:pStyle w:val="null3"/>
              <w:ind w:firstLine="420"/>
              <w:jc w:val="both"/>
            </w:pPr>
            <w:r>
              <w:rPr>
                <w:sz w:val="21"/>
              </w:rPr>
              <w:t>4、应急抢修应符合以下规定：</w:t>
            </w:r>
          </w:p>
          <w:p>
            <w:pPr>
              <w:pStyle w:val="null3"/>
              <w:ind w:firstLine="420"/>
              <w:jc w:val="both"/>
            </w:pPr>
            <w:r>
              <w:rPr>
                <w:sz w:val="21"/>
              </w:rPr>
              <w:t>a)应针对道路设施突发事件的类型事先制定应急预案，并报管委会备案；</w:t>
            </w:r>
          </w:p>
          <w:p>
            <w:pPr>
              <w:pStyle w:val="null3"/>
              <w:ind w:firstLine="420"/>
              <w:jc w:val="both"/>
            </w:pPr>
            <w:r>
              <w:rPr>
                <w:sz w:val="21"/>
              </w:rPr>
              <w:t>b)应急抢修工程应根据现场故障情况进行处置，处置后应符合CJJ89的相关规定；</w:t>
            </w:r>
          </w:p>
          <w:p>
            <w:pPr>
              <w:pStyle w:val="null3"/>
              <w:ind w:firstLine="420"/>
              <w:jc w:val="both"/>
            </w:pPr>
            <w:r>
              <w:rPr>
                <w:sz w:val="21"/>
              </w:rPr>
              <w:t>c)故障处理完毕后，应及时确认设施恢复正常；</w:t>
            </w:r>
          </w:p>
          <w:p>
            <w:pPr>
              <w:pStyle w:val="null3"/>
              <w:ind w:firstLine="420"/>
              <w:jc w:val="both"/>
            </w:pPr>
            <w:r>
              <w:rPr>
                <w:sz w:val="21"/>
              </w:rPr>
              <w:t>d)对于经过应急抢修而恢复功能的道路设施，遗留有未能及时处理的故障时，应上报管委会；</w:t>
            </w:r>
          </w:p>
          <w:p>
            <w:pPr>
              <w:pStyle w:val="null3"/>
              <w:ind w:firstLine="420"/>
              <w:jc w:val="both"/>
            </w:pPr>
            <w:r>
              <w:rPr>
                <w:sz w:val="21"/>
              </w:rPr>
              <w:t>e)应急抢修完成后应清理抢修现场，确保无污染。</w:t>
            </w:r>
          </w:p>
          <w:p>
            <w:pPr>
              <w:pStyle w:val="null3"/>
              <w:ind w:firstLine="420"/>
              <w:jc w:val="both"/>
            </w:pPr>
            <w:r>
              <w:rPr>
                <w:sz w:val="21"/>
              </w:rPr>
              <w:t>5、应急抢修时间应符合以下规定：</w:t>
            </w:r>
          </w:p>
          <w:p>
            <w:pPr>
              <w:pStyle w:val="null3"/>
              <w:ind w:firstLine="420"/>
              <w:jc w:val="both"/>
            </w:pPr>
            <w:r>
              <w:rPr>
                <w:sz w:val="21"/>
              </w:rPr>
              <w:t>a)应在45min内到达故障现场；</w:t>
            </w:r>
          </w:p>
          <w:p>
            <w:pPr>
              <w:pStyle w:val="null3"/>
              <w:ind w:firstLine="420"/>
              <w:jc w:val="both"/>
            </w:pPr>
            <w:r>
              <w:rPr>
                <w:sz w:val="21"/>
              </w:rPr>
              <w:t>b)抢修时间从接到报修开始，对一般故障，应在24h内处理完毕；对复杂故障，宜在48h内处理完毕，且不应超过72h；</w:t>
            </w:r>
          </w:p>
          <w:p>
            <w:pPr>
              <w:pStyle w:val="null3"/>
              <w:ind w:firstLine="420"/>
              <w:jc w:val="both"/>
            </w:pPr>
            <w:r>
              <w:rPr>
                <w:sz w:val="21"/>
              </w:rPr>
              <w:t>c)对于可能引起次生灾害等风险的特殊故障抢修，应根据实际情况缩短处理时间。</w:t>
            </w:r>
          </w:p>
          <w:p>
            <w:pPr>
              <w:pStyle w:val="null3"/>
              <w:ind w:firstLine="420"/>
              <w:jc w:val="both"/>
            </w:pPr>
            <w:r>
              <w:rPr>
                <w:sz w:val="21"/>
              </w:rPr>
              <w:t>6、应急抢修在现在人员配备和机械配备能够完成抢修情况下，采购方不再增加费用，如维护单位需要增加人员和机械需要提供详细抢修费用清单，全年增加费用不能超出项目总额10%，超过部分由中标人自行承担。</w:t>
            </w:r>
          </w:p>
        </w:tc>
      </w:tr>
      <w:tr>
        <w:tc>
          <w:tcPr>
            <w:tcW w:type="dxa" w:w="2076"/>
          </w:tcPr>
          <w:p/>
        </w:tc>
        <w:tc>
          <w:tcPr>
            <w:tcW w:type="dxa" w:w="415"/>
          </w:tcPr>
          <w:p>
            <w:pPr>
              <w:pStyle w:val="null3"/>
            </w:pPr>
            <w:r>
              <w:rPr/>
              <w:t>8</w:t>
            </w:r>
          </w:p>
        </w:tc>
        <w:tc>
          <w:tcPr>
            <w:tcW w:type="dxa" w:w="5814"/>
          </w:tcPr>
          <w:p>
            <w:pPr>
              <w:pStyle w:val="null3"/>
              <w:ind w:left="420"/>
              <w:jc w:val="both"/>
              <w:outlineLvl w:val="2"/>
            </w:pPr>
            <w:r>
              <w:rPr>
                <w:sz w:val="21"/>
                <w:b/>
              </w:rPr>
              <w:t>3.2.11.特殊天气保障</w:t>
            </w:r>
          </w:p>
          <w:p>
            <w:pPr>
              <w:pStyle w:val="null3"/>
              <w:ind w:firstLine="420"/>
              <w:jc w:val="both"/>
            </w:pPr>
            <w:r>
              <w:rPr>
                <w:sz w:val="21"/>
              </w:rPr>
              <w:t>智慧道路前端设备在特殊天气条件下的维护保障非常重要，可以采取以下措施来应对各种特殊天气情况：</w:t>
            </w:r>
          </w:p>
          <w:p>
            <w:pPr>
              <w:pStyle w:val="null3"/>
              <w:ind w:firstLine="420"/>
              <w:jc w:val="both"/>
            </w:pPr>
            <w:r>
              <w:rPr>
                <w:sz w:val="21"/>
              </w:rPr>
              <w:t>极端高温：在高温天气下，设备可能会受到过热的影响，导致性能下降或甚至损坏。因此，需要定期检查设备的散热系统，确保通风良好。同时，避免设备长时间处于直射阳光下，可以采用遮阳措施。</w:t>
            </w:r>
          </w:p>
          <w:p>
            <w:pPr>
              <w:pStyle w:val="null3"/>
              <w:ind w:firstLine="420"/>
              <w:jc w:val="both"/>
            </w:pPr>
            <w:r>
              <w:rPr>
                <w:sz w:val="21"/>
              </w:rPr>
              <w:t>极端低温：在寒冷天气中，要注意设备的防冻保护。确保设备外壳结构能够有效隔离冷空气和湿气，防止结冰。此外，保持设备正常供电和加强设备的绝缘措施也很重要。</w:t>
            </w:r>
          </w:p>
          <w:p>
            <w:pPr>
              <w:pStyle w:val="null3"/>
              <w:ind w:firstLine="420"/>
              <w:jc w:val="both"/>
            </w:pPr>
            <w:r>
              <w:rPr>
                <w:sz w:val="21"/>
              </w:rPr>
              <w:t>强风和风沙：在强风和风沙天气中，需要加强设备的固定和稳定性，确保设备不会被风吹倒或受到颗粒物侵蚀。可以采用加固设备架的方式，并且定期检查和维修设备固定螺栓等连接部件。</w:t>
            </w:r>
          </w:p>
          <w:p>
            <w:pPr>
              <w:pStyle w:val="null3"/>
              <w:ind w:firstLine="420"/>
              <w:jc w:val="both"/>
            </w:pPr>
            <w:r>
              <w:rPr>
                <w:sz w:val="21"/>
              </w:rPr>
              <w:t>暴雨和洪水：在暴雨天气中，需要确保设备的密封性能良好，防止雨水渗入设备内部。可以采用防水罩或防水胶带进行保护。对于易受水淹的地区，还可以将设备安装在较高的位置或采取隔水措施。</w:t>
            </w:r>
          </w:p>
          <w:p>
            <w:pPr>
              <w:pStyle w:val="null3"/>
              <w:ind w:firstLine="420"/>
              <w:jc w:val="both"/>
            </w:pPr>
            <w:r>
              <w:rPr>
                <w:sz w:val="21"/>
              </w:rPr>
              <w:t>冰雪天气：在冰雪天气中，要特别注意设备的防滑和除冰工作。及时清理设备表面的积雪和冰冻，同时可以使用除冰剂进行处理，确保设备正常运行和人员安全。</w:t>
            </w:r>
          </w:p>
          <w:p>
            <w:pPr>
              <w:pStyle w:val="null3"/>
              <w:ind w:firstLine="420"/>
              <w:jc w:val="both"/>
            </w:pPr>
            <w:r>
              <w:rPr>
                <w:sz w:val="21"/>
              </w:rPr>
              <w:t>此外，对于特殊天气条件下的设备维护，定期的巡检和维护是至关重要的。养护人员需要关注天气预报，提前做好准备工作，并且密切关注设备的运行状态，及时发现和处理异常情况。遇到特殊天气条件时，维护人员要加强与相关部门的沟通和协调，共同应对各种天气极端情况，确保智慧道路前端设备的正常运行和稳定性。</w:t>
            </w:r>
          </w:p>
          <w:p>
            <w:pPr>
              <w:pStyle w:val="null3"/>
              <w:jc w:val="both"/>
            </w:pPr>
            <w:r>
              <w:rPr>
                <w:sz w:val="21"/>
              </w:rPr>
              <w:t xml:space="preserve">      因台风（八级或八级以上）、暴雨、洪水等自然灾害后</w:t>
            </w:r>
            <w:r>
              <w:rPr>
                <w:sz w:val="21"/>
              </w:rPr>
              <w:t>12小时内或采购人根据实际情况设定的时间内必须完成现场抢修工作，费用另计。</w:t>
            </w:r>
          </w:p>
        </w:tc>
      </w:tr>
      <w:tr>
        <w:tc>
          <w:tcPr>
            <w:tcW w:type="dxa" w:w="2076"/>
          </w:tcPr>
          <w:p/>
        </w:tc>
        <w:tc>
          <w:tcPr>
            <w:tcW w:type="dxa" w:w="415"/>
          </w:tcPr>
          <w:p>
            <w:pPr>
              <w:pStyle w:val="null3"/>
            </w:pPr>
            <w:r>
              <w:rPr/>
              <w:t>9</w:t>
            </w:r>
          </w:p>
        </w:tc>
        <w:tc>
          <w:tcPr>
            <w:tcW w:type="dxa" w:w="5814"/>
          </w:tcPr>
          <w:p>
            <w:pPr>
              <w:pStyle w:val="null3"/>
              <w:ind w:left="420"/>
              <w:jc w:val="both"/>
              <w:outlineLvl w:val="2"/>
            </w:pPr>
            <w:r>
              <w:rPr>
                <w:sz w:val="21"/>
                <w:b/>
              </w:rPr>
              <w:t>3.2.12.节假日、大型活动</w:t>
            </w:r>
          </w:p>
          <w:p>
            <w:pPr>
              <w:pStyle w:val="null3"/>
              <w:ind w:firstLine="420"/>
              <w:jc w:val="both"/>
            </w:pPr>
            <w:r>
              <w:rPr>
                <w:sz w:val="21"/>
              </w:rPr>
              <w:t>节假日和大型活动期间的维护要特别重视，以确保设备的正常运行和交通管理的有效性。以下是一些应对策略：</w:t>
            </w:r>
          </w:p>
          <w:p>
            <w:pPr>
              <w:pStyle w:val="null3"/>
              <w:ind w:firstLine="420"/>
              <w:jc w:val="both"/>
            </w:pPr>
            <w:r>
              <w:rPr>
                <w:sz w:val="21"/>
              </w:rPr>
              <w:t>1、提前计划：在节假日和大型活动之前，制定详细的维护计划。考虑到人员和资源可能有限，确保维护团队能够充足且及时地进行设备维护和故障排除。</w:t>
            </w:r>
          </w:p>
          <w:p>
            <w:pPr>
              <w:pStyle w:val="null3"/>
              <w:ind w:firstLine="420"/>
              <w:jc w:val="both"/>
            </w:pPr>
            <w:r>
              <w:rPr>
                <w:sz w:val="21"/>
              </w:rPr>
              <w:t>2、人员调配：根据节假日和大型活动的交通流量和需求，调配足够数量的维护人员。确保设备维护团队具备足够的专业知识和技能，能够熟练处理设备故障和维护问题。</w:t>
            </w:r>
          </w:p>
          <w:p>
            <w:pPr>
              <w:pStyle w:val="null3"/>
              <w:ind w:firstLine="420"/>
              <w:jc w:val="both"/>
            </w:pPr>
            <w:r>
              <w:rPr>
                <w:sz w:val="21"/>
              </w:rPr>
              <w:t>3、值班机制：建立24小时值班机制，确保设备维护人员能够及时响应紧急情况和故障报警。设备维护人员应保持通讯畅通，随时可以接收到设备故障报警信息并采取相应措施。</w:t>
            </w:r>
          </w:p>
          <w:p>
            <w:pPr>
              <w:pStyle w:val="null3"/>
              <w:ind w:firstLine="420"/>
              <w:jc w:val="both"/>
            </w:pPr>
            <w:r>
              <w:rPr>
                <w:sz w:val="21"/>
              </w:rPr>
              <w:t>4、预防性维护：提前对设备进行全面检查和预防性维护，包括设备的外观、摄像头、传感器、通信设备等。发现问题及时修复，以避免在节假日和大型活动期间出现设备故障。</w:t>
            </w:r>
          </w:p>
          <w:p>
            <w:pPr>
              <w:pStyle w:val="null3"/>
              <w:ind w:firstLine="420"/>
              <w:jc w:val="both"/>
            </w:pPr>
            <w:r>
              <w:rPr>
                <w:sz w:val="21"/>
              </w:rPr>
              <w:t>5、协调合作：与相关部门、交通管理部门和活动组织者进行紧密合作，共同制定应对策略和应急预案。在需要疏导交通、设立临时交通规则等情况下，积极提供支持和协助。</w:t>
            </w:r>
          </w:p>
          <w:p>
            <w:pPr>
              <w:pStyle w:val="null3"/>
              <w:ind w:firstLine="420"/>
              <w:jc w:val="both"/>
            </w:pPr>
            <w:r>
              <w:rPr>
                <w:sz w:val="21"/>
              </w:rPr>
              <w:t>通过以上措施，可以确保节假日和大型活动期间智慧道路前端设备的维护和管理工作得到有效执行，提升道路交通的安全性和畅通性。同时，应对节假日和大型活动期间的维护需求，还需要根据具体情况灵活调整和补充措施，以确保设备的稳定运行。</w:t>
            </w:r>
          </w:p>
          <w:p>
            <w:pPr>
              <w:pStyle w:val="null3"/>
              <w:ind w:firstLine="420"/>
              <w:jc w:val="both"/>
            </w:pPr>
            <w:r>
              <w:rPr>
                <w:sz w:val="21"/>
              </w:rPr>
              <w:t>每逢节假日如元旦、春节、五一、国庆及市</w:t>
            </w:r>
            <w:r>
              <w:rPr>
                <w:sz w:val="21"/>
              </w:rPr>
              <w:t>(街道)政府要求的特别日子，采购人需在主要路口、路段另安装灯饰，中标人应积极配合。如需交给中标人安装的灯饰，造型方案要报采购人审批和同意，费用另计。</w:t>
            </w:r>
          </w:p>
          <w:p>
            <w:pPr>
              <w:pStyle w:val="null3"/>
              <w:ind w:left="420"/>
              <w:jc w:val="both"/>
              <w:outlineLvl w:val="2"/>
            </w:pPr>
            <w:r>
              <w:rPr>
                <w:sz w:val="21"/>
                <w:b/>
              </w:rPr>
              <w:t>3.2.13.缺陷和隐患处理</w:t>
            </w:r>
          </w:p>
          <w:p>
            <w:pPr>
              <w:pStyle w:val="null3"/>
              <w:ind w:firstLine="420"/>
              <w:jc w:val="both"/>
            </w:pPr>
            <w:r>
              <w:rPr>
                <w:sz w:val="21"/>
              </w:rPr>
              <w:t>运维中发现的对道路设施本身及周边环境出现影响安全、可靠和运行的情况，应纳入设施缺陷并进行治理。</w:t>
            </w:r>
          </w:p>
          <w:p>
            <w:pPr>
              <w:pStyle w:val="null3"/>
              <w:ind w:firstLine="420"/>
              <w:jc w:val="both"/>
            </w:pPr>
            <w:r>
              <w:rPr>
                <w:sz w:val="21"/>
              </w:rPr>
              <w:t>设施缺陷按其对人身、设施的危害或影响程度，可划分为一般缺陷、严重缺陷两个等级。</w:t>
            </w:r>
          </w:p>
          <w:p>
            <w:pPr>
              <w:pStyle w:val="null3"/>
              <w:ind w:firstLine="420"/>
              <w:jc w:val="both"/>
            </w:pPr>
            <w:r>
              <w:rPr>
                <w:sz w:val="21"/>
              </w:rPr>
              <w:t>设施缺陷应按照</w:t>
            </w:r>
            <w:r>
              <w:rPr>
                <w:sz w:val="21"/>
              </w:rPr>
              <w:t>“发现-上报-检修-验收-归档”的流程形成闭环管理。</w:t>
            </w:r>
          </w:p>
          <w:p>
            <w:pPr>
              <w:pStyle w:val="null3"/>
              <w:ind w:firstLine="420"/>
              <w:jc w:val="both"/>
            </w:pPr>
            <w:r>
              <w:rPr>
                <w:sz w:val="21"/>
              </w:rPr>
              <w:t>发现严重缺陷时应立即上报，并在确保安全的前提下采取临时防护措施。</w:t>
            </w:r>
          </w:p>
          <w:p>
            <w:pPr>
              <w:pStyle w:val="null3"/>
              <w:ind w:firstLine="420"/>
              <w:jc w:val="both"/>
            </w:pPr>
            <w:r>
              <w:rPr>
                <w:sz w:val="21"/>
              </w:rPr>
              <w:t>各类缺陷自发现至消除时间应符合以下要求：</w:t>
            </w:r>
          </w:p>
          <w:p>
            <w:pPr>
              <w:pStyle w:val="null3"/>
              <w:ind w:firstLine="420"/>
              <w:jc w:val="both"/>
            </w:pPr>
            <w:r>
              <w:rPr>
                <w:sz w:val="21"/>
              </w:rPr>
              <w:t>a)严重缺陷应在48h内消除；</w:t>
            </w:r>
          </w:p>
          <w:p>
            <w:pPr>
              <w:pStyle w:val="null3"/>
              <w:ind w:firstLine="420"/>
              <w:jc w:val="both"/>
            </w:pPr>
            <w:r>
              <w:rPr>
                <w:sz w:val="21"/>
              </w:rPr>
              <w:t>b)一般缺陷可在保证安全的前提下，结合检修计划消除；</w:t>
            </w:r>
          </w:p>
          <w:p>
            <w:pPr>
              <w:pStyle w:val="null3"/>
              <w:ind w:firstLine="420"/>
              <w:jc w:val="both"/>
            </w:pPr>
            <w:r>
              <w:rPr>
                <w:sz w:val="21"/>
              </w:rPr>
              <w:t>c)因现场环境、手续、资金投入等方面原因不能在一年内消除的一般缺陷，应报送管理部门申请纳入技术改造进行治理。</w:t>
            </w:r>
          </w:p>
          <w:p>
            <w:pPr>
              <w:pStyle w:val="null3"/>
              <w:ind w:firstLine="420"/>
              <w:jc w:val="both"/>
            </w:pPr>
            <w:r>
              <w:rPr>
                <w:sz w:val="21"/>
              </w:rPr>
              <w:t>超出消除缺陷周期仍未消除的设施严重缺陷，应纳入安全生产事故隐患进行防护和治理。</w:t>
            </w:r>
          </w:p>
          <w:p>
            <w:pPr>
              <w:pStyle w:val="null3"/>
              <w:ind w:firstLine="420"/>
              <w:jc w:val="both"/>
            </w:pPr>
            <w:r>
              <w:rPr>
                <w:sz w:val="21"/>
              </w:rPr>
              <w:t>道路设施事故隐患根据可能造成的事故后果可分为重大事故隐患和一般事故隐患两级。</w:t>
            </w:r>
          </w:p>
          <w:p>
            <w:pPr>
              <w:pStyle w:val="null3"/>
              <w:ind w:firstLine="420"/>
              <w:jc w:val="both"/>
            </w:pPr>
            <w:r>
              <w:rPr>
                <w:sz w:val="21"/>
              </w:rPr>
              <w:t>运维单位应当建立健全事故隐患排查治理和建档监控等制度，并应逐级建立并落实隐患排查治理和监控责任制。</w:t>
            </w:r>
          </w:p>
          <w:p>
            <w:pPr>
              <w:pStyle w:val="null3"/>
              <w:ind w:firstLine="420"/>
              <w:jc w:val="both"/>
            </w:pPr>
            <w:r>
              <w:rPr>
                <w:sz w:val="21"/>
              </w:rPr>
              <w:t>运维单位应定期组织排查设施安全隐患，对排查出的事故隐患，应当按照事故隐患的等级建立信息档案，并应按照职责分工实施监控治理。</w:t>
            </w:r>
          </w:p>
          <w:p>
            <w:pPr>
              <w:pStyle w:val="null3"/>
              <w:ind w:firstLine="420"/>
              <w:jc w:val="both"/>
            </w:pPr>
            <w:r>
              <w:rPr>
                <w:sz w:val="21"/>
              </w:rPr>
              <w:t>事故隐患排查治理应按照</w:t>
            </w:r>
            <w:r>
              <w:rPr>
                <w:sz w:val="21"/>
              </w:rPr>
              <w:t>“排查-评估-上报-治理-验收-注销”的流程形成闭环管理。</w:t>
            </w:r>
          </w:p>
          <w:p>
            <w:pPr>
              <w:pStyle w:val="null3"/>
              <w:ind w:firstLine="420"/>
              <w:jc w:val="both"/>
            </w:pPr>
            <w:r>
              <w:rPr>
                <w:sz w:val="21"/>
              </w:rPr>
              <w:t>设施带缺陷或隐患运行期间，运维人员应加强监视，采取相应应急措施。</w:t>
            </w:r>
          </w:p>
          <w:p>
            <w:pPr>
              <w:pStyle w:val="null3"/>
              <w:ind w:firstLine="420"/>
              <w:jc w:val="both"/>
            </w:pPr>
            <w:r>
              <w:rPr>
                <w:sz w:val="21"/>
              </w:rPr>
              <w:t>道路照明设施缺陷及隐患处置记录参见附件。</w:t>
            </w:r>
          </w:p>
          <w:p>
            <w:pPr>
              <w:pStyle w:val="null3"/>
              <w:ind w:left="420"/>
              <w:jc w:val="both"/>
              <w:outlineLvl w:val="2"/>
            </w:pPr>
            <w:r>
              <w:rPr>
                <w:sz w:val="21"/>
                <w:b/>
              </w:rPr>
              <w:t>3.2.14.设施保护</w:t>
            </w:r>
          </w:p>
          <w:p>
            <w:pPr>
              <w:pStyle w:val="null3"/>
              <w:ind w:firstLine="420"/>
              <w:jc w:val="both"/>
            </w:pPr>
            <w:r>
              <w:rPr>
                <w:sz w:val="21"/>
              </w:rPr>
              <w:t>运维单位应加强设施运行环境巡查，及时掌握环境动态情况，防止各类外力破坏。</w:t>
            </w:r>
          </w:p>
          <w:p>
            <w:pPr>
              <w:pStyle w:val="null3"/>
              <w:ind w:firstLine="420"/>
              <w:jc w:val="both"/>
            </w:pPr>
            <w:r>
              <w:rPr>
                <w:sz w:val="21"/>
              </w:rPr>
              <w:t>当线路和设施受到外力破坏、被盗时，应保护现场、留取原始资料、及时向主管部门报告；现场人员应进行相应紧急处置并进行安全防护。</w:t>
            </w:r>
          </w:p>
          <w:p>
            <w:pPr>
              <w:pStyle w:val="null3"/>
              <w:ind w:firstLine="420"/>
              <w:jc w:val="both"/>
            </w:pPr>
            <w:r>
              <w:rPr>
                <w:sz w:val="21"/>
              </w:rPr>
              <w:t>因自然生长而不符合安全距离要求或者遮挡功能照明光线的树木，运维单位应及时汇总上报主管部门，并应由主管部门通知有关单位及时修剪；如存在安全风险，应先做好现场安全防护或先行处理，同时通报相关管理部门。</w:t>
            </w:r>
          </w:p>
          <w:p>
            <w:pPr>
              <w:pStyle w:val="null3"/>
              <w:ind w:firstLine="420"/>
              <w:jc w:val="both"/>
            </w:pPr>
            <w:r>
              <w:rPr>
                <w:sz w:val="21"/>
              </w:rPr>
              <w:t>因施工挖掘暴露的电缆，应由维护人员在现场监护，并告知施工人员有关注意事项和保护措施。</w:t>
            </w:r>
          </w:p>
          <w:p>
            <w:pPr>
              <w:pStyle w:val="null3"/>
              <w:ind w:firstLine="420"/>
              <w:jc w:val="both"/>
            </w:pPr>
            <w:r>
              <w:rPr>
                <w:sz w:val="21"/>
              </w:rPr>
              <w:t>运维单位应定期开展设施保护巡查，并应及时评估和消除影响。</w:t>
            </w:r>
          </w:p>
          <w:p>
            <w:pPr>
              <w:pStyle w:val="null3"/>
              <w:ind w:left="420"/>
              <w:jc w:val="both"/>
              <w:outlineLvl w:val="1"/>
            </w:pPr>
            <w:r>
              <w:rPr>
                <w:sz w:val="21"/>
                <w:b/>
              </w:rPr>
              <w:t>3.3.安全生产管理</w:t>
            </w:r>
          </w:p>
          <w:p>
            <w:pPr>
              <w:pStyle w:val="null3"/>
              <w:ind w:firstLine="420"/>
              <w:jc w:val="both"/>
            </w:pPr>
            <w:r>
              <w:rPr>
                <w:sz w:val="21"/>
              </w:rPr>
              <w:t>为保证车辆、行人安全和施工正常进行，应按有关国家标准规定设置路栏、锥形交通路标、导向标等告示性和警告性标志。</w:t>
            </w:r>
          </w:p>
          <w:p>
            <w:pPr>
              <w:pStyle w:val="null3"/>
              <w:ind w:firstLine="420"/>
              <w:jc w:val="both"/>
            </w:pPr>
            <w:r>
              <w:rPr>
                <w:sz w:val="21"/>
              </w:rPr>
              <w:t>1、在施工作业、落石、塌方等危险路段两端或周围应设置路栏。</w:t>
            </w:r>
          </w:p>
          <w:p>
            <w:pPr>
              <w:pStyle w:val="null3"/>
              <w:ind w:firstLine="420"/>
              <w:jc w:val="both"/>
            </w:pPr>
            <w:r>
              <w:rPr>
                <w:sz w:val="21"/>
              </w:rPr>
              <w:t>2、在指引车辆绕过的施工、维修作业区或其他障碍物路段，应设置锥形交通路标。</w:t>
            </w:r>
          </w:p>
          <w:p>
            <w:pPr>
              <w:pStyle w:val="null3"/>
              <w:ind w:firstLine="420"/>
              <w:jc w:val="both"/>
            </w:pPr>
            <w:r>
              <w:rPr>
                <w:sz w:val="21"/>
              </w:rPr>
              <w:t>3、在路线方向发生明显变化处，应设置指示性导向标:在施工或维修作业区两端应设置警告性导向标。</w:t>
            </w:r>
          </w:p>
          <w:p>
            <w:pPr>
              <w:pStyle w:val="null3"/>
              <w:ind w:firstLine="420"/>
              <w:jc w:val="both"/>
            </w:pPr>
            <w:r>
              <w:rPr>
                <w:sz w:val="21"/>
              </w:rPr>
              <w:t>4、进入维护作业现场内的人员，必须穿戴具有反光功能的安全标志服和防护帽</w:t>
            </w:r>
          </w:p>
          <w:p>
            <w:pPr>
              <w:pStyle w:val="null3"/>
              <w:ind w:firstLine="420"/>
              <w:jc w:val="both"/>
            </w:pPr>
            <w:r>
              <w:rPr>
                <w:sz w:val="21"/>
              </w:rPr>
              <w:t>（</w:t>
            </w:r>
            <w:r>
              <w:rPr>
                <w:sz w:val="21"/>
              </w:rPr>
              <w:t>2）路栏、锥形交通路标和导向标，有移动式临时性设施，也有固定的永久性设施，应分别采取不同的养护和管理方法。</w:t>
            </w:r>
          </w:p>
          <w:p>
            <w:pPr>
              <w:pStyle w:val="null3"/>
              <w:ind w:left="420"/>
              <w:jc w:val="both"/>
              <w:outlineLvl w:val="1"/>
            </w:pPr>
            <w:r>
              <w:rPr>
                <w:sz w:val="21"/>
                <w:b/>
              </w:rPr>
              <w:t>3.4.在运维期间中标人对以下情况免责</w:t>
            </w:r>
          </w:p>
          <w:p>
            <w:pPr>
              <w:pStyle w:val="null3"/>
              <w:ind w:firstLine="420"/>
              <w:jc w:val="both"/>
            </w:pPr>
            <w:r>
              <w:rPr>
                <w:sz w:val="21"/>
              </w:rPr>
              <w:t>1）不可抗力造成的业务停止。</w:t>
            </w:r>
          </w:p>
          <w:p>
            <w:pPr>
              <w:pStyle w:val="null3"/>
              <w:ind w:firstLine="420"/>
              <w:jc w:val="both"/>
            </w:pPr>
            <w:r>
              <w:rPr>
                <w:sz w:val="21"/>
              </w:rPr>
              <w:t>2）合同约定的修复周期内造成的业务停止。</w:t>
            </w:r>
          </w:p>
          <w:p>
            <w:pPr>
              <w:pStyle w:val="null3"/>
              <w:ind w:firstLine="420"/>
              <w:jc w:val="both"/>
            </w:pPr>
            <w:r>
              <w:rPr>
                <w:sz w:val="21"/>
              </w:rPr>
              <w:t>3）故障发生到故障正常发现的时间造成的业务停止。</w:t>
            </w:r>
          </w:p>
          <w:p>
            <w:pPr>
              <w:pStyle w:val="null3"/>
              <w:ind w:firstLine="420"/>
              <w:jc w:val="both"/>
            </w:pPr>
            <w:r>
              <w:rPr>
                <w:sz w:val="21"/>
              </w:rPr>
              <w:t>4）因为市政停电造成的设备停止运行。</w:t>
            </w:r>
          </w:p>
          <w:p>
            <w:pPr>
              <w:pStyle w:val="null3"/>
              <w:ind w:firstLine="420"/>
              <w:jc w:val="both"/>
            </w:pPr>
            <w:r>
              <w:rPr>
                <w:sz w:val="21"/>
              </w:rPr>
              <w:t>5）因道路施工造成的管沟破损、外场设备被盗抢、人为破坏等第三方原因造成的设备损毁，在采购人书面确认维修方案及正常修复之前造成的业务停止（双方签字的第三方故障报告作为免责的依据）。</w:t>
            </w:r>
          </w:p>
          <w:p>
            <w:pPr>
              <w:pStyle w:val="null3"/>
              <w:ind w:left="420"/>
              <w:jc w:val="both"/>
              <w:outlineLvl w:val="1"/>
            </w:pPr>
            <w:r>
              <w:rPr>
                <w:sz w:val="21"/>
                <w:b/>
              </w:rPr>
              <w:t>3.5.服务便利性</w:t>
            </w:r>
          </w:p>
          <w:p>
            <w:pPr>
              <w:pStyle w:val="null3"/>
              <w:ind w:firstLine="420"/>
              <w:jc w:val="both"/>
            </w:pPr>
            <w:r>
              <w:rPr>
                <w:sz w:val="21"/>
              </w:rPr>
              <w:t>1、建立24小时紧急响应机制：建立紧急故障响应中心或热线电话，在设备发生紧急故障时能够随时响应和派遣维修人员。同时，配备专业的应急维修团队，能够在最短时间内到达现场进行处理，提高服务的便利性和紧急性。</w:t>
            </w:r>
          </w:p>
          <w:p>
            <w:pPr>
              <w:pStyle w:val="null3"/>
              <w:ind w:firstLine="420"/>
              <w:jc w:val="both"/>
            </w:pPr>
            <w:r>
              <w:rPr>
                <w:sz w:val="21"/>
              </w:rPr>
              <w:t>2、优化备品备件流程：中标人应在新区设立备品备件仓库，优化更换备品备件流程，减少等待时间，提升服务效率。</w:t>
            </w:r>
          </w:p>
          <w:p>
            <w:pPr>
              <w:pStyle w:val="null3"/>
              <w:ind w:firstLine="420"/>
              <w:jc w:val="both"/>
            </w:pPr>
            <w:r>
              <w:rPr>
                <w:sz w:val="21"/>
              </w:rPr>
              <w:t>3、多样化养护服务方式：中标人需要具有长期保养的能力，除了提供传统远程维护方式，还可采取提供驻点服务方式减少人员出动和响应时间，提高服务的便利性和效果。</w:t>
            </w:r>
          </w:p>
          <w:p>
            <w:pPr>
              <w:pStyle w:val="null3"/>
              <w:ind w:firstLine="420"/>
              <w:jc w:val="both"/>
            </w:pPr>
            <w:r>
              <w:rPr>
                <w:sz w:val="21"/>
              </w:rPr>
              <w:t>4、定期开展用户满意度调查：定期向用户或设备管理者进行满意度调查，了解其对前端养护服务的评价和需求。根据反馈结果进行改进和优化，不断提升服务质量。</w:t>
            </w:r>
          </w:p>
          <w:p>
            <w:pPr>
              <w:pStyle w:val="null3"/>
              <w:ind w:left="420"/>
              <w:jc w:val="both"/>
              <w:outlineLvl w:val="1"/>
            </w:pPr>
            <w:r>
              <w:rPr>
                <w:sz w:val="21"/>
                <w:b/>
              </w:rPr>
              <w:t>3.6.详细维护内容清单</w:t>
            </w:r>
          </w:p>
          <w:p>
            <w:pPr>
              <w:pStyle w:val="null3"/>
              <w:ind w:firstLine="420"/>
              <w:jc w:val="both"/>
            </w:pPr>
            <w:r>
              <w:rPr>
                <w:sz w:val="21"/>
              </w:rPr>
              <w:t>详见项目维护清单</w:t>
            </w:r>
          </w:p>
          <w:p>
            <w:pPr>
              <w:pStyle w:val="null3"/>
              <w:ind w:left="420"/>
              <w:jc w:val="both"/>
              <w:outlineLvl w:val="1"/>
            </w:pPr>
            <w:r>
              <w:rPr>
                <w:sz w:val="21"/>
                <w:b/>
              </w:rPr>
              <w:t>3.7.备品备件管理</w:t>
            </w:r>
          </w:p>
          <w:p>
            <w:pPr>
              <w:pStyle w:val="null3"/>
              <w:ind w:firstLine="420"/>
              <w:jc w:val="both"/>
            </w:pPr>
            <w:r>
              <w:rPr>
                <w:sz w:val="21"/>
              </w:rPr>
              <w:t>要求中标人做好本项目备件库存工作，除大型杆件、公交站和电箱外的其余前端监控、传感、感知设备，包括前端摄像机、公共广播、紧急呼叫、井盖监测器、网络交换机及相关配套配件等，库存配件种类、技术参数及数量详见：</w:t>
            </w:r>
            <w:r>
              <w:rPr>
                <w:sz w:val="21"/>
                <w:b/>
              </w:rPr>
              <w:t>备品备件清单</w:t>
            </w:r>
            <w:r>
              <w:rPr>
                <w:sz w:val="21"/>
              </w:rPr>
              <w:t>。</w:t>
            </w:r>
          </w:p>
          <w:p>
            <w:pPr>
              <w:pStyle w:val="null3"/>
              <w:ind w:left="420"/>
              <w:jc w:val="both"/>
              <w:outlineLvl w:val="2"/>
            </w:pPr>
            <w:r>
              <w:rPr>
                <w:sz w:val="21"/>
                <w:b/>
              </w:rPr>
              <w:t>3.7.1.库存管理：</w:t>
            </w:r>
          </w:p>
          <w:p>
            <w:pPr>
              <w:pStyle w:val="null3"/>
              <w:ind w:firstLine="420"/>
              <w:jc w:val="both"/>
            </w:pPr>
            <w:r>
              <w:rPr>
                <w:sz w:val="21"/>
              </w:rPr>
              <w:t>建立备品备件的库存清单，包括名称、型号、规格、数量等信息。</w:t>
            </w:r>
          </w:p>
          <w:p>
            <w:pPr>
              <w:pStyle w:val="null3"/>
              <w:ind w:firstLine="420"/>
              <w:jc w:val="both"/>
            </w:pPr>
            <w:r>
              <w:rPr>
                <w:sz w:val="21"/>
              </w:rPr>
              <w:t>定期进行库存盘点，确保库存数量准确，并及时更新清单。</w:t>
            </w:r>
          </w:p>
          <w:p>
            <w:pPr>
              <w:pStyle w:val="null3"/>
              <w:ind w:firstLine="420"/>
              <w:jc w:val="both"/>
            </w:pPr>
            <w:r>
              <w:rPr>
                <w:sz w:val="21"/>
              </w:rPr>
              <w:t>根据设备的使用情况和维修需求，合理制定备件的最低库存量和补充策略。</w:t>
            </w:r>
          </w:p>
          <w:p>
            <w:pPr>
              <w:pStyle w:val="null3"/>
              <w:ind w:left="420"/>
              <w:jc w:val="both"/>
              <w:outlineLvl w:val="2"/>
            </w:pPr>
            <w:r>
              <w:rPr>
                <w:sz w:val="21"/>
                <w:b/>
              </w:rPr>
              <w:t>3.7.2.采购流程：</w:t>
            </w:r>
          </w:p>
          <w:p>
            <w:pPr>
              <w:pStyle w:val="null3"/>
              <w:ind w:firstLine="420"/>
              <w:jc w:val="both"/>
            </w:pPr>
            <w:r>
              <w:rPr>
                <w:sz w:val="21"/>
              </w:rPr>
              <w:t>根据设备的维修需求和备件的消耗情况，制定采购计划，提交采购人。采购人通过备品采购流程后，中标人与供应商采购设备，设备进仓库入入库流程。备品备件采购费用不包含在智慧道路前端设备运维项目总费用中，由采购人负责费用。</w:t>
            </w:r>
          </w:p>
          <w:p>
            <w:pPr>
              <w:pStyle w:val="null3"/>
              <w:ind w:left="420"/>
              <w:jc w:val="both"/>
              <w:outlineLvl w:val="2"/>
            </w:pPr>
            <w:r>
              <w:rPr>
                <w:sz w:val="21"/>
                <w:b/>
              </w:rPr>
              <w:t>3.7.3.备件存储与保管：</w:t>
            </w:r>
          </w:p>
          <w:p>
            <w:pPr>
              <w:pStyle w:val="null3"/>
              <w:ind w:firstLine="420"/>
              <w:jc w:val="both"/>
            </w:pPr>
            <w:r>
              <w:rPr>
                <w:sz w:val="21"/>
              </w:rPr>
              <w:t>为备品备件配置专门的存储区域或仓库，保证其安全、整洁、防潮、防尘。</w:t>
            </w:r>
          </w:p>
          <w:p>
            <w:pPr>
              <w:pStyle w:val="null3"/>
              <w:ind w:firstLine="420"/>
              <w:jc w:val="both"/>
            </w:pPr>
            <w:r>
              <w:rPr>
                <w:sz w:val="21"/>
              </w:rPr>
              <w:t>对备件进行分类、标记和编号，便于库存管理和查找。</w:t>
            </w:r>
          </w:p>
          <w:p>
            <w:pPr>
              <w:pStyle w:val="null3"/>
              <w:ind w:firstLine="420"/>
              <w:jc w:val="both"/>
            </w:pPr>
            <w:r>
              <w:rPr>
                <w:sz w:val="21"/>
              </w:rPr>
              <w:t>注意备件的有效期限，避免过期备件的使用。</w:t>
            </w:r>
          </w:p>
          <w:p>
            <w:pPr>
              <w:pStyle w:val="null3"/>
              <w:ind w:left="420"/>
              <w:jc w:val="both"/>
              <w:outlineLvl w:val="2"/>
            </w:pPr>
            <w:r>
              <w:rPr>
                <w:sz w:val="21"/>
                <w:b/>
              </w:rPr>
              <w:t>3.7.4.备件出库与归还：</w:t>
            </w:r>
          </w:p>
          <w:p>
            <w:pPr>
              <w:pStyle w:val="null3"/>
              <w:ind w:firstLine="420"/>
              <w:jc w:val="both"/>
            </w:pPr>
            <w:r>
              <w:rPr>
                <w:sz w:val="21"/>
              </w:rPr>
              <w:t>设立备品备件领用制度，确保备件的合理使用和跟踪。</w:t>
            </w:r>
          </w:p>
          <w:p>
            <w:pPr>
              <w:pStyle w:val="null3"/>
              <w:ind w:firstLine="420"/>
              <w:jc w:val="both"/>
            </w:pPr>
            <w:r>
              <w:rPr>
                <w:sz w:val="21"/>
              </w:rPr>
              <w:t>在备件出库时填写相应的出库单据，记录领用人员、数量、用途等信息。</w:t>
            </w:r>
          </w:p>
          <w:p>
            <w:pPr>
              <w:pStyle w:val="null3"/>
              <w:ind w:firstLine="420"/>
              <w:jc w:val="both"/>
            </w:pPr>
            <w:r>
              <w:rPr>
                <w:sz w:val="21"/>
              </w:rPr>
              <w:t>定期检查已领用备件的使用情况，鼓励及时归还未使用的备件。</w:t>
            </w:r>
          </w:p>
          <w:p>
            <w:pPr>
              <w:pStyle w:val="null3"/>
              <w:ind w:left="420"/>
              <w:jc w:val="both"/>
              <w:outlineLvl w:val="2"/>
            </w:pPr>
            <w:r>
              <w:rPr>
                <w:sz w:val="21"/>
                <w:b/>
              </w:rPr>
              <w:t>3.7.5.培训与知识共享：</w:t>
            </w:r>
          </w:p>
          <w:p>
            <w:pPr>
              <w:pStyle w:val="null3"/>
              <w:ind w:firstLine="420"/>
              <w:jc w:val="both"/>
            </w:pPr>
            <w:r>
              <w:rPr>
                <w:sz w:val="21"/>
              </w:rPr>
              <w:t>对养护人员进行备件管理的培训，提高其备件管理的专业能力。</w:t>
            </w:r>
          </w:p>
          <w:p>
            <w:pPr>
              <w:pStyle w:val="null3"/>
              <w:ind w:firstLine="420"/>
              <w:jc w:val="both"/>
            </w:pPr>
            <w:r>
              <w:rPr>
                <w:sz w:val="21"/>
              </w:rPr>
              <w:t>建立备件管理的知识共享平台，促进备件管理经验的交流与分享。</w:t>
            </w:r>
          </w:p>
          <w:p>
            <w:pPr>
              <w:pStyle w:val="null3"/>
              <w:ind w:left="420"/>
              <w:jc w:val="both"/>
              <w:outlineLvl w:val="1"/>
            </w:pPr>
            <w:r>
              <w:rPr>
                <w:sz w:val="21"/>
                <w:b/>
              </w:rPr>
              <w:t>3.8.</w:t>
            </w:r>
            <w:r>
              <w:rPr>
                <w:sz w:val="32"/>
                <w:b/>
              </w:rPr>
              <w:t xml:space="preserve"> </w:t>
            </w:r>
            <w:r>
              <w:rPr>
                <w:sz w:val="21"/>
                <w:b/>
              </w:rPr>
              <w:t>人员及机械设备要求</w:t>
            </w:r>
          </w:p>
          <w:p>
            <w:pPr>
              <w:pStyle w:val="null3"/>
              <w:ind w:firstLine="420"/>
              <w:jc w:val="both"/>
            </w:pPr>
            <w:r>
              <w:rPr>
                <w:sz w:val="21"/>
              </w:rPr>
              <w:t>1、中标人需承诺中标后投入项目管理人员不少于2人，需包含1名项目负责人，且具备人社部门颁发的机电类二级建造师证书及以上或中级职称及以上，负责项目全面管理工作；1名技术负责人，且</w:t>
            </w:r>
            <w:r>
              <w:rPr>
                <w:sz w:val="21"/>
              </w:rPr>
              <w:t>具备人社部门颁发的信息系统项目管理中级职称及以上，负责项目整体技术工作管理。</w:t>
            </w:r>
          </w:p>
          <w:p>
            <w:pPr>
              <w:pStyle w:val="null3"/>
              <w:spacing w:before="105" w:after="105"/>
              <w:ind w:firstLine="420"/>
              <w:jc w:val="left"/>
            </w:pPr>
            <w:r>
              <w:rPr>
                <w:sz w:val="21"/>
              </w:rPr>
              <w:t>2、中标人需承诺中标后投入运维技术人员不少于</w:t>
            </w:r>
            <w:r>
              <w:rPr>
                <w:sz w:val="21"/>
              </w:rPr>
              <w:t>1</w:t>
            </w:r>
            <w:r>
              <w:rPr>
                <w:sz w:val="21"/>
              </w:rPr>
              <w:t>0个，需至少包括：</w:t>
            </w:r>
            <w:r>
              <w:rPr>
                <w:sz w:val="21"/>
              </w:rPr>
              <w:t>1-2</w:t>
            </w:r>
            <w:r>
              <w:rPr>
                <w:sz w:val="21"/>
              </w:rPr>
              <w:t>名持有特种作业操作证（高处作业</w:t>
            </w:r>
            <w:r>
              <w:rPr>
                <w:sz w:val="21"/>
              </w:rPr>
              <w:t>/高空作业）的技术人员，3</w:t>
            </w:r>
            <w:r>
              <w:rPr>
                <w:sz w:val="21"/>
              </w:rPr>
              <w:t>-6</w:t>
            </w:r>
            <w:r>
              <w:rPr>
                <w:sz w:val="21"/>
              </w:rPr>
              <w:t>名持有特种作业操作证（电工）</w:t>
            </w:r>
            <w:r>
              <w:rPr>
                <w:sz w:val="21"/>
              </w:rPr>
              <w:t>或电工进网作业许可证的技术人员，</w:t>
            </w:r>
            <w:r>
              <w:rPr>
                <w:sz w:val="21"/>
              </w:rPr>
              <w:t>1</w:t>
            </w:r>
            <w:r>
              <w:rPr>
                <w:sz w:val="21"/>
              </w:rPr>
              <w:t>-2</w:t>
            </w:r>
            <w:r>
              <w:rPr>
                <w:sz w:val="21"/>
              </w:rPr>
              <w:t>名持有中级（或以上）系统集成管理项目工程师证的技术人员，</w:t>
            </w:r>
            <w:r>
              <w:rPr>
                <w:sz w:val="21"/>
              </w:rPr>
              <w:t>1</w:t>
            </w:r>
            <w:r>
              <w:rPr>
                <w:sz w:val="21"/>
              </w:rPr>
              <w:t>-2</w:t>
            </w:r>
            <w:r>
              <w:rPr>
                <w:sz w:val="21"/>
              </w:rPr>
              <w:t>持有中级（或以上）机电工程师证的技术人员。</w:t>
            </w:r>
          </w:p>
          <w:p>
            <w:pPr>
              <w:pStyle w:val="null3"/>
              <w:ind w:firstLine="420"/>
              <w:jc w:val="both"/>
            </w:pPr>
            <w:r>
              <w:rPr>
                <w:sz w:val="21"/>
              </w:rPr>
              <w:t>3、中标人需承诺中标后至少配置1辆高空作业车、1辆巡查车。</w:t>
            </w:r>
          </w:p>
          <w:p>
            <w:pPr>
              <w:pStyle w:val="null3"/>
              <w:ind w:firstLine="420"/>
              <w:jc w:val="both"/>
            </w:pPr>
            <w:r>
              <w:rPr>
                <w:sz w:val="21"/>
              </w:rPr>
              <w:t>注：以上人员和机械设备需提供《承诺函》，格式自拟。中标人必须按采购文件要求及投标承诺配备充足的设备及聘请足额人员专用于本项目。服务期间，中标人必须因作业量的增加而相应增加作业人员、作业车辆和作业机械、工具等以满足作业的需要，确保作业质量。</w:t>
            </w:r>
          </w:p>
          <w:p>
            <w:pPr>
              <w:pStyle w:val="null3"/>
              <w:ind w:firstLine="420"/>
              <w:jc w:val="both"/>
              <w:outlineLvl w:val="1"/>
            </w:pPr>
            <w:r>
              <w:rPr>
                <w:sz w:val="21"/>
                <w:b/>
              </w:rPr>
              <w:t>3.9.运维档案管理</w:t>
            </w:r>
          </w:p>
          <w:p>
            <w:pPr>
              <w:pStyle w:val="null3"/>
              <w:ind w:firstLine="420"/>
              <w:jc w:val="both"/>
            </w:pPr>
            <w:r>
              <w:rPr>
                <w:sz w:val="21"/>
              </w:rPr>
              <w:t>档案管理是对设备养护过程和信息进行记录、整理和管理的一项重要工作。中标人应加强台账资料管理工作。台账资料应及时更新，装订成册，并推行信息化管理，确保数据及时更新、真实可靠。主要包括：：</w:t>
            </w:r>
          </w:p>
          <w:p>
            <w:pPr>
              <w:pStyle w:val="null3"/>
              <w:ind w:left="420"/>
              <w:jc w:val="both"/>
              <w:outlineLvl w:val="2"/>
            </w:pPr>
            <w:r>
              <w:rPr>
                <w:sz w:val="21"/>
                <w:b/>
              </w:rPr>
              <w:t>3.9.1.档案建立：</w:t>
            </w:r>
          </w:p>
          <w:p>
            <w:pPr>
              <w:pStyle w:val="null3"/>
              <w:ind w:firstLine="420"/>
              <w:jc w:val="both"/>
            </w:pPr>
            <w:r>
              <w:rPr>
                <w:sz w:val="21"/>
              </w:rPr>
              <w:t>为每个智慧道路设备建立相应的档案，包括设备基本信息、技术参数、安装位置、使用说明书等。档案可以以电子形式存储，也可以以纸质形式存档。</w:t>
            </w:r>
          </w:p>
          <w:p>
            <w:pPr>
              <w:pStyle w:val="null3"/>
              <w:ind w:left="420"/>
              <w:jc w:val="both"/>
              <w:outlineLvl w:val="2"/>
            </w:pPr>
            <w:r>
              <w:rPr>
                <w:sz w:val="21"/>
                <w:b/>
              </w:rPr>
              <w:t>3.9.2.养护任务记录：</w:t>
            </w:r>
          </w:p>
          <w:p>
            <w:pPr>
              <w:pStyle w:val="null3"/>
              <w:ind w:firstLine="420"/>
              <w:jc w:val="both"/>
            </w:pPr>
            <w:r>
              <w:rPr>
                <w:sz w:val="21"/>
              </w:rPr>
              <w:t>记录每次养护任务的具体内容和细节，包括日期、养护人员、养护内容、维修记录等。可以采用文档或表格的形式来记录，确保养护任务的全面性和可追溯性。</w:t>
            </w:r>
          </w:p>
          <w:p>
            <w:pPr>
              <w:pStyle w:val="null3"/>
              <w:ind w:left="420"/>
              <w:jc w:val="both"/>
              <w:outlineLvl w:val="2"/>
            </w:pPr>
            <w:r>
              <w:rPr>
                <w:sz w:val="21"/>
                <w:b/>
              </w:rPr>
              <w:t>3.9.3.故障记录和处理：</w:t>
            </w:r>
          </w:p>
          <w:p>
            <w:pPr>
              <w:pStyle w:val="null3"/>
              <w:ind w:firstLine="420"/>
              <w:jc w:val="both"/>
            </w:pPr>
            <w:r>
              <w:rPr>
                <w:sz w:val="21"/>
              </w:rPr>
              <w:t>对设备发生的故障进行详细记录，包括故障描述、故障原因分析、处理过程等。记录中可以包括图片、视频等多媒体资料，以便于后续参考和分析。</w:t>
            </w:r>
          </w:p>
          <w:p>
            <w:pPr>
              <w:pStyle w:val="null3"/>
              <w:ind w:left="420"/>
              <w:jc w:val="both"/>
              <w:outlineLvl w:val="2"/>
            </w:pPr>
            <w:r>
              <w:rPr>
                <w:sz w:val="21"/>
                <w:b/>
              </w:rPr>
              <w:t>3.9.4.养护计划和周期管理：</w:t>
            </w:r>
          </w:p>
          <w:p>
            <w:pPr>
              <w:pStyle w:val="null3"/>
              <w:ind w:firstLine="420"/>
              <w:jc w:val="both"/>
            </w:pPr>
            <w:r>
              <w:rPr>
                <w:sz w:val="21"/>
              </w:rPr>
              <w:t>制定养护计划，并在档案中记录计划的执行情况。可以设立养护周期提醒机制，以确保养护任务按时进行，并定期进行设备巡检和维护。</w:t>
            </w:r>
          </w:p>
          <w:p>
            <w:pPr>
              <w:pStyle w:val="null3"/>
              <w:ind w:left="420"/>
              <w:jc w:val="both"/>
              <w:outlineLvl w:val="2"/>
            </w:pPr>
            <w:r>
              <w:rPr>
                <w:sz w:val="21"/>
                <w:b/>
              </w:rPr>
              <w:t>3.9.5.维修和更换记录：</w:t>
            </w:r>
          </w:p>
          <w:p>
            <w:pPr>
              <w:pStyle w:val="null3"/>
              <w:ind w:firstLine="420"/>
              <w:jc w:val="both"/>
            </w:pPr>
            <w:r>
              <w:rPr>
                <w:sz w:val="21"/>
              </w:rPr>
              <w:t>记录设备的维修和更换情况，包括更换的部件、更换原因、更换时间等。这些记录有助于分析设备的使用寿命和维护成本，并为后续维修提供参考依据。</w:t>
            </w:r>
          </w:p>
          <w:p>
            <w:pPr>
              <w:pStyle w:val="null3"/>
              <w:ind w:left="420"/>
              <w:jc w:val="both"/>
              <w:outlineLvl w:val="2"/>
            </w:pPr>
            <w:r>
              <w:rPr>
                <w:sz w:val="21"/>
                <w:b/>
              </w:rPr>
              <w:t>3.9.6.数据备份和保护：</w:t>
            </w:r>
          </w:p>
          <w:p>
            <w:pPr>
              <w:pStyle w:val="null3"/>
              <w:ind w:firstLine="420"/>
              <w:jc w:val="both"/>
            </w:pPr>
            <w:r>
              <w:rPr>
                <w:sz w:val="21"/>
              </w:rPr>
              <w:t>对养护档案进行定期备份，确保数据的安全性和可恢复性。同时，对档案进行权限管理，只授权特定人员访问和修改档案信息，以确保数据的完整性和机密性。</w:t>
            </w:r>
          </w:p>
          <w:p>
            <w:pPr>
              <w:pStyle w:val="null3"/>
              <w:ind w:left="420"/>
              <w:jc w:val="both"/>
              <w:outlineLvl w:val="2"/>
            </w:pPr>
            <w:r>
              <w:rPr>
                <w:sz w:val="21"/>
                <w:b/>
              </w:rPr>
              <w:t>3.9.7.档案查询与分析：</w:t>
            </w:r>
          </w:p>
          <w:p>
            <w:pPr>
              <w:pStyle w:val="null3"/>
              <w:ind w:firstLine="420"/>
              <w:jc w:val="both"/>
            </w:pPr>
            <w:r>
              <w:rPr>
                <w:sz w:val="21"/>
              </w:rPr>
              <w:t>建立方便快捷的查询系统，使相关人员能够随时查询养护档案信息。利用档案数据进行分析，例如设备故障率分析、维护成本分析等，以优化养护策略和提高设备可靠性。</w:t>
            </w:r>
          </w:p>
          <w:p>
            <w:pPr>
              <w:pStyle w:val="null3"/>
              <w:jc w:val="both"/>
            </w:pPr>
            <w:r>
              <w:rPr>
                <w:sz w:val="21"/>
              </w:rPr>
              <w:t xml:space="preserve">      通过有效的智慧道路设备前端养护档案管理，可以实现对设备养护过程和信息的全面管理和追溯，提高养护效率，减少故障发生和响应时间，延长设备使用寿命。</w:t>
            </w:r>
          </w:p>
        </w:tc>
      </w:tr>
      <w:tr>
        <w:tc>
          <w:tcPr>
            <w:tcW w:type="dxa" w:w="2076"/>
          </w:tcPr>
          <w:p/>
        </w:tc>
        <w:tc>
          <w:tcPr>
            <w:tcW w:type="dxa" w:w="415"/>
          </w:tcPr>
          <w:p>
            <w:pPr>
              <w:pStyle w:val="null3"/>
            </w:pPr>
            <w:r>
              <w:rPr/>
              <w:t>10</w:t>
            </w:r>
          </w:p>
        </w:tc>
        <w:tc>
          <w:tcPr>
            <w:tcW w:type="dxa" w:w="5814"/>
          </w:tcPr>
          <w:p>
            <w:pPr>
              <w:pStyle w:val="null3"/>
              <w:jc w:val="both"/>
              <w:outlineLvl w:val="3"/>
            </w:pPr>
            <w:r>
              <w:rPr>
                <w:sz w:val="24"/>
                <w:b/>
              </w:rPr>
              <w:t>四、项目清单</w:t>
            </w:r>
          </w:p>
          <w:p>
            <w:pPr>
              <w:pStyle w:val="null3"/>
              <w:ind w:left="420"/>
              <w:jc w:val="both"/>
              <w:outlineLvl w:val="1"/>
            </w:pPr>
            <w:r>
              <w:rPr>
                <w:sz w:val="21"/>
                <w:b/>
              </w:rPr>
              <w:t>1、项目维护清单</w:t>
            </w:r>
          </w:p>
          <w:tbl>
            <w:tblPr>
              <w:tblInd w:type="dxa" w:w="135"/>
              <w:tblBorders>
                <w:top w:val="none" w:color="000000" w:sz="4"/>
                <w:left w:val="none" w:color="000000" w:sz="4"/>
                <w:bottom w:val="none" w:color="000000" w:sz="4"/>
                <w:right w:val="none" w:color="000000" w:sz="4"/>
                <w:insideH w:val="none"/>
                <w:insideV w:val="none"/>
              </w:tblBorders>
            </w:tblPr>
            <w:tblGrid>
              <w:gridCol w:w="573"/>
              <w:gridCol w:w="1471"/>
              <w:gridCol w:w="1872"/>
              <w:gridCol w:w="487"/>
              <w:gridCol w:w="687"/>
              <w:gridCol w:w="487"/>
            </w:tblGrid>
            <w:tr>
              <w:tc>
                <w:tcPr>
                  <w:tcW w:type="dxa" w:w="5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4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项目名称</w:t>
                  </w:r>
                </w:p>
              </w:tc>
              <w:tc>
                <w:tcPr>
                  <w:tcW w:type="dxa" w:w="18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规格型号</w:t>
                  </w:r>
                </w:p>
              </w:tc>
              <w:tc>
                <w:tcPr>
                  <w:tcW w:type="dxa" w:w="4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6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计数总量</w:t>
                  </w:r>
                </w:p>
              </w:tc>
              <w:tc>
                <w:tcPr>
                  <w:tcW w:type="dxa" w:w="4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备注</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一</w:t>
                  </w:r>
                </w:p>
              </w:tc>
              <w:tc>
                <w:tcPr>
                  <w:tcW w:type="dxa" w:w="383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迎宾路、兴海路</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10米A类智慧灯杆</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定制，含灯具</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6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4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10米B类智慧灯杆</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定制，含灯具</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10米C类交通标志牌杆（F型）</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定制，含灯具</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10米普通灯杆（单臂灯）</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定制，含灯具</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10米普通灯杆（双臂灯）</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定制，含灯具</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13米普通灯杆</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定制，含灯具</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13米A类智慧灯杆</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定制，含灯具</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13米B类智慧灯杆</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定制，含灯具</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13米C类智慧灯杆</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定制，含灯具</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13米E类智慧灯杆</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定制，含灯具</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13米F类智慧灯杆</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定制，含灯具</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15米A类智慧灯杆</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定制，含灯具</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挂杆配电箱</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定制</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单灯控制器</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定制</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286</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路由器</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RHF2S208BH8-470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综合智能网关</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AR502H-CN</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高清球（</w:t>
                  </w:r>
                  <w:r>
                    <w:rPr>
                      <w:sz w:val="21"/>
                    </w:rPr>
                    <w:t>400W）</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M6741-E-Z37</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高清枪（</w:t>
                  </w:r>
                  <w:r>
                    <w:rPr>
                      <w:sz w:val="21"/>
                    </w:rPr>
                    <w:t>400W）</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M2241-QL</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人脸枪（</w:t>
                  </w:r>
                  <w:r>
                    <w:rPr>
                      <w:sz w:val="21"/>
                    </w:rPr>
                    <w:t>400W）</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M2241-EFL</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公共广播</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XC-9601</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紧急呼叫</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XC-9137AV</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停车场管理设备</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定制</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信息发布屏</w:t>
                  </w:r>
                  <w:r>
                    <w:rPr>
                      <w:sz w:val="21"/>
                    </w:rPr>
                    <w:t>(中屏)</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定制</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信息发布屏（大）</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定制</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环境监测</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FRT AQM916</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气象监测</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FRT RDM306</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水位监测</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TC-401</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道路井盖监测</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SC-iTWM-05</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175</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交通信号灯</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JD400-3-FM3</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交通信号机</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XHJ-CW-GA-HS2025</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电子警察（</w:t>
                  </w:r>
                  <w:r>
                    <w:rPr>
                      <w:sz w:val="21"/>
                    </w:rPr>
                    <w:t>900万像素）</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定制</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人行信号杆</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定制</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人行信号灯</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RX300-3-FM21</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标志牌</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Y型标志牌（6*1个600）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标志牌</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Y型标志牌（6*1个800）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标志牌</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三角标志牌</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标志牌</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倒三角标志牌</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标志牌</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人行道标志牌（双面</w:t>
                  </w:r>
                  <w:r>
                    <w:rPr>
                      <w:sz w:val="21"/>
                    </w:rPr>
                    <w:t>600）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标志牌</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人行道标志牌（双面</w:t>
                  </w:r>
                  <w:r>
                    <w:rPr>
                      <w:sz w:val="21"/>
                    </w:rPr>
                    <w:t>800）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标志牌</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半透型自动发光</w:t>
                  </w:r>
                  <w:r>
                    <w:rPr>
                      <w:sz w:val="21"/>
                    </w:rPr>
                    <w:t>F型标志</w:t>
                  </w:r>
                </w:p>
                <w:p>
                  <w:pPr>
                    <w:pStyle w:val="null3"/>
                    <w:jc w:val="center"/>
                  </w:pPr>
                  <w:r>
                    <w:rPr>
                      <w:sz w:val="21"/>
                    </w:rPr>
                    <w:t>牌（</w:t>
                  </w:r>
                  <w:r>
                    <w:rPr>
                      <w:sz w:val="21"/>
                    </w:rPr>
                    <w:t>4.2×2.4m）</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标志牌</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半透型自动发光</w:t>
                  </w:r>
                  <w:r>
                    <w:rPr>
                      <w:sz w:val="21"/>
                    </w:rPr>
                    <w:t>F型标志</w:t>
                  </w:r>
                </w:p>
                <w:p>
                  <w:pPr>
                    <w:pStyle w:val="null3"/>
                    <w:jc w:val="center"/>
                  </w:pPr>
                  <w:r>
                    <w:rPr>
                      <w:sz w:val="21"/>
                    </w:rPr>
                    <w:t>牌（</w:t>
                  </w:r>
                  <w:r>
                    <w:rPr>
                      <w:sz w:val="21"/>
                    </w:rPr>
                    <w:t>4.8×2.4m）</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标志牌</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半透型可变动态文字</w:t>
                  </w:r>
                  <w:r>
                    <w:rPr>
                      <w:sz w:val="21"/>
                    </w:rPr>
                    <w:t>F型</w:t>
                  </w:r>
                </w:p>
                <w:p>
                  <w:pPr>
                    <w:pStyle w:val="null3"/>
                    <w:jc w:val="center"/>
                  </w:pPr>
                  <w:r>
                    <w:rPr>
                      <w:sz w:val="21"/>
                    </w:rPr>
                    <w:t>标志牌（</w:t>
                  </w:r>
                  <w:r>
                    <w:rPr>
                      <w:sz w:val="21"/>
                    </w:rPr>
                    <w:t>4.8×2.8m）</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标志牌</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半透型自动发光</w:t>
                  </w:r>
                  <w:r>
                    <w:rPr>
                      <w:sz w:val="21"/>
                    </w:rPr>
                    <w:t>F型分向行驶车道标志牌（4.8×2.4m）</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标志牌</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公交专用车道标志（</w:t>
                  </w:r>
                  <w:r>
                    <w:rPr>
                      <w:sz w:val="21"/>
                    </w:rPr>
                    <w:t>4.2×2.4m）</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标志牌</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小型路名牌</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智能公交电子站牌</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定制</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站</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预报站屏（含安装支架）</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定制</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灯杆标签（定制）</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定制</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143</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电力电缆</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ZA-YJV-4*120mm²</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电力电缆</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YJV-4*25+1*16</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13649.66</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电力电缆</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YJV-5*10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297.98</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电力电缆</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YJV-3*6</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533</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电气配线</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RVV-3x2.5</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1404</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电气配线</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RVV-4x1.5</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1448</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电气配线</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RVV-5x1.5</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1622</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电力电缆</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ZA-YJV-3*120mm²+1*70mm²</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开关箱</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定制</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二</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滨海湾大道</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8米普通灯杆</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r>
                    <w:rPr>
                      <w:sz w:val="21"/>
                    </w:rPr>
                    <w:t>,含灯具</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284.00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8米A类智慧灯杆</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r>
                    <w:rPr>
                      <w:sz w:val="21"/>
                    </w:rPr>
                    <w:t>,含灯具</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74.00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8米A1类智慧灯杆</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r>
                    <w:rPr>
                      <w:sz w:val="21"/>
                    </w:rPr>
                    <w:t>,含灯具</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10米E类智慧灯杆</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r>
                    <w:rPr>
                      <w:sz w:val="21"/>
                    </w:rPr>
                    <w:t>,含灯具</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10米B类智慧灯杆</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r>
                    <w:rPr>
                      <w:sz w:val="21"/>
                    </w:rPr>
                    <w:t>,含灯具</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10米C类交通标志牌杆</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r>
                    <w:rPr>
                      <w:sz w:val="21"/>
                    </w:rPr>
                    <w:t>,含灯具</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13米普通灯杆</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r>
                    <w:rPr>
                      <w:sz w:val="21"/>
                    </w:rPr>
                    <w:t>,含灯具</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141.00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13米A类智慧灯杆</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r>
                    <w:rPr>
                      <w:sz w:val="21"/>
                    </w:rPr>
                    <w:t>,含灯具</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13米B类智慧灯杆</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r>
                    <w:rPr>
                      <w:sz w:val="21"/>
                    </w:rPr>
                    <w:t>,含灯具</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13米B1类智慧灯杆</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r>
                    <w:rPr>
                      <w:sz w:val="21"/>
                    </w:rPr>
                    <w:t>,含灯具</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13米C类智慧灯杆</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r>
                    <w:rPr>
                      <w:sz w:val="21"/>
                    </w:rPr>
                    <w:t>,含灯具</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13米D类智慧灯杆</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r>
                    <w:rPr>
                      <w:sz w:val="21"/>
                    </w:rPr>
                    <w:t>,含灯具</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13米E类智慧灯杆</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r>
                    <w:rPr>
                      <w:sz w:val="21"/>
                    </w:rPr>
                    <w:t>,含灯具</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13米E1类智慧灯杆</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r>
                    <w:rPr>
                      <w:sz w:val="21"/>
                    </w:rPr>
                    <w:t>,含灯具</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13米E2类智慧灯杆</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r>
                    <w:rPr>
                      <w:sz w:val="21"/>
                    </w:rPr>
                    <w:t>,含灯具</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13米F类智慧灯杆</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r>
                    <w:rPr>
                      <w:sz w:val="21"/>
                    </w:rPr>
                    <w:t>,含灯具</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13米F1类智慧灯杆</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r>
                    <w:rPr>
                      <w:sz w:val="21"/>
                    </w:rPr>
                    <w:t>,含灯具</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13米H类智慧灯杆</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r>
                    <w:rPr>
                      <w:sz w:val="21"/>
                    </w:rPr>
                    <w:t>,含灯具</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电子警察杆（</w:t>
                  </w:r>
                  <w:r>
                    <w:rPr>
                      <w:sz w:val="21"/>
                    </w:rPr>
                    <w:t>L型）</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机动车信号灯（箭头左转）</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FX400-3-3Z</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机动车信号灯（箭头直行）</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FX400-3-3D</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机动车信号灯（满盘灯）</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FX400-3-3R</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多功能人行灯一体机（单面）</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SLR-YTS30-DX-30K</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多功能人行灯一体机（双面）</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SLR-YTS30-DX-30L</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人行信号灯组</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立柱式三色信号灯</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立柱式三色信号灯杆件（单立杆）</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人行横道标志牌杆</w:t>
                  </w:r>
                  <w:r>
                    <w:rPr>
                      <w:sz w:val="21"/>
                    </w:rPr>
                    <w:t>(0.8*0.8mm）</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（禁止左转标志牌）单立杆</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（减速让行标志牌）单立杆</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（变窄警告标牌单面</w:t>
                  </w:r>
                  <w:r>
                    <w:rPr>
                      <w:sz w:val="21"/>
                    </w:rPr>
                    <w:t>A=900mm）单立杆</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（汇流警告标牌单面</w:t>
                  </w:r>
                  <w:r>
                    <w:rPr>
                      <w:sz w:val="21"/>
                    </w:rPr>
                    <w:t>A=900mm）单立杆</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掉头标志</w:t>
                  </w:r>
                  <w:r>
                    <w:rPr>
                      <w:sz w:val="21"/>
                    </w:rPr>
                    <w:t>(0.8*0.8m)牌单立杆</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指路标志牌</w:t>
                  </w:r>
                  <w:r>
                    <w:rPr>
                      <w:sz w:val="21"/>
                    </w:rPr>
                    <w:t>(5m*2.4m板面)杆</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分车道牌标志牌</w:t>
                  </w:r>
                  <w:r>
                    <w:rPr>
                      <w:sz w:val="21"/>
                    </w:rPr>
                    <w:t>(4.2m*2.4m板面)杆</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r型标志杆</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（禁止驶入标志牌）单立杆</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综合设备箱</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杆上配电箱</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158.00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单灯控制器</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1098.00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综合智能网关</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AR502H-CN</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电子警察</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测速卡口</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监控摄像机</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M6741-E-Z37</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83.00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监控摄像机</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M2241-QL</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137.00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监控摄像机</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X2241-HL</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92.00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公共广播</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XC-9601</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紧急呼叫</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XC-9137AV</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公共广播</w:t>
                  </w:r>
                  <w:r>
                    <w:rPr>
                      <w:sz w:val="21"/>
                    </w:rPr>
                    <w:t>+紧急呼叫系统软件</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XC-9137AV</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信息发布屏（大）</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3.846-800X1600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环境监测</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FRT AQM91</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气象监测</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FRT RDM306</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道路井盖监测</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CS-ITWM-05</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1008.00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积水监测</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TC-401</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AP</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RHF2S208H8-470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雷达</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FRTAQM916</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交换机</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AR550C-2C6GE</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155.00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交通信号机</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XHJ-CW-GA-HS2025</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人行道标志牌（双面</w:t>
                  </w:r>
                  <w:r>
                    <w:rPr>
                      <w:sz w:val="21"/>
                    </w:rPr>
                    <w:t>800）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减速让行标志（</w:t>
                  </w:r>
                  <w:r>
                    <w:rPr>
                      <w:sz w:val="21"/>
                    </w:rPr>
                    <w:t>△0.9m）</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路名牌（</w:t>
                  </w:r>
                  <w:r>
                    <w:rPr>
                      <w:sz w:val="21"/>
                    </w:rPr>
                    <w:t>1.2*0.4m)</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Y型标志牌牌面（φ0.8m*6）</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r型标志牌牌面（φ0.8m*4）</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64</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汇流警告标牌单面</w:t>
                  </w:r>
                  <w:r>
                    <w:rPr>
                      <w:sz w:val="21"/>
                    </w:rPr>
                    <w:t>A=900mm</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桥名标志牌（</w:t>
                  </w:r>
                  <w:r>
                    <w:rPr>
                      <w:sz w:val="21"/>
                    </w:rPr>
                    <w:t>1.5*0.66m）</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变窄警告标牌单面</w:t>
                  </w:r>
                  <w:r>
                    <w:rPr>
                      <w:sz w:val="21"/>
                    </w:rPr>
                    <w:t>A=900mm</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67</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小型路名牌</w:t>
                  </w:r>
                  <w:r>
                    <w:rPr>
                      <w:sz w:val="21"/>
                    </w:rPr>
                    <w:t>(竖1m*2m)</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T形路口标志</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69</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指路标志牌（</w:t>
                  </w:r>
                  <w:r>
                    <w:rPr>
                      <w:sz w:val="21"/>
                    </w:rPr>
                    <w:t>4*2.4m）</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分车道牌标志牌</w:t>
                  </w:r>
                  <w:r>
                    <w:rPr>
                      <w:sz w:val="21"/>
                    </w:rPr>
                    <w:t>(4.2m*2.4m板面)</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71</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指路标志牌</w:t>
                  </w:r>
                  <w:r>
                    <w:rPr>
                      <w:sz w:val="21"/>
                    </w:rPr>
                    <w:t>(5m*2.4m板面)</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指路标志牌</w:t>
                  </w:r>
                  <w:r>
                    <w:rPr>
                      <w:sz w:val="21"/>
                    </w:rPr>
                    <w:t>(T型2*4*2.4m)</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73</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分流标志</w:t>
                  </w:r>
                  <w:r>
                    <w:rPr>
                      <w:sz w:val="21"/>
                    </w:rPr>
                    <w:t>(0.8*0.8m)</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74</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警示柱</w:t>
                  </w:r>
                  <w:r>
                    <w:rPr>
                      <w:sz w:val="21"/>
                    </w:rPr>
                    <w:t>(0.16*1.2m)</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人行横道标志</w:t>
                  </w:r>
                  <w:r>
                    <w:rPr>
                      <w:sz w:val="21"/>
                    </w:rPr>
                    <w:t>(0.8*0.8m）双面</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76</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禁止左转标志牌</w:t>
                  </w:r>
                  <w:r>
                    <w:rPr>
                      <w:sz w:val="21"/>
                    </w:rPr>
                    <w:t>(0.8*0.8m）</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77</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变窄警告标牌单面</w:t>
                  </w:r>
                  <w:r>
                    <w:rPr>
                      <w:sz w:val="21"/>
                    </w:rPr>
                    <w:t>A=900mm</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78</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汇流警告标牌单面</w:t>
                  </w:r>
                  <w:r>
                    <w:rPr>
                      <w:sz w:val="21"/>
                    </w:rPr>
                    <w:t>A=900mm</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79</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减速让行标志（</w:t>
                  </w:r>
                  <w:r>
                    <w:rPr>
                      <w:sz w:val="21"/>
                    </w:rPr>
                    <w:t>△0.9m）</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掉头标志</w:t>
                  </w:r>
                  <w:r>
                    <w:rPr>
                      <w:sz w:val="21"/>
                    </w:rPr>
                    <w:t>(0.8*0.8m)</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81</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禁止驶入标志牌</w:t>
                  </w:r>
                  <w:r>
                    <w:rPr>
                      <w:sz w:val="21"/>
                    </w:rPr>
                    <w:t>(0.8*0.8m)</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82</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热熔型标线</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m2</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717.50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83</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电力电缆</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ZA-YJV-4×25+1×16mm²</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23627.30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84</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电力电缆</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ZA-YJV-4×35+1×16mm²</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13785.33</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85</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电力电缆</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ZR-YJV-5×16mm²</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11549.84</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86</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电力电缆</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ZR-YJV-3×10mm²</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346.03</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87</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电气配线</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RVSP-4*1.5mm²</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2538.00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88</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电气配线</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RVV-3x6mm²</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3616.00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89</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电气配线</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RVVP-2x2.5mm²</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4338.00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电气配线</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RVVP-3x1.0mm²</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585.00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91</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电气配线</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RVV-3x2.5</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17030.00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92</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电气配线</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RVV-2x1.5mm²</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4624.00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93</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电气配线</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RVSP-4*0.75mm²</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958.00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94</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超五类网线</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超五类</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7660.00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95</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4芯单模光纤</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4芯单模</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2280.00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96</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电气配线</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RVV-3x10mm²</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1793.00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97</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电气配线</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RVV-3x1.5</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4845.00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98</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电气配线</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RVV-4x1.5</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9475.00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99</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电气配线</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RVV-5x1.5</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8935.00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电力电缆</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ZA-YJV22-1kv-4*95+1*50mm²</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620.00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101</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200KVA带环网出线箱式变压器</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102</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304不锈钢低压配电箱（定制）</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103</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漏电保护器（防水开关盒）</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532.00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104</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灯杆标签（定制）</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647.00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105</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普通反光前方测速提示牌</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106</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普通标志牌</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107</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普通标志牌</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三</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东海路</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12米A类智慧灯杆</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12米B类智慧灯杆</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12米C类智慧灯杆</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12米F类智慧灯杆</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12米普通灯杆</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12米E类智慧灯杆</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20米高空瞭望杆</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机动车信号灯</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FX400-3-3R</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立柱式三色信号灯组</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多功能人行灯一体机（单面）</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SLR-YTS30-DX-30K</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人行信号灯组</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（人行横道标志）单立杆</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（分流标志牌）单立杆</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（掉头标志牌）单立杆</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综合设备箱</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杆上配电箱</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69.00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控制器</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273.00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综合智能网关</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AR502H-CN</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电子警察</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监控摄像机</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M6741-E-Z37</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监控摄像机</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M2241-QL</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监控摄像机</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X2241-HL</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公共广播</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XC-9601</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紧急呼叫</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XC-9137AV</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信息发布屏（大）</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3.846-800X1600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环境监测</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FRT AQM91</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气象监测</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FRT RDM306</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道路井盖监测</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CS-ITWM-05</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382.00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积水监测</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TC-401</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AP</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RHF2S208H8-470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雷达</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FRT AQM916</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交换机</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AR550C-2C6GE</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交通信号机</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XHJ-CW-GA-HS2025</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人行道标志牌（双面</w:t>
                  </w:r>
                  <w:r>
                    <w:rPr>
                      <w:sz w:val="21"/>
                    </w:rPr>
                    <w:t>800）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减速让行标志（</w:t>
                  </w:r>
                  <w:r>
                    <w:rPr>
                      <w:sz w:val="21"/>
                    </w:rPr>
                    <w:t>△0.9m）</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路名牌（</w:t>
                  </w:r>
                  <w:r>
                    <w:rPr>
                      <w:sz w:val="21"/>
                    </w:rPr>
                    <w:t>1.2*0.4m)</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Y型标志牌牌面（φ0.8m*6）</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限高标志（</w:t>
                  </w:r>
                  <w:r>
                    <w:rPr>
                      <w:sz w:val="21"/>
                    </w:rPr>
                    <w:t>φ0.8m+0.8*0.3m)</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F型车道指示标志牌（4.2*2.4m）</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F型指路标志牌（4.8*2.4m）</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掉头标志</w:t>
                  </w:r>
                  <w:r>
                    <w:rPr>
                      <w:sz w:val="21"/>
                    </w:rPr>
                    <w:t>(0.8*0.8m）</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分流标志</w:t>
                  </w:r>
                  <w:r>
                    <w:rPr>
                      <w:sz w:val="21"/>
                    </w:rPr>
                    <w:t>(0.8*0.8m）</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人行横道标志牌（</w:t>
                  </w:r>
                  <w:r>
                    <w:rPr>
                      <w:sz w:val="21"/>
                    </w:rPr>
                    <w:t>0.8*0.8）</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限高标志（</w:t>
                  </w:r>
                  <w:r>
                    <w:rPr>
                      <w:sz w:val="21"/>
                    </w:rPr>
                    <w:t>φ0.8m）</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热熔型标线</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m2</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385.00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电力电缆</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ZA-YJV-4×25+1×16mm²</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5238.99</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电力电缆</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ZA-YJV-4×35+1×16mm²</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5451.51</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电力电缆</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ZA-YJV-5×10mm²</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434.76</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电力电缆</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ZA-YJV-5×16mm²</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900.40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电气配线</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RVSP-4*1.5mm²</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1282.00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电气配线</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RVV-3x6mm²</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703.00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电气配线</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RVVP-2x2.5mm²</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1582.00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电气配线</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ZR-RVVP-3x1.0mm²</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电气配线</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ZR-RVV-3x2.5mm²</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4173.00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电气配线</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RVV-2x1.5mm²</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940.00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电气配线</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RVSP-4*0.75mm²</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590.00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超五类网线</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超五类</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3930.00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4芯单模光纤</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4芯单模</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804.00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电气配线</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RVV-3x10mm²</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196.00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电气配线</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RVV-3x1.5</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2531.00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电气配线</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RVV-4x1.5</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2124.00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电气配线</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RVV-5x1.5</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3745.00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315KVA箱式变压器</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64</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漏电保护器（防水开关盒）</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69.00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灯杆标签（定制）</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128.00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四</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华海路</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12米A类智慧灯杆</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定制，含灯具</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12米B类智慧灯杆</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定制，含灯具</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12米C类智慧灯杆</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定制，含灯具</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12米普通灯杆</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定制，含灯具</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12米E类智慧灯杆</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定制，含灯具</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12米E1类智慧灯杆</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定制，含灯具</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机动车信号灯</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FX400-3-3R</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多功能人行灯一体机（单面）</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SLR-YTS30-DX-30K</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人行信号灯灯组</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单立杆（掉头标志杆）</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Y型标志牌+限高标志（带文字辅助标志）整合杆</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综合设备箱</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杆上配电箱</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控制器</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216.00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综合智能网关</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AR502H-CN</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监控摄像机</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M6741-E-Z37</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监控摄像机</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M2241-QL</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监控摄像机</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X2241-HL</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公共广播</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XC-9601</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紧急呼叫</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XC-9137AV</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信息发布屏（大）</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3.846-800X1600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环境监测</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FRT AQM91</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气象监测</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FRT RDM306</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道路井盖监测</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CS-ITWM-05</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273.00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积水监测</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TC-401</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AP</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RHF2S208H8-470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雷达</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FRT AQM916</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交换机</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AR550C-2C6GE</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交通信号机</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XHJ-CW-GA-HS2025</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人行道标志牌（双面</w:t>
                  </w:r>
                  <w:r>
                    <w:rPr>
                      <w:sz w:val="21"/>
                    </w:rPr>
                    <w:t>800）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减速让行标志（</w:t>
                  </w:r>
                  <w:r>
                    <w:rPr>
                      <w:sz w:val="21"/>
                    </w:rPr>
                    <w:t>△0.9m）</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路名牌（</w:t>
                  </w:r>
                  <w:r>
                    <w:rPr>
                      <w:sz w:val="21"/>
                    </w:rPr>
                    <w:t>1.2*0.4m)</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Y型标志牌牌面（φ0.8m*6）</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限高标志（</w:t>
                  </w:r>
                  <w:r>
                    <w:rPr>
                      <w:sz w:val="21"/>
                    </w:rPr>
                    <w:t>φ0.8m+0.8*0.3m)</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限重标志（</w:t>
                  </w:r>
                  <w:r>
                    <w:rPr>
                      <w:sz w:val="21"/>
                    </w:rPr>
                    <w:t>φ0.8m）</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右转车道标志牌（方形</w:t>
                  </w:r>
                  <w:r>
                    <w:rPr>
                      <w:sz w:val="21"/>
                    </w:rPr>
                    <w:t>A800）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F型标志牌（4.8*2.4m）</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F型标志牌牌面（4.2×2.4m）</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限高标志（</w:t>
                  </w:r>
                  <w:r>
                    <w:rPr>
                      <w:sz w:val="21"/>
                    </w:rPr>
                    <w:t>φ0.8m）</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掉头标志</w:t>
                  </w:r>
                  <w:r>
                    <w:rPr>
                      <w:sz w:val="21"/>
                    </w:rPr>
                    <w:t>(0.8*0.8m）</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热熔型标线</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m2</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212.50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电力电缆</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ZA-YJV-4×25+1×16mm²</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8807.82</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电力电缆</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ZA-YJV-5×10mm²</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136.98</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电力电缆</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ZA-YJV-5×16mm²</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819.35</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电气配线</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RVSP-4*1.5mm²</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820.00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电气配线</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RVV-3x6mm²</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570.00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电气配线</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ZR-RVV-3x2.5mm²</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2950.00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电气配线</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RVV-2x1.5mm²</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855.00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电气配线</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RVSP-4*0.75mm²</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508.00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超五类网线</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超五类</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2150.00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4芯单模光纤</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4芯单模</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350.00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电气配线</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RVV-3x1.5</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2660.00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电气配线</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RVV-4x1.5</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1480.00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电气配线</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RVV-5x1.5</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2015.00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160KVA箱式变压器</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漏电保护器（防水开关盒）</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73.00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灯杆标签（定制）</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103.00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五</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振海路</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12米A类智慧灯杆</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定制，含灯具</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12米B类智慧灯杆</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定制，含灯具</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12米C类智慧灯杆</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定制，含灯具</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12米普通灯杆</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定制，含灯具</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Y型标志牌杆（路名牌+限重标志整合杆）</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（掉头标志牌）单立杆</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减速让行标志牌杆</w:t>
                  </w:r>
                </w:p>
                <w:p>
                  <w:pPr>
                    <w:pStyle w:val="null3"/>
                    <w:jc w:val="left"/>
                  </w:pPr>
                  <w:r>
                    <w:rPr>
                      <w:sz w:val="21"/>
                    </w:rPr>
                    <w:t>（</w:t>
                  </w:r>
                  <w:r>
                    <w:rPr>
                      <w:sz w:val="21"/>
                    </w:rPr>
                    <w:t>△0.9m）</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（桥名牌）单立杆</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杆上配电箱</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控制器</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156.00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综合智能网关</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AR502H-CN</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监控摄像机</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M6741-E-Z37</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监控摄像机</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M2241-QL</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监控摄像机</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X2241-HL</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公共广播</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XC-9601</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紧急呼叫</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XC-9137AV</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信息发布屏（大）</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3.846-800X1600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环境监测</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FRT AQM91</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气象监测</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FRT RDM306</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道路井盖监测</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CS-ITWM-05</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314.00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积水监测</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TC-401</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AP</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RHF2S208H8-470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交换机</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AR550C-2C6GE</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人行道标志牌（双面</w:t>
                  </w:r>
                  <w:r>
                    <w:rPr>
                      <w:sz w:val="21"/>
                    </w:rPr>
                    <w:t>800）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十字型路口标志（</w:t>
                  </w:r>
                  <w:r>
                    <w:rPr>
                      <w:sz w:val="21"/>
                    </w:rPr>
                    <w:t>△0.9m）</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路名牌（</w:t>
                  </w:r>
                  <w:r>
                    <w:rPr>
                      <w:sz w:val="21"/>
                    </w:rPr>
                    <w:t>1.2*0.4m)</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桥名牌（</w:t>
                  </w:r>
                  <w:r>
                    <w:rPr>
                      <w:sz w:val="21"/>
                    </w:rPr>
                    <w:t>1.5*6.6m)</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Y型标志牌牌面（φ0.8m*6）</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限高标志（</w:t>
                  </w:r>
                  <w:r>
                    <w:rPr>
                      <w:sz w:val="21"/>
                    </w:rPr>
                    <w:t>φ0.8m+0.8*0.3m)</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限重标志（</w:t>
                  </w:r>
                  <w:r>
                    <w:rPr>
                      <w:sz w:val="21"/>
                    </w:rPr>
                    <w:t>φ0.8m）</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F型车道（4.2×2.4m）</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F型指路标志牌牌面（4.8×2.8m）</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限高标志（</w:t>
                  </w:r>
                  <w:r>
                    <w:rPr>
                      <w:sz w:val="21"/>
                    </w:rPr>
                    <w:t>φ0.8m）</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掉头标志</w:t>
                  </w:r>
                  <w:r>
                    <w:rPr>
                      <w:sz w:val="21"/>
                    </w:rPr>
                    <w:t>(0.8*0.8m）</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减速让行标志（</w:t>
                  </w:r>
                  <w:r>
                    <w:rPr>
                      <w:sz w:val="21"/>
                    </w:rPr>
                    <w:t>△0.9m）</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桥名牌（</w:t>
                  </w:r>
                  <w:r>
                    <w:rPr>
                      <w:sz w:val="21"/>
                    </w:rPr>
                    <w:t>1.5*6.6m)</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电力电缆</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ZA-YJV-4×25+1×16mm²</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5424.08</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电力电缆</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RVV-2x1.5mm²</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622.00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电气配线</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RVV-3x6mm²</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415.00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电气配线</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RVV-3x2.5</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2160.00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电气配线</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RVV-3x1.5mm²</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2410.00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电气配线</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RVSP-4*0.75mm²</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338.00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超五类网线</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超五类</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1850.00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电力电缆</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ZR-YJV-5×16mm²</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1240.00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电力电缆</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ZA-YJV-4×35+1×16mm²</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198.00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200KVA箱式变压器</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高压环网柜</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漏电保护器（防水开关盒）</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灯杆标签（定制）</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79.00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六</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中海路</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12米智慧灯杆A-2A型</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定制，含灯具</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12米智慧灯杆A-1A型</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定制，含灯具</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12米智慧灯杆A-1B型</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定制，含灯具</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12米B类智慧灯杆</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定制，含灯具</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12米C类智慧灯杆</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定制，含灯具</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12米F类智慧灯杆</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定制，含灯具</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12米普通灯杆</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定制，含灯具</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13米E类智慧灯杆</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定制，含灯具</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20米高空瞭望杆</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定制，含设备</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机动车道交通信号灯杆</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机动车信号灯</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FX400-3-3R</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人行横道标志牌杆</w:t>
                  </w:r>
                  <w:r>
                    <w:rPr>
                      <w:sz w:val="21"/>
                    </w:rPr>
                    <w:t>(0.8*0.8mm）</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（减速让行标志牌）单立杆</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（右侧通行标志牌）单立杆</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多功能信号灯一体机（整合辅灯和人行道信号灯）</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1SLR-YTS30-JR-40X</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多功能人行灯一体机（单面）</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SLR-YTS30-DX-30K</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多功能人行灯一体机（双面）</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SLR-YTS30-DX-30L</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人行信号灯组</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综合设备箱</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杆上配电箱</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单灯控制器</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310.00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综合智能网关</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AR502H-CN</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电子警察</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监控摄像机</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M6741-E-Z37</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监控摄像机</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M2241-QL</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监控摄像机</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X2241-HL</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公共广播</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XC-9601</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紧急呼叫</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XC-9137AV</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信息发布屏（大）</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3.846-800X1600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环境监测</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FRT AQM91</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气象监测</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FRT RDM306</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道路井盖监测</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CS-ITWM-05</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385.00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积水监测</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TC-401</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AP</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RHF2S208H8-470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交换机</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AR550C-2C6GE</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雷达</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FRT AQM916</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网桥</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DH-PFM881E</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交通信号机</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XHJ-CW-GA-HS2025</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人行道标志牌（双面</w:t>
                  </w:r>
                  <w:r>
                    <w:rPr>
                      <w:sz w:val="21"/>
                    </w:rPr>
                    <w:t>800）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T型路口标志（△0.9m）</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减速让行标志（</w:t>
                  </w:r>
                  <w:r>
                    <w:rPr>
                      <w:sz w:val="21"/>
                    </w:rPr>
                    <w:t>△0.9m）</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路名牌（</w:t>
                  </w:r>
                  <w:r>
                    <w:rPr>
                      <w:sz w:val="21"/>
                    </w:rPr>
                    <w:t>1.2*0.4m)</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Y型标志牌牌面（φ0.8m*6）</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限高标志（</w:t>
                  </w:r>
                  <w:r>
                    <w:rPr>
                      <w:sz w:val="21"/>
                    </w:rPr>
                    <w:t>φ0.8m+0.8*0.3m)</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限重标志（</w:t>
                  </w:r>
                  <w:r>
                    <w:rPr>
                      <w:sz w:val="21"/>
                    </w:rPr>
                    <w:t>φ0.8m）</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禁停标志</w:t>
                  </w:r>
                  <w:r>
                    <w:rPr>
                      <w:sz w:val="21"/>
                    </w:rPr>
                    <w:t>(0.8m)</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限速标志</w:t>
                  </w:r>
                  <w:r>
                    <w:rPr>
                      <w:sz w:val="21"/>
                    </w:rPr>
                    <w:t>(0.8m）</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掉头标志</w:t>
                  </w:r>
                  <w:r>
                    <w:rPr>
                      <w:sz w:val="21"/>
                    </w:rPr>
                    <w:t>(0.8*0.8m）</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减速让行标志（</w:t>
                  </w:r>
                  <w:r>
                    <w:rPr>
                      <w:sz w:val="21"/>
                    </w:rPr>
                    <w:t>△0.9m）</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右侧通行标志（</w:t>
                  </w:r>
                  <w:r>
                    <w:rPr>
                      <w:sz w:val="21"/>
                    </w:rPr>
                    <w:t>φ0.6m）</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限高标志（</w:t>
                  </w:r>
                  <w:r>
                    <w:rPr>
                      <w:sz w:val="21"/>
                    </w:rPr>
                    <w:t>φ0.8m）</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人行道标志牌（双面</w:t>
                  </w:r>
                  <w:r>
                    <w:rPr>
                      <w:sz w:val="21"/>
                    </w:rPr>
                    <w:t>600）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半透型自动发光</w:t>
                  </w:r>
                  <w:r>
                    <w:rPr>
                      <w:sz w:val="21"/>
                    </w:rPr>
                    <w:t>F型标志</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半透型自动发光</w:t>
                  </w:r>
                  <w:r>
                    <w:rPr>
                      <w:sz w:val="21"/>
                    </w:rPr>
                    <w:t>F型标志</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热熔型标线</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m2</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447.50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电力电缆</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ZA-YJV-4×35+1×16</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4686.39</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电力电缆</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ZA-YJV-4×25+1×16</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7033.40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电力电缆</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ZA-YJV-5×16</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1216.78</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电力电缆</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ZA-YJV-5×10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190.28</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电气配线</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:RVSP-4*1.5mm²</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745.00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电气配线</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RVV-3x6mm²</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905.00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电气配线</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RVVP-2x2.5mm²</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700.00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电气配线</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RVVP-3x1.0mm²</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64</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电气配线</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RVV-3x2.5</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4630.00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电气配线</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RVV-2x1.5mm²</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741.00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电气配线</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RVSP-4*0.75mm²</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508.00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67</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超五类网线</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超五类</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3830.00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4芯单模光纤</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4芯单模</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1210.00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69</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电气配线</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RVV-3x10mm²</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电气配线</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RVV-3x1.5mm²</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2819.00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71</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电气配线</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RVV-4x1.5</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4830.00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电气配线</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RVV-5x1.5</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3820.00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73</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160KVA箱式变压器</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74</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漏电保护器（防水开关盒）</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103.00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灯杆标签（定制）</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155.00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七</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规划二路</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10米A类智慧灯杆</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定制，含灯具</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10米B类智慧灯杆</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定制，含灯具</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10米C类智慧灯杆</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定制，含灯具</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10米普通灯杆</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定制，含灯具</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控制器</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挂杆配电箱</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综合智能网关</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AR502H-CN</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监控摄像机</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M6741-E-Z37</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监控摄像机</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M2241-QL</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监控摄像机</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X2241-HL</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公共广播</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XC-9601</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紧急呼叫</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XC-9137AV</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环境监测</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FRT AQM91</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气象监测</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FRT RDM306</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道路井盖监测</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CS-ITWM-05</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积水监测</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TC-401</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交换机</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AR550C-2C6GE</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减速让行标志（</w:t>
                  </w:r>
                  <w:r>
                    <w:rPr>
                      <w:sz w:val="21"/>
                    </w:rPr>
                    <w:t>△0.9m）</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路名牌（</w:t>
                  </w:r>
                  <w:r>
                    <w:rPr>
                      <w:sz w:val="21"/>
                    </w:rPr>
                    <w:t>1.2*0.4m）</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Y型标志牌牌面（φ0.8m*6）</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F型车道指示标志牌标志</w:t>
                  </w:r>
                </w:p>
                <w:p>
                  <w:pPr>
                    <w:pStyle w:val="null3"/>
                    <w:jc w:val="left"/>
                  </w:pPr>
                  <w:r>
                    <w:rPr>
                      <w:sz w:val="21"/>
                    </w:rPr>
                    <w:t>牌（</w:t>
                  </w:r>
                  <w:r>
                    <w:rPr>
                      <w:sz w:val="21"/>
                    </w:rPr>
                    <w:t>4.2×2.4m）</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F型指路标志牌牌面</w:t>
                  </w:r>
                </w:p>
                <w:p>
                  <w:pPr>
                    <w:pStyle w:val="null3"/>
                    <w:jc w:val="left"/>
                  </w:pPr>
                  <w:r>
                    <w:rPr>
                      <w:sz w:val="21"/>
                    </w:rPr>
                    <w:t>牌（</w:t>
                  </w:r>
                  <w:r>
                    <w:rPr>
                      <w:sz w:val="21"/>
                    </w:rPr>
                    <w:t>4.8×2.8m）</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人行横道标志（</w:t>
                  </w:r>
                  <w:r>
                    <w:rPr>
                      <w:sz w:val="21"/>
                    </w:rPr>
                    <w:t>0.8*0.8）牌</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热熔型标线</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m2</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35.20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电力电缆</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ZA-YJV-4×35+1×16</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3409.00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电力电缆</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ZA-06、1KV-YJV-5×16</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1127.00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电气配线</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RVV-3x6mm²</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190.00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电气配线</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RVV-3x2.5</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759.00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电气配线</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RVV-3x1.5mm²</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799.00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电气配线</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RVSP-4*0.75mm²</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超五类网线</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超五类</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630.00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漏电保护器（防水开关盒）</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灯杆标签（定制）</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八</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兴海路与迎宾路路口</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13米C类智慧灯杆</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定制，含灯具</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13米E2型智慧灯杆</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定制，含灯具</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13米F类智慧灯杆</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定制，含灯具</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13米智慧灯杆F2型</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定制，含灯具</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15米智慧灯杆A2型</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定制，含灯具</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交通信号灯杆（</w:t>
                  </w:r>
                  <w:r>
                    <w:rPr>
                      <w:sz w:val="21"/>
                    </w:rPr>
                    <w:t>T型杆）</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机动车道信号辅灯</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机动车道信号灯（左转）</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FX400-3-3Z</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机动车道信号灯（直行转）</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FX400-3-3D</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人行立柱灯杆</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人行信号灯</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综合设备箱</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杆上配电箱</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综合智能网关</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AR502H-CN</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电子警察</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监控摄像机</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M6741-E-Z37</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监控摄像机</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X2241-HL</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公共广播</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XC-9601</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紧急呼叫</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XC-9137AV</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交通信号机</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XHJ-CW-GA-HS2025</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雷达</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FRT AQM916</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自主发光</w:t>
                  </w:r>
                </w:p>
                <w:p>
                  <w:pPr>
                    <w:pStyle w:val="null3"/>
                    <w:jc w:val="left"/>
                  </w:pPr>
                  <w:r>
                    <w:rPr>
                      <w:sz w:val="21"/>
                    </w:rPr>
                    <w:t>人行横道标志</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全透型，</w:t>
                  </w:r>
                  <w:r>
                    <w:rPr>
                      <w:sz w:val="21"/>
                    </w:rPr>
                    <w:t>800*800mm</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自主发光</w:t>
                  </w:r>
                </w:p>
                <w:p>
                  <w:pPr>
                    <w:pStyle w:val="null3"/>
                    <w:jc w:val="left"/>
                  </w:pPr>
                  <w:r>
                    <w:rPr>
                      <w:sz w:val="21"/>
                    </w:rPr>
                    <w:t>减速让行标志</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全透型，</w:t>
                  </w:r>
                  <w:r>
                    <w:rPr>
                      <w:sz w:val="21"/>
                    </w:rPr>
                    <w:t>a=900mm</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自主发光</w:t>
                  </w:r>
                </w:p>
                <w:p>
                  <w:pPr>
                    <w:pStyle w:val="null3"/>
                    <w:jc w:val="left"/>
                  </w:pPr>
                  <w:r>
                    <w:rPr>
                      <w:sz w:val="21"/>
                    </w:rPr>
                    <w:t>限速</w:t>
                  </w:r>
                  <w:r>
                    <w:rPr>
                      <w:sz w:val="21"/>
                    </w:rPr>
                    <w:t>60标志</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全透型，</w:t>
                  </w:r>
                  <w:r>
                    <w:rPr>
                      <w:sz w:val="21"/>
                    </w:rPr>
                    <w:t>φ800mm</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自主发光</w:t>
                  </w:r>
                </w:p>
                <w:p>
                  <w:pPr>
                    <w:pStyle w:val="null3"/>
                    <w:jc w:val="left"/>
                  </w:pPr>
                  <w:r>
                    <w:rPr>
                      <w:sz w:val="21"/>
                    </w:rPr>
                    <w:t>禁止停车标志</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全透型，</w:t>
                  </w:r>
                  <w:r>
                    <w:rPr>
                      <w:sz w:val="21"/>
                    </w:rPr>
                    <w:t>φ800mm</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自主发光</w:t>
                  </w:r>
                </w:p>
                <w:p>
                  <w:pPr>
                    <w:pStyle w:val="null3"/>
                    <w:jc w:val="left"/>
                  </w:pPr>
                  <w:r>
                    <w:rPr>
                      <w:sz w:val="21"/>
                    </w:rPr>
                    <w:t>机动车行驶标志</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全透型，</w:t>
                  </w:r>
                  <w:r>
                    <w:rPr>
                      <w:sz w:val="21"/>
                    </w:rPr>
                    <w:t>φ800mm</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自主发光</w:t>
                  </w:r>
                </w:p>
                <w:p>
                  <w:pPr>
                    <w:pStyle w:val="null3"/>
                    <w:jc w:val="left"/>
                  </w:pPr>
                  <w:r>
                    <w:rPr>
                      <w:sz w:val="21"/>
                    </w:rPr>
                    <w:t>禁止鸣喇叭标志</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全透型，</w:t>
                  </w:r>
                  <w:r>
                    <w:rPr>
                      <w:sz w:val="21"/>
                    </w:rPr>
                    <w:t>φ800mm</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自主发光分向行驶车道标志牌</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半透型，</w:t>
                  </w:r>
                  <w:r>
                    <w:rPr>
                      <w:sz w:val="21"/>
                    </w:rPr>
                    <w:t>4.8*2.4m</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自主发光非机动车行驶标志牌</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全透型，</w:t>
                  </w:r>
                  <w:r>
                    <w:rPr>
                      <w:sz w:val="21"/>
                    </w:rPr>
                    <w:t>φ800mm</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自主发光步行标志牌</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全透型，</w:t>
                  </w:r>
                  <w:r>
                    <w:rPr>
                      <w:sz w:val="21"/>
                    </w:rPr>
                    <w:t>φ800mm</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限速</w:t>
                  </w:r>
                  <w:r>
                    <w:rPr>
                      <w:sz w:val="21"/>
                    </w:rPr>
                    <w:t>30+前方测速区标牌</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全透型，</w:t>
                  </w:r>
                  <w:r>
                    <w:rPr>
                      <w:sz w:val="21"/>
                    </w:rPr>
                    <w:t>2000*1000mm</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禁停</w:t>
                  </w:r>
                  <w:r>
                    <w:rPr>
                      <w:sz w:val="21"/>
                    </w:rPr>
                    <w:t>+违停拍照处罚标牌</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全透型，</w:t>
                  </w:r>
                  <w:r>
                    <w:rPr>
                      <w:sz w:val="21"/>
                    </w:rPr>
                    <w:t>2000*1000mm</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注意行人标牌</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全透型，</w:t>
                  </w:r>
                  <w:r>
                    <w:rPr>
                      <w:sz w:val="21"/>
                    </w:rPr>
                    <w:t>a=900mm</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行人优先道口警示标牌</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3200*260*80mm</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电力电缆</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ZR-YJV-5×16mm²</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电气配线</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RVSP-4*1.5mm²</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450.00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电气配线</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RVV-3x6mm²</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480.00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电气配线</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RVV-2x1.5mm²</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1600.00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超六类网线</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超六类</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4芯单模光纤</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4芯单模</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电气配线</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RVV-4x1.5</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787.20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电气配线</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RVV-5x1.5</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1046.50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九</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高压引入工程</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电力电缆</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ZA-YJV22-8.7/10KV-3x120mm2</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3125.00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电力电缆</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ZA-YJV22-8.7/10KV-3x70mm2</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8704.00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四间隔户外开关箱</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十</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道闸与保安亭工程</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道闸</w:t>
                  </w:r>
                  <w:r>
                    <w:rPr>
                      <w:sz w:val="21"/>
                    </w:rPr>
                    <w:t>1</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DS-TMG510-X</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道闸</w:t>
                  </w:r>
                  <w:r>
                    <w:rPr>
                      <w:sz w:val="21"/>
                    </w:rPr>
                    <w:t>2</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DS-TMG510-X</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抓拍显示一体机</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DS-TMC400-B</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雷达</w:t>
                  </w:r>
                  <w:r>
                    <w:rPr>
                      <w:sz w:val="21"/>
                    </w:rPr>
                    <w:t>01</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DS-TMG034</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雷达</w:t>
                  </w:r>
                  <w:r>
                    <w:rPr>
                      <w:sz w:val="21"/>
                    </w:rPr>
                    <w:t>02</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DS-TMG034</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服务器管理电脑主机</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显示器</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8口千兆交换机</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AR550C-2C6GE</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4G无线路由器</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减速带</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402.00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电力电缆</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YJV-3×6</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2100.00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电气配线</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RVVSP-8x0.5mm²</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115.00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电气配线</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RVVSP-2x1.0mm²</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115.00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超五类屏蔽网线</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超五类屏蔽网线</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1280.00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通信线</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RVV-3*2.5mm²</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465.00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通信线</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RVV-3*1.0mm²</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195.00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通信线</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RVV-3*1.5mm²</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出入口控制终端</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DS-TPE3XX-S</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停车综合管理平台</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200万像素数字高清高速智能球机</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200万网络高清室内半球</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交换机</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断路器</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成品保安亭</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弱电箱</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4口千兆交换机</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outlineLvl w:val="1"/>
            </w:pPr>
            <w:r>
              <w:rPr>
                <w:sz w:val="21"/>
                <w:b/>
              </w:rPr>
              <w:t>2、备品备件清单</w:t>
            </w:r>
          </w:p>
          <w:tbl>
            <w:tblPr>
              <w:tblInd w:type="dxa" w:w="120"/>
              <w:tblBorders>
                <w:top w:val="none" w:color="000000" w:sz="4"/>
                <w:left w:val="none" w:color="000000" w:sz="4"/>
                <w:bottom w:val="none" w:color="000000" w:sz="4"/>
                <w:right w:val="none" w:color="000000" w:sz="4"/>
                <w:insideH w:val="none"/>
                <w:insideV w:val="none"/>
              </w:tblBorders>
            </w:tblPr>
            <w:tblGrid>
              <w:gridCol w:w="693"/>
              <w:gridCol w:w="2331"/>
              <w:gridCol w:w="712"/>
              <w:gridCol w:w="722"/>
              <w:gridCol w:w="1127"/>
            </w:tblGrid>
            <w:tr>
              <w:tc>
                <w:tcPr>
                  <w:tcW w:type="dxa" w:w="6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23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货物名称</w:t>
                  </w:r>
                </w:p>
              </w:tc>
              <w:tc>
                <w:tcPr>
                  <w:tcW w:type="dxa" w:w="7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7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11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备注</w:t>
                  </w:r>
                </w:p>
              </w:tc>
            </w:tr>
            <w:tr>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挂杆配电箱</w:t>
                  </w:r>
                </w:p>
              </w:tc>
              <w:tc>
                <w:tcPr>
                  <w:tcW w:type="dxa" w:w="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综合智能网关</w:t>
                  </w:r>
                </w:p>
              </w:tc>
              <w:tc>
                <w:tcPr>
                  <w:tcW w:type="dxa" w:w="7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高清球（</w:t>
                  </w:r>
                  <w:r>
                    <w:rPr>
                      <w:sz w:val="21"/>
                    </w:rPr>
                    <w:t>400W）</w:t>
                  </w:r>
                </w:p>
              </w:tc>
              <w:tc>
                <w:tcPr>
                  <w:tcW w:type="dxa" w:w="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2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高清枪（</w:t>
                  </w:r>
                  <w:r>
                    <w:rPr>
                      <w:sz w:val="21"/>
                    </w:rPr>
                    <w:t>400W）</w:t>
                  </w:r>
                </w:p>
              </w:tc>
              <w:tc>
                <w:tcPr>
                  <w:tcW w:type="dxa" w:w="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人脸枪（</w:t>
                  </w:r>
                  <w:r>
                    <w:rPr>
                      <w:sz w:val="21"/>
                    </w:rPr>
                    <w:t>400W）</w:t>
                  </w:r>
                </w:p>
              </w:tc>
              <w:tc>
                <w:tcPr>
                  <w:tcW w:type="dxa" w:w="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2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公共广播</w:t>
                  </w:r>
                </w:p>
              </w:tc>
              <w:tc>
                <w:tcPr>
                  <w:tcW w:type="dxa" w:w="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2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紧急呼叫</w:t>
                  </w:r>
                </w:p>
              </w:tc>
              <w:tc>
                <w:tcPr>
                  <w:tcW w:type="dxa" w:w="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2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信息发布屏（大）</w:t>
                  </w:r>
                </w:p>
              </w:tc>
              <w:tc>
                <w:tcPr>
                  <w:tcW w:type="dxa" w:w="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备主板</w:t>
                  </w:r>
                </w:p>
              </w:tc>
            </w:tr>
            <w:tr>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2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道路井盖监测</w:t>
                  </w:r>
                </w:p>
              </w:tc>
              <w:tc>
                <w:tcPr>
                  <w:tcW w:type="dxa" w:w="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2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单灯控制器</w:t>
                  </w:r>
                </w:p>
              </w:tc>
              <w:tc>
                <w:tcPr>
                  <w:tcW w:type="dxa" w:w="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2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交换机</w:t>
                  </w:r>
                </w:p>
              </w:tc>
              <w:tc>
                <w:tcPr>
                  <w:tcW w:type="dxa" w:w="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2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电源模块</w:t>
                  </w:r>
                </w:p>
              </w:tc>
            </w:tr>
            <w:tr>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2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道闸</w:t>
                  </w:r>
                </w:p>
              </w:tc>
              <w:tc>
                <w:tcPr>
                  <w:tcW w:type="dxa" w:w="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道闸杆</w:t>
                  </w:r>
                </w:p>
              </w:tc>
            </w:tr>
          </w:tbl>
          <w:p/>
        </w:tc>
      </w:tr>
      <w:tr>
        <w:tc>
          <w:tcPr>
            <w:tcW w:type="dxa" w:w="2076"/>
          </w:tcPr>
          <w:p/>
        </w:tc>
        <w:tc>
          <w:tcPr>
            <w:tcW w:type="dxa" w:w="415"/>
          </w:tcPr>
          <w:p>
            <w:pPr>
              <w:pStyle w:val="null3"/>
            </w:pPr>
            <w:r>
              <w:rPr/>
              <w:t>11</w:t>
            </w:r>
          </w:p>
        </w:tc>
        <w:tc>
          <w:tcPr>
            <w:tcW w:type="dxa" w:w="5814"/>
          </w:tcPr>
          <w:p>
            <w:pPr>
              <w:pStyle w:val="null3"/>
              <w:jc w:val="both"/>
              <w:outlineLvl w:val="3"/>
            </w:pPr>
            <w:r>
              <w:rPr>
                <w:sz w:val="24"/>
                <w:b/>
              </w:rPr>
              <w:t>五、运维考核管理</w:t>
            </w:r>
          </w:p>
          <w:p>
            <w:pPr>
              <w:pStyle w:val="null3"/>
              <w:ind w:left="1110"/>
              <w:jc w:val="both"/>
              <w:outlineLvl w:val="1"/>
            </w:pPr>
            <w:r>
              <w:rPr>
                <w:sz w:val="21"/>
                <w:b/>
              </w:rPr>
              <w:t>1．</w:t>
            </w:r>
            <w:r>
              <w:rPr>
                <w:sz w:val="21"/>
                <w:b/>
              </w:rPr>
              <w:t>运维考核管理综合评分</w:t>
            </w:r>
          </w:p>
          <w:p>
            <w:pPr>
              <w:pStyle w:val="null3"/>
              <w:ind w:firstLine="420"/>
              <w:jc w:val="both"/>
            </w:pPr>
            <w:r>
              <w:rPr>
                <w:sz w:val="21"/>
              </w:rPr>
              <w:t>运维考核管理综合评分表（详见表一</w:t>
            </w:r>
            <w:r>
              <w:rPr>
                <w:sz w:val="21"/>
              </w:rPr>
              <w:t>:</w:t>
            </w:r>
            <w:r>
              <w:rPr>
                <w:sz w:val="21"/>
              </w:rPr>
              <w:t>综合评分表）分为人员组织架构管理、项目日常管理及各个专项现场养护管理</w:t>
            </w:r>
            <w:r>
              <w:rPr>
                <w:sz w:val="21"/>
              </w:rPr>
              <w:t>(详见表二~表八</w:t>
            </w:r>
            <w:r>
              <w:rPr>
                <w:sz w:val="21"/>
              </w:rPr>
              <w:t>)</w:t>
            </w:r>
            <w:r>
              <w:rPr>
                <w:sz w:val="21"/>
              </w:rPr>
              <w:t>三部分组成。运维按季度进行考核，考核评分采用综合评分制，其中人员组织架构</w:t>
            </w:r>
            <w:r>
              <w:rPr>
                <w:sz w:val="21"/>
              </w:rPr>
              <w:t>10分，项目日常管理考核2</w:t>
            </w:r>
            <w:r>
              <w:rPr>
                <w:sz w:val="21"/>
              </w:rPr>
              <w:t>0</w:t>
            </w:r>
            <w:r>
              <w:rPr>
                <w:sz w:val="21"/>
              </w:rPr>
              <w:t>分，现场管理的子模块加权分</w:t>
            </w:r>
            <w:r>
              <w:rPr>
                <w:sz w:val="21"/>
              </w:rPr>
              <w:t>70分，合计</w:t>
            </w:r>
            <w:r>
              <w:rPr>
                <w:sz w:val="21"/>
              </w:rPr>
              <w:t>100</w:t>
            </w:r>
            <w:r>
              <w:rPr>
                <w:sz w:val="21"/>
              </w:rPr>
              <w:t>分。</w:t>
            </w:r>
          </w:p>
          <w:p>
            <w:pPr>
              <w:pStyle w:val="null3"/>
              <w:ind w:firstLine="420"/>
              <w:jc w:val="both"/>
            </w:pPr>
            <w:r>
              <w:rPr>
                <w:sz w:val="21"/>
              </w:rPr>
              <w:t>注：（</w:t>
            </w:r>
            <w:r>
              <w:rPr>
                <w:sz w:val="21"/>
              </w:rPr>
              <w:t>1）</w:t>
            </w:r>
            <w:r>
              <w:rPr>
                <w:sz w:val="21"/>
              </w:rPr>
              <w:t>采购人对中标人提供的服务质量进行年度评估并给出评估分数。评估分为优（得分</w:t>
            </w:r>
            <w:r>
              <w:rPr>
                <w:sz w:val="21"/>
              </w:rPr>
              <w:t>≥90分）、良（80分≤得分＜90分）、中（70分≤得分＜80分）、差（得分＜70分）四个等级。</w:t>
            </w:r>
          </w:p>
          <w:p>
            <w:pPr>
              <w:pStyle w:val="null3"/>
              <w:ind w:firstLine="420"/>
              <w:jc w:val="both"/>
            </w:pPr>
            <w:r>
              <w:rPr>
                <w:sz w:val="21"/>
              </w:rPr>
              <w:t>1）考核总体规则</w:t>
            </w:r>
          </w:p>
          <w:p>
            <w:pPr>
              <w:pStyle w:val="null3"/>
              <w:ind w:firstLine="420"/>
              <w:jc w:val="both"/>
            </w:pPr>
            <w:r>
              <w:rPr>
                <w:sz w:val="21"/>
              </w:rPr>
              <w:t>季度考评为</w:t>
            </w:r>
            <w:r>
              <w:rPr>
                <w:sz w:val="21"/>
              </w:rPr>
              <w:t>“优”，不扣除年度维护服务费；</w:t>
            </w:r>
          </w:p>
          <w:p>
            <w:pPr>
              <w:pStyle w:val="null3"/>
              <w:ind w:firstLine="420"/>
              <w:jc w:val="both"/>
            </w:pPr>
            <w:r>
              <w:rPr>
                <w:sz w:val="21"/>
              </w:rPr>
              <w:t>季度考评为</w:t>
            </w:r>
            <w:r>
              <w:rPr>
                <w:sz w:val="21"/>
              </w:rPr>
              <w:t>“良”，则扣除年度维护服务费的1%；</w:t>
            </w:r>
          </w:p>
          <w:p>
            <w:pPr>
              <w:pStyle w:val="null3"/>
              <w:ind w:firstLine="420"/>
              <w:jc w:val="both"/>
            </w:pPr>
            <w:r>
              <w:rPr>
                <w:sz w:val="21"/>
              </w:rPr>
              <w:t>季度考评为</w:t>
            </w:r>
            <w:r>
              <w:rPr>
                <w:sz w:val="21"/>
              </w:rPr>
              <w:t>“中”，则扣除年度维护服务费的5%；</w:t>
            </w:r>
          </w:p>
          <w:p>
            <w:pPr>
              <w:pStyle w:val="null3"/>
              <w:ind w:firstLine="420"/>
              <w:jc w:val="both"/>
            </w:pPr>
            <w:r>
              <w:rPr>
                <w:sz w:val="21"/>
              </w:rPr>
              <w:t>季度考评为</w:t>
            </w:r>
            <w:r>
              <w:rPr>
                <w:sz w:val="21"/>
              </w:rPr>
              <w:t>“差”，则扣除年度维护服务费的10%。</w:t>
            </w:r>
          </w:p>
          <w:p>
            <w:pPr>
              <w:pStyle w:val="null3"/>
              <w:ind w:firstLine="420"/>
              <w:jc w:val="both"/>
            </w:pPr>
            <w:r>
              <w:rPr>
                <w:sz w:val="21"/>
              </w:rPr>
              <w:t>表一：综合评分表</w:t>
            </w:r>
          </w:p>
          <w:tbl>
            <w:tblPr>
              <w:tblBorders>
                <w:top w:val="none" w:color="000000" w:sz="4"/>
                <w:left w:val="none" w:color="000000" w:sz="4"/>
                <w:bottom w:val="none" w:color="000000" w:sz="4"/>
                <w:right w:val="none" w:color="000000" w:sz="4"/>
                <w:insideH w:val="none"/>
                <w:insideV w:val="none"/>
              </w:tblBorders>
            </w:tblPr>
            <w:tblGrid>
              <w:gridCol w:w="462"/>
              <w:gridCol w:w="1226"/>
              <w:gridCol w:w="1608"/>
              <w:gridCol w:w="472"/>
              <w:gridCol w:w="753"/>
              <w:gridCol w:w="562"/>
              <w:gridCol w:w="472"/>
            </w:tblGrid>
            <w:tr>
              <w:tc>
                <w:tcPr>
                  <w:tcW w:type="dxa" w:w="1688"/>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项目时间：</w:t>
                  </w:r>
                </w:p>
              </w:tc>
              <w:tc>
                <w:tcPr>
                  <w:tcW w:type="dxa" w:w="3867"/>
                  <w:gridSpan w:val="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考核总得分：</w:t>
                  </w:r>
                  <w:r>
                    <w:rPr>
                      <w:sz w:val="21"/>
                    </w:rPr>
                    <w:t xml:space="preserve">      </w:t>
                  </w:r>
                  <w:r>
                    <w:rPr>
                      <w:sz w:val="21"/>
                    </w:rPr>
                    <w:t>（总分值：</w:t>
                  </w:r>
                  <w:r>
                    <w:rPr>
                      <w:sz w:val="21"/>
                    </w:rPr>
                    <w:t>100分）</w:t>
                  </w:r>
                </w:p>
              </w:tc>
            </w:tr>
            <w:tr>
              <w:tc>
                <w:tcPr>
                  <w:tcW w:type="dxa" w:w="168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项目名称：</w:t>
                  </w:r>
                </w:p>
              </w:tc>
              <w:tc>
                <w:tcPr>
                  <w:tcW w:type="dxa" w:w="3867"/>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维护单位</w:t>
                  </w:r>
                  <w:r>
                    <w:rPr>
                      <w:sz w:val="21"/>
                    </w:rPr>
                    <w:t>:</w:t>
                  </w:r>
                </w:p>
              </w:tc>
            </w:tr>
            <w:tr>
              <w:tc>
                <w:tcPr>
                  <w:tcW w:type="dxa" w:w="168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维护单位经办人</w:t>
                  </w:r>
                  <w:r>
                    <w:rPr>
                      <w:sz w:val="21"/>
                    </w:rPr>
                    <w:t>:</w:t>
                  </w:r>
                </w:p>
              </w:tc>
              <w:tc>
                <w:tcPr>
                  <w:tcW w:type="dxa" w:w="3867"/>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维护单位负责人：</w:t>
                  </w:r>
                </w:p>
              </w:tc>
            </w:tr>
            <w:tr>
              <w:tc>
                <w:tcPr>
                  <w:tcW w:type="dxa" w:w="5555"/>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社会事务局考核人员</w:t>
                  </w:r>
                  <w:r>
                    <w:rPr>
                      <w:sz w:val="21"/>
                    </w:rPr>
                    <w:t>:</w:t>
                  </w:r>
                </w:p>
              </w:tc>
            </w:tr>
            <w:tr>
              <w:tc>
                <w:tcPr>
                  <w:tcW w:type="dxa" w:w="46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5093"/>
                  <w:gridSpan w:val="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一、人员管理</w:t>
                  </w:r>
                  <w:r>
                    <w:rPr>
                      <w:sz w:val="21"/>
                    </w:rPr>
                    <w:t>(总分10分)</w:t>
                  </w:r>
                </w:p>
              </w:tc>
            </w:tr>
            <w:tr>
              <w:tc>
                <w:tcPr>
                  <w:tcW w:type="dxa" w:w="462"/>
                  <w:vMerge/>
                  <w:tcBorders>
                    <w:top w:val="none" w:color="000000" w:sz="4"/>
                    <w:left w:val="single" w:color="000000" w:sz="4"/>
                    <w:bottom w:val="single" w:color="000000" w:sz="4"/>
                    <w:right w:val="single" w:color="000000" w:sz="4"/>
                  </w:tcBorders>
                </w:tcPr>
                <w:p/>
              </w:tc>
              <w:tc>
                <w:tcPr>
                  <w:tcW w:type="dxa" w:w="1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考核标准</w:t>
                  </w:r>
                </w:p>
              </w:tc>
              <w:tc>
                <w:tcPr>
                  <w:tcW w:type="dxa" w:w="16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考核内容</w:t>
                  </w:r>
                </w:p>
              </w:tc>
              <w:tc>
                <w:tcPr>
                  <w:tcW w:type="dxa" w:w="4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分值</w:t>
                  </w:r>
                </w:p>
              </w:tc>
              <w:tc>
                <w:tcPr>
                  <w:tcW w:type="dxa" w:w="7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扣分标准</w:t>
                  </w:r>
                </w:p>
              </w:tc>
              <w:tc>
                <w:tcPr>
                  <w:tcW w:type="dxa" w:w="5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扣分</w:t>
                  </w:r>
                </w:p>
              </w:tc>
              <w:tc>
                <w:tcPr>
                  <w:tcW w:type="dxa" w:w="4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得分</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2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人员是否按照中标合同要求进行配置，包括人员数量，证件是否匹配</w:t>
                  </w:r>
                </w:p>
              </w:tc>
              <w:tc>
                <w:tcPr>
                  <w:tcW w:type="dxa" w:w="1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人员数量未按要求配置</w:t>
                  </w:r>
                </w:p>
              </w:tc>
              <w:tc>
                <w:tcPr>
                  <w:tcW w:type="dxa" w:w="4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1分/人</w:t>
                  </w:r>
                </w:p>
              </w:tc>
              <w:tc>
                <w:tcPr>
                  <w:tcW w:type="dxa" w:w="5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226"/>
                  <w:vMerge/>
                  <w:tcBorders>
                    <w:top w:val="none" w:color="000000" w:sz="4"/>
                    <w:left w:val="none" w:color="000000" w:sz="4"/>
                    <w:bottom w:val="single" w:color="000000" w:sz="4"/>
                    <w:right w:val="single" w:color="000000" w:sz="4"/>
                  </w:tcBorders>
                </w:tcPr>
                <w:p/>
              </w:tc>
              <w:tc>
                <w:tcPr>
                  <w:tcW w:type="dxa" w:w="1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相关人员未取得相关证件缺失（项目经理和技术负责人）</w:t>
                  </w:r>
                </w:p>
              </w:tc>
              <w:tc>
                <w:tcPr>
                  <w:tcW w:type="dxa" w:w="472"/>
                  <w:vMerge/>
                  <w:tcBorders>
                    <w:top w:val="none" w:color="000000" w:sz="4"/>
                    <w:left w:val="none" w:color="000000" w:sz="4"/>
                    <w:bottom w:val="single" w:color="000000" w:sz="4"/>
                    <w:right w:val="single" w:color="000000" w:sz="4"/>
                  </w:tcBorders>
                </w:tcPr>
                <w:p/>
              </w:tc>
              <w:tc>
                <w:tcPr>
                  <w:tcW w:type="dxa" w:w="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1分/次</w:t>
                  </w:r>
                </w:p>
              </w:tc>
              <w:tc>
                <w:tcPr>
                  <w:tcW w:type="dxa" w:w="562"/>
                  <w:vMerge/>
                  <w:tcBorders>
                    <w:top w:val="none" w:color="000000" w:sz="4"/>
                    <w:left w:val="none" w:color="000000" w:sz="4"/>
                    <w:bottom w:val="single" w:color="000000" w:sz="4"/>
                    <w:right w:val="single" w:color="000000" w:sz="4"/>
                  </w:tcBorders>
                </w:tcPr>
                <w:p/>
              </w:tc>
              <w:tc>
                <w:tcPr>
                  <w:tcW w:type="dxa" w:w="472"/>
                  <w:vMerge/>
                  <w:tcBorders>
                    <w:top w:val="none" w:color="000000" w:sz="4"/>
                    <w:left w:val="none" w:color="000000" w:sz="4"/>
                    <w:bottom w:val="single" w:color="000000" w:sz="4"/>
                    <w:right w:val="single" w:color="000000" w:sz="4"/>
                  </w:tcBorders>
                </w:tc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226"/>
                  <w:vMerge/>
                  <w:tcBorders>
                    <w:top w:val="none" w:color="000000" w:sz="4"/>
                    <w:left w:val="none" w:color="000000" w:sz="4"/>
                    <w:bottom w:val="single" w:color="000000" w:sz="4"/>
                    <w:right w:val="single" w:color="000000" w:sz="4"/>
                  </w:tcBorders>
                </w:tcPr>
                <w:p/>
              </w:tc>
              <w:tc>
                <w:tcPr>
                  <w:tcW w:type="dxa" w:w="1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相关人员证件弄虚作假</w:t>
                  </w:r>
                </w:p>
              </w:tc>
              <w:tc>
                <w:tcPr>
                  <w:tcW w:type="dxa" w:w="472"/>
                  <w:vMerge/>
                  <w:tcBorders>
                    <w:top w:val="none" w:color="000000" w:sz="4"/>
                    <w:left w:val="none" w:color="000000" w:sz="4"/>
                    <w:bottom w:val="single" w:color="000000" w:sz="4"/>
                    <w:right w:val="single" w:color="000000" w:sz="4"/>
                  </w:tcBorders>
                </w:tcPr>
                <w:p/>
              </w:tc>
              <w:tc>
                <w:tcPr>
                  <w:tcW w:type="dxa" w:w="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1分/次</w:t>
                  </w:r>
                </w:p>
              </w:tc>
              <w:tc>
                <w:tcPr>
                  <w:tcW w:type="dxa" w:w="562"/>
                  <w:vMerge/>
                  <w:tcBorders>
                    <w:top w:val="none" w:color="000000" w:sz="4"/>
                    <w:left w:val="none" w:color="000000" w:sz="4"/>
                    <w:bottom w:val="single" w:color="000000" w:sz="4"/>
                    <w:right w:val="single" w:color="000000" w:sz="4"/>
                  </w:tcBorders>
                </w:tcPr>
                <w:p/>
              </w:tc>
              <w:tc>
                <w:tcPr>
                  <w:tcW w:type="dxa" w:w="472"/>
                  <w:vMerge/>
                  <w:tcBorders>
                    <w:top w:val="none" w:color="000000" w:sz="4"/>
                    <w:left w:val="none" w:color="000000" w:sz="4"/>
                    <w:bottom w:val="single" w:color="000000" w:sz="4"/>
                    <w:right w:val="single" w:color="000000" w:sz="4"/>
                  </w:tcBorders>
                </w:tc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安排人员上岗培训和定期组织安全培训</w:t>
                  </w:r>
                </w:p>
              </w:tc>
              <w:tc>
                <w:tcPr>
                  <w:tcW w:type="dxa" w:w="160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未提供培训记录</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75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1分/次</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2"/>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2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对各种保障维修工作能按时按质完成，并及时反馈处理情况。服务态度好、积极，及时纠正错误。如实上报各类实情，不存在瞒报、篡改现象。</w:t>
                  </w:r>
                </w:p>
              </w:tc>
              <w:tc>
                <w:tcPr>
                  <w:tcW w:type="dxa" w:w="1608"/>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人员服务态度差，瞒报、漏报、篡改现象</w:t>
                  </w:r>
                </w:p>
              </w:tc>
              <w:tc>
                <w:tcPr>
                  <w:tcW w:type="dxa" w:w="4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753"/>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0.5分/次</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2"/>
                  <w:vMerge/>
                  <w:tcBorders>
                    <w:top w:val="none" w:color="000000" w:sz="4"/>
                    <w:left w:val="single" w:color="000000" w:sz="4"/>
                    <w:bottom w:val="none" w:color="000000" w:sz="4"/>
                    <w:right w:val="single" w:color="000000" w:sz="4"/>
                  </w:tcBorders>
                </w:tcPr>
                <w:p/>
              </w:tc>
              <w:tc>
                <w:tcPr>
                  <w:tcW w:type="dxa" w:w="1226"/>
                  <w:vMerge/>
                  <w:tcBorders>
                    <w:top w:val="none" w:color="000000" w:sz="4"/>
                    <w:left w:val="none" w:color="000000" w:sz="4"/>
                    <w:bottom w:val="single" w:color="000000" w:sz="4"/>
                    <w:right w:val="single" w:color="000000" w:sz="4"/>
                  </w:tcBorders>
                </w:tcPr>
                <w:p/>
              </w:tc>
              <w:tc>
                <w:tcPr>
                  <w:tcW w:type="dxa" w:w="1608"/>
                  <w:vMerge/>
                  <w:tcBorders>
                    <w:top w:val="single" w:color="000000" w:sz="4"/>
                    <w:left w:val="none" w:color="000000" w:sz="4"/>
                    <w:bottom w:val="none" w:color="000000" w:sz="4"/>
                    <w:right w:val="single" w:color="000000" w:sz="4"/>
                  </w:tcBorders>
                </w:tcPr>
                <w:p/>
              </w:tc>
              <w:tc>
                <w:tcPr>
                  <w:tcW w:type="dxa" w:w="472"/>
                  <w:vMerge/>
                  <w:tcBorders>
                    <w:top w:val="none" w:color="000000" w:sz="4"/>
                    <w:left w:val="none" w:color="000000" w:sz="4"/>
                    <w:bottom w:val="single" w:color="000000" w:sz="4"/>
                    <w:right w:val="single" w:color="000000" w:sz="4"/>
                  </w:tcBorders>
                </w:tcPr>
                <w:p/>
              </w:tc>
              <w:tc>
                <w:tcPr>
                  <w:tcW w:type="dxa" w:w="753"/>
                  <w:vMerge/>
                  <w:tcBorders>
                    <w:top w:val="single" w:color="000000" w:sz="4"/>
                    <w:left w:val="none" w:color="000000" w:sz="4"/>
                    <w:bottom w:val="none" w:color="000000" w:sz="4"/>
                    <w:right w:val="single" w:color="000000" w:sz="4"/>
                  </w:tcBorders>
                </w:tcP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1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人员调整提前</w:t>
                  </w:r>
                  <w:r>
                    <w:rPr>
                      <w:sz w:val="21"/>
                    </w:rPr>
                    <w:t>1周备案</w:t>
                  </w:r>
                </w:p>
              </w:tc>
              <w:tc>
                <w:tcPr>
                  <w:tcW w:type="dxa" w:w="1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未报备</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0.2分/次</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二</w:t>
                  </w:r>
                </w:p>
              </w:tc>
              <w:tc>
                <w:tcPr>
                  <w:tcW w:type="dxa" w:w="5093"/>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日常管理</w:t>
                  </w:r>
                  <w:r>
                    <w:rPr>
                      <w:sz w:val="21"/>
                    </w:rPr>
                    <w:t>(总分20分)</w:t>
                  </w:r>
                </w:p>
              </w:tc>
            </w:tr>
            <w:tr>
              <w:tc>
                <w:tcPr>
                  <w:tcW w:type="dxa" w:w="462"/>
                  <w:vMerge/>
                  <w:tcBorders>
                    <w:top w:val="none" w:color="000000" w:sz="4"/>
                    <w:left w:val="single" w:color="000000" w:sz="4"/>
                    <w:bottom w:val="single" w:color="000000" w:sz="4"/>
                    <w:right w:val="single" w:color="000000" w:sz="4"/>
                  </w:tcBorders>
                </w:tcPr>
                <w:p/>
              </w:tc>
              <w:tc>
                <w:tcPr>
                  <w:tcW w:type="dxa" w:w="1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考核标准</w:t>
                  </w:r>
                </w:p>
              </w:tc>
              <w:tc>
                <w:tcPr>
                  <w:tcW w:type="dxa" w:w="16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考核内容</w:t>
                  </w:r>
                </w:p>
              </w:tc>
              <w:tc>
                <w:tcPr>
                  <w:tcW w:type="dxa" w:w="4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分值</w:t>
                  </w:r>
                </w:p>
              </w:tc>
              <w:tc>
                <w:tcPr>
                  <w:tcW w:type="dxa" w:w="7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扣分标准</w:t>
                  </w:r>
                </w:p>
              </w:tc>
              <w:tc>
                <w:tcPr>
                  <w:tcW w:type="dxa" w:w="5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扣分</w:t>
                  </w:r>
                </w:p>
              </w:tc>
              <w:tc>
                <w:tcPr>
                  <w:tcW w:type="dxa" w:w="4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得分</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1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管理制度（管理岗位职责、文明施工制度等）</w:t>
                  </w:r>
                </w:p>
              </w:tc>
              <w:tc>
                <w:tcPr>
                  <w:tcW w:type="dxa" w:w="1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未按要求设置管理制度</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0.5分/次</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1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设备、材料及工具必须分区摆设</w:t>
                  </w:r>
                </w:p>
              </w:tc>
              <w:tc>
                <w:tcPr>
                  <w:tcW w:type="dxa" w:w="1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未按要求分区摆设</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0.5分/次</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1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应建立每日巡查制度，每晚亮灯后，必须对养护范围内的所有路段检查一次亮灯情况并按要求填好路灯运行情况记录表格，同时要求对存在较大问题的路段进行拍照，每周一提交上周的巡查记录表、故障处理情况表和相关的图片等各项记录表格和资料台帐，记录表格等资料如有弄虚作假，采购人调查认定情况属实的</w:t>
                  </w:r>
                </w:p>
              </w:tc>
              <w:tc>
                <w:tcPr>
                  <w:tcW w:type="dxa" w:w="1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未按要求巡查或及时上交巡查记录等各项资料或弄虚作假的</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0.5分/处</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12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实行路灯、照明设施、视频监控、电子警察、交通信号灯、公交站台及其他设备户籍手册，做到所有设备都有档案记录</w:t>
                  </w:r>
                </w:p>
              </w:tc>
              <w:tc>
                <w:tcPr>
                  <w:tcW w:type="dxa" w:w="1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未建立户籍手册或未及时更新</w:t>
                  </w:r>
                </w:p>
              </w:tc>
              <w:tc>
                <w:tcPr>
                  <w:tcW w:type="dxa" w:w="4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1分/次</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1226"/>
                  <w:vMerge/>
                  <w:tcBorders>
                    <w:top w:val="none" w:color="000000" w:sz="4"/>
                    <w:left w:val="none" w:color="000000" w:sz="4"/>
                    <w:bottom w:val="single" w:color="000000" w:sz="4"/>
                    <w:right w:val="single" w:color="000000" w:sz="4"/>
                  </w:tcBorders>
                </w:tcPr>
                <w:p/>
              </w:tc>
              <w:tc>
                <w:tcPr>
                  <w:tcW w:type="dxa" w:w="1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未录入户籍手册或未及时更新</w:t>
                  </w:r>
                </w:p>
              </w:tc>
              <w:tc>
                <w:tcPr>
                  <w:tcW w:type="dxa" w:w="472"/>
                  <w:vMerge/>
                  <w:tcBorders>
                    <w:top w:val="none" w:color="000000" w:sz="4"/>
                    <w:left w:val="none" w:color="000000" w:sz="4"/>
                    <w:bottom w:val="single" w:color="000000" w:sz="4"/>
                    <w:right w:val="single" w:color="000000" w:sz="4"/>
                  </w:tcBorders>
                </w:tcPr>
                <w:p/>
              </w:tc>
              <w:tc>
                <w:tcPr>
                  <w:tcW w:type="dxa" w:w="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0.1分/处</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1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实行高处作业双报备制度，每月需配合采购人填写有关资料表格，接受采购人现场监督检查，完成有关工作台帐资料上交</w:t>
                  </w:r>
                </w:p>
              </w:tc>
              <w:tc>
                <w:tcPr>
                  <w:tcW w:type="dxa" w:w="1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未按要求进行配合双报备或未按要求上交各项工作台帐资料</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0.5分/次</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1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在进行养护作业时操作人员必须穿反光服、戴安全帽，维修现场设置规范的安全警示标志，并严格遵守国家电工安全操作规程规范，按文件落实各项安全生产和各项防疫要求</w:t>
                  </w:r>
                </w:p>
              </w:tc>
              <w:tc>
                <w:tcPr>
                  <w:tcW w:type="dxa" w:w="1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未按要求执行</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0.5分/次</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1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操作人员须持证上岗，如驾驶员要持有驾驶证，维修人员要持有电工证、高处作业证等</w:t>
                  </w:r>
                </w:p>
              </w:tc>
              <w:tc>
                <w:tcPr>
                  <w:tcW w:type="dxa" w:w="1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发现无证上岗</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0.5分/次</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1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根据《中标合同》要求，要有一定数量的灯具、</w:t>
                  </w:r>
                  <w:r>
                    <w:rPr>
                      <w:sz w:val="21"/>
                    </w:rPr>
                    <w:t>LED模组、电源、电缆、玉兰灯、摄像头、交换机等常用设备配件的库存</w:t>
                  </w:r>
                </w:p>
              </w:tc>
              <w:tc>
                <w:tcPr>
                  <w:tcW w:type="dxa" w:w="1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未按《中标合同清单》中备件清单备件</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0.5分/项/次</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2.10</w:t>
                  </w:r>
                </w:p>
              </w:tc>
              <w:tc>
                <w:tcPr>
                  <w:tcW w:type="dxa" w:w="12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按照招标内容配备相应的作业车辆和作业人员</w:t>
                  </w:r>
                </w:p>
              </w:tc>
              <w:tc>
                <w:tcPr>
                  <w:tcW w:type="dxa" w:w="1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未按要求配备作业车辆</w:t>
                  </w:r>
                </w:p>
              </w:tc>
              <w:tc>
                <w:tcPr>
                  <w:tcW w:type="dxa" w:w="4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0.5分/辆</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2.11</w:t>
                  </w:r>
                </w:p>
              </w:tc>
              <w:tc>
                <w:tcPr>
                  <w:tcW w:type="dxa" w:w="1226"/>
                  <w:vMerge/>
                  <w:tcBorders>
                    <w:top w:val="none" w:color="000000" w:sz="4"/>
                    <w:left w:val="none" w:color="000000" w:sz="4"/>
                    <w:bottom w:val="single" w:color="000000" w:sz="4"/>
                    <w:right w:val="single" w:color="000000" w:sz="4"/>
                  </w:tcBorders>
                </w:tcPr>
                <w:p/>
              </w:tc>
              <w:tc>
                <w:tcPr>
                  <w:tcW w:type="dxa" w:w="1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未按要求配备作业人员</w:t>
                  </w:r>
                </w:p>
              </w:tc>
              <w:tc>
                <w:tcPr>
                  <w:tcW w:type="dxa" w:w="472"/>
                  <w:vMerge/>
                  <w:tcBorders>
                    <w:top w:val="none" w:color="000000" w:sz="4"/>
                    <w:left w:val="none" w:color="000000" w:sz="4"/>
                    <w:bottom w:val="single" w:color="000000" w:sz="4"/>
                    <w:right w:val="single" w:color="000000" w:sz="4"/>
                  </w:tcBorders>
                </w:tcPr>
                <w:p/>
              </w:tc>
              <w:tc>
                <w:tcPr>
                  <w:tcW w:type="dxa" w:w="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0.5分/人</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2.12</w:t>
                  </w:r>
                </w:p>
              </w:tc>
              <w:tc>
                <w:tcPr>
                  <w:tcW w:type="dxa" w:w="12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若因养护不到位受到市民投诉（除突发外在因素造成，如车祸、道路、绿化施工破坏）</w:t>
                  </w:r>
                </w:p>
              </w:tc>
              <w:tc>
                <w:tcPr>
                  <w:tcW w:type="dxa" w:w="1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养护不到位引起的投诉</w:t>
                  </w:r>
                </w:p>
              </w:tc>
              <w:tc>
                <w:tcPr>
                  <w:tcW w:type="dxa" w:w="4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1分/次</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2.13</w:t>
                  </w:r>
                </w:p>
              </w:tc>
              <w:tc>
                <w:tcPr>
                  <w:tcW w:type="dxa" w:w="1226"/>
                  <w:vMerge/>
                  <w:tcBorders>
                    <w:top w:val="none" w:color="000000" w:sz="4"/>
                    <w:left w:val="none" w:color="000000" w:sz="4"/>
                    <w:bottom w:val="single" w:color="000000" w:sz="4"/>
                    <w:right w:val="single" w:color="000000" w:sz="4"/>
                  </w:tcBorders>
                </w:tcPr>
                <w:p/>
              </w:tc>
              <w:tc>
                <w:tcPr>
                  <w:tcW w:type="dxa" w:w="1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受到媒体曝光或一个月内再次受到投诉</w:t>
                  </w:r>
                </w:p>
              </w:tc>
              <w:tc>
                <w:tcPr>
                  <w:tcW w:type="dxa" w:w="472"/>
                  <w:vMerge/>
                  <w:tcBorders>
                    <w:top w:val="none" w:color="000000" w:sz="4"/>
                    <w:left w:val="none" w:color="000000" w:sz="4"/>
                    <w:bottom w:val="single" w:color="000000" w:sz="4"/>
                    <w:right w:val="single" w:color="000000" w:sz="4"/>
                  </w:tcBorders>
                </w:tcPr>
                <w:p/>
              </w:tc>
              <w:tc>
                <w:tcPr>
                  <w:tcW w:type="dxa" w:w="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1分/次</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2.14</w:t>
                  </w:r>
                </w:p>
              </w:tc>
              <w:tc>
                <w:tcPr>
                  <w:tcW w:type="dxa" w:w="1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前线人员社保缴纳证明</w:t>
                  </w:r>
                </w:p>
              </w:tc>
              <w:tc>
                <w:tcPr>
                  <w:tcW w:type="dxa" w:w="1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检查发现没有按规定购买相关保险的</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0.5分/人次</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2.15</w:t>
                  </w:r>
                </w:p>
              </w:tc>
              <w:tc>
                <w:tcPr>
                  <w:tcW w:type="dxa" w:w="1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每季度资料归档要求及时及完整性</w:t>
                  </w:r>
                </w:p>
              </w:tc>
              <w:tc>
                <w:tcPr>
                  <w:tcW w:type="dxa" w:w="1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每季度需要归档资料：</w:t>
                  </w:r>
                  <w:r>
                    <w:rPr>
                      <w:sz w:val="21"/>
                    </w:rPr>
                    <w:t>1、巡查、维修情况汇总表；2、安全生产检查台账；3、处理投诉维修台账；4、路灯清理台账；5、隐患排查和整改情况台账；6、亮灯时间调整台账；7、工作日志；8、养护评分表；9、照度检查、防漏电检查；10、每周会议资料</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不完整或不更新，</w:t>
                  </w:r>
                  <w:r>
                    <w:rPr>
                      <w:sz w:val="21"/>
                    </w:rPr>
                    <w:t>0.2分/次</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2.16</w:t>
                  </w:r>
                </w:p>
              </w:tc>
              <w:tc>
                <w:tcPr>
                  <w:tcW w:type="dxa" w:w="1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其它资料归档要求及时及完整性</w:t>
                  </w:r>
                </w:p>
              </w:tc>
              <w:tc>
                <w:tcPr>
                  <w:tcW w:type="dxa" w:w="1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其它需要归档资料：</w:t>
                  </w:r>
                  <w:r>
                    <w:rPr>
                      <w:sz w:val="21"/>
                    </w:rPr>
                    <w:t>1、高空作业报备 (按维修安排次数)，2、安全演练资料(一年两次或以上)，3、照明设施安全保护系统检查台账 (一年两次，每半年一次)，4、灯杆翻新台账 (每年)，5、箱变检测台账(附第三方检查报告，每年一次)，6、述安述职资料 (一年两次，每半年一次)，7、电力电缆常规检测 (一年四次)， 9、安全培训台账(按实际情况汇总)，10、市民满意度调查（一年一次）</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不完整或不更新，</w:t>
                  </w:r>
                  <w:r>
                    <w:rPr>
                      <w:sz w:val="21"/>
                    </w:rPr>
                    <w:t>0.2分/次</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2.17</w:t>
                  </w:r>
                </w:p>
              </w:tc>
              <w:tc>
                <w:tcPr>
                  <w:tcW w:type="dxa" w:w="1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要求具有养护组织实施方案</w:t>
                  </w:r>
                </w:p>
              </w:tc>
              <w:tc>
                <w:tcPr>
                  <w:tcW w:type="dxa" w:w="1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中标人编制养护组织实施方案，按实际情况及时更新，要求留存归档</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不完整或不更新，</w:t>
                  </w:r>
                  <w:r>
                    <w:rPr>
                      <w:sz w:val="21"/>
                    </w:rPr>
                    <w:t>0.5分/次</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w:t>
                  </w:r>
                </w:p>
              </w:tc>
              <w:tc>
                <w:tcPr>
                  <w:tcW w:type="dxa" w:w="5093"/>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现场管理的子模块</w:t>
                  </w:r>
                  <w:r>
                    <w:rPr>
                      <w:sz w:val="21"/>
                      <w:b/>
                    </w:rPr>
                    <w:t>(总分70分)</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1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按照《表二</w:t>
                  </w:r>
                  <w:r>
                    <w:rPr>
                      <w:sz w:val="21"/>
                    </w:rPr>
                    <w:t>.照明设施养护评分表》执行</w:t>
                  </w:r>
                </w:p>
              </w:tc>
              <w:tc>
                <w:tcPr>
                  <w:tcW w:type="dxa" w:w="16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对智慧灯杆、综合箱、灯具、单灯控制器、箱变等照明设施设备的现场养护质量检查</w:t>
                  </w:r>
                </w:p>
              </w:tc>
              <w:tc>
                <w:tcPr>
                  <w:tcW w:type="dxa" w:w="4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753"/>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按照权重来分配，照明设施养护占总分</w:t>
                  </w:r>
                  <w:r>
                    <w:rPr>
                      <w:sz w:val="21"/>
                    </w:rPr>
                    <w:t>20%,道路视频监控系统养护占总分15%，电子警察系统养护占总分10%,交通信号控制系统占总分10%，公交站台智能化设备占总分5%，智能交通标志牌系统养护占总分5%，其它设备养护占总分5%,具体扣分标准详见各考核评价表</w:t>
                  </w:r>
                </w:p>
              </w:tc>
              <w:tc>
                <w:tcPr>
                  <w:tcW w:type="dxa" w:w="5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c>
                <w:tcPr>
                  <w:tcW w:type="dxa" w:w="1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按照《表三</w:t>
                  </w:r>
                  <w:r>
                    <w:rPr>
                      <w:sz w:val="21"/>
                    </w:rPr>
                    <w:t>.道路视频监控系统运行考核评分表》执行</w:t>
                  </w:r>
                </w:p>
              </w:tc>
              <w:tc>
                <w:tcPr>
                  <w:tcW w:type="dxa" w:w="1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对高清摄像机、人脸微卡、交换机等视频监控系统的现场养护质量检查</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753"/>
                  <w:vMerge/>
                  <w:tcBorders>
                    <w:top w:val="single" w:color="000000" w:sz="4"/>
                    <w:left w:val="none" w:color="000000" w:sz="4"/>
                    <w:bottom w:val="single" w:color="000000" w:sz="4"/>
                    <w:right w:val="single" w:color="000000" w:sz="4"/>
                  </w:tcBorders>
                </w:tcP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c>
                <w:tcPr>
                  <w:tcW w:type="dxa" w:w="1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按照《表四</w:t>
                  </w:r>
                  <w:r>
                    <w:rPr>
                      <w:sz w:val="21"/>
                    </w:rPr>
                    <w:t>.电子警察系统运行考核评分表》执行</w:t>
                  </w:r>
                </w:p>
              </w:tc>
              <w:tc>
                <w:tcPr>
                  <w:tcW w:type="dxa" w:w="1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对电子警察抓拍机、爆闪灯、智能终端、交换机等电子警察系统的现场养护质量检查</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753"/>
                  <w:vMerge/>
                  <w:tcBorders>
                    <w:top w:val="single" w:color="000000" w:sz="4"/>
                    <w:left w:val="none" w:color="000000" w:sz="4"/>
                    <w:bottom w:val="single" w:color="000000" w:sz="4"/>
                    <w:right w:val="single" w:color="000000" w:sz="4"/>
                  </w:tcBorders>
                </w:tcP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c>
                <w:tcPr>
                  <w:tcW w:type="dxa" w:w="1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按照《表五</w:t>
                  </w:r>
                  <w:r>
                    <w:rPr>
                      <w:sz w:val="21"/>
                    </w:rPr>
                    <w:t>.交通信号控制系统运行考核评分表》执行</w:t>
                  </w:r>
                </w:p>
              </w:tc>
              <w:tc>
                <w:tcPr>
                  <w:tcW w:type="dxa" w:w="1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对机动车信号灯、人行信号机、行人过街一体机、雷达、信号控制机等交通信号控制系统的现场养护质量检查</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753"/>
                  <w:vMerge/>
                  <w:tcBorders>
                    <w:top w:val="single" w:color="000000" w:sz="4"/>
                    <w:left w:val="none" w:color="000000" w:sz="4"/>
                    <w:bottom w:val="single" w:color="000000" w:sz="4"/>
                    <w:right w:val="single" w:color="000000" w:sz="4"/>
                  </w:tcBorders>
                </w:tcP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1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按照《表六</w:t>
                  </w:r>
                  <w:r>
                    <w:rPr>
                      <w:sz w:val="21"/>
                    </w:rPr>
                    <w:t>.公交站台运行考核评分表》执行</w:t>
                  </w:r>
                </w:p>
              </w:tc>
              <w:tc>
                <w:tcPr>
                  <w:tcW w:type="dxa" w:w="1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对公交站台智能化设备的现场养护质量检查</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753"/>
                  <w:vMerge/>
                  <w:tcBorders>
                    <w:top w:val="single" w:color="000000" w:sz="4"/>
                    <w:left w:val="none" w:color="000000" w:sz="4"/>
                    <w:bottom w:val="single" w:color="000000" w:sz="4"/>
                    <w:right w:val="single" w:color="000000" w:sz="4"/>
                  </w:tcBorders>
                </w:tcP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c>
                <w:tcPr>
                  <w:tcW w:type="dxa" w:w="1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按照《表七</w:t>
                  </w:r>
                  <w:r>
                    <w:rPr>
                      <w:sz w:val="21"/>
                    </w:rPr>
                    <w:t>.智能交通标志牌运行考核评分表》执行</w:t>
                  </w:r>
                </w:p>
              </w:tc>
              <w:tc>
                <w:tcPr>
                  <w:tcW w:type="dxa" w:w="1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对智能交通标志牌、控制箱等交通标志系统的现场养护质量检查</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753"/>
                  <w:vMerge/>
                  <w:tcBorders>
                    <w:top w:val="single" w:color="000000" w:sz="4"/>
                    <w:left w:val="none" w:color="000000" w:sz="4"/>
                    <w:bottom w:val="single" w:color="000000" w:sz="4"/>
                    <w:right w:val="single" w:color="000000" w:sz="4"/>
                  </w:tcBorders>
                </w:tcP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w:t>
                  </w:r>
                </w:p>
              </w:tc>
              <w:tc>
                <w:tcPr>
                  <w:tcW w:type="dxa" w:w="1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按照《表八</w:t>
                  </w:r>
                  <w:r>
                    <w:rPr>
                      <w:sz w:val="21"/>
                    </w:rPr>
                    <w:t>.其它设备运行考核评分表》执行</w:t>
                  </w:r>
                </w:p>
              </w:tc>
              <w:tc>
                <w:tcPr>
                  <w:tcW w:type="dxa" w:w="1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对紧急呼叫、公共广播、环境传感、气象传感、水位传感、停车道闸等设备的现场养护质量检查</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753"/>
                  <w:vMerge/>
                  <w:tcBorders>
                    <w:top w:val="single" w:color="000000" w:sz="4"/>
                    <w:left w:val="none" w:color="000000" w:sz="4"/>
                    <w:bottom w:val="single" w:color="000000" w:sz="4"/>
                    <w:right w:val="single" w:color="000000" w:sz="4"/>
                  </w:tcBorders>
                </w:tcP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555"/>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存在问题描述：</w:t>
                  </w:r>
                </w:p>
              </w:tc>
            </w:tr>
          </w:tbl>
          <w:p>
            <w:pPr>
              <w:pStyle w:val="null3"/>
              <w:ind w:firstLine="420"/>
              <w:jc w:val="both"/>
              <w:outlineLvl w:val="1"/>
            </w:pPr>
            <w:r>
              <w:rPr>
                <w:sz w:val="21"/>
                <w:b/>
              </w:rPr>
              <w:t>2</w:t>
            </w:r>
            <w:r>
              <w:rPr>
                <w:sz w:val="21"/>
                <w:b/>
              </w:rPr>
              <w:t>．</w:t>
            </w:r>
            <w:r>
              <w:rPr>
                <w:sz w:val="21"/>
                <w:b/>
              </w:rPr>
              <w:t>智慧灯杆、照明设施及配电箱箱变运行考核</w:t>
            </w:r>
          </w:p>
          <w:p>
            <w:pPr>
              <w:pStyle w:val="null3"/>
              <w:ind w:firstLine="420"/>
              <w:jc w:val="both"/>
            </w:pPr>
            <w:r>
              <w:rPr>
                <w:sz w:val="21"/>
              </w:rPr>
              <w:t>照明设施养护评价指标从日常管理检查、现场养护、配电箱及箱变检查等多个方面对中标人进行考核评定，包括下列内容：</w:t>
            </w:r>
          </w:p>
          <w:p>
            <w:pPr>
              <w:pStyle w:val="null3"/>
              <w:ind w:firstLine="420"/>
              <w:jc w:val="left"/>
            </w:pPr>
            <w:r>
              <w:rPr>
                <w:sz w:val="21"/>
              </w:rPr>
              <w:t>表二：照明设施养护考核评分表</w:t>
            </w:r>
          </w:p>
          <w:tbl>
            <w:tblPr>
              <w:tblBorders>
                <w:top w:val="none" w:color="000000" w:sz="4"/>
                <w:left w:val="none" w:color="000000" w:sz="4"/>
                <w:bottom w:val="none" w:color="000000" w:sz="4"/>
                <w:right w:val="none" w:color="000000" w:sz="4"/>
                <w:insideH w:val="none"/>
                <w:insideV w:val="none"/>
              </w:tblBorders>
            </w:tblPr>
            <w:tblGrid>
              <w:gridCol w:w="434"/>
              <w:gridCol w:w="1400"/>
              <w:gridCol w:w="1504"/>
              <w:gridCol w:w="846"/>
              <w:gridCol w:w="846"/>
              <w:gridCol w:w="279"/>
              <w:gridCol w:w="290"/>
            </w:tblGrid>
            <w:tr>
              <w:tc>
                <w:tcPr>
                  <w:tcW w:type="dxa" w:w="183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项目时间：</w:t>
                  </w:r>
                </w:p>
              </w:tc>
              <w:tc>
                <w:tcPr>
                  <w:tcW w:type="dxa" w:w="3765"/>
                  <w:gridSpan w:val="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考核总得分：</w:t>
                  </w:r>
                  <w:r>
                    <w:rPr>
                      <w:sz w:val="21"/>
                    </w:rPr>
                    <w:t xml:space="preserve">      </w:t>
                  </w:r>
                  <w:r>
                    <w:rPr>
                      <w:sz w:val="21"/>
                    </w:rPr>
                    <w:t>（总分值：</w:t>
                  </w:r>
                  <w:r>
                    <w:rPr>
                      <w:sz w:val="21"/>
                    </w:rPr>
                    <w:t>100分）</w:t>
                  </w:r>
                </w:p>
              </w:tc>
            </w:tr>
            <w:tr>
              <w:tc>
                <w:tcPr>
                  <w:tcW w:type="dxa" w:w="18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项目名称：</w:t>
                  </w:r>
                </w:p>
              </w:tc>
              <w:tc>
                <w:tcPr>
                  <w:tcW w:type="dxa" w:w="376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维护单位</w:t>
                  </w:r>
                  <w:r>
                    <w:rPr>
                      <w:sz w:val="21"/>
                    </w:rPr>
                    <w:t>:</w:t>
                  </w:r>
                </w:p>
              </w:tc>
            </w:tr>
            <w:tr>
              <w:tc>
                <w:tcPr>
                  <w:tcW w:type="dxa" w:w="18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维护单位经办人</w:t>
                  </w:r>
                  <w:r>
                    <w:rPr>
                      <w:sz w:val="21"/>
                    </w:rPr>
                    <w:t>:</w:t>
                  </w:r>
                </w:p>
              </w:tc>
              <w:tc>
                <w:tcPr>
                  <w:tcW w:type="dxa" w:w="376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维护单位负责人：</w:t>
                  </w:r>
                </w:p>
              </w:tc>
            </w:tr>
            <w:tr>
              <w:tc>
                <w:tcPr>
                  <w:tcW w:type="dxa" w:w="5599"/>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考核人员</w:t>
                  </w:r>
                  <w:r>
                    <w:rPr>
                      <w:sz w:val="21"/>
                    </w:rPr>
                    <w:t>:</w:t>
                  </w:r>
                </w:p>
              </w:tc>
            </w:tr>
            <w:tr>
              <w:tc>
                <w:tcPr>
                  <w:tcW w:type="dxa" w:w="43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5165"/>
                  <w:gridSpan w:val="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一、灯杆、灯具等照明设施现场养护</w:t>
                  </w:r>
                  <w:r>
                    <w:rPr>
                      <w:sz w:val="21"/>
                      <w:b/>
                    </w:rPr>
                    <w:t>(总分70分)</w:t>
                  </w:r>
                </w:p>
              </w:tc>
            </w:tr>
            <w:tr>
              <w:tc>
                <w:tcPr>
                  <w:tcW w:type="dxa" w:w="434"/>
                  <w:vMerge/>
                  <w:tcBorders>
                    <w:top w:val="none" w:color="000000" w:sz="4"/>
                    <w:left w:val="single" w:color="000000" w:sz="4"/>
                    <w:bottom w:val="single" w:color="000000" w:sz="4"/>
                    <w:right w:val="single" w:color="000000" w:sz="4"/>
                  </w:tcBorders>
                </w:tcP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考核标准</w:t>
                  </w:r>
                </w:p>
              </w:tc>
              <w:tc>
                <w:tcPr>
                  <w:tcW w:type="dxa" w:w="15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考核内容</w:t>
                  </w:r>
                </w:p>
              </w:tc>
              <w:tc>
                <w:tcPr>
                  <w:tcW w:type="dxa" w:w="8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分值</w:t>
                  </w:r>
                </w:p>
              </w:tc>
              <w:tc>
                <w:tcPr>
                  <w:tcW w:type="dxa" w:w="8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扣分标准</w:t>
                  </w:r>
                </w:p>
              </w:tc>
              <w:tc>
                <w:tcPr>
                  <w:tcW w:type="dxa" w:w="2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扣分</w:t>
                  </w:r>
                </w:p>
              </w:tc>
              <w:tc>
                <w:tcPr>
                  <w:tcW w:type="dxa" w:w="2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得分</w:t>
                  </w: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40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亮灯率：主干道亮灯率达</w:t>
                  </w:r>
                  <w:r>
                    <w:rPr>
                      <w:sz w:val="21"/>
                    </w:rPr>
                    <w:t>98%;次干道、支路的亮灯率达到96%；</w:t>
                  </w:r>
                </w:p>
              </w:tc>
              <w:tc>
                <w:tcPr>
                  <w:tcW w:type="dxa" w:w="1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维护范围路灯的整体亮灯率情况</w:t>
                  </w:r>
                  <w:r>
                    <w:rPr>
                      <w:sz w:val="21"/>
                    </w:rPr>
                    <w:t>,主干道亮灯率达98%;次干道、支路的亮灯率达到96%，由于台风等不可抗力因素引起的不计入考核；</w:t>
                  </w:r>
                </w:p>
                <w:p>
                  <w:pPr>
                    <w:pStyle w:val="null3"/>
                  </w:pPr>
                  <w:r>
                    <w:rPr>
                      <w:sz w:val="21"/>
                    </w:rPr>
                    <w:t>注：由于运营商网络不通、平台故障、统一停电等问题引起不计入考核</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每低</w:t>
                  </w:r>
                  <w:r>
                    <w:rPr>
                      <w:sz w:val="21"/>
                    </w:rPr>
                    <w:t>0.1%扣0.2分</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400"/>
                  <w:vMerge/>
                  <w:tcBorders>
                    <w:top w:val="none" w:color="000000" w:sz="4"/>
                    <w:left w:val="none" w:color="000000" w:sz="4"/>
                    <w:bottom w:val="single" w:color="000000" w:sz="4"/>
                    <w:right w:val="single" w:color="000000" w:sz="4"/>
                  </w:tcBorders>
                </w:tcPr>
                <w:p/>
              </w:tc>
              <w:tc>
                <w:tcPr>
                  <w:tcW w:type="dxa" w:w="1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较大面积（同一路段</w:t>
                  </w:r>
                  <w:r>
                    <w:rPr>
                      <w:sz w:val="21"/>
                    </w:rPr>
                    <w:t>10盏以上）路灯故障，未报备</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0.5分/次</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40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维修电缆等故障施工有破坏绿化、道路或其它设施的，必须在维修好后五天内按原来标准恢复，由于台风、连续暴雨等恶劣天气导致的延误不计入考核</w:t>
                  </w:r>
                </w:p>
                <w:p>
                  <w:pPr>
                    <w:pStyle w:val="null3"/>
                  </w:pPr>
                </w:p>
              </w:tc>
              <w:tc>
                <w:tcPr>
                  <w:tcW w:type="dxa" w:w="1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大于五天修复</w:t>
                  </w:r>
                </w:p>
              </w:tc>
              <w:tc>
                <w:tcPr>
                  <w:tcW w:type="dxa" w:w="8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0.5分/次</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400"/>
                  <w:vMerge/>
                  <w:tcBorders>
                    <w:top w:val="none" w:color="000000" w:sz="4"/>
                    <w:left w:val="none" w:color="000000" w:sz="4"/>
                    <w:bottom w:val="single" w:color="000000" w:sz="4"/>
                    <w:right w:val="single" w:color="000000" w:sz="4"/>
                  </w:tcBorders>
                </w:tcPr>
                <w:p/>
              </w:tc>
              <w:tc>
                <w:tcPr>
                  <w:tcW w:type="dxa" w:w="1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未修复</w:t>
                  </w:r>
                </w:p>
              </w:tc>
              <w:tc>
                <w:tcPr>
                  <w:tcW w:type="dxa" w:w="846"/>
                  <w:vMerge/>
                  <w:tcBorders>
                    <w:top w:val="none" w:color="000000" w:sz="4"/>
                    <w:left w:val="none" w:color="000000" w:sz="4"/>
                    <w:bottom w:val="single" w:color="000000" w:sz="4"/>
                    <w:right w:val="single" w:color="000000" w:sz="4"/>
                  </w:tcBorders>
                </w:tcP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1分/次</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140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若因第三方施工单位原因造成电缆损坏引起路灯不亮的，由采购人协助中标人协调第三方进行确认并索赔，中标人必须五天内按原来标准恢复，然后再跟踪赔偿的事宜（赔偿所得归中标人所有）</w:t>
                  </w:r>
                </w:p>
              </w:tc>
              <w:tc>
                <w:tcPr>
                  <w:tcW w:type="dxa" w:w="1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大于五天修复</w:t>
                  </w:r>
                </w:p>
              </w:tc>
              <w:tc>
                <w:tcPr>
                  <w:tcW w:type="dxa" w:w="8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1分/次</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1400"/>
                  <w:vMerge/>
                  <w:tcBorders>
                    <w:top w:val="none" w:color="000000" w:sz="4"/>
                    <w:left w:val="none" w:color="000000" w:sz="4"/>
                    <w:bottom w:val="single" w:color="000000" w:sz="4"/>
                    <w:right w:val="single" w:color="000000" w:sz="4"/>
                  </w:tcBorders>
                </w:tcPr>
                <w:p/>
              </w:tc>
              <w:tc>
                <w:tcPr>
                  <w:tcW w:type="dxa" w:w="1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未修复</w:t>
                  </w:r>
                </w:p>
              </w:tc>
              <w:tc>
                <w:tcPr>
                  <w:tcW w:type="dxa" w:w="846"/>
                  <w:vMerge/>
                  <w:tcBorders>
                    <w:top w:val="none" w:color="000000" w:sz="4"/>
                    <w:left w:val="none" w:color="000000" w:sz="4"/>
                    <w:bottom w:val="single" w:color="000000" w:sz="4"/>
                    <w:right w:val="single" w:color="000000" w:sz="4"/>
                  </w:tcBorders>
                </w:tcP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2分/次</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140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每天</w:t>
                  </w:r>
                  <w:r>
                    <w:rPr>
                      <w:sz w:val="21"/>
                    </w:rPr>
                    <w:t>24小时有人值班，发生事故或其他紧急情况，半小时内赶至现场组织处理</w:t>
                  </w:r>
                </w:p>
              </w:tc>
              <w:tc>
                <w:tcPr>
                  <w:tcW w:type="dxa" w:w="1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超过半小时</w:t>
                  </w:r>
                  <w:r>
                    <w:rPr>
                      <w:sz w:val="21"/>
                    </w:rPr>
                    <w:t>1小时内赶到现场</w:t>
                  </w:r>
                </w:p>
              </w:tc>
              <w:tc>
                <w:tcPr>
                  <w:tcW w:type="dxa" w:w="8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0.5分/次</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1400"/>
                  <w:vMerge/>
                  <w:tcBorders>
                    <w:top w:val="none" w:color="000000" w:sz="4"/>
                    <w:left w:val="none" w:color="000000" w:sz="4"/>
                    <w:bottom w:val="single" w:color="000000" w:sz="4"/>
                    <w:right w:val="single" w:color="000000" w:sz="4"/>
                  </w:tcBorders>
                </w:tcPr>
                <w:p/>
              </w:tc>
              <w:tc>
                <w:tcPr>
                  <w:tcW w:type="dxa" w:w="1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1小时以上赶到现场</w:t>
                  </w:r>
                </w:p>
              </w:tc>
              <w:tc>
                <w:tcPr>
                  <w:tcW w:type="dxa" w:w="846"/>
                  <w:vMerge/>
                  <w:tcBorders>
                    <w:top w:val="none" w:color="000000" w:sz="4"/>
                    <w:left w:val="none" w:color="000000" w:sz="4"/>
                    <w:bottom w:val="single" w:color="000000" w:sz="4"/>
                    <w:right w:val="single" w:color="000000" w:sz="4"/>
                  </w:tcBorders>
                </w:tcP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1分/次</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每一条灯杆无论何时不能带电（电压高于</w:t>
                  </w:r>
                  <w:r>
                    <w:rPr>
                      <w:sz w:val="21"/>
                    </w:rPr>
                    <w:t>36V）</w:t>
                  </w:r>
                </w:p>
              </w:tc>
              <w:tc>
                <w:tcPr>
                  <w:tcW w:type="dxa" w:w="1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高于</w:t>
                  </w:r>
                  <w:r>
                    <w:rPr>
                      <w:sz w:val="21"/>
                    </w:rPr>
                    <w:t>36V</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1分/杆/次</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1.11</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如发生交通事故对本项目养护范围内的路灯或其配套设施造成损坏的，必须在接到事故报告后半小时内到达现场进行处理清除隐患，并在接到事故报告后</w:t>
                  </w:r>
                  <w:r>
                    <w:rPr>
                      <w:sz w:val="21"/>
                    </w:rPr>
                    <w:t>10天内按原标准进行修复或更换</w:t>
                  </w:r>
                </w:p>
              </w:tc>
              <w:tc>
                <w:tcPr>
                  <w:tcW w:type="dxa" w:w="1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维修处理超出规定时限（如果由于事故造成损坏的设备属于特殊订制的，超过规定的时限修复或更换不计入考核）</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1分/次</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灯杆破裂、倾倒、侧歪，</w:t>
                  </w:r>
                  <w:r>
                    <w:rPr>
                      <w:sz w:val="21"/>
                    </w:rPr>
                    <w:t>10天内进行修复或更换。由于设计、灯杆质量或普遍出现的问题，由采购人协商解决。</w:t>
                  </w:r>
                </w:p>
              </w:tc>
              <w:tc>
                <w:tcPr>
                  <w:tcW w:type="dxa" w:w="1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维修处理超出规定时限（如设备属于特殊订制的，超过规定的时限修复或更换不计入考核）</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0.5分/次</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1.13</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必须使用合同规定的材料品牌及型号；未规定的，需与采购人书面确认后，方可使用</w:t>
                  </w:r>
                </w:p>
              </w:tc>
              <w:tc>
                <w:tcPr>
                  <w:tcW w:type="dxa" w:w="1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未使用合同规定品牌及型号</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0.5分/例</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二</w:t>
                  </w:r>
                </w:p>
              </w:tc>
              <w:tc>
                <w:tcPr>
                  <w:tcW w:type="dxa" w:w="5165"/>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配电箱及箱变检查</w:t>
                  </w:r>
                  <w:r>
                    <w:rPr>
                      <w:sz w:val="21"/>
                      <w:b/>
                    </w:rPr>
                    <w:t>(总分20分)</w:t>
                  </w: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140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配电箱及箱变检查。随机抽取不少于</w:t>
                  </w:r>
                  <w:r>
                    <w:rPr>
                      <w:sz w:val="21"/>
                    </w:rPr>
                    <w:t>40%路段（覆盖合同范围内的不同等级的路段）的路灯设施，检查设施运行状况。</w:t>
                  </w:r>
                </w:p>
              </w:tc>
              <w:tc>
                <w:tcPr>
                  <w:tcW w:type="dxa" w:w="15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配电箱及箱变外观未保持通风良好，有积水情况</w:t>
                  </w:r>
                </w:p>
              </w:tc>
              <w:tc>
                <w:tcPr>
                  <w:tcW w:type="dxa" w:w="84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8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0.2分/处</w:t>
                  </w:r>
                </w:p>
              </w:tc>
              <w:tc>
                <w:tcPr>
                  <w:tcW w:type="dxa" w:w="2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1400"/>
                  <w:vMerge/>
                  <w:tcBorders>
                    <w:top w:val="none" w:color="000000" w:sz="4"/>
                    <w:left w:val="none" w:color="000000" w:sz="4"/>
                    <w:bottom w:val="single" w:color="000000" w:sz="4"/>
                    <w:right w:val="single" w:color="000000" w:sz="4"/>
                  </w:tcBorders>
                </w:tcPr>
                <w:p/>
              </w:tc>
              <w:tc>
                <w:tcPr>
                  <w:tcW w:type="dxa" w:w="1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配电箱及箱变内各元器件安装不牢固</w:t>
                  </w:r>
                </w:p>
              </w:tc>
              <w:tc>
                <w:tcPr>
                  <w:tcW w:type="dxa" w:w="846"/>
                  <w:vMerge/>
                  <w:tcBorders>
                    <w:top w:val="single" w:color="000000" w:sz="4"/>
                    <w:left w:val="none" w:color="000000" w:sz="4"/>
                    <w:bottom w:val="single" w:color="000000" w:sz="4"/>
                    <w:right w:val="single" w:color="000000" w:sz="4"/>
                  </w:tcBorders>
                </w:tcP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0.2分/处</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1400"/>
                  <w:vMerge/>
                  <w:tcBorders>
                    <w:top w:val="none" w:color="000000" w:sz="4"/>
                    <w:left w:val="none" w:color="000000" w:sz="4"/>
                    <w:bottom w:val="single" w:color="000000" w:sz="4"/>
                    <w:right w:val="single" w:color="000000" w:sz="4"/>
                  </w:tcBorders>
                </w:tcPr>
                <w:p/>
              </w:tc>
              <w:tc>
                <w:tcPr>
                  <w:tcW w:type="dxa" w:w="1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配电箱及箱变内导线排列不整齐</w:t>
                  </w:r>
                </w:p>
              </w:tc>
              <w:tc>
                <w:tcPr>
                  <w:tcW w:type="dxa" w:w="846"/>
                  <w:vMerge/>
                  <w:tcBorders>
                    <w:top w:val="single" w:color="000000" w:sz="4"/>
                    <w:left w:val="none" w:color="000000" w:sz="4"/>
                    <w:bottom w:val="single" w:color="000000" w:sz="4"/>
                    <w:right w:val="single" w:color="000000" w:sz="4"/>
                  </w:tcBorders>
                </w:tcP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0.2分/处</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1400"/>
                  <w:vMerge/>
                  <w:tcBorders>
                    <w:top w:val="none" w:color="000000" w:sz="4"/>
                    <w:left w:val="none" w:color="000000" w:sz="4"/>
                    <w:bottom w:val="single" w:color="000000" w:sz="4"/>
                    <w:right w:val="single" w:color="000000" w:sz="4"/>
                  </w:tcBorders>
                </w:tcPr>
                <w:p/>
              </w:tc>
              <w:tc>
                <w:tcPr>
                  <w:tcW w:type="dxa" w:w="1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配电箱及箱变未按要求设置危险警示和投诉电话号码标识</w:t>
                  </w:r>
                </w:p>
              </w:tc>
              <w:tc>
                <w:tcPr>
                  <w:tcW w:type="dxa" w:w="846"/>
                  <w:vMerge/>
                  <w:tcBorders>
                    <w:top w:val="single" w:color="000000" w:sz="4"/>
                    <w:left w:val="none" w:color="000000" w:sz="4"/>
                    <w:bottom w:val="single" w:color="000000" w:sz="4"/>
                    <w:right w:val="single" w:color="000000" w:sz="4"/>
                  </w:tcBorders>
                </w:tcP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0.2分/处</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1400"/>
                  <w:vMerge/>
                  <w:tcBorders>
                    <w:top w:val="none" w:color="000000" w:sz="4"/>
                    <w:left w:val="none" w:color="000000" w:sz="4"/>
                    <w:bottom w:val="single" w:color="000000" w:sz="4"/>
                    <w:right w:val="single" w:color="000000" w:sz="4"/>
                  </w:tcBorders>
                </w:tcPr>
                <w:p/>
              </w:tc>
              <w:tc>
                <w:tcPr>
                  <w:tcW w:type="dxa" w:w="1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箱变或配电箱的箱门未锁好</w:t>
                  </w:r>
                </w:p>
              </w:tc>
              <w:tc>
                <w:tcPr>
                  <w:tcW w:type="dxa" w:w="846"/>
                  <w:vMerge/>
                  <w:tcBorders>
                    <w:top w:val="single" w:color="000000" w:sz="4"/>
                    <w:left w:val="none" w:color="000000" w:sz="4"/>
                    <w:bottom w:val="single" w:color="000000" w:sz="4"/>
                    <w:right w:val="single" w:color="000000" w:sz="4"/>
                  </w:tcBorders>
                </w:tcP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0.3分/处</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1400"/>
                  <w:vMerge/>
                  <w:tcBorders>
                    <w:top w:val="none" w:color="000000" w:sz="4"/>
                    <w:left w:val="none" w:color="000000" w:sz="4"/>
                    <w:bottom w:val="single" w:color="000000" w:sz="4"/>
                    <w:right w:val="single" w:color="000000" w:sz="4"/>
                  </w:tcBorders>
                </w:tcPr>
                <w:p/>
              </w:tc>
              <w:tc>
                <w:tcPr>
                  <w:tcW w:type="dxa" w:w="1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配电箱的电缆进出口未按照规定封堵</w:t>
                  </w:r>
                </w:p>
              </w:tc>
              <w:tc>
                <w:tcPr>
                  <w:tcW w:type="dxa" w:w="846"/>
                  <w:vMerge/>
                  <w:tcBorders>
                    <w:top w:val="single" w:color="000000" w:sz="4"/>
                    <w:left w:val="none" w:color="000000" w:sz="4"/>
                    <w:bottom w:val="single" w:color="000000" w:sz="4"/>
                    <w:right w:val="single" w:color="000000" w:sz="4"/>
                  </w:tcBorders>
                </w:tcP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0.2分/处</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1400"/>
                  <w:vMerge/>
                  <w:tcBorders>
                    <w:top w:val="none" w:color="000000" w:sz="4"/>
                    <w:left w:val="none" w:color="000000" w:sz="4"/>
                    <w:bottom w:val="single" w:color="000000" w:sz="4"/>
                    <w:right w:val="single" w:color="000000" w:sz="4"/>
                  </w:tcBorders>
                </w:tcPr>
                <w:p/>
              </w:tc>
              <w:tc>
                <w:tcPr>
                  <w:tcW w:type="dxa" w:w="1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电缆敷设不规范，电缆两端未悬挂标识牌</w:t>
                  </w:r>
                </w:p>
              </w:tc>
              <w:tc>
                <w:tcPr>
                  <w:tcW w:type="dxa" w:w="846"/>
                  <w:vMerge/>
                  <w:tcBorders>
                    <w:top w:val="single" w:color="000000" w:sz="4"/>
                    <w:left w:val="none" w:color="000000" w:sz="4"/>
                    <w:bottom w:val="single" w:color="000000" w:sz="4"/>
                    <w:right w:val="single" w:color="000000" w:sz="4"/>
                  </w:tcBorders>
                </w:tcP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0.2分/处</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1400"/>
                  <w:vMerge/>
                  <w:tcBorders>
                    <w:top w:val="none" w:color="000000" w:sz="4"/>
                    <w:left w:val="none" w:color="000000" w:sz="4"/>
                    <w:bottom w:val="single" w:color="000000" w:sz="4"/>
                    <w:right w:val="single" w:color="000000" w:sz="4"/>
                  </w:tcBorders>
                </w:tcPr>
                <w:p/>
              </w:tc>
              <w:tc>
                <w:tcPr>
                  <w:tcW w:type="dxa" w:w="1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电缆管内线路有严重缺陷和损伤，有漏电现象</w:t>
                  </w:r>
                </w:p>
              </w:tc>
              <w:tc>
                <w:tcPr>
                  <w:tcW w:type="dxa" w:w="846"/>
                  <w:vMerge/>
                  <w:tcBorders>
                    <w:top w:val="single" w:color="000000" w:sz="4"/>
                    <w:left w:val="none" w:color="000000" w:sz="4"/>
                    <w:bottom w:val="single" w:color="000000" w:sz="4"/>
                    <w:right w:val="single" w:color="000000" w:sz="4"/>
                  </w:tcBorders>
                </w:tcP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0.3分/处</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1400"/>
                  <w:vMerge/>
                  <w:tcBorders>
                    <w:top w:val="none" w:color="000000" w:sz="4"/>
                    <w:left w:val="none" w:color="000000" w:sz="4"/>
                    <w:bottom w:val="single" w:color="000000" w:sz="4"/>
                    <w:right w:val="single" w:color="000000" w:sz="4"/>
                  </w:tcBorders>
                </w:tcPr>
                <w:p/>
              </w:tc>
              <w:tc>
                <w:tcPr>
                  <w:tcW w:type="dxa" w:w="1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接地电阻大于</w:t>
                  </w:r>
                  <w:r>
                    <w:rPr>
                      <w:sz w:val="21"/>
                    </w:rPr>
                    <w:t>4 欧姆</w:t>
                  </w:r>
                </w:p>
              </w:tc>
              <w:tc>
                <w:tcPr>
                  <w:tcW w:type="dxa" w:w="846"/>
                  <w:vMerge/>
                  <w:tcBorders>
                    <w:top w:val="single" w:color="000000" w:sz="4"/>
                    <w:left w:val="none" w:color="000000" w:sz="4"/>
                    <w:bottom w:val="single" w:color="000000" w:sz="4"/>
                    <w:right w:val="single" w:color="000000" w:sz="4"/>
                  </w:tcBorders>
                </w:tcP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0.3分/处</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三</w:t>
                  </w:r>
                </w:p>
              </w:tc>
              <w:tc>
                <w:tcPr>
                  <w:tcW w:type="dxa" w:w="5165"/>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清洁、翻新</w:t>
                  </w:r>
                  <w:r>
                    <w:rPr>
                      <w:sz w:val="21"/>
                      <w:b/>
                    </w:rPr>
                    <w:t>(总分10分)</w:t>
                  </w: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140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根据中标要求对照明设备进行清洁养护，灯杆、灯罩、箱体、设备表面每季度清洗一次，分别在季度结束前完成</w:t>
                  </w:r>
                </w:p>
              </w:tc>
              <w:tc>
                <w:tcPr>
                  <w:tcW w:type="dxa" w:w="15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照明设施未保持干净清洁</w:t>
                  </w:r>
                </w:p>
              </w:tc>
              <w:tc>
                <w:tcPr>
                  <w:tcW w:type="dxa" w:w="84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8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w:t>
                  </w:r>
                </w:p>
                <w:p>
                  <w:pPr>
                    <w:pStyle w:val="null3"/>
                    <w:jc w:val="center"/>
                  </w:pPr>
                  <w:r>
                    <w:rPr>
                      <w:sz w:val="21"/>
                    </w:rPr>
                    <w:t>分</w:t>
                  </w:r>
                  <w:r>
                    <w:rPr>
                      <w:sz w:val="21"/>
                    </w:rPr>
                    <w:t>/处</w:t>
                  </w:r>
                </w:p>
              </w:tc>
              <w:tc>
                <w:tcPr>
                  <w:tcW w:type="dxa" w:w="2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c>
                <w:tcPr>
                  <w:tcW w:type="dxa" w:w="1400"/>
                  <w:vMerge/>
                  <w:tcBorders>
                    <w:top w:val="none" w:color="000000" w:sz="4"/>
                    <w:left w:val="none" w:color="000000" w:sz="4"/>
                    <w:bottom w:val="single" w:color="000000" w:sz="4"/>
                    <w:right w:val="single" w:color="000000" w:sz="4"/>
                  </w:tcBorders>
                </w:tcPr>
                <w:p/>
              </w:tc>
              <w:tc>
                <w:tcPr>
                  <w:tcW w:type="dxa" w:w="1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无标签、标签破损</w:t>
                  </w:r>
                </w:p>
              </w:tc>
              <w:tc>
                <w:tcPr>
                  <w:tcW w:type="dxa" w:w="846"/>
                  <w:vMerge/>
                  <w:tcBorders>
                    <w:top w:val="single" w:color="000000" w:sz="4"/>
                    <w:left w:val="none" w:color="000000" w:sz="4"/>
                    <w:bottom w:val="single" w:color="000000" w:sz="4"/>
                    <w:right w:val="single" w:color="000000" w:sz="4"/>
                  </w:tcBorders>
                </w:tcP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0.1分/处</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c>
                <w:tcPr>
                  <w:tcW w:type="dxa" w:w="1400"/>
                  <w:vMerge/>
                  <w:tcBorders>
                    <w:top w:val="none" w:color="000000" w:sz="4"/>
                    <w:left w:val="none" w:color="000000" w:sz="4"/>
                    <w:bottom w:val="single" w:color="000000" w:sz="4"/>
                    <w:right w:val="single" w:color="000000" w:sz="4"/>
                  </w:tcBorders>
                </w:tcPr>
                <w:p/>
              </w:tc>
              <w:tc>
                <w:tcPr>
                  <w:tcW w:type="dxa" w:w="1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悬挂影响安全运行的设施</w:t>
                  </w:r>
                </w:p>
              </w:tc>
              <w:tc>
                <w:tcPr>
                  <w:tcW w:type="dxa" w:w="846"/>
                  <w:vMerge/>
                  <w:tcBorders>
                    <w:top w:val="single" w:color="000000" w:sz="4"/>
                    <w:left w:val="none" w:color="000000" w:sz="4"/>
                    <w:bottom w:val="single" w:color="000000" w:sz="4"/>
                    <w:right w:val="single" w:color="000000" w:sz="4"/>
                  </w:tcBorders>
                </w:tcP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2分/处</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c>
                <w:tcPr>
                  <w:tcW w:type="dxa" w:w="1400"/>
                  <w:vMerge/>
                  <w:tcBorders>
                    <w:top w:val="none" w:color="000000" w:sz="4"/>
                    <w:left w:val="none" w:color="000000" w:sz="4"/>
                    <w:bottom w:val="single" w:color="000000" w:sz="4"/>
                    <w:right w:val="single" w:color="000000" w:sz="4"/>
                  </w:tcBorders>
                </w:tcPr>
                <w:p/>
              </w:tc>
              <w:tc>
                <w:tcPr>
                  <w:tcW w:type="dxa" w:w="1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未进行清洗</w:t>
                  </w:r>
                </w:p>
              </w:tc>
              <w:tc>
                <w:tcPr>
                  <w:tcW w:type="dxa" w:w="846"/>
                  <w:vMerge/>
                  <w:tcBorders>
                    <w:top w:val="single" w:color="000000" w:sz="4"/>
                    <w:left w:val="none" w:color="000000" w:sz="4"/>
                    <w:bottom w:val="single" w:color="000000" w:sz="4"/>
                    <w:right w:val="single" w:color="000000" w:sz="4"/>
                  </w:tcBorders>
                </w:tcP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5分/次</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灯杆、箱体及其他影响观瞻的设备表面每年喷漆翻新一次，必须在每年</w:t>
                  </w:r>
                  <w:r>
                    <w:rPr>
                      <w:sz w:val="21"/>
                    </w:rPr>
                    <w:t>12月31日前完成</w:t>
                  </w:r>
                </w:p>
              </w:tc>
              <w:tc>
                <w:tcPr>
                  <w:tcW w:type="dxa" w:w="1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脱落、锈蚀，且未处理</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0.1分/处</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599"/>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存在问题描述：</w:t>
                  </w:r>
                </w:p>
              </w:tc>
            </w:tr>
          </w:tbl>
          <w:p>
            <w:pPr>
              <w:pStyle w:val="null3"/>
              <w:ind w:firstLine="420"/>
              <w:jc w:val="both"/>
            </w:pPr>
            <w:r>
              <w:rPr>
                <w:sz w:val="21"/>
              </w:rPr>
              <w:t>养护管理单位应通过养护状况评定来对中标人进行日常工作考核，掌握路灯设备设施运行状况。为设施提升、更新提供依据。</w:t>
            </w:r>
          </w:p>
        </w:tc>
      </w:tr>
      <w:tr>
        <w:tc>
          <w:tcPr>
            <w:tcW w:type="dxa" w:w="2076"/>
          </w:tcPr>
          <w:p/>
        </w:tc>
        <w:tc>
          <w:tcPr>
            <w:tcW w:type="dxa" w:w="415"/>
          </w:tcPr>
          <w:p>
            <w:pPr>
              <w:pStyle w:val="null3"/>
            </w:pPr>
            <w:r>
              <w:rPr/>
              <w:t>12</w:t>
            </w:r>
          </w:p>
        </w:tc>
        <w:tc>
          <w:tcPr>
            <w:tcW w:type="dxa" w:w="5814"/>
          </w:tcPr>
          <w:p>
            <w:pPr>
              <w:pStyle w:val="null3"/>
              <w:ind w:left="1110"/>
              <w:jc w:val="both"/>
              <w:outlineLvl w:val="1"/>
            </w:pPr>
            <w:r>
              <w:rPr>
                <w:sz w:val="21"/>
                <w:b/>
              </w:rPr>
              <w:t>3</w:t>
            </w:r>
            <w:r>
              <w:rPr>
                <w:sz w:val="21"/>
                <w:b/>
              </w:rPr>
              <w:t>．</w:t>
            </w:r>
            <w:r>
              <w:rPr>
                <w:sz w:val="21"/>
                <w:b/>
              </w:rPr>
              <w:t>道路视频监控系统运行考核</w:t>
            </w:r>
          </w:p>
          <w:p>
            <w:pPr>
              <w:pStyle w:val="null3"/>
              <w:ind w:firstLine="420"/>
              <w:jc w:val="both"/>
            </w:pPr>
            <w:r>
              <w:rPr>
                <w:sz w:val="21"/>
              </w:rPr>
              <w:t>道路视频监控是公共安全重要监控手段，特别是人脸微卡口在保障人民生命和财产安全的重要作用，所以道路视频监控分为定期考核和不定期考核二种。</w:t>
            </w:r>
          </w:p>
          <w:p>
            <w:pPr>
              <w:pStyle w:val="null3"/>
              <w:ind w:firstLine="420"/>
              <w:jc w:val="both"/>
            </w:pPr>
            <w:r>
              <w:rPr>
                <w:sz w:val="21"/>
              </w:rPr>
              <w:t>（</w:t>
            </w:r>
            <w:r>
              <w:rPr>
                <w:sz w:val="21"/>
              </w:rPr>
              <w:t>1</w:t>
            </w:r>
            <w:r>
              <w:rPr>
                <w:sz w:val="21"/>
              </w:rPr>
              <w:t>）不定期考核：对中标人在本项目的服务进行日常检查，对不符合规定要求的，立即发出书面警告，责令限期整改，发出整改通知五天后，仍达不到规定要求的，采购人将按照考核标准在当季度考核评分中进行扣分；</w:t>
            </w:r>
          </w:p>
          <w:p>
            <w:pPr>
              <w:pStyle w:val="null3"/>
              <w:ind w:firstLine="420"/>
              <w:jc w:val="both"/>
            </w:pPr>
            <w:r>
              <w:rPr>
                <w:sz w:val="21"/>
              </w:rPr>
              <w:t>（</w:t>
            </w:r>
            <w:r>
              <w:rPr>
                <w:sz w:val="21"/>
              </w:rPr>
              <w:t>2</w:t>
            </w:r>
            <w:r>
              <w:rPr>
                <w:sz w:val="21"/>
              </w:rPr>
              <w:t>）定期考核：本项目每三个月（一个季度）对中标人进行一次定期考核，采购人于每季度结束后，对中标人维保情况进行考核：</w:t>
            </w:r>
          </w:p>
          <w:p>
            <w:pPr>
              <w:pStyle w:val="null3"/>
              <w:ind w:firstLine="420"/>
              <w:jc w:val="left"/>
            </w:pPr>
            <w:r>
              <w:rPr>
                <w:sz w:val="21"/>
              </w:rPr>
              <w:t>表三：道路视频监控系统运行考核评分表</w:t>
            </w:r>
          </w:p>
          <w:tbl>
            <w:tblPr>
              <w:tblBorders>
                <w:top w:val="none" w:color="000000" w:sz="4"/>
                <w:left w:val="none" w:color="000000" w:sz="4"/>
                <w:bottom w:val="none" w:color="000000" w:sz="4"/>
                <w:right w:val="none" w:color="000000" w:sz="4"/>
                <w:insideH w:val="none"/>
                <w:insideV w:val="none"/>
              </w:tblBorders>
            </w:tblPr>
            <w:tblGrid>
              <w:gridCol w:w="596"/>
              <w:gridCol w:w="1277"/>
              <w:gridCol w:w="1473"/>
              <w:gridCol w:w="461"/>
              <w:gridCol w:w="597"/>
              <w:gridCol w:w="597"/>
              <w:gridCol w:w="597"/>
            </w:tblGrid>
            <w:tr>
              <w:tc>
                <w:tcPr>
                  <w:tcW w:type="dxa" w:w="1873"/>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项目时间：</w:t>
                  </w:r>
                </w:p>
              </w:tc>
              <w:tc>
                <w:tcPr>
                  <w:tcW w:type="dxa" w:w="3725"/>
                  <w:gridSpan w:val="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考核总得分：</w:t>
                  </w:r>
                  <w:r>
                    <w:rPr>
                      <w:sz w:val="21"/>
                    </w:rPr>
                    <w:t xml:space="preserve">      </w:t>
                  </w:r>
                  <w:r>
                    <w:rPr>
                      <w:sz w:val="21"/>
                    </w:rPr>
                    <w:t>（总分值：</w:t>
                  </w:r>
                  <w:r>
                    <w:rPr>
                      <w:sz w:val="21"/>
                    </w:rPr>
                    <w:t>100分）</w:t>
                  </w:r>
                </w:p>
              </w:tc>
            </w:tr>
            <w:tr>
              <w:tc>
                <w:tcPr>
                  <w:tcW w:type="dxa" w:w="187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项目名称：</w:t>
                  </w:r>
                </w:p>
              </w:tc>
              <w:tc>
                <w:tcPr>
                  <w:tcW w:type="dxa" w:w="372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维护单位</w:t>
                  </w:r>
                  <w:r>
                    <w:rPr>
                      <w:sz w:val="21"/>
                    </w:rPr>
                    <w:t>:</w:t>
                  </w:r>
                </w:p>
              </w:tc>
            </w:tr>
            <w:tr>
              <w:tc>
                <w:tcPr>
                  <w:tcW w:type="dxa" w:w="187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维护单位经办人</w:t>
                  </w:r>
                  <w:r>
                    <w:rPr>
                      <w:sz w:val="21"/>
                    </w:rPr>
                    <w:t>:</w:t>
                  </w:r>
                </w:p>
              </w:tc>
              <w:tc>
                <w:tcPr>
                  <w:tcW w:type="dxa" w:w="372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维护单位负责人：</w:t>
                  </w:r>
                </w:p>
              </w:tc>
            </w:tr>
            <w:tr>
              <w:tc>
                <w:tcPr>
                  <w:tcW w:type="dxa" w:w="5598"/>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考核人员</w:t>
                  </w:r>
                  <w:r>
                    <w:rPr>
                      <w:sz w:val="21"/>
                    </w:rPr>
                    <w:t>:</w:t>
                  </w:r>
                </w:p>
              </w:tc>
            </w:tr>
            <w:tr>
              <w:tc>
                <w:tcPr>
                  <w:tcW w:type="dxa" w:w="5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5002"/>
                  <w:gridSpan w:val="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道路视频监控系统现场养护</w:t>
                  </w:r>
                  <w:r>
                    <w:rPr>
                      <w:sz w:val="21"/>
                      <w:b/>
                    </w:rPr>
                    <w:t>(总分100分)</w:t>
                  </w:r>
                </w:p>
              </w:tc>
            </w:tr>
            <w:tr>
              <w:tc>
                <w:tcPr>
                  <w:tcW w:type="dxa" w:w="596"/>
                  <w:vMerge/>
                  <w:tcBorders>
                    <w:top w:val="none" w:color="000000" w:sz="4"/>
                    <w:left w:val="single" w:color="000000" w:sz="4"/>
                    <w:bottom w:val="single" w:color="000000" w:sz="4"/>
                    <w:right w:val="single" w:color="000000" w:sz="4"/>
                  </w:tcBorders>
                </w:tcPr>
                <w:p/>
              </w:tc>
              <w:tc>
                <w:tcPr>
                  <w:tcW w:type="dxa" w:w="1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考核标准</w:t>
                  </w:r>
                </w:p>
              </w:tc>
              <w:tc>
                <w:tcPr>
                  <w:tcW w:type="dxa" w:w="14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考核内容</w:t>
                  </w:r>
                </w:p>
              </w:tc>
              <w:tc>
                <w:tcPr>
                  <w:tcW w:type="dxa" w:w="4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分值</w:t>
                  </w:r>
                </w:p>
              </w:tc>
              <w:tc>
                <w:tcPr>
                  <w:tcW w:type="dxa" w:w="5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扣分标准</w:t>
                  </w:r>
                </w:p>
              </w:tc>
              <w:tc>
                <w:tcPr>
                  <w:tcW w:type="dxa" w:w="5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扣分</w:t>
                  </w:r>
                </w:p>
              </w:tc>
              <w:tc>
                <w:tcPr>
                  <w:tcW w:type="dxa" w:w="5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得分</w:t>
                  </w:r>
                </w:p>
              </w:tc>
            </w:tr>
            <w:tr>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根据《公共安全视频监控建设联网应用</w:t>
                  </w:r>
                  <w:r>
                    <w:rPr>
                      <w:sz w:val="21"/>
                    </w:rPr>
                    <w:t>“十三五”规划方案》规定了重点公共区域视频监控覆盖率达到100%，新增视频监控联网率达到95%</w:t>
                  </w:r>
                </w:p>
                <w:p>
                  <w:pPr>
                    <w:pStyle w:val="null3"/>
                  </w:pPr>
                  <w:r>
                    <w:rPr>
                      <w:sz w:val="21"/>
                    </w:rPr>
                    <w:t>（参考公安部门公布的考核数据）</w:t>
                  </w:r>
                </w:p>
              </w:tc>
              <w:tc>
                <w:tcPr>
                  <w:tcW w:type="dxa" w:w="1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平台在线率：</w:t>
                  </w:r>
                </w:p>
                <w:p>
                  <w:pPr>
                    <w:pStyle w:val="null3"/>
                    <w:jc w:val="left"/>
                  </w:pPr>
                  <w:r>
                    <w:rPr>
                      <w:sz w:val="21"/>
                    </w:rPr>
                    <w:t>1、在线率低于95%;</w:t>
                  </w:r>
                </w:p>
                <w:p>
                  <w:pPr>
                    <w:pStyle w:val="null3"/>
                    <w:jc w:val="left"/>
                  </w:pPr>
                  <w:r>
                    <w:rPr>
                      <w:sz w:val="21"/>
                    </w:rPr>
                    <w:t>2、注：由于运营商网络不通、平台故障、统一停电等问题引起不计入考核</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每低</w:t>
                  </w:r>
                  <w:r>
                    <w:rPr>
                      <w:sz w:val="21"/>
                    </w:rPr>
                    <w:t>0.1%扣0.2分</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无论是否有报修记录要求每个月巡查及排查一次故障。</w:t>
                  </w:r>
                </w:p>
              </w:tc>
              <w:tc>
                <w:tcPr>
                  <w:tcW w:type="dxa" w:w="1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检查维护：</w:t>
                  </w:r>
                </w:p>
                <w:p>
                  <w:pPr>
                    <w:pStyle w:val="null3"/>
                    <w:jc w:val="left"/>
                  </w:pPr>
                  <w:r>
                    <w:rPr>
                      <w:sz w:val="21"/>
                    </w:rPr>
                    <w:t>1、至少每月一次的上门巡查，指定专人负责上门调试、维护、检测，确保网络顺畅，及时解决网络方面的任何故障；</w:t>
                  </w:r>
                </w:p>
                <w:p>
                  <w:pPr>
                    <w:pStyle w:val="null3"/>
                    <w:jc w:val="left"/>
                  </w:pPr>
                  <w:r>
                    <w:rPr>
                      <w:sz w:val="21"/>
                    </w:rPr>
                    <w:t>2、至少每月一次排查监控设备和机箱外观、视频图像质量及人脸、卡口等抓拍数据情况</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0.5分/次</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2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设备更换规格要求</w:t>
                  </w:r>
                  <w:r>
                    <w:rPr>
                      <w:sz w:val="21"/>
                    </w:rPr>
                    <w:t>: 设备损坏（含交通事故、人为损坏）或被盗的，中标人必须采用与原设备相同规格和款式的全新设备材质进行更换</w:t>
                  </w:r>
                </w:p>
              </w:tc>
              <w:tc>
                <w:tcPr>
                  <w:tcW w:type="dxa" w:w="1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未使用合同规定品牌及型号</w:t>
                  </w:r>
                </w:p>
              </w:tc>
              <w:tc>
                <w:tcPr>
                  <w:tcW w:type="dxa" w:w="4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0.5分/次</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277"/>
                  <w:vMerge/>
                  <w:tcBorders>
                    <w:top w:val="none" w:color="000000" w:sz="4"/>
                    <w:left w:val="none" w:color="000000" w:sz="4"/>
                    <w:bottom w:val="single" w:color="000000" w:sz="4"/>
                    <w:right w:val="single" w:color="000000" w:sz="4"/>
                  </w:tcBorders>
                </w:tcPr>
                <w:p/>
              </w:tc>
              <w:tc>
                <w:tcPr>
                  <w:tcW w:type="dxa" w:w="1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使用未经确认品牌及型号</w:t>
                  </w:r>
                </w:p>
              </w:tc>
              <w:tc>
                <w:tcPr>
                  <w:tcW w:type="dxa" w:w="461"/>
                  <w:vMerge/>
                  <w:tcBorders>
                    <w:top w:val="none" w:color="000000" w:sz="4"/>
                    <w:left w:val="none" w:color="000000" w:sz="4"/>
                    <w:bottom w:val="single" w:color="000000" w:sz="4"/>
                    <w:right w:val="single" w:color="000000" w:sz="4"/>
                  </w:tcBorders>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0.5分/次</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要求故障及时响应</w:t>
                  </w:r>
                </w:p>
              </w:tc>
              <w:tc>
                <w:tcPr>
                  <w:tcW w:type="dxa" w:w="1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响应时间：每周</w:t>
                  </w:r>
                  <w:r>
                    <w:rPr>
                      <w:sz w:val="21"/>
                    </w:rPr>
                    <w:t>7天×24小时服务专线技术支持，须保证在接到故障通知后2小时内响应，3小时内到达故障现场，48小时内解决故障</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0.5分/次</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设备迁移要求：提供</w:t>
                  </w:r>
                  <w:r>
                    <w:rPr>
                      <w:sz w:val="21"/>
                    </w:rPr>
                    <w:t>10点位视频设备迁移，迁移完成时间为不超过7个工作日</w:t>
                  </w:r>
                </w:p>
              </w:tc>
              <w:tc>
                <w:tcPr>
                  <w:tcW w:type="dxa" w:w="147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21"/>
                    </w:rPr>
                    <w:t>按采购人要求，</w:t>
                  </w:r>
                  <w:r>
                    <w:rPr>
                      <w:sz w:val="21"/>
                    </w:rPr>
                    <w:t>10个点位视频设备迁移。</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未完成，</w:t>
                  </w:r>
                  <w:r>
                    <w:rPr>
                      <w:sz w:val="21"/>
                    </w:rPr>
                    <w:t>1分/次</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2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保密要求：养护单位必须对项目信息进行保密，定期进行保密教育工作，杜绝保密信息泄漏。</w:t>
                  </w:r>
                </w:p>
              </w:tc>
              <w:tc>
                <w:tcPr>
                  <w:tcW w:type="dxa" w:w="14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未进行保密培训</w:t>
                  </w:r>
                </w:p>
              </w:tc>
              <w:tc>
                <w:tcPr>
                  <w:tcW w:type="dxa" w:w="4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0.5分/次</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277"/>
                  <w:vMerge/>
                  <w:tcBorders>
                    <w:top w:val="none" w:color="000000" w:sz="4"/>
                    <w:left w:val="none" w:color="000000" w:sz="4"/>
                    <w:bottom w:val="single" w:color="000000" w:sz="4"/>
                    <w:right w:val="single" w:color="000000" w:sz="4"/>
                  </w:tcBorders>
                </w:tcPr>
                <w:p/>
              </w:tc>
              <w:tc>
                <w:tcPr>
                  <w:tcW w:type="dxa" w:w="1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出现信息泄漏事件，注：平台及运营商网络安全事件不做考核</w:t>
                  </w:r>
                </w:p>
              </w:tc>
              <w:tc>
                <w:tcPr>
                  <w:tcW w:type="dxa" w:w="461"/>
                  <w:vMerge/>
                  <w:tcBorders>
                    <w:top w:val="none" w:color="000000" w:sz="4"/>
                    <w:left w:val="none" w:color="000000" w:sz="4"/>
                    <w:bottom w:val="single" w:color="000000" w:sz="4"/>
                    <w:right w:val="single" w:color="000000" w:sz="4"/>
                  </w:tcBorders>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2分/次</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网络安全要求：养护单位必须做好网络安全防护措施，防止发生网络安全事件。</w:t>
                  </w:r>
                </w:p>
              </w:tc>
              <w:tc>
                <w:tcPr>
                  <w:tcW w:type="dxa" w:w="1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前端设备发生网络安全事件被上级部门通报的。注：平台及运营商网络安全事件不做考核</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2分/次</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598"/>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存在问题描述：</w:t>
                  </w:r>
                </w:p>
              </w:tc>
            </w:tr>
          </w:tbl>
          <w:p>
            <w:pPr>
              <w:pStyle w:val="null3"/>
              <w:ind w:firstLine="420"/>
              <w:jc w:val="both"/>
              <w:outlineLvl w:val="1"/>
            </w:pPr>
            <w:r>
              <w:rPr>
                <w:sz w:val="21"/>
                <w:b/>
              </w:rPr>
              <w:t>4</w:t>
            </w:r>
            <w:r>
              <w:rPr>
                <w:sz w:val="21"/>
                <w:b/>
              </w:rPr>
              <w:t>．</w:t>
            </w:r>
            <w:r>
              <w:rPr>
                <w:sz w:val="21"/>
                <w:b/>
              </w:rPr>
              <w:t>电子警察系统运行考核</w:t>
            </w:r>
          </w:p>
          <w:p>
            <w:pPr>
              <w:pStyle w:val="null3"/>
              <w:ind w:firstLine="420"/>
              <w:jc w:val="both"/>
            </w:pPr>
            <w:r>
              <w:rPr>
                <w:sz w:val="21"/>
              </w:rPr>
              <w:t>电子警察考核分为定期考核和不定期考核二种。</w:t>
            </w:r>
          </w:p>
          <w:p>
            <w:pPr>
              <w:pStyle w:val="null3"/>
              <w:ind w:firstLine="420"/>
              <w:jc w:val="both"/>
            </w:pPr>
            <w:r>
              <w:rPr>
                <w:sz w:val="21"/>
              </w:rPr>
              <w:t>（</w:t>
            </w:r>
            <w:r>
              <w:rPr>
                <w:sz w:val="21"/>
              </w:rPr>
              <w:t>1</w:t>
            </w:r>
            <w:r>
              <w:rPr>
                <w:sz w:val="21"/>
              </w:rPr>
              <w:t>）不定期考核：对中标人在本项目的服务进行日常检查，对不符合规定要求的，立即发出书面警告，责令限期整改，发出整改通知五天后，仍达不到规定要求的，采购人将按照考核标准在当季度考核评分中进行扣分；</w:t>
            </w:r>
          </w:p>
          <w:p>
            <w:pPr>
              <w:pStyle w:val="null3"/>
              <w:ind w:firstLine="420"/>
              <w:jc w:val="both"/>
            </w:pPr>
            <w:r>
              <w:rPr>
                <w:sz w:val="21"/>
              </w:rPr>
              <w:t>（</w:t>
            </w:r>
            <w:r>
              <w:rPr>
                <w:sz w:val="21"/>
              </w:rPr>
              <w:t>2</w:t>
            </w:r>
            <w:r>
              <w:rPr>
                <w:sz w:val="21"/>
              </w:rPr>
              <w:t>）定期考核：本项目每三个月（一个季度）对中标人进行一次定期考核，采购人于每季度结束后，对中标人维保情况进行考核：</w:t>
            </w:r>
          </w:p>
          <w:p>
            <w:pPr>
              <w:pStyle w:val="null3"/>
              <w:ind w:firstLine="420"/>
              <w:jc w:val="both"/>
            </w:pPr>
            <w:r>
              <w:rPr>
                <w:sz w:val="21"/>
              </w:rPr>
              <w:t>表四：电子警察系统运行考核评分表</w:t>
            </w:r>
          </w:p>
          <w:tbl>
            <w:tblPr>
              <w:tblBorders>
                <w:top w:val="none" w:color="000000" w:sz="4"/>
                <w:left w:val="none" w:color="000000" w:sz="4"/>
                <w:bottom w:val="none" w:color="000000" w:sz="4"/>
                <w:right w:val="none" w:color="000000" w:sz="4"/>
                <w:insideH w:val="none"/>
                <w:insideV w:val="none"/>
              </w:tblBorders>
            </w:tblPr>
            <w:tblGrid>
              <w:gridCol w:w="605"/>
              <w:gridCol w:w="1221"/>
              <w:gridCol w:w="1423"/>
              <w:gridCol w:w="534"/>
              <w:gridCol w:w="605"/>
              <w:gridCol w:w="605"/>
              <w:gridCol w:w="606"/>
            </w:tblGrid>
            <w:tr>
              <w:tc>
                <w:tcPr>
                  <w:tcW w:type="dxa" w:w="1826"/>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项目时间：</w:t>
                  </w:r>
                </w:p>
              </w:tc>
              <w:tc>
                <w:tcPr>
                  <w:tcW w:type="dxa" w:w="3773"/>
                  <w:gridSpan w:val="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考核总得分：</w:t>
                  </w:r>
                  <w:r>
                    <w:rPr>
                      <w:sz w:val="21"/>
                    </w:rPr>
                    <w:t xml:space="preserve">      </w:t>
                  </w:r>
                  <w:r>
                    <w:rPr>
                      <w:sz w:val="21"/>
                    </w:rPr>
                    <w:t>（总分值：</w:t>
                  </w:r>
                  <w:r>
                    <w:rPr>
                      <w:sz w:val="21"/>
                    </w:rPr>
                    <w:t>100分）</w:t>
                  </w:r>
                </w:p>
              </w:tc>
            </w:tr>
            <w:tr>
              <w:tc>
                <w:tcPr>
                  <w:tcW w:type="dxa" w:w="182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项目名称：</w:t>
                  </w:r>
                </w:p>
              </w:tc>
              <w:tc>
                <w:tcPr>
                  <w:tcW w:type="dxa" w:w="3773"/>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维护单位</w:t>
                  </w:r>
                  <w:r>
                    <w:rPr>
                      <w:sz w:val="21"/>
                    </w:rPr>
                    <w:t>:</w:t>
                  </w:r>
                </w:p>
              </w:tc>
            </w:tr>
            <w:tr>
              <w:tc>
                <w:tcPr>
                  <w:tcW w:type="dxa" w:w="182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维护单位经办人</w:t>
                  </w:r>
                  <w:r>
                    <w:rPr>
                      <w:sz w:val="21"/>
                    </w:rPr>
                    <w:t>:</w:t>
                  </w:r>
                </w:p>
              </w:tc>
              <w:tc>
                <w:tcPr>
                  <w:tcW w:type="dxa" w:w="3773"/>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维护单位负责人：</w:t>
                  </w:r>
                </w:p>
              </w:tc>
            </w:tr>
            <w:tr>
              <w:tc>
                <w:tcPr>
                  <w:tcW w:type="dxa" w:w="5599"/>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考核人员</w:t>
                  </w:r>
                  <w:r>
                    <w:rPr>
                      <w:sz w:val="21"/>
                    </w:rPr>
                    <w:t>:</w:t>
                  </w:r>
                </w:p>
              </w:tc>
            </w:tr>
            <w:tr>
              <w:tc>
                <w:tcPr>
                  <w:tcW w:type="dxa" w:w="6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4994"/>
                  <w:gridSpan w:val="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电子警察系统现场养护</w:t>
                  </w:r>
                  <w:r>
                    <w:rPr>
                      <w:sz w:val="21"/>
                      <w:b/>
                    </w:rPr>
                    <w:t>(总分100分)</w:t>
                  </w:r>
                </w:p>
              </w:tc>
            </w:tr>
            <w:tr>
              <w:tc>
                <w:tcPr>
                  <w:tcW w:type="dxa" w:w="605"/>
                  <w:vMerge/>
                  <w:tcBorders>
                    <w:top w:val="none" w:color="000000" w:sz="4"/>
                    <w:left w:val="single" w:color="000000" w:sz="4"/>
                    <w:bottom w:val="single" w:color="000000" w:sz="4"/>
                    <w:right w:val="single" w:color="000000" w:sz="4"/>
                  </w:tcBorders>
                </w:tcPr>
                <w:p/>
              </w:tc>
              <w:tc>
                <w:tcPr>
                  <w:tcW w:type="dxa" w:w="1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考核标准</w:t>
                  </w:r>
                </w:p>
              </w:tc>
              <w:tc>
                <w:tcPr>
                  <w:tcW w:type="dxa" w:w="14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考核内容</w:t>
                  </w:r>
                </w:p>
              </w:tc>
              <w:tc>
                <w:tcPr>
                  <w:tcW w:type="dxa" w:w="5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分值</w:t>
                  </w:r>
                </w:p>
              </w:tc>
              <w:tc>
                <w:tcPr>
                  <w:tcW w:type="dxa" w:w="6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扣分标准</w:t>
                  </w:r>
                </w:p>
              </w:tc>
              <w:tc>
                <w:tcPr>
                  <w:tcW w:type="dxa" w:w="6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扣分</w:t>
                  </w:r>
                </w:p>
              </w:tc>
              <w:tc>
                <w:tcPr>
                  <w:tcW w:type="dxa" w:w="6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得分</w:t>
                  </w:r>
                </w:p>
              </w:tc>
            </w:tr>
            <w:tr>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根据《公共安全视频监控建设联网应用</w:t>
                  </w:r>
                  <w:r>
                    <w:rPr>
                      <w:sz w:val="21"/>
                    </w:rPr>
                    <w:t>“十三五”规划方案》规定了重点公共区域视频监控覆盖率达到100%，新增视频监控联网率达到95%（参考公安部门公布的考核数据）</w:t>
                  </w:r>
                </w:p>
              </w:tc>
              <w:tc>
                <w:tcPr>
                  <w:tcW w:type="dxa" w:w="1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平台在线率：</w:t>
                  </w:r>
                </w:p>
                <w:p>
                  <w:pPr>
                    <w:pStyle w:val="null3"/>
                    <w:jc w:val="left"/>
                  </w:pPr>
                  <w:r>
                    <w:rPr>
                      <w:sz w:val="21"/>
                    </w:rPr>
                    <w:t>1、在线率低于95%；</w:t>
                  </w:r>
                </w:p>
                <w:p>
                  <w:pPr>
                    <w:pStyle w:val="null3"/>
                    <w:jc w:val="left"/>
                  </w:pPr>
                  <w:r>
                    <w:rPr>
                      <w:sz w:val="21"/>
                    </w:rPr>
                    <w:t>2、注：由于运营商网络不通、平台故障、统一停电等问题引起不计入考核。</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每低</w:t>
                  </w:r>
                  <w:r>
                    <w:rPr>
                      <w:sz w:val="21"/>
                    </w:rPr>
                    <w:t>0.1%扣0.2分</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要求每月检查完成率不低于</w:t>
                  </w:r>
                  <w:r>
                    <w:rPr>
                      <w:sz w:val="21"/>
                    </w:rPr>
                    <w:t>90%</w:t>
                  </w:r>
                </w:p>
              </w:tc>
              <w:tc>
                <w:tcPr>
                  <w:tcW w:type="dxa" w:w="1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设备维护管理：按养护计划要求完成巡查工作。每月检查完成率不低于</w:t>
                  </w:r>
                  <w:r>
                    <w:rPr>
                      <w:sz w:val="21"/>
                    </w:rPr>
                    <w:t>90%。</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每低于</w:t>
                  </w:r>
                  <w:r>
                    <w:rPr>
                      <w:sz w:val="21"/>
                    </w:rPr>
                    <w:t>10%扣1分</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要求季度巡查任务完成率不低于</w:t>
                  </w:r>
                  <w:r>
                    <w:rPr>
                      <w:sz w:val="21"/>
                    </w:rPr>
                    <w:t>90%</w:t>
                  </w:r>
                </w:p>
              </w:tc>
              <w:tc>
                <w:tcPr>
                  <w:tcW w:type="dxa" w:w="1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设备维护管理：按养护计划要求完成巡查工作。季度检查完成率不低于</w:t>
                  </w:r>
                  <w:r>
                    <w:rPr>
                      <w:sz w:val="21"/>
                    </w:rPr>
                    <w:t>90%。</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每低于</w:t>
                  </w:r>
                  <w:r>
                    <w:rPr>
                      <w:sz w:val="21"/>
                    </w:rPr>
                    <w:t>10%扣1</w:t>
                  </w:r>
                </w:p>
                <w:p>
                  <w:pPr>
                    <w:pStyle w:val="null3"/>
                    <w:jc w:val="left"/>
                  </w:pPr>
                  <w:r>
                    <w:rPr>
                      <w:sz w:val="21"/>
                    </w:rPr>
                    <w:t>分</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要求故障设备及时送修</w:t>
                  </w:r>
                </w:p>
              </w:tc>
              <w:tc>
                <w:tcPr>
                  <w:tcW w:type="dxa" w:w="1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设备维护管理：</w:t>
                  </w:r>
                </w:p>
                <w:p>
                  <w:pPr>
                    <w:pStyle w:val="null3"/>
                    <w:jc w:val="left"/>
                  </w:pPr>
                  <w:r>
                    <w:rPr>
                      <w:sz w:val="21"/>
                    </w:rPr>
                    <w:t>1.送、返修设备时，按要求填写相关表格并在规定时限内完成。</w:t>
                  </w:r>
                </w:p>
                <w:p>
                  <w:pPr>
                    <w:pStyle w:val="null3"/>
                    <w:jc w:val="left"/>
                  </w:pPr>
                  <w:r>
                    <w:rPr>
                      <w:sz w:val="21"/>
                    </w:rPr>
                    <w:t>2.按要求送、返修设备。</w:t>
                  </w:r>
                </w:p>
                <w:p>
                  <w:pPr>
                    <w:pStyle w:val="null3"/>
                    <w:jc w:val="left"/>
                  </w:pPr>
                  <w:r>
                    <w:rPr>
                      <w:sz w:val="21"/>
                    </w:rPr>
                    <w:t>3.不存在人为原因损坏设备、丟失设备。4.故障设备送修后有替换设备，在备件到达之日起1个日历日内完成安装。</w:t>
                  </w:r>
                </w:p>
                <w:p>
                  <w:pPr>
                    <w:pStyle w:val="null3"/>
                    <w:jc w:val="left"/>
                  </w:pPr>
                  <w:r>
                    <w:rPr>
                      <w:sz w:val="21"/>
                    </w:rPr>
                    <w:t>5.中标人必须针对在用设备的使用情况，准备充足的备用零件，以应对故障发生时的应急使用。</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每违反一次，扣</w:t>
                  </w:r>
                  <w:r>
                    <w:rPr>
                      <w:sz w:val="21"/>
                    </w:rPr>
                    <w:t>1</w:t>
                  </w:r>
                </w:p>
                <w:p>
                  <w:pPr>
                    <w:pStyle w:val="null3"/>
                    <w:jc w:val="center"/>
                  </w:pPr>
                  <w:r>
                    <w:rPr>
                      <w:sz w:val="21"/>
                    </w:rPr>
                    <w:t>分</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要求故障及时响应</w:t>
                  </w:r>
                </w:p>
              </w:tc>
              <w:tc>
                <w:tcPr>
                  <w:tcW w:type="dxa" w:w="1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故障响应处理</w:t>
                  </w:r>
                  <w:r>
                    <w:rPr>
                      <w:sz w:val="21"/>
                    </w:rPr>
                    <w:t>:</w:t>
                  </w:r>
                </w:p>
                <w:p>
                  <w:pPr>
                    <w:pStyle w:val="null3"/>
                    <w:jc w:val="left"/>
                  </w:pPr>
                  <w:r>
                    <w:rPr>
                      <w:sz w:val="21"/>
                    </w:rPr>
                    <w:t>1、在事件发生后，10分钟内响应，30分钟内到达现场;</w:t>
                  </w:r>
                </w:p>
                <w:p>
                  <w:pPr>
                    <w:pStyle w:val="null3"/>
                    <w:jc w:val="left"/>
                  </w:pPr>
                  <w:r>
                    <w:rPr>
                      <w:sz w:val="21"/>
                    </w:rPr>
                    <w:t>2、每周7天×24小时服务专线技术支持</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超过约定的响应及到达现场时间上限，每超过</w:t>
                  </w:r>
                  <w:r>
                    <w:rPr>
                      <w:sz w:val="21"/>
                    </w:rPr>
                    <w:t>1小时扣0.5</w:t>
                  </w:r>
                </w:p>
                <w:p>
                  <w:pPr>
                    <w:pStyle w:val="null3"/>
                    <w:jc w:val="left"/>
                  </w:pPr>
                  <w:r>
                    <w:rPr>
                      <w:sz w:val="21"/>
                    </w:rPr>
                    <w:t>分</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要求故障及时修复</w:t>
                  </w:r>
                </w:p>
              </w:tc>
              <w:tc>
                <w:tcPr>
                  <w:tcW w:type="dxa" w:w="1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故障响应处理</w:t>
                  </w:r>
                  <w:r>
                    <w:rPr>
                      <w:sz w:val="21"/>
                    </w:rPr>
                    <w:t>:</w:t>
                  </w:r>
                </w:p>
                <w:p>
                  <w:pPr>
                    <w:pStyle w:val="null3"/>
                    <w:jc w:val="left"/>
                  </w:pPr>
                  <w:r>
                    <w:rPr>
                      <w:sz w:val="21"/>
                    </w:rPr>
                    <w:t>1、一般故障：无需更换或采用更换零配件的方式维修后可保证现场设备正常运行的须在2小时内恢复正常;</w:t>
                  </w:r>
                </w:p>
                <w:p>
                  <w:pPr>
                    <w:pStyle w:val="null3"/>
                    <w:jc w:val="left"/>
                  </w:pPr>
                  <w:r>
                    <w:rPr>
                      <w:sz w:val="21"/>
                    </w:rPr>
                    <w:t>2、特殊故障：如隐蔽线路故障、须管道开挖、破路、拆装、围蔽车道施工等，2小时内无法修复的，及时上报相关单位，重新制定修复方案经批准后进行</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超过约定的恢复时间上限，每超过</w:t>
                  </w:r>
                  <w:r>
                    <w:rPr>
                      <w:sz w:val="21"/>
                    </w:rPr>
                    <w:t>1小时扣0.5分</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要求及时应急响应处理</w:t>
                  </w:r>
                </w:p>
              </w:tc>
              <w:tc>
                <w:tcPr>
                  <w:tcW w:type="dxa" w:w="1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故障响应处理</w:t>
                  </w:r>
                  <w:r>
                    <w:rPr>
                      <w:sz w:val="21"/>
                    </w:rPr>
                    <w:t>:1、由于人为、自然灾害等非可控原因造成不能及时处理的故障，积极收集并提供相关音像、书面文件、通告等证明，并及时报告使用单位。</w:t>
                  </w:r>
                </w:p>
                <w:p>
                  <w:pPr>
                    <w:pStyle w:val="null3"/>
                    <w:jc w:val="left"/>
                  </w:pPr>
                  <w:r>
                    <w:rPr>
                      <w:sz w:val="21"/>
                    </w:rPr>
                    <w:t>2、对暂时无法处理的故障(如厂家无法提供备件等)，及时跟踪处理、通报，并报告使用单位，经批准后延长修复时间。</w:t>
                  </w:r>
                </w:p>
                <w:p>
                  <w:pPr>
                    <w:pStyle w:val="null3"/>
                    <w:jc w:val="left"/>
                  </w:pPr>
                  <w:r>
                    <w:rPr>
                      <w:sz w:val="21"/>
                    </w:rPr>
                    <w:t>3、应急通信保障：按不同时期的相关工作要求进行，在启动各类自然灾害或重大节日活动交通保卫等通讯保障预案后，在规定时间内完成交办相关工作。</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每违反一次，扣</w:t>
                  </w:r>
                  <w:r>
                    <w:rPr>
                      <w:sz w:val="21"/>
                    </w:rPr>
                    <w:t>1分。如超出处理时限的故障属于客观原因，经使用单位确认后可剔除该宗派单的考核</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加分工作要求是在当次考核、检查中开展或完成的项目</w:t>
                  </w:r>
                </w:p>
              </w:tc>
              <w:tc>
                <w:tcPr>
                  <w:tcW w:type="dxa" w:w="1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加分项目：加分工作内容。</w:t>
                  </w:r>
                </w:p>
                <w:p>
                  <w:pPr>
                    <w:pStyle w:val="null3"/>
                    <w:jc w:val="left"/>
                  </w:pPr>
                  <w:r>
                    <w:rPr>
                      <w:sz w:val="21"/>
                    </w:rPr>
                    <w:t>1、提出可行性建议和有建设性意见并被采纳使用;</w:t>
                  </w:r>
                </w:p>
                <w:p>
                  <w:pPr>
                    <w:pStyle w:val="null3"/>
                    <w:jc w:val="left"/>
                  </w:pPr>
                  <w:r>
                    <w:rPr>
                      <w:sz w:val="21"/>
                    </w:rPr>
                    <w:t>2、重大事件中表现突出，获得领导肯定和表扬;</w:t>
                  </w:r>
                </w:p>
                <w:p>
                  <w:pPr>
                    <w:pStyle w:val="null3"/>
                    <w:jc w:val="left"/>
                  </w:pPr>
                  <w:r>
                    <w:rPr>
                      <w:sz w:val="21"/>
                    </w:rPr>
                    <w:t>3、按要求提供服务范围外的服务;</w:t>
                  </w:r>
                </w:p>
                <w:p>
                  <w:pPr>
                    <w:pStyle w:val="null3"/>
                    <w:jc w:val="left"/>
                  </w:pPr>
                  <w:r>
                    <w:rPr>
                      <w:sz w:val="21"/>
                    </w:rPr>
                    <w:t>4、各项工作积极主动，制定有效工作计划</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根据项目开展或完成情况，每项最高加</w:t>
                  </w:r>
                  <w:r>
                    <w:rPr>
                      <w:sz w:val="21"/>
                    </w:rPr>
                    <w:t>2分</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599"/>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存在问题描述：</w:t>
                  </w:r>
                </w:p>
              </w:tc>
            </w:tr>
          </w:tbl>
          <w:p>
            <w:pPr>
              <w:pStyle w:val="null3"/>
              <w:ind w:firstLine="420"/>
              <w:jc w:val="both"/>
              <w:outlineLvl w:val="1"/>
            </w:pPr>
            <w:r>
              <w:rPr>
                <w:sz w:val="21"/>
                <w:b/>
              </w:rPr>
              <w:t>5</w:t>
            </w:r>
            <w:r>
              <w:rPr>
                <w:sz w:val="21"/>
                <w:b/>
              </w:rPr>
              <w:t>．</w:t>
            </w:r>
            <w:r>
              <w:rPr>
                <w:sz w:val="21"/>
                <w:b/>
              </w:rPr>
              <w:t>交通信号控制系统运行考核</w:t>
            </w:r>
          </w:p>
          <w:p>
            <w:pPr>
              <w:pStyle w:val="null3"/>
              <w:ind w:firstLine="420"/>
              <w:jc w:val="both"/>
            </w:pPr>
            <w:r>
              <w:rPr>
                <w:sz w:val="21"/>
              </w:rPr>
              <w:t>表五：交通信号控制系统运行考核评分表</w:t>
            </w:r>
          </w:p>
          <w:tbl>
            <w:tblPr>
              <w:tblBorders>
                <w:top w:val="none" w:color="000000" w:sz="4"/>
                <w:left w:val="none" w:color="000000" w:sz="4"/>
                <w:bottom w:val="none" w:color="000000" w:sz="4"/>
                <w:right w:val="none" w:color="000000" w:sz="4"/>
                <w:insideH w:val="none"/>
                <w:insideV w:val="none"/>
              </w:tblBorders>
            </w:tblPr>
            <w:tblGrid>
              <w:gridCol w:w="579"/>
              <w:gridCol w:w="1133"/>
              <w:gridCol w:w="1338"/>
              <w:gridCol w:w="581"/>
              <w:gridCol w:w="801"/>
              <w:gridCol w:w="584"/>
              <w:gridCol w:w="581"/>
            </w:tblGrid>
            <w:tr>
              <w:tc>
                <w:tcPr>
                  <w:tcW w:type="dxa" w:w="1712"/>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项目时间：</w:t>
                  </w:r>
                </w:p>
              </w:tc>
              <w:tc>
                <w:tcPr>
                  <w:tcW w:type="dxa" w:w="3885"/>
                  <w:gridSpan w:val="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考核总得分：</w:t>
                  </w:r>
                  <w:r>
                    <w:rPr>
                      <w:sz w:val="21"/>
                    </w:rPr>
                    <w:t xml:space="preserve">      </w:t>
                  </w:r>
                  <w:r>
                    <w:rPr>
                      <w:sz w:val="21"/>
                    </w:rPr>
                    <w:t>（总分值：</w:t>
                  </w:r>
                  <w:r>
                    <w:rPr>
                      <w:sz w:val="21"/>
                    </w:rPr>
                    <w:t>100分）</w:t>
                  </w:r>
                </w:p>
              </w:tc>
            </w:tr>
            <w:tr>
              <w:tc>
                <w:tcPr>
                  <w:tcW w:type="dxa" w:w="171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项目名称：</w:t>
                  </w:r>
                </w:p>
              </w:tc>
              <w:tc>
                <w:tcPr>
                  <w:tcW w:type="dxa" w:w="388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维护单位</w:t>
                  </w:r>
                  <w:r>
                    <w:rPr>
                      <w:sz w:val="21"/>
                    </w:rPr>
                    <w:t>:</w:t>
                  </w:r>
                </w:p>
              </w:tc>
            </w:tr>
            <w:tr>
              <w:tc>
                <w:tcPr>
                  <w:tcW w:type="dxa" w:w="171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维护单位经办人</w:t>
                  </w:r>
                  <w:r>
                    <w:rPr>
                      <w:sz w:val="21"/>
                    </w:rPr>
                    <w:t>:</w:t>
                  </w:r>
                </w:p>
              </w:tc>
              <w:tc>
                <w:tcPr>
                  <w:tcW w:type="dxa" w:w="388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维护单位负责人：</w:t>
                  </w:r>
                </w:p>
              </w:tc>
            </w:tr>
            <w:tr>
              <w:tc>
                <w:tcPr>
                  <w:tcW w:type="dxa" w:w="5597"/>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考核人员</w:t>
                  </w:r>
                  <w:r>
                    <w:rPr>
                      <w:sz w:val="21"/>
                    </w:rPr>
                    <w:t>:</w:t>
                  </w:r>
                </w:p>
              </w:tc>
            </w:tr>
            <w:tr>
              <w:tc>
                <w:tcPr>
                  <w:tcW w:type="dxa" w:w="57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5018"/>
                  <w:gridSpan w:val="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一、平台在线率</w:t>
                  </w:r>
                  <w:r>
                    <w:rPr>
                      <w:sz w:val="21"/>
                      <w:b/>
                    </w:rPr>
                    <w:t>(总分15分)</w:t>
                  </w:r>
                </w:p>
              </w:tc>
            </w:tr>
            <w:tr>
              <w:tc>
                <w:tcPr>
                  <w:tcW w:type="dxa" w:w="579"/>
                  <w:vMerge/>
                  <w:tcBorders>
                    <w:top w:val="none" w:color="000000" w:sz="4"/>
                    <w:left w:val="single" w:color="000000" w:sz="4"/>
                    <w:bottom w:val="single" w:color="000000" w:sz="4"/>
                    <w:right w:val="single" w:color="000000" w:sz="4"/>
                  </w:tcBorders>
                </w:tcPr>
                <w:p/>
              </w:tc>
              <w:tc>
                <w:tcPr>
                  <w:tcW w:type="dxa" w:w="1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考核标准</w:t>
                  </w:r>
                </w:p>
              </w:tc>
              <w:tc>
                <w:tcPr>
                  <w:tcW w:type="dxa" w:w="13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考核内容</w:t>
                  </w:r>
                </w:p>
              </w:tc>
              <w:tc>
                <w:tcPr>
                  <w:tcW w:type="dxa" w:w="5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分值</w:t>
                  </w:r>
                </w:p>
              </w:tc>
              <w:tc>
                <w:tcPr>
                  <w:tcW w:type="dxa" w:w="8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扣分标准</w:t>
                  </w:r>
                </w:p>
              </w:tc>
              <w:tc>
                <w:tcPr>
                  <w:tcW w:type="dxa" w:w="5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扣分</w:t>
                  </w:r>
                </w:p>
              </w:tc>
              <w:tc>
                <w:tcPr>
                  <w:tcW w:type="dxa" w:w="5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得分</w:t>
                  </w: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设备正常运行率不能＜</w:t>
                  </w:r>
                  <w:r>
                    <w:rPr>
                      <w:sz w:val="21"/>
                    </w:rPr>
                    <w:t>90%</w:t>
                  </w:r>
                </w:p>
              </w:tc>
              <w:tc>
                <w:tcPr>
                  <w:tcW w:type="dxa" w:w="1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平台在线率：</w:t>
                  </w:r>
                  <w:r>
                    <w:rPr>
                      <w:sz w:val="21"/>
                    </w:rPr>
                    <w:t>1、设备正常运行率不能＜90%；</w:t>
                  </w:r>
                </w:p>
                <w:p>
                  <w:pPr>
                    <w:pStyle w:val="null3"/>
                    <w:jc w:val="left"/>
                  </w:pPr>
                  <w:r>
                    <w:rPr>
                      <w:sz w:val="21"/>
                    </w:rPr>
                    <w:t>注：由于运营商网络不通、平台故障、统一停电等问题引起不计入考核</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每低</w:t>
                  </w:r>
                  <w:r>
                    <w:rPr>
                      <w:sz w:val="21"/>
                    </w:rPr>
                    <w:t>0.1%扣0.2分</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二</w:t>
                  </w:r>
                </w:p>
              </w:tc>
              <w:tc>
                <w:tcPr>
                  <w:tcW w:type="dxa" w:w="4437"/>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养护维护质量</w:t>
                  </w:r>
                  <w:r>
                    <w:rPr>
                      <w:sz w:val="21"/>
                      <w:b/>
                    </w:rPr>
                    <w:t>(总分45分)</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113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信号灯要求清晰明亮、指引正确</w:t>
                  </w:r>
                  <w:r>
                    <w:rPr>
                      <w:sz w:val="21"/>
                    </w:rPr>
                    <w:t>,根据《道路交通信号灯设置与安装规范》</w:t>
                  </w:r>
                </w:p>
              </w:tc>
              <w:tc>
                <w:tcPr>
                  <w:tcW w:type="dxa" w:w="1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机动信号灯</w:t>
                  </w:r>
                  <w:r>
                    <w:rPr>
                      <w:sz w:val="21"/>
                    </w:rPr>
                    <w:t>,清晰明亮、指引正确、运行正常</w:t>
                  </w:r>
                </w:p>
              </w:tc>
              <w:tc>
                <w:tcPr>
                  <w:tcW w:type="dxa" w:w="58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8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每灭一灯，未在采购人规定时间修理好，扣</w:t>
                  </w:r>
                  <w:r>
                    <w:rPr>
                      <w:sz w:val="21"/>
                    </w:rPr>
                    <w:t>0.5</w:t>
                  </w:r>
                </w:p>
                <w:p>
                  <w:pPr>
                    <w:pStyle w:val="null3"/>
                    <w:jc w:val="both"/>
                  </w:pPr>
                  <w:r>
                    <w:rPr>
                      <w:sz w:val="21"/>
                    </w:rPr>
                    <w:t>分</w:t>
                  </w:r>
                </w:p>
              </w:tc>
              <w:tc>
                <w:tcPr>
                  <w:tcW w:type="dxa" w:w="5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1133"/>
                  <w:vMerge/>
                  <w:tcBorders>
                    <w:top w:val="none" w:color="000000" w:sz="4"/>
                    <w:left w:val="none" w:color="000000" w:sz="4"/>
                    <w:bottom w:val="single" w:color="000000" w:sz="4"/>
                    <w:right w:val="single" w:color="000000" w:sz="4"/>
                  </w:tcBorders>
                </w:tcPr>
                <w:p/>
              </w:tc>
              <w:tc>
                <w:tcPr>
                  <w:tcW w:type="dxa" w:w="1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非机动灯具及行人灯具</w:t>
                  </w:r>
                  <w:r>
                    <w:rPr>
                      <w:sz w:val="21"/>
                    </w:rPr>
                    <w:t>,清晰明亮、运行正常</w:t>
                  </w:r>
                </w:p>
              </w:tc>
              <w:tc>
                <w:tcPr>
                  <w:tcW w:type="dxa" w:w="581"/>
                  <w:vMerge/>
                  <w:tcBorders>
                    <w:top w:val="single" w:color="000000" w:sz="4"/>
                    <w:left w:val="none" w:color="000000" w:sz="4"/>
                    <w:bottom w:val="single" w:color="000000" w:sz="4"/>
                    <w:right w:val="single" w:color="000000" w:sz="4"/>
                  </w:tcBorders>
                </w:tcP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每灭一灯，未在采购人规定时间内修理好，扣</w:t>
                  </w:r>
                  <w:r>
                    <w:rPr>
                      <w:sz w:val="21"/>
                    </w:rPr>
                    <w:t>0.5分</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1133"/>
                  <w:vMerge/>
                  <w:tcBorders>
                    <w:top w:val="none" w:color="000000" w:sz="4"/>
                    <w:left w:val="none" w:color="000000" w:sz="4"/>
                    <w:bottom w:val="single" w:color="000000" w:sz="4"/>
                    <w:right w:val="single" w:color="000000" w:sz="4"/>
                  </w:tcBorders>
                </w:tcPr>
                <w:p/>
              </w:tc>
              <w:tc>
                <w:tcPr>
                  <w:tcW w:type="dxa" w:w="1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缺失灯具</w:t>
                  </w:r>
                  <w:r>
                    <w:rPr>
                      <w:sz w:val="21"/>
                    </w:rPr>
                    <w:t>,设施完整</w:t>
                  </w:r>
                </w:p>
              </w:tc>
              <w:tc>
                <w:tcPr>
                  <w:tcW w:type="dxa" w:w="581"/>
                  <w:vMerge/>
                  <w:tcBorders>
                    <w:top w:val="single" w:color="000000" w:sz="4"/>
                    <w:left w:val="none" w:color="000000" w:sz="4"/>
                    <w:bottom w:val="single" w:color="000000" w:sz="4"/>
                    <w:right w:val="single" w:color="000000" w:sz="4"/>
                  </w:tcBorders>
                </w:tcP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机动灯缺失未在采购人规定时间内修理好，扣</w:t>
                  </w:r>
                  <w:r>
                    <w:rPr>
                      <w:sz w:val="21"/>
                    </w:rPr>
                    <w:t>2分、行人灯缺失扣0.5分</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1133"/>
                  <w:vMerge/>
                  <w:tcBorders>
                    <w:top w:val="none" w:color="000000" w:sz="4"/>
                    <w:left w:val="none" w:color="000000" w:sz="4"/>
                    <w:bottom w:val="single" w:color="000000" w:sz="4"/>
                    <w:right w:val="single" w:color="000000" w:sz="4"/>
                  </w:tcBorders>
                </w:tcPr>
                <w:p/>
              </w:tc>
              <w:tc>
                <w:tcPr>
                  <w:tcW w:type="dxa" w:w="1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行人过街一体机显示屏</w:t>
                  </w:r>
                  <w:r>
                    <w:rPr>
                      <w:sz w:val="21"/>
                    </w:rPr>
                    <w:t>,清晰明亮、指引正确、运行正常</w:t>
                  </w:r>
                </w:p>
              </w:tc>
              <w:tc>
                <w:tcPr>
                  <w:tcW w:type="dxa" w:w="581"/>
                  <w:vMerge/>
                  <w:tcBorders>
                    <w:top w:val="single" w:color="000000" w:sz="4"/>
                    <w:left w:val="none" w:color="000000" w:sz="4"/>
                    <w:bottom w:val="single" w:color="000000" w:sz="4"/>
                    <w:right w:val="single" w:color="000000" w:sz="4"/>
                  </w:tcBorders>
                </w:tcP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每灭一组、每缺失一组，未在采购人规定时间内处理好，扣</w:t>
                  </w:r>
                  <w:r>
                    <w:rPr>
                      <w:sz w:val="21"/>
                    </w:rPr>
                    <w:t>1分；轮廓不清扣0.5分</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113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要求交通控制设施表面干净整洁完好</w:t>
                  </w:r>
                  <w:r>
                    <w:rPr>
                      <w:sz w:val="21"/>
                    </w:rPr>
                    <w:t>(如：防水,防尘,除锈等)</w:t>
                  </w:r>
                </w:p>
              </w:tc>
              <w:tc>
                <w:tcPr>
                  <w:tcW w:type="dxa" w:w="1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综合设备箱及信号控制机</w:t>
                  </w:r>
                  <w:r>
                    <w:rPr>
                      <w:sz w:val="21"/>
                    </w:rPr>
                    <w:t>,防水、防尘、防鼠，控制柜损坏，控制机损坏，控制柜与绿化地面要有5—10CM高度，并留有排水口</w:t>
                  </w:r>
                </w:p>
              </w:tc>
              <w:tc>
                <w:tcPr>
                  <w:tcW w:type="dxa" w:w="58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损坏，未在采购人规定时间内处理好，每次扣</w:t>
                  </w:r>
                  <w:r>
                    <w:rPr>
                      <w:sz w:val="21"/>
                    </w:rPr>
                    <w:t>0.5分</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1133"/>
                  <w:vMerge/>
                  <w:tcBorders>
                    <w:top w:val="none" w:color="000000" w:sz="4"/>
                    <w:left w:val="none" w:color="000000" w:sz="4"/>
                    <w:bottom w:val="single" w:color="000000" w:sz="4"/>
                    <w:right w:val="single" w:color="000000" w:sz="4"/>
                  </w:tcBorders>
                </w:tcPr>
                <w:p/>
              </w:tc>
              <w:tc>
                <w:tcPr>
                  <w:tcW w:type="dxa" w:w="1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电源缆及控制缆</w:t>
                  </w:r>
                  <w:r>
                    <w:rPr>
                      <w:sz w:val="21"/>
                    </w:rPr>
                    <w:t>,规范用电安全</w:t>
                  </w:r>
                </w:p>
              </w:tc>
              <w:tc>
                <w:tcPr>
                  <w:tcW w:type="dxa" w:w="581"/>
                  <w:vMerge/>
                  <w:tcBorders>
                    <w:top w:val="none" w:color="000000" w:sz="4"/>
                    <w:left w:val="none" w:color="000000" w:sz="4"/>
                    <w:bottom w:val="single" w:color="000000" w:sz="4"/>
                    <w:right w:val="single" w:color="000000" w:sz="4"/>
                  </w:tcBorders>
                </w:tcP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由于维护不到位，造成损坏及被盗，未在采购人规定时间内处理好，扣</w:t>
                  </w:r>
                  <w:r>
                    <w:rPr>
                      <w:sz w:val="21"/>
                    </w:rPr>
                    <w:t>0.5分</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1133"/>
                  <w:vMerge/>
                  <w:tcBorders>
                    <w:top w:val="none" w:color="000000" w:sz="4"/>
                    <w:left w:val="none" w:color="000000" w:sz="4"/>
                    <w:bottom w:val="single" w:color="000000" w:sz="4"/>
                    <w:right w:val="single" w:color="000000" w:sz="4"/>
                  </w:tcBorders>
                </w:tcPr>
                <w:p/>
              </w:tc>
              <w:tc>
                <w:tcPr>
                  <w:tcW w:type="dxa" w:w="1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过路管</w:t>
                  </w:r>
                  <w:r>
                    <w:rPr>
                      <w:sz w:val="21"/>
                    </w:rPr>
                    <w:t>,保证设施完好</w:t>
                  </w:r>
                </w:p>
              </w:tc>
              <w:tc>
                <w:tcPr>
                  <w:tcW w:type="dxa" w:w="581"/>
                  <w:vMerge/>
                  <w:tcBorders>
                    <w:top w:val="none" w:color="000000" w:sz="4"/>
                    <w:left w:val="none" w:color="000000" w:sz="4"/>
                    <w:bottom w:val="single" w:color="000000" w:sz="4"/>
                    <w:right w:val="single" w:color="000000" w:sz="4"/>
                  </w:tcBorders>
                </w:tcP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损坏及造成管道不通，未在采购人规定时间内处理好，每次扣</w:t>
                  </w:r>
                  <w:r>
                    <w:rPr>
                      <w:sz w:val="21"/>
                    </w:rPr>
                    <w:t>0.5分</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1133"/>
                  <w:vMerge/>
                  <w:tcBorders>
                    <w:top w:val="none" w:color="000000" w:sz="4"/>
                    <w:left w:val="none" w:color="000000" w:sz="4"/>
                    <w:bottom w:val="single" w:color="000000" w:sz="4"/>
                    <w:right w:val="single" w:color="000000" w:sz="4"/>
                  </w:tcBorders>
                </w:tcPr>
                <w:p/>
              </w:tc>
              <w:tc>
                <w:tcPr>
                  <w:tcW w:type="dxa" w:w="1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倒计时器</w:t>
                  </w:r>
                  <w:r>
                    <w:rPr>
                      <w:sz w:val="21"/>
                    </w:rPr>
                    <w:t>,清晰明亮、运行正常</w:t>
                  </w:r>
                </w:p>
              </w:tc>
              <w:tc>
                <w:tcPr>
                  <w:tcW w:type="dxa" w:w="581"/>
                  <w:vMerge/>
                  <w:tcBorders>
                    <w:top w:val="none" w:color="000000" w:sz="4"/>
                    <w:left w:val="none" w:color="000000" w:sz="4"/>
                    <w:bottom w:val="single" w:color="000000" w:sz="4"/>
                    <w:right w:val="single" w:color="000000" w:sz="4"/>
                  </w:tcBorders>
                </w:tcP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倒计时不亮，未在采购人规定时间内处理好，扣</w:t>
                  </w:r>
                  <w:r>
                    <w:rPr>
                      <w:sz w:val="21"/>
                    </w:rPr>
                    <w:t>1分；倒计时未按要求运行，未在采购人规定时间内处理好，扣0.5分</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1133"/>
                  <w:vMerge/>
                  <w:tcBorders>
                    <w:top w:val="none" w:color="000000" w:sz="4"/>
                    <w:left w:val="none" w:color="000000" w:sz="4"/>
                    <w:bottom w:val="single" w:color="000000" w:sz="4"/>
                    <w:right w:val="single" w:color="000000" w:sz="4"/>
                  </w:tcBorders>
                </w:tcPr>
                <w:p/>
              </w:tc>
              <w:tc>
                <w:tcPr>
                  <w:tcW w:type="dxa" w:w="1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行人过街一体机、控制机柜、灯具、支架、遮阳罩、装饰板</w:t>
                  </w:r>
                  <w:r>
                    <w:rPr>
                      <w:sz w:val="21"/>
                    </w:rPr>
                    <w:t>,保证设施完好</w:t>
                  </w:r>
                </w:p>
              </w:tc>
              <w:tc>
                <w:tcPr>
                  <w:tcW w:type="dxa" w:w="581"/>
                  <w:vMerge/>
                  <w:tcBorders>
                    <w:top w:val="none" w:color="000000" w:sz="4"/>
                    <w:left w:val="none" w:color="000000" w:sz="4"/>
                    <w:bottom w:val="single" w:color="000000" w:sz="4"/>
                    <w:right w:val="single" w:color="000000" w:sz="4"/>
                  </w:tcBorders>
                </w:tcP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倾斜、损坏，或若造成车辆、行人无法辨认信号，未在采购人规定时间内处理好，每次扣</w:t>
                  </w:r>
                  <w:r>
                    <w:rPr>
                      <w:sz w:val="21"/>
                    </w:rPr>
                    <w:t>0.5分</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2.10</w:t>
                  </w:r>
                </w:p>
              </w:tc>
              <w:tc>
                <w:tcPr>
                  <w:tcW w:type="dxa" w:w="1133"/>
                  <w:vMerge/>
                  <w:tcBorders>
                    <w:top w:val="none" w:color="000000" w:sz="4"/>
                    <w:left w:val="none" w:color="000000" w:sz="4"/>
                    <w:bottom w:val="single" w:color="000000" w:sz="4"/>
                    <w:right w:val="single" w:color="000000" w:sz="4"/>
                  </w:tcBorders>
                </w:tcPr>
                <w:p/>
              </w:tc>
              <w:tc>
                <w:tcPr>
                  <w:tcW w:type="dxa" w:w="1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交通信号控制系统相关配件锈蚀</w:t>
                  </w:r>
                  <w:r>
                    <w:rPr>
                      <w:sz w:val="21"/>
                    </w:rPr>
                    <w:t>,除锈、上报中心备案</w:t>
                  </w:r>
                </w:p>
              </w:tc>
              <w:tc>
                <w:tcPr>
                  <w:tcW w:type="dxa" w:w="581"/>
                  <w:vMerge/>
                  <w:tcBorders>
                    <w:top w:val="none" w:color="000000" w:sz="4"/>
                    <w:left w:val="none" w:color="000000" w:sz="4"/>
                    <w:bottom w:val="single" w:color="000000" w:sz="4"/>
                    <w:right w:val="single" w:color="000000" w:sz="4"/>
                  </w:tcBorders>
                </w:tcP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每一处扣</w:t>
                  </w:r>
                  <w:r>
                    <w:rPr>
                      <w:sz w:val="21"/>
                    </w:rPr>
                    <w:t>1分，每一处脱粉扣0.2分</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2.11</w:t>
                  </w:r>
                </w:p>
              </w:tc>
              <w:tc>
                <w:tcPr>
                  <w:tcW w:type="dxa" w:w="1133"/>
                  <w:vMerge/>
                  <w:tcBorders>
                    <w:top w:val="none" w:color="000000" w:sz="4"/>
                    <w:left w:val="none" w:color="000000" w:sz="4"/>
                    <w:bottom w:val="single" w:color="000000" w:sz="4"/>
                    <w:right w:val="single" w:color="000000" w:sz="4"/>
                  </w:tcBorders>
                </w:tcPr>
                <w:p/>
              </w:tc>
              <w:tc>
                <w:tcPr>
                  <w:tcW w:type="dxa" w:w="1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控制缆及管道</w:t>
                  </w:r>
                  <w:r>
                    <w:rPr>
                      <w:sz w:val="21"/>
                    </w:rPr>
                    <w:t>,保证设施完好</w:t>
                  </w:r>
                </w:p>
              </w:tc>
              <w:tc>
                <w:tcPr>
                  <w:tcW w:type="dxa" w:w="581"/>
                  <w:vMerge/>
                  <w:tcBorders>
                    <w:top w:val="none" w:color="000000" w:sz="4"/>
                    <w:left w:val="none" w:color="000000" w:sz="4"/>
                    <w:bottom w:val="single" w:color="000000" w:sz="4"/>
                    <w:right w:val="single" w:color="000000" w:sz="4"/>
                  </w:tcBorders>
                </w:tcP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控制缆及管道外露地表扣</w:t>
                  </w:r>
                  <w:r>
                    <w:rPr>
                      <w:sz w:val="21"/>
                    </w:rPr>
                    <w:t>0.2分</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2.12</w:t>
                  </w:r>
                </w:p>
              </w:tc>
              <w:tc>
                <w:tcPr>
                  <w:tcW w:type="dxa" w:w="1133"/>
                  <w:vMerge/>
                  <w:tcBorders>
                    <w:top w:val="none" w:color="000000" w:sz="4"/>
                    <w:left w:val="none" w:color="000000" w:sz="4"/>
                    <w:bottom w:val="single" w:color="000000" w:sz="4"/>
                    <w:right w:val="single" w:color="000000" w:sz="4"/>
                  </w:tcBorders>
                </w:tcPr>
                <w:p/>
              </w:tc>
              <w:tc>
                <w:tcPr>
                  <w:tcW w:type="dxa" w:w="1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综合设备箱小广告</w:t>
                  </w:r>
                  <w:r>
                    <w:rPr>
                      <w:sz w:val="21"/>
                    </w:rPr>
                    <w:t>,整洁</w:t>
                  </w:r>
                </w:p>
              </w:tc>
              <w:tc>
                <w:tcPr>
                  <w:tcW w:type="dxa" w:w="581"/>
                  <w:vMerge/>
                  <w:tcBorders>
                    <w:top w:val="none" w:color="000000" w:sz="4"/>
                    <w:left w:val="none" w:color="000000" w:sz="4"/>
                    <w:bottom w:val="single" w:color="000000" w:sz="4"/>
                    <w:right w:val="single" w:color="000000" w:sz="4"/>
                  </w:tcBorders>
                </w:tcP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小广告发现</w:t>
                  </w:r>
                  <w:r>
                    <w:rPr>
                      <w:sz w:val="21"/>
                    </w:rPr>
                    <w:t>24小时内无人清理的扣0.2分</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2.13</w:t>
                  </w:r>
                </w:p>
              </w:tc>
              <w:tc>
                <w:tcPr>
                  <w:tcW w:type="dxa" w:w="1133"/>
                  <w:vMerge/>
                  <w:tcBorders>
                    <w:top w:val="none" w:color="000000" w:sz="4"/>
                    <w:left w:val="none" w:color="000000" w:sz="4"/>
                    <w:bottom w:val="single" w:color="000000" w:sz="4"/>
                    <w:right w:val="single" w:color="000000" w:sz="4"/>
                  </w:tcBorders>
                </w:tcPr>
                <w:p/>
              </w:tc>
              <w:tc>
                <w:tcPr>
                  <w:tcW w:type="dxa" w:w="1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控制机、控制柜保养</w:t>
                  </w:r>
                  <w:r>
                    <w:rPr>
                      <w:sz w:val="21"/>
                    </w:rPr>
                    <w:t>,保证设施完好</w:t>
                  </w:r>
                </w:p>
              </w:tc>
              <w:tc>
                <w:tcPr>
                  <w:tcW w:type="dxa" w:w="581"/>
                  <w:vMerge/>
                  <w:tcBorders>
                    <w:top w:val="none" w:color="000000" w:sz="4"/>
                    <w:left w:val="none" w:color="000000" w:sz="4"/>
                    <w:bottom w:val="single" w:color="000000" w:sz="4"/>
                    <w:right w:val="single" w:color="000000" w:sz="4"/>
                  </w:tcBorders>
                </w:tcP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控制柜内脏乱、布线杂乱，未在采购人规定时间内处理好，每次扣</w:t>
                  </w:r>
                  <w:r>
                    <w:rPr>
                      <w:sz w:val="21"/>
                    </w:rPr>
                    <w:t>0.5分</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2.14</w:t>
                  </w:r>
                </w:p>
              </w:tc>
              <w:tc>
                <w:tcPr>
                  <w:tcW w:type="dxa" w:w="1133"/>
                  <w:vMerge/>
                  <w:tcBorders>
                    <w:top w:val="none" w:color="000000" w:sz="4"/>
                    <w:left w:val="none" w:color="000000" w:sz="4"/>
                    <w:bottom w:val="single" w:color="000000" w:sz="4"/>
                    <w:right w:val="single" w:color="000000" w:sz="4"/>
                  </w:tcBorders>
                </w:tcPr>
                <w:p/>
              </w:tc>
              <w:tc>
                <w:tcPr>
                  <w:tcW w:type="dxa" w:w="1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灯具应保证在明亮</w:t>
                  </w:r>
                  <w:r>
                    <w:rPr>
                      <w:sz w:val="21"/>
                    </w:rPr>
                    <w:t>,保证设施完好</w:t>
                  </w:r>
                </w:p>
              </w:tc>
              <w:tc>
                <w:tcPr>
                  <w:tcW w:type="dxa" w:w="581"/>
                  <w:vMerge/>
                  <w:tcBorders>
                    <w:top w:val="none" w:color="000000" w:sz="4"/>
                    <w:left w:val="none" w:color="000000" w:sz="4"/>
                    <w:bottom w:val="single" w:color="000000" w:sz="4"/>
                    <w:right w:val="single" w:color="000000" w:sz="4"/>
                  </w:tcBorders>
                </w:tcP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信号指向轮廓清晰</w:t>
                  </w:r>
                  <w:r>
                    <w:rPr>
                      <w:sz w:val="21"/>
                    </w:rPr>
                    <w:t>,轮廓不清晰，未在采购人规定时间内处理好，每次扣0.5分</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2.15</w:t>
                  </w:r>
                </w:p>
              </w:tc>
              <w:tc>
                <w:tcPr>
                  <w:tcW w:type="dxa" w:w="1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要求对保障线路分布合理</w:t>
                  </w:r>
                </w:p>
              </w:tc>
              <w:tc>
                <w:tcPr>
                  <w:tcW w:type="dxa" w:w="1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在维护过程保证电源线及控制线走线合理，符合规范要求。</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若因此造成信号灯不正常运行，未在采购人规定时间内处理好，每次扣</w:t>
                  </w:r>
                  <w:r>
                    <w:rPr>
                      <w:sz w:val="21"/>
                    </w:rPr>
                    <w:t>0.5分</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2.16</w:t>
                  </w:r>
                </w:p>
              </w:tc>
              <w:tc>
                <w:tcPr>
                  <w:tcW w:type="dxa" w:w="113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要求信号灯资料完整及准确</w:t>
                  </w:r>
                </w:p>
              </w:tc>
              <w:tc>
                <w:tcPr>
                  <w:tcW w:type="dxa" w:w="1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运行方案登记不准确、不及时更新。注：按平台或交警及时实施方案。</w:t>
                  </w:r>
                </w:p>
              </w:tc>
              <w:tc>
                <w:tcPr>
                  <w:tcW w:type="dxa" w:w="58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未在采购人规定时间内处理好，，每次扣</w:t>
                  </w:r>
                  <w:r>
                    <w:rPr>
                      <w:sz w:val="21"/>
                    </w:rPr>
                    <w:t>0.2分</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2.17</w:t>
                  </w:r>
                </w:p>
              </w:tc>
              <w:tc>
                <w:tcPr>
                  <w:tcW w:type="dxa" w:w="1133"/>
                  <w:vMerge/>
                  <w:tcBorders>
                    <w:top w:val="none" w:color="000000" w:sz="4"/>
                    <w:left w:val="none" w:color="000000" w:sz="4"/>
                    <w:bottom w:val="single" w:color="000000" w:sz="4"/>
                    <w:right w:val="single" w:color="000000" w:sz="4"/>
                  </w:tcBorders>
                </w:tcPr>
                <w:p/>
              </w:tc>
              <w:tc>
                <w:tcPr>
                  <w:tcW w:type="dxa" w:w="1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未按要求时间提交或更新信号灯资料册、用电安全排查资料册、绿化遮挡排查资料册等采购人安排的任务</w:t>
                  </w:r>
                </w:p>
              </w:tc>
              <w:tc>
                <w:tcPr>
                  <w:tcW w:type="dxa" w:w="581"/>
                  <w:vMerge/>
                  <w:tcBorders>
                    <w:top w:val="none" w:color="000000" w:sz="4"/>
                    <w:left w:val="none" w:color="000000" w:sz="4"/>
                    <w:bottom w:val="single" w:color="000000" w:sz="4"/>
                    <w:right w:val="single" w:color="000000" w:sz="4"/>
                  </w:tcBorders>
                </w:tcP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未在采购人规定时间内处理好，每次扣</w:t>
                  </w:r>
                  <w:r>
                    <w:rPr>
                      <w:sz w:val="21"/>
                    </w:rPr>
                    <w:t>0.2分</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2.18</w:t>
                  </w:r>
                </w:p>
              </w:tc>
              <w:tc>
                <w:tcPr>
                  <w:tcW w:type="dxa" w:w="1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每个季度至少对每个前端设备进行一次巡检</w:t>
                  </w:r>
                </w:p>
              </w:tc>
              <w:tc>
                <w:tcPr>
                  <w:tcW w:type="dxa" w:w="1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巡视记录</w:t>
                  </w:r>
                  <w:r>
                    <w:rPr>
                      <w:sz w:val="21"/>
                    </w:rPr>
                    <w:t>,保证巡视记录准确、详细及归档</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记录不准确，每次扣</w:t>
                  </w:r>
                  <w:r>
                    <w:rPr>
                      <w:sz w:val="21"/>
                    </w:rPr>
                    <w:t>0.1分</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2.19</w:t>
                  </w:r>
                </w:p>
              </w:tc>
              <w:tc>
                <w:tcPr>
                  <w:tcW w:type="dxa" w:w="1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必须使用合同规定的材料品牌及型号；未规定的，需与采购人书面确认后，方可使用</w:t>
                  </w:r>
                </w:p>
              </w:tc>
              <w:tc>
                <w:tcPr>
                  <w:tcW w:type="dxa" w:w="1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设备更换</w:t>
                  </w:r>
                  <w:r>
                    <w:rPr>
                      <w:sz w:val="21"/>
                    </w:rPr>
                    <w:t>,使用优于或等同原设备型号产品</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更换低于原设备质量产品，每次扣</w:t>
                  </w:r>
                  <w:r>
                    <w:rPr>
                      <w:sz w:val="21"/>
                    </w:rPr>
                    <w:t>0.2分</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2.20</w:t>
                  </w:r>
                </w:p>
              </w:tc>
              <w:tc>
                <w:tcPr>
                  <w:tcW w:type="dxa" w:w="1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养护单位需要安全规范用电，确保用电安全</w:t>
                  </w:r>
                </w:p>
              </w:tc>
              <w:tc>
                <w:tcPr>
                  <w:tcW w:type="dxa" w:w="1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供电线路采用二级保护，即取电源处和控制柜各加装空气额定开关，杆件和综合设备箱安全可靠接地，接地电阻不大于</w:t>
                  </w:r>
                  <w:r>
                    <w:rPr>
                      <w:sz w:val="21"/>
                    </w:rPr>
                    <w:t>10欧姆</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接地不合格，每处扣</w:t>
                  </w:r>
                  <w:r>
                    <w:rPr>
                      <w:sz w:val="21"/>
                    </w:rPr>
                    <w:t>0.5</w:t>
                  </w:r>
                </w:p>
                <w:p>
                  <w:pPr>
                    <w:pStyle w:val="null3"/>
                    <w:jc w:val="both"/>
                  </w:pPr>
                  <w:r>
                    <w:rPr>
                      <w:sz w:val="21"/>
                    </w:rPr>
                    <w:t>分</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三</w:t>
                  </w:r>
                </w:p>
              </w:tc>
              <w:tc>
                <w:tcPr>
                  <w:tcW w:type="dxa" w:w="5018"/>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故障修复及时率</w:t>
                  </w:r>
                  <w:r>
                    <w:rPr>
                      <w:sz w:val="21"/>
                      <w:b/>
                    </w:rPr>
                    <w:t>(总分30分)</w:t>
                  </w: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113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要求及时故障抢修</w:t>
                  </w:r>
                </w:p>
              </w:tc>
              <w:tc>
                <w:tcPr>
                  <w:tcW w:type="dxa" w:w="13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超过</w:t>
                  </w:r>
                  <w:r>
                    <w:rPr>
                      <w:sz w:val="21"/>
                    </w:rPr>
                    <w:t>30分钟未能有效及时组织维护人员到达现场抢修。</w:t>
                  </w:r>
                </w:p>
              </w:tc>
              <w:tc>
                <w:tcPr>
                  <w:tcW w:type="dxa" w:w="58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8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每次扣</w:t>
                  </w:r>
                  <w:r>
                    <w:rPr>
                      <w:sz w:val="21"/>
                    </w:rPr>
                    <w:t>0.5分</w:t>
                  </w:r>
                </w:p>
              </w:tc>
              <w:tc>
                <w:tcPr>
                  <w:tcW w:type="dxa" w:w="5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c>
                <w:tcPr>
                  <w:tcW w:type="dxa" w:w="1133"/>
                  <w:vMerge/>
                  <w:tcBorders>
                    <w:top w:val="none" w:color="000000" w:sz="4"/>
                    <w:left w:val="none" w:color="000000" w:sz="4"/>
                    <w:bottom w:val="single" w:color="000000" w:sz="4"/>
                    <w:right w:val="single" w:color="000000" w:sz="4"/>
                  </w:tcBorders>
                </w:tcPr>
                <w:p/>
              </w:tc>
              <w:tc>
                <w:tcPr>
                  <w:tcW w:type="dxa" w:w="1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超过</w:t>
                  </w:r>
                  <w:r>
                    <w:rPr>
                      <w:sz w:val="21"/>
                    </w:rPr>
                    <w:t>60分钟未能有效及时组织维护人员到达现场抢修。</w:t>
                  </w:r>
                </w:p>
              </w:tc>
              <w:tc>
                <w:tcPr>
                  <w:tcW w:type="dxa" w:w="581"/>
                  <w:vMerge/>
                  <w:tcBorders>
                    <w:top w:val="single" w:color="000000" w:sz="4"/>
                    <w:left w:val="none" w:color="000000" w:sz="4"/>
                    <w:bottom w:val="single" w:color="000000" w:sz="4"/>
                    <w:right w:val="single" w:color="000000" w:sz="4"/>
                  </w:tcBorders>
                </w:tcP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每次扣</w:t>
                  </w:r>
                  <w:r>
                    <w:rPr>
                      <w:sz w:val="21"/>
                    </w:rPr>
                    <w:t>0.5分，并给与通报</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c>
                <w:tcPr>
                  <w:tcW w:type="dxa" w:w="1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因遇道路施工等问题，造成故障</w:t>
                  </w:r>
                  <w:r>
                    <w:rPr>
                      <w:sz w:val="21"/>
                    </w:rPr>
                    <w:t>,要求按存档图纸规定即时恢复</w:t>
                  </w:r>
                </w:p>
              </w:tc>
              <w:tc>
                <w:tcPr>
                  <w:tcW w:type="dxa" w:w="1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维护单位向道路施工单位进行信号灯管线交底，提供图纸，并明确施工单位及时恢复，并报告采购人</w:t>
                  </w:r>
                </w:p>
              </w:tc>
              <w:tc>
                <w:tcPr>
                  <w:tcW w:type="dxa" w:w="581"/>
                  <w:vMerge/>
                  <w:tcBorders>
                    <w:top w:val="single" w:color="000000" w:sz="4"/>
                    <w:left w:val="none" w:color="000000" w:sz="4"/>
                    <w:bottom w:val="single" w:color="000000" w:sz="4"/>
                    <w:right w:val="single" w:color="000000" w:sz="4"/>
                  </w:tcBorders>
                </w:tcP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若因没有提供管线交底，造成损坏，每次扣</w:t>
                  </w:r>
                  <w:r>
                    <w:rPr>
                      <w:sz w:val="21"/>
                    </w:rPr>
                    <w:t>0.5分</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c>
                <w:tcPr>
                  <w:tcW w:type="dxa" w:w="1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维护单位应备足够信号灯配件</w:t>
                  </w:r>
                  <w:r>
                    <w:rPr>
                      <w:sz w:val="21"/>
                    </w:rPr>
                    <w:t>,按招标文件配件内容</w:t>
                  </w:r>
                </w:p>
              </w:tc>
              <w:tc>
                <w:tcPr>
                  <w:tcW w:type="dxa" w:w="1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因配件不足造成不能及时修复</w:t>
                  </w:r>
                </w:p>
              </w:tc>
              <w:tc>
                <w:tcPr>
                  <w:tcW w:type="dxa" w:w="581"/>
                  <w:vMerge/>
                  <w:tcBorders>
                    <w:top w:val="single" w:color="000000" w:sz="4"/>
                    <w:left w:val="none" w:color="000000" w:sz="4"/>
                    <w:bottom w:val="single" w:color="000000" w:sz="4"/>
                    <w:right w:val="single" w:color="000000" w:sz="4"/>
                  </w:tcBorders>
                </w:tcP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每次扣</w:t>
                  </w:r>
                  <w:r>
                    <w:rPr>
                      <w:sz w:val="21"/>
                    </w:rPr>
                    <w:t>0.5分</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1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提供临时信号灯应急措施保障</w:t>
                  </w:r>
                </w:p>
              </w:tc>
              <w:tc>
                <w:tcPr>
                  <w:tcW w:type="dxa" w:w="1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因突发事故造成信号灯无法正常运行，维护单位应配备临时信号灯，临时信号灯在运行过程中应按固定信号灯管理模式进行</w:t>
                  </w:r>
                </w:p>
              </w:tc>
              <w:tc>
                <w:tcPr>
                  <w:tcW w:type="dxa" w:w="581"/>
                  <w:vMerge/>
                  <w:tcBorders>
                    <w:top w:val="single" w:color="000000" w:sz="4"/>
                    <w:left w:val="none" w:color="000000" w:sz="4"/>
                    <w:bottom w:val="single" w:color="000000" w:sz="4"/>
                    <w:right w:val="single" w:color="000000" w:sz="4"/>
                  </w:tcBorders>
                </w:tcP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未按要求配备或不能保证运行，每次扣</w:t>
                  </w:r>
                  <w:r>
                    <w:rPr>
                      <w:sz w:val="21"/>
                    </w:rPr>
                    <w:t>0.5分</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如发生交通事故对本项目养护范围内的信号灯设施造成损坏的，必须在接到事故报告后半小时内到达现场进行处理清除隐患，并在接到事故报告后</w:t>
                  </w:r>
                  <w:r>
                    <w:rPr>
                      <w:sz w:val="21"/>
                    </w:rPr>
                    <w:t>10天内按原标准进行修复或更换</w:t>
                  </w:r>
                </w:p>
              </w:tc>
              <w:tc>
                <w:tcPr>
                  <w:tcW w:type="dxa" w:w="1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参照补充</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四</w:t>
                  </w:r>
                </w:p>
              </w:tc>
              <w:tc>
                <w:tcPr>
                  <w:tcW w:type="dxa" w:w="5018"/>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安全文明措施</w:t>
                  </w:r>
                  <w:r>
                    <w:rPr>
                      <w:sz w:val="21"/>
                      <w:b/>
                    </w:rPr>
                    <w:t>(总分10分)</w:t>
                  </w: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w:t>
                  </w:r>
                </w:p>
              </w:tc>
              <w:tc>
                <w:tcPr>
                  <w:tcW w:type="dxa" w:w="1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要求现场设置安全警示</w:t>
                  </w:r>
                </w:p>
              </w:tc>
              <w:tc>
                <w:tcPr>
                  <w:tcW w:type="dxa" w:w="13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维护人员在现场维护时，应放置警示牌和警示桶</w:t>
                  </w:r>
                </w:p>
              </w:tc>
              <w:tc>
                <w:tcPr>
                  <w:tcW w:type="dxa" w:w="58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8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不按规定放置，每次扣</w:t>
                  </w:r>
                  <w:r>
                    <w:rPr>
                      <w:sz w:val="21"/>
                    </w:rPr>
                    <w:t>0.5分</w:t>
                  </w:r>
                </w:p>
              </w:tc>
              <w:tc>
                <w:tcPr>
                  <w:tcW w:type="dxa" w:w="5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c>
                <w:tcPr>
                  <w:tcW w:type="dxa" w:w="1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要求统一着装反光衣及安全帽</w:t>
                  </w:r>
                </w:p>
              </w:tc>
              <w:tc>
                <w:tcPr>
                  <w:tcW w:type="dxa" w:w="1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维修人员应将维修人员配安全帽，着绝缘鞋，统一工作服或带反光标志服</w:t>
                  </w:r>
                </w:p>
              </w:tc>
              <w:tc>
                <w:tcPr>
                  <w:tcW w:type="dxa" w:w="581"/>
                  <w:vMerge/>
                  <w:tcBorders>
                    <w:top w:val="single" w:color="000000" w:sz="4"/>
                    <w:left w:val="none" w:color="000000" w:sz="4"/>
                    <w:bottom w:val="single" w:color="000000" w:sz="4"/>
                    <w:right w:val="single" w:color="000000" w:sz="4"/>
                  </w:tcBorders>
                </w:tcP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上岗不按规定着装，每次扣</w:t>
                  </w:r>
                  <w:r>
                    <w:rPr>
                      <w:sz w:val="21"/>
                    </w:rPr>
                    <w:t>0.5分/人</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w:t>
                  </w:r>
                </w:p>
              </w:tc>
              <w:tc>
                <w:tcPr>
                  <w:tcW w:type="dxa" w:w="1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要求做好安全防护措施</w:t>
                  </w:r>
                </w:p>
              </w:tc>
              <w:tc>
                <w:tcPr>
                  <w:tcW w:type="dxa" w:w="1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按安全文明施工要求作业</w:t>
                  </w:r>
                </w:p>
              </w:tc>
              <w:tc>
                <w:tcPr>
                  <w:tcW w:type="dxa" w:w="581"/>
                  <w:vMerge/>
                  <w:tcBorders>
                    <w:top w:val="single" w:color="000000" w:sz="4"/>
                    <w:left w:val="none" w:color="000000" w:sz="4"/>
                    <w:bottom w:val="single" w:color="000000" w:sz="4"/>
                    <w:right w:val="single" w:color="000000" w:sz="4"/>
                  </w:tcBorders>
                </w:tcP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违反一次扣</w:t>
                  </w:r>
                  <w:r>
                    <w:rPr>
                      <w:sz w:val="21"/>
                    </w:rPr>
                    <w:t>0.5分</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w:t>
                  </w:r>
                </w:p>
              </w:tc>
              <w:tc>
                <w:tcPr>
                  <w:tcW w:type="dxa" w:w="1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要求配置备件仓库及械具</w:t>
                  </w:r>
                </w:p>
              </w:tc>
              <w:tc>
                <w:tcPr>
                  <w:tcW w:type="dxa" w:w="1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维修单位需在相应的维护区域设置办公场所和配件仓库</w:t>
                  </w:r>
                  <w:r>
                    <w:rPr>
                      <w:sz w:val="21"/>
                    </w:rPr>
                    <w:t>;</w:t>
                  </w:r>
                </w:p>
                <w:p>
                  <w:pPr>
                    <w:pStyle w:val="null3"/>
                    <w:jc w:val="left"/>
                  </w:pPr>
                  <w:r>
                    <w:rPr>
                      <w:sz w:val="21"/>
                    </w:rPr>
                    <w:t>2、配备高空或升降车以及临时信号灯各一台,并能保障正常运行</w:t>
                  </w:r>
                </w:p>
              </w:tc>
              <w:tc>
                <w:tcPr>
                  <w:tcW w:type="dxa" w:w="581"/>
                  <w:vMerge/>
                  <w:tcBorders>
                    <w:top w:val="single" w:color="000000" w:sz="4"/>
                    <w:left w:val="none" w:color="000000" w:sz="4"/>
                    <w:bottom w:val="single" w:color="000000" w:sz="4"/>
                    <w:right w:val="single" w:color="000000" w:sz="4"/>
                  </w:tcBorders>
                </w:tcP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缺失一项扣</w:t>
                  </w:r>
                </w:p>
                <w:p>
                  <w:pPr>
                    <w:pStyle w:val="null3"/>
                    <w:jc w:val="left"/>
                  </w:pPr>
                  <w:r>
                    <w:rPr>
                      <w:sz w:val="21"/>
                    </w:rPr>
                    <w:t>0.5分/每次</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597"/>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存在问题描述：</w:t>
                  </w:r>
                </w:p>
              </w:tc>
            </w:tr>
          </w:tbl>
          <w:p/>
        </w:tc>
      </w:tr>
      <w:tr>
        <w:tc>
          <w:tcPr>
            <w:tcW w:type="dxa" w:w="2076"/>
          </w:tcPr>
          <w:p/>
        </w:tc>
        <w:tc>
          <w:tcPr>
            <w:tcW w:type="dxa" w:w="415"/>
          </w:tcPr>
          <w:p>
            <w:pPr>
              <w:pStyle w:val="null3"/>
            </w:pPr>
            <w:r>
              <w:rPr/>
              <w:t>13</w:t>
            </w:r>
          </w:p>
        </w:tc>
        <w:tc>
          <w:tcPr>
            <w:tcW w:type="dxa" w:w="5814"/>
          </w:tcPr>
          <w:p>
            <w:pPr>
              <w:pStyle w:val="null3"/>
              <w:ind w:left="1110"/>
              <w:jc w:val="both"/>
              <w:outlineLvl w:val="1"/>
            </w:pPr>
            <w:r>
              <w:rPr>
                <w:sz w:val="21"/>
                <w:b/>
              </w:rPr>
              <w:t>6</w:t>
            </w:r>
            <w:r>
              <w:rPr>
                <w:sz w:val="21"/>
                <w:b/>
              </w:rPr>
              <w:t>．</w:t>
            </w:r>
            <w:r>
              <w:rPr>
                <w:sz w:val="21"/>
                <w:b/>
              </w:rPr>
              <w:t>公交站台运行考核</w:t>
            </w:r>
          </w:p>
          <w:p>
            <w:pPr>
              <w:pStyle w:val="null3"/>
              <w:ind w:firstLine="420"/>
              <w:jc w:val="both"/>
            </w:pPr>
            <w:r>
              <w:rPr>
                <w:sz w:val="21"/>
              </w:rPr>
              <w:t>表六：公交站台运行考核评分表</w:t>
            </w:r>
          </w:p>
          <w:tbl>
            <w:tblPr>
              <w:tblBorders>
                <w:top w:val="none" w:color="000000" w:sz="4"/>
                <w:left w:val="none" w:color="000000" w:sz="4"/>
                <w:bottom w:val="none" w:color="000000" w:sz="4"/>
                <w:right w:val="none" w:color="000000" w:sz="4"/>
                <w:insideH w:val="none"/>
                <w:insideV w:val="none"/>
              </w:tblBorders>
            </w:tblPr>
            <w:tblGrid>
              <w:gridCol w:w="701"/>
              <w:gridCol w:w="1145"/>
              <w:gridCol w:w="1227"/>
              <w:gridCol w:w="429"/>
              <w:gridCol w:w="702"/>
              <w:gridCol w:w="702"/>
              <w:gridCol w:w="691"/>
            </w:tblGrid>
            <w:tr>
              <w:tc>
                <w:tcPr>
                  <w:tcW w:type="dxa" w:w="1846"/>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项目时间：</w:t>
                  </w:r>
                </w:p>
              </w:tc>
              <w:tc>
                <w:tcPr>
                  <w:tcW w:type="dxa" w:w="3751"/>
                  <w:gridSpan w:val="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考核总得分：</w:t>
                  </w:r>
                  <w:r>
                    <w:rPr>
                      <w:sz w:val="21"/>
                    </w:rPr>
                    <w:t xml:space="preserve">      </w:t>
                  </w:r>
                  <w:r>
                    <w:rPr>
                      <w:sz w:val="21"/>
                    </w:rPr>
                    <w:t>（总分值：</w:t>
                  </w:r>
                  <w:r>
                    <w:rPr>
                      <w:sz w:val="21"/>
                    </w:rPr>
                    <w:t>100分）</w:t>
                  </w:r>
                </w:p>
              </w:tc>
            </w:tr>
            <w:tr>
              <w:tc>
                <w:tcPr>
                  <w:tcW w:type="dxa" w:w="184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项目名称：</w:t>
                  </w:r>
                </w:p>
              </w:tc>
              <w:tc>
                <w:tcPr>
                  <w:tcW w:type="dxa" w:w="3751"/>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维护单位</w:t>
                  </w:r>
                  <w:r>
                    <w:rPr>
                      <w:sz w:val="21"/>
                    </w:rPr>
                    <w:t>:</w:t>
                  </w:r>
                </w:p>
              </w:tc>
            </w:tr>
            <w:tr>
              <w:tc>
                <w:tcPr>
                  <w:tcW w:type="dxa" w:w="184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维护单位经办人</w:t>
                  </w:r>
                  <w:r>
                    <w:rPr>
                      <w:sz w:val="21"/>
                    </w:rPr>
                    <w:t>:</w:t>
                  </w:r>
                </w:p>
              </w:tc>
              <w:tc>
                <w:tcPr>
                  <w:tcW w:type="dxa" w:w="3751"/>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维护单位负责人：</w:t>
                  </w:r>
                </w:p>
              </w:tc>
            </w:tr>
            <w:tr>
              <w:tc>
                <w:tcPr>
                  <w:tcW w:type="dxa" w:w="5597"/>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考核人员</w:t>
                  </w:r>
                  <w:r>
                    <w:rPr>
                      <w:sz w:val="21"/>
                    </w:rPr>
                    <w:t>:</w:t>
                  </w:r>
                </w:p>
              </w:tc>
            </w:tr>
            <w:tr>
              <w:tc>
                <w:tcPr>
                  <w:tcW w:type="dxa" w:w="70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4896"/>
                  <w:gridSpan w:val="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公交站台现场养护</w:t>
                  </w:r>
                  <w:r>
                    <w:rPr>
                      <w:sz w:val="21"/>
                      <w:b/>
                    </w:rPr>
                    <w:t>(总分100分)</w:t>
                  </w:r>
                </w:p>
              </w:tc>
            </w:tr>
            <w:tr>
              <w:tc>
                <w:tcPr>
                  <w:tcW w:type="dxa" w:w="701"/>
                  <w:vMerge/>
                  <w:tcBorders>
                    <w:top w:val="none" w:color="000000" w:sz="4"/>
                    <w:left w:val="single" w:color="000000" w:sz="4"/>
                    <w:bottom w:val="single" w:color="000000" w:sz="4"/>
                    <w:right w:val="single" w:color="000000" w:sz="4"/>
                  </w:tcBorders>
                </w:tcP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考核标准</w:t>
                  </w:r>
                </w:p>
              </w:tc>
              <w:tc>
                <w:tcPr>
                  <w:tcW w:type="dxa" w:w="12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考核内容</w:t>
                  </w:r>
                </w:p>
              </w:tc>
              <w:tc>
                <w:tcPr>
                  <w:tcW w:type="dxa" w:w="4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分值</w:t>
                  </w:r>
                </w:p>
              </w:tc>
              <w:tc>
                <w:tcPr>
                  <w:tcW w:type="dxa" w:w="7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扣分标准</w:t>
                  </w:r>
                </w:p>
              </w:tc>
              <w:tc>
                <w:tcPr>
                  <w:tcW w:type="dxa" w:w="7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扣分</w:t>
                  </w:r>
                </w:p>
              </w:tc>
              <w:tc>
                <w:tcPr>
                  <w:tcW w:type="dxa" w:w="6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得分</w:t>
                  </w:r>
                </w:p>
              </w:tc>
            </w:tr>
            <w:tr>
              <w:tc>
                <w:tcPr>
                  <w:tcW w:type="dxa" w:w="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设备正常运行率不能＜</w:t>
                  </w:r>
                  <w:r>
                    <w:rPr>
                      <w:sz w:val="21"/>
                    </w:rPr>
                    <w:t>90%</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平台在线率：</w:t>
                  </w:r>
                  <w:r>
                    <w:rPr>
                      <w:sz w:val="21"/>
                    </w:rPr>
                    <w:t>1、设备正常运行率不能＜90%（设备包括:LCD屏、LED屏、应急广播、视频监控等智能化设备）；</w:t>
                  </w:r>
                </w:p>
                <w:p>
                  <w:pPr>
                    <w:pStyle w:val="null3"/>
                    <w:jc w:val="left"/>
                  </w:pPr>
                  <w:r>
                    <w:rPr>
                      <w:sz w:val="21"/>
                    </w:rPr>
                    <w:t>2、注：由于运营商网络不通、平台故障、统一停电等问题引起不计入考核</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r>
                    <w:rPr>
                      <w:sz w:val="21"/>
                    </w:rPr>
                    <w:t>0</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每低</w:t>
                  </w:r>
                  <w:r>
                    <w:rPr>
                      <w:sz w:val="21"/>
                    </w:rPr>
                    <w:t>0.1%扣0.5分</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要求故障设备及时送修</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LCD屏，LED屏、照明设施、电子站牌、广播系统、视频监控、广告牌、玻璃等设备故障维修：</w:t>
                  </w:r>
                </w:p>
                <w:p>
                  <w:pPr>
                    <w:pStyle w:val="null3"/>
                    <w:jc w:val="left"/>
                  </w:pPr>
                  <w:r>
                    <w:rPr>
                      <w:sz w:val="21"/>
                    </w:rPr>
                    <w:t>1.送、返修设备时，按要求填写相关表格并在规定时限内完成;</w:t>
                  </w:r>
                </w:p>
                <w:p>
                  <w:pPr>
                    <w:pStyle w:val="null3"/>
                    <w:jc w:val="left"/>
                  </w:pPr>
                  <w:r>
                    <w:rPr>
                      <w:sz w:val="21"/>
                    </w:rPr>
                    <w:t>2.按要求送、返修设备;</w:t>
                  </w:r>
                </w:p>
                <w:p>
                  <w:pPr>
                    <w:pStyle w:val="null3"/>
                    <w:jc w:val="left"/>
                  </w:pPr>
                  <w:r>
                    <w:rPr>
                      <w:sz w:val="21"/>
                    </w:rPr>
                    <w:t>3.不存在人为原因损坏设备、丟失设备;</w:t>
                  </w:r>
                </w:p>
                <w:p>
                  <w:pPr>
                    <w:pStyle w:val="null3"/>
                    <w:jc w:val="left"/>
                  </w:pPr>
                  <w:r>
                    <w:rPr>
                      <w:sz w:val="21"/>
                    </w:rPr>
                    <w:t>4.故障设备送修后有替换设备，在备件到达之日起1个日历日内完成安装</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每违反一次，扣</w:t>
                  </w:r>
                  <w:r>
                    <w:rPr>
                      <w:sz w:val="21"/>
                    </w:rPr>
                    <w:t>0.5分</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要求至少不低一个月一次巡查</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巡查内容包括：</w:t>
                  </w:r>
                </w:p>
                <w:p>
                  <w:pPr>
                    <w:pStyle w:val="null3"/>
                    <w:jc w:val="left"/>
                  </w:pPr>
                  <w:r>
                    <w:rPr>
                      <w:sz w:val="21"/>
                    </w:rPr>
                    <w:t>1、站台主体、椅子、独立站牌等结构是否稳固；</w:t>
                  </w:r>
                </w:p>
                <w:p>
                  <w:pPr>
                    <w:pStyle w:val="null3"/>
                    <w:jc w:val="left"/>
                  </w:pPr>
                  <w:r>
                    <w:rPr>
                      <w:sz w:val="21"/>
                    </w:rPr>
                    <w:t>2、智能化设备（LCD屏、LED屏、应急广播、视频监控等）设备是否正常运行;</w:t>
                  </w:r>
                </w:p>
                <w:p>
                  <w:pPr>
                    <w:pStyle w:val="null3"/>
                    <w:jc w:val="left"/>
                  </w:pPr>
                  <w:r>
                    <w:rPr>
                      <w:sz w:val="21"/>
                    </w:rPr>
                    <w:t>3、巡视记录,保证巡视记录准确、详细及归档</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巡查记录不清晰每次扣</w:t>
                  </w:r>
                  <w:r>
                    <w:rPr>
                      <w:sz w:val="21"/>
                    </w:rPr>
                    <w:t>0.2分；未巡查扣0.5分</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14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要求故障及时响应</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30分钟响应，2小时内处理故障</w:t>
                  </w:r>
                </w:p>
              </w:tc>
              <w:tc>
                <w:tcPr>
                  <w:tcW w:type="dxa" w:w="4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超出时限每次扣</w:t>
                  </w:r>
                  <w:r>
                    <w:rPr>
                      <w:sz w:val="21"/>
                    </w:rPr>
                    <w:t>0.5分</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145"/>
                  <w:vMerge/>
                  <w:tcBorders>
                    <w:top w:val="none" w:color="000000" w:sz="4"/>
                    <w:left w:val="none" w:color="000000" w:sz="4"/>
                    <w:bottom w:val="single" w:color="000000" w:sz="4"/>
                    <w:right w:val="single" w:color="000000" w:sz="4"/>
                  </w:tcBorders>
                </w:tcP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采购人临时安排的任务要及时响应</w:t>
                  </w:r>
                </w:p>
              </w:tc>
              <w:tc>
                <w:tcPr>
                  <w:tcW w:type="dxa" w:w="429"/>
                  <w:vMerge/>
                  <w:tcBorders>
                    <w:top w:val="none" w:color="000000" w:sz="4"/>
                    <w:left w:val="none" w:color="000000" w:sz="4"/>
                    <w:bottom w:val="single" w:color="000000" w:sz="4"/>
                    <w:right w:val="single" w:color="000000" w:sz="4"/>
                  </w:tcBorders>
                </w:tcP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未响应扣</w:t>
                  </w:r>
                  <w:r>
                    <w:rPr>
                      <w:sz w:val="21"/>
                    </w:rPr>
                    <w:t>1分</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145"/>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21"/>
                    </w:rPr>
                    <w:t>根据中标要求对公交站台各类设施进行清洁养护设备表面每季度清洗一次，分别在季度结束前完成。</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设施未保持干净清洁</w:t>
                  </w:r>
                </w:p>
              </w:tc>
              <w:tc>
                <w:tcPr>
                  <w:tcW w:type="dxa" w:w="429"/>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21"/>
                    </w:rPr>
                    <w:t>5</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w:t>
                  </w:r>
                </w:p>
                <w:p>
                  <w:pPr>
                    <w:pStyle w:val="null3"/>
                    <w:jc w:val="center"/>
                  </w:pPr>
                  <w:r>
                    <w:rPr>
                      <w:sz w:val="21"/>
                    </w:rPr>
                    <w:t>分</w:t>
                  </w:r>
                  <w:r>
                    <w:rPr>
                      <w:sz w:val="21"/>
                    </w:rPr>
                    <w:t>/处</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145"/>
                  <w:vMerge/>
                  <w:tcBorders>
                    <w:top w:val="none" w:color="000000" w:sz="4"/>
                    <w:left w:val="none" w:color="000000" w:sz="4"/>
                    <w:bottom w:val="none" w:color="000000" w:sz="4"/>
                    <w:right w:val="single" w:color="000000" w:sz="4"/>
                  </w:tcBorders>
                </w:tcP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未进行清洗</w:t>
                  </w:r>
                </w:p>
              </w:tc>
              <w:tc>
                <w:tcPr>
                  <w:tcW w:type="dxa" w:w="429"/>
                  <w:vMerge/>
                  <w:tcBorders>
                    <w:top w:val="none" w:color="000000" w:sz="4"/>
                    <w:left w:val="none" w:color="000000" w:sz="4"/>
                    <w:bottom w:val="none" w:color="000000" w:sz="4"/>
                    <w:right w:val="single" w:color="000000" w:sz="4"/>
                  </w:tcBorders>
                </w:tcP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5分/次</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站台及其他影响观瞻的设备表面每年喷漆翻新一次，必须在每年</w:t>
                  </w:r>
                  <w:r>
                    <w:rPr>
                      <w:sz w:val="21"/>
                    </w:rPr>
                    <w:t>12月31日前完成</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脱落、锈蚀，且未处理</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5</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0.1分/处</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597"/>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存在问题描述：</w:t>
                  </w:r>
                </w:p>
              </w:tc>
            </w:tr>
          </w:tbl>
          <w:p>
            <w:pPr>
              <w:pStyle w:val="null3"/>
              <w:ind w:firstLine="420"/>
              <w:jc w:val="both"/>
              <w:outlineLvl w:val="1"/>
            </w:pPr>
            <w:r>
              <w:rPr>
                <w:sz w:val="21"/>
                <w:b/>
              </w:rPr>
              <w:t>7</w:t>
            </w:r>
            <w:r>
              <w:rPr>
                <w:sz w:val="21"/>
                <w:b/>
              </w:rPr>
              <w:t>．</w:t>
            </w:r>
            <w:r>
              <w:rPr>
                <w:sz w:val="21"/>
                <w:b/>
              </w:rPr>
              <w:t>智能交通标志牌运行考核</w:t>
            </w:r>
          </w:p>
          <w:p>
            <w:pPr>
              <w:pStyle w:val="null3"/>
              <w:ind w:firstLine="420"/>
              <w:jc w:val="both"/>
            </w:pPr>
            <w:r>
              <w:rPr>
                <w:sz w:val="21"/>
              </w:rPr>
              <w:t>表七：智能交通标志牌考核评分表</w:t>
            </w:r>
          </w:p>
          <w:tbl>
            <w:tblPr>
              <w:tblBorders>
                <w:top w:val="none" w:color="000000" w:sz="4"/>
                <w:left w:val="none" w:color="000000" w:sz="4"/>
                <w:bottom w:val="none" w:color="000000" w:sz="4"/>
                <w:right w:val="none" w:color="000000" w:sz="4"/>
                <w:insideH w:val="none"/>
                <w:insideV w:val="none"/>
              </w:tblBorders>
            </w:tblPr>
            <w:tblGrid>
              <w:gridCol w:w="461"/>
              <w:gridCol w:w="728"/>
              <w:gridCol w:w="1301"/>
              <w:gridCol w:w="777"/>
              <w:gridCol w:w="777"/>
              <w:gridCol w:w="777"/>
              <w:gridCol w:w="777"/>
            </w:tblGrid>
            <w:tr>
              <w:tc>
                <w:tcPr>
                  <w:tcW w:type="dxa" w:w="1189"/>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项目时间：</w:t>
                  </w:r>
                </w:p>
              </w:tc>
              <w:tc>
                <w:tcPr>
                  <w:tcW w:type="dxa" w:w="4409"/>
                  <w:gridSpan w:val="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考核总得分：</w:t>
                  </w:r>
                  <w:r>
                    <w:rPr>
                      <w:sz w:val="21"/>
                    </w:rPr>
                    <w:t xml:space="preserve">      </w:t>
                  </w:r>
                  <w:r>
                    <w:rPr>
                      <w:sz w:val="21"/>
                    </w:rPr>
                    <w:t>（总分值：</w:t>
                  </w:r>
                  <w:r>
                    <w:rPr>
                      <w:sz w:val="21"/>
                    </w:rPr>
                    <w:t>100分）</w:t>
                  </w:r>
                </w:p>
              </w:tc>
            </w:tr>
            <w:tr>
              <w:tc>
                <w:tcPr>
                  <w:tcW w:type="dxa" w:w="118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项目名称：</w:t>
                  </w:r>
                </w:p>
              </w:tc>
              <w:tc>
                <w:tcPr>
                  <w:tcW w:type="dxa" w:w="4409"/>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维护单位</w:t>
                  </w:r>
                  <w:r>
                    <w:rPr>
                      <w:sz w:val="21"/>
                    </w:rPr>
                    <w:t>:</w:t>
                  </w:r>
                </w:p>
              </w:tc>
            </w:tr>
            <w:tr>
              <w:tc>
                <w:tcPr>
                  <w:tcW w:type="dxa" w:w="118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维护单位经办人</w:t>
                  </w:r>
                  <w:r>
                    <w:rPr>
                      <w:sz w:val="21"/>
                    </w:rPr>
                    <w:t>:</w:t>
                  </w:r>
                </w:p>
              </w:tc>
              <w:tc>
                <w:tcPr>
                  <w:tcW w:type="dxa" w:w="4409"/>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维护单位负责人：</w:t>
                  </w:r>
                </w:p>
              </w:tc>
            </w:tr>
            <w:tr>
              <w:tc>
                <w:tcPr>
                  <w:tcW w:type="dxa" w:w="5598"/>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考核人员</w:t>
                  </w:r>
                  <w:r>
                    <w:rPr>
                      <w:sz w:val="21"/>
                    </w:rPr>
                    <w:t>:</w:t>
                  </w:r>
                </w:p>
              </w:tc>
            </w:tr>
            <w:tr>
              <w:tc>
                <w:tcPr>
                  <w:tcW w:type="dxa" w:w="4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5137"/>
                  <w:gridSpan w:val="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智能交通标志牌现场养护</w:t>
                  </w:r>
                  <w:r>
                    <w:rPr>
                      <w:sz w:val="21"/>
                      <w:b/>
                    </w:rPr>
                    <w:t>(总分100分)</w:t>
                  </w:r>
                </w:p>
              </w:tc>
            </w:tr>
            <w:tr>
              <w:tc>
                <w:tcPr>
                  <w:tcW w:type="dxa" w:w="461"/>
                  <w:vMerge/>
                  <w:tcBorders>
                    <w:top w:val="none" w:color="000000" w:sz="4"/>
                    <w:left w:val="single" w:color="000000" w:sz="4"/>
                    <w:bottom w:val="single" w:color="000000" w:sz="4"/>
                    <w:right w:val="single" w:color="000000" w:sz="4"/>
                  </w:tcBorders>
                </w:tcP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考核标准</w:t>
                  </w:r>
                </w:p>
              </w:tc>
              <w:tc>
                <w:tcPr>
                  <w:tcW w:type="dxa" w:w="13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考核内容</w:t>
                  </w:r>
                </w:p>
              </w:tc>
              <w:tc>
                <w:tcPr>
                  <w:tcW w:type="dxa" w:w="7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分值</w:t>
                  </w:r>
                </w:p>
              </w:tc>
              <w:tc>
                <w:tcPr>
                  <w:tcW w:type="dxa" w:w="7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扣分标准</w:t>
                  </w:r>
                </w:p>
              </w:tc>
              <w:tc>
                <w:tcPr>
                  <w:tcW w:type="dxa" w:w="7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扣分</w:t>
                  </w:r>
                </w:p>
              </w:tc>
              <w:tc>
                <w:tcPr>
                  <w:tcW w:type="dxa" w:w="7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得分</w:t>
                  </w:r>
                </w:p>
              </w:tc>
            </w:tr>
            <w:tr>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2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要求故障及时响应及处理</w:t>
                  </w:r>
                </w:p>
              </w:tc>
              <w:tc>
                <w:tcPr>
                  <w:tcW w:type="dxa" w:w="1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一般故障处理：是否在</w:t>
                  </w:r>
                  <w:r>
                    <w:rPr>
                      <w:sz w:val="21"/>
                    </w:rPr>
                    <w:t>2小时内响应，12小时内到达现场维修，按故障处理单要求时间完成，如：更换小标志牌，更换控制器，修剪树枝等</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超出时限每次</w:t>
                  </w:r>
                  <w:r>
                    <w:rPr>
                      <w:sz w:val="21"/>
                    </w:rPr>
                    <w:t>0.5分/次</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728"/>
                  <w:vMerge/>
                  <w:tcBorders>
                    <w:top w:val="none" w:color="000000" w:sz="4"/>
                    <w:left w:val="none" w:color="000000" w:sz="4"/>
                    <w:bottom w:val="single" w:color="000000" w:sz="4"/>
                    <w:right w:val="single" w:color="000000" w:sz="4"/>
                  </w:tcBorders>
                </w:tcPr>
                <w:p/>
              </w:tc>
              <w:tc>
                <w:tcPr>
                  <w:tcW w:type="dxa" w:w="1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紧急故障处理：是否在</w:t>
                  </w:r>
                  <w:r>
                    <w:rPr>
                      <w:sz w:val="21"/>
                    </w:rPr>
                    <w:t>1小时内响应，10小时内到达现场维修如：车辆撞击、自然灾害等非可控原因</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未在采购人规定时间内处理好，每次</w:t>
                  </w:r>
                  <w:r>
                    <w:rPr>
                      <w:sz w:val="21"/>
                    </w:rPr>
                    <w:t>0.5分/次</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728"/>
                  <w:vMerge/>
                  <w:tcBorders>
                    <w:top w:val="none" w:color="000000" w:sz="4"/>
                    <w:left w:val="none" w:color="000000" w:sz="4"/>
                    <w:bottom w:val="single" w:color="000000" w:sz="4"/>
                    <w:right w:val="single" w:color="000000" w:sz="4"/>
                  </w:tcBorders>
                </w:tcPr>
                <w:p/>
              </w:tc>
              <w:tc>
                <w:tcPr>
                  <w:tcW w:type="dxa" w:w="1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要求每次故障处理完之后都需要填故障回单</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0.5分/次</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72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要求交通标志版面清洁</w:t>
                  </w:r>
                </w:p>
              </w:tc>
              <w:tc>
                <w:tcPr>
                  <w:tcW w:type="dxa" w:w="1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大型交通标志版面干净整洁</w:t>
                  </w:r>
                </w:p>
              </w:tc>
              <w:tc>
                <w:tcPr>
                  <w:tcW w:type="dxa" w:w="7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每一块扣</w:t>
                  </w:r>
                  <w:r>
                    <w:rPr>
                      <w:sz w:val="21"/>
                    </w:rPr>
                    <w:t>0.5分</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728"/>
                  <w:vMerge/>
                  <w:tcBorders>
                    <w:top w:val="none" w:color="000000" w:sz="4"/>
                    <w:left w:val="none" w:color="000000" w:sz="4"/>
                    <w:bottom w:val="single" w:color="000000" w:sz="4"/>
                    <w:right w:val="single" w:color="000000" w:sz="4"/>
                  </w:tcBorders>
                </w:tcPr>
                <w:p/>
              </w:tc>
              <w:tc>
                <w:tcPr>
                  <w:tcW w:type="dxa" w:w="1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小型交通标志版面干净整洁</w:t>
                  </w:r>
                </w:p>
              </w:tc>
              <w:tc>
                <w:tcPr>
                  <w:tcW w:type="dxa" w:w="777"/>
                  <w:vMerge/>
                  <w:tcBorders>
                    <w:top w:val="none" w:color="000000" w:sz="4"/>
                    <w:left w:val="none" w:color="000000" w:sz="4"/>
                    <w:bottom w:val="single" w:color="000000" w:sz="4"/>
                    <w:right w:val="single" w:color="000000" w:sz="4"/>
                  </w:tcBorders>
                </w:tcP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每一块扣</w:t>
                  </w:r>
                  <w:r>
                    <w:rPr>
                      <w:sz w:val="21"/>
                    </w:rPr>
                    <w:t>0.5分</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728"/>
                  <w:vMerge/>
                  <w:tcBorders>
                    <w:top w:val="none" w:color="000000" w:sz="4"/>
                    <w:left w:val="none" w:color="000000" w:sz="4"/>
                    <w:bottom w:val="single" w:color="000000" w:sz="4"/>
                    <w:right w:val="single" w:color="000000" w:sz="4"/>
                  </w:tcBorders>
                </w:tcPr>
                <w:p/>
              </w:tc>
              <w:tc>
                <w:tcPr>
                  <w:tcW w:type="dxa" w:w="1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未能按要求提交《日常维护和清洁表》</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每次扣</w:t>
                  </w:r>
                  <w:r>
                    <w:rPr>
                      <w:sz w:val="21"/>
                    </w:rPr>
                    <w:t>0.5分</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要求对保障线路分布合理</w:t>
                  </w:r>
                </w:p>
              </w:tc>
              <w:tc>
                <w:tcPr>
                  <w:tcW w:type="dxa" w:w="1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在维护过程保证电源线及控制线走线合理，符合规范要求。</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若因此造成智能标志牌不正常运行，每次扣</w:t>
                  </w:r>
                  <w:r>
                    <w:rPr>
                      <w:sz w:val="21"/>
                    </w:rPr>
                    <w:t>0.5分</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72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要求巡查不低于三天</w:t>
                  </w:r>
                  <w:r>
                    <w:rPr>
                      <w:sz w:val="21"/>
                    </w:rPr>
                    <w:t>/次</w:t>
                  </w:r>
                </w:p>
              </w:tc>
              <w:tc>
                <w:tcPr>
                  <w:tcW w:type="dxa" w:w="1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巡查内容包括</w:t>
                  </w:r>
                  <w:r>
                    <w:rPr>
                      <w:sz w:val="21"/>
                    </w:rPr>
                    <w:t>:</w:t>
                  </w:r>
                </w:p>
                <w:p>
                  <w:pPr>
                    <w:pStyle w:val="null3"/>
                    <w:jc w:val="left"/>
                  </w:pPr>
                  <w:r>
                    <w:rPr>
                      <w:sz w:val="21"/>
                    </w:rPr>
                    <w:t>1、标志有无遮挡;</w:t>
                  </w:r>
                </w:p>
                <w:p>
                  <w:pPr>
                    <w:pStyle w:val="null3"/>
                    <w:jc w:val="left"/>
                  </w:pPr>
                  <w:r>
                    <w:rPr>
                      <w:sz w:val="21"/>
                    </w:rPr>
                    <w:t>2、标志外观是否清洁，是否有明显锈蚀;</w:t>
                  </w:r>
                </w:p>
                <w:p>
                  <w:pPr>
                    <w:pStyle w:val="null3"/>
                    <w:jc w:val="left"/>
                  </w:pPr>
                  <w:r>
                    <w:rPr>
                      <w:sz w:val="21"/>
                    </w:rPr>
                    <w:t>3、标志外观是否完整;</w:t>
                  </w:r>
                </w:p>
                <w:p>
                  <w:pPr>
                    <w:pStyle w:val="null3"/>
                    <w:jc w:val="left"/>
                  </w:pPr>
                  <w:r>
                    <w:rPr>
                      <w:sz w:val="21"/>
                    </w:rPr>
                    <w:t>4、标志上是否附着有非交通标志;</w:t>
                  </w:r>
                </w:p>
                <w:p>
                  <w:pPr>
                    <w:pStyle w:val="null3"/>
                    <w:jc w:val="left"/>
                  </w:pPr>
                  <w:r>
                    <w:rPr>
                      <w:sz w:val="21"/>
                    </w:rPr>
                    <w:t>5、标志版面内容是否清晰、信息是否准确、是否存在与其他设施信息冲突；</w:t>
                  </w:r>
                </w:p>
                <w:p>
                  <w:pPr>
                    <w:pStyle w:val="null3"/>
                    <w:jc w:val="left"/>
                  </w:pPr>
                  <w:r>
                    <w:rPr>
                      <w:sz w:val="21"/>
                    </w:rPr>
                    <w:t>6、标志立柱、横梁、标志板有无明显破损、变形；</w:t>
                  </w:r>
                </w:p>
                <w:p>
                  <w:pPr>
                    <w:pStyle w:val="null3"/>
                    <w:jc w:val="left"/>
                  </w:pPr>
                  <w:r>
                    <w:rPr>
                      <w:sz w:val="21"/>
                    </w:rPr>
                    <w:t>7、标志配电和网络设施运行是否正常；</w:t>
                  </w:r>
                </w:p>
                <w:p>
                  <w:pPr>
                    <w:pStyle w:val="null3"/>
                    <w:jc w:val="left"/>
                  </w:pPr>
                  <w:r>
                    <w:rPr>
                      <w:sz w:val="21"/>
                    </w:rPr>
                    <w:t>8、标志LED信息是否正确显示</w:t>
                  </w:r>
                </w:p>
              </w:tc>
              <w:tc>
                <w:tcPr>
                  <w:tcW w:type="dxa" w:w="7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7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巡查记录不清晰每次扣</w:t>
                  </w:r>
                  <w:r>
                    <w:rPr>
                      <w:sz w:val="21"/>
                    </w:rPr>
                    <w:t>0.2</w:t>
                  </w:r>
                </w:p>
                <w:p>
                  <w:pPr>
                    <w:pStyle w:val="null3"/>
                    <w:jc w:val="center"/>
                  </w:pPr>
                  <w:r>
                    <w:rPr>
                      <w:sz w:val="21"/>
                    </w:rPr>
                    <w:t>分；未巡查扣</w:t>
                  </w:r>
                  <w:r>
                    <w:rPr>
                      <w:sz w:val="21"/>
                    </w:rPr>
                    <w:t>0.5分</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728"/>
                  <w:vMerge/>
                  <w:tcBorders>
                    <w:top w:val="none" w:color="000000" w:sz="4"/>
                    <w:left w:val="none" w:color="000000" w:sz="4"/>
                    <w:bottom w:val="single" w:color="000000" w:sz="4"/>
                    <w:right w:val="single" w:color="000000" w:sz="4"/>
                  </w:tcBorders>
                </w:tcPr>
                <w:p/>
              </w:tc>
              <w:tc>
                <w:tcPr>
                  <w:tcW w:type="dxa" w:w="1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巡视记录</w:t>
                  </w:r>
                  <w:r>
                    <w:rPr>
                      <w:sz w:val="21"/>
                    </w:rPr>
                    <w:t>,保证巡视记录准确、详细及归档</w:t>
                  </w:r>
                </w:p>
              </w:tc>
              <w:tc>
                <w:tcPr>
                  <w:tcW w:type="dxa" w:w="777"/>
                  <w:vMerge/>
                  <w:tcBorders>
                    <w:top w:val="none" w:color="000000" w:sz="4"/>
                    <w:left w:val="none" w:color="000000" w:sz="4"/>
                    <w:bottom w:val="single" w:color="000000" w:sz="4"/>
                    <w:right w:val="single" w:color="000000" w:sz="4"/>
                  </w:tcBorders>
                </w:tcPr>
                <w:p/>
              </w:tc>
              <w:tc>
                <w:tcPr>
                  <w:tcW w:type="dxa" w:w="777"/>
                  <w:vMerge/>
                  <w:tcBorders>
                    <w:top w:val="none" w:color="000000" w:sz="4"/>
                    <w:left w:val="none" w:color="000000" w:sz="4"/>
                    <w:bottom w:val="single" w:color="000000" w:sz="4"/>
                    <w:right w:val="single" w:color="000000" w:sz="4"/>
                  </w:tcBorders>
                </w:tcP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要求现场设置安全警示</w:t>
                  </w:r>
                </w:p>
              </w:tc>
              <w:tc>
                <w:tcPr>
                  <w:tcW w:type="dxa" w:w="1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维护人员在现场维护时，应放置警示牌和警示桶</w:t>
                  </w:r>
                </w:p>
              </w:tc>
              <w:tc>
                <w:tcPr>
                  <w:tcW w:type="dxa" w:w="7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不按规定放置，每次扣</w:t>
                  </w:r>
                  <w:r>
                    <w:rPr>
                      <w:sz w:val="21"/>
                    </w:rPr>
                    <w:t>0.5分。</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要求统一着装反光衣及安全帽</w:t>
                  </w:r>
                </w:p>
              </w:tc>
              <w:tc>
                <w:tcPr>
                  <w:tcW w:type="dxa" w:w="1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维修人员应将维修人员配安全帽，着绝缘鞋，统一工作服或带反光标志服</w:t>
                  </w:r>
                </w:p>
              </w:tc>
              <w:tc>
                <w:tcPr>
                  <w:tcW w:type="dxa" w:w="777"/>
                  <w:vMerge/>
                  <w:tcBorders>
                    <w:top w:val="none" w:color="000000" w:sz="4"/>
                    <w:left w:val="none" w:color="000000" w:sz="4"/>
                    <w:bottom w:val="single" w:color="000000" w:sz="4"/>
                    <w:right w:val="single" w:color="000000" w:sz="4"/>
                  </w:tcBorders>
                </w:tcP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上岗不按规定着装，每次扣</w:t>
                  </w:r>
                  <w:r>
                    <w:rPr>
                      <w:sz w:val="21"/>
                    </w:rPr>
                    <w:t>0.5分/人</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要求做好安全防护措施</w:t>
                  </w:r>
                </w:p>
              </w:tc>
              <w:tc>
                <w:tcPr>
                  <w:tcW w:type="dxa" w:w="1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按安全文明施工要求作业</w:t>
                  </w:r>
                </w:p>
              </w:tc>
              <w:tc>
                <w:tcPr>
                  <w:tcW w:type="dxa" w:w="777"/>
                  <w:vMerge/>
                  <w:tcBorders>
                    <w:top w:val="none" w:color="000000" w:sz="4"/>
                    <w:left w:val="none" w:color="000000" w:sz="4"/>
                    <w:bottom w:val="single" w:color="000000" w:sz="4"/>
                    <w:right w:val="single" w:color="000000" w:sz="4"/>
                  </w:tcBorders>
                </w:tcP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违反一次扣</w:t>
                  </w:r>
                  <w:r>
                    <w:rPr>
                      <w:sz w:val="21"/>
                    </w:rPr>
                    <w:t>0.5分</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要求配置备件仓库及械具</w:t>
                  </w:r>
                </w:p>
              </w:tc>
              <w:tc>
                <w:tcPr>
                  <w:tcW w:type="dxa" w:w="1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维修单位需在相应的维护区域设置办公场所和配件仓库</w:t>
                  </w:r>
                  <w:r>
                    <w:rPr>
                      <w:sz w:val="21"/>
                    </w:rPr>
                    <w:t>;</w:t>
                  </w:r>
                </w:p>
                <w:p>
                  <w:pPr>
                    <w:pStyle w:val="null3"/>
                    <w:jc w:val="left"/>
                  </w:pPr>
                  <w:r>
                    <w:rPr>
                      <w:sz w:val="21"/>
                    </w:rPr>
                    <w:t>2、配备高空或升降车，并能保障正常运行</w:t>
                  </w:r>
                </w:p>
              </w:tc>
              <w:tc>
                <w:tcPr>
                  <w:tcW w:type="dxa" w:w="777"/>
                  <w:vMerge/>
                  <w:tcBorders>
                    <w:top w:val="none" w:color="000000" w:sz="4"/>
                    <w:left w:val="none" w:color="000000" w:sz="4"/>
                    <w:bottom w:val="single" w:color="000000" w:sz="4"/>
                    <w:right w:val="single" w:color="000000" w:sz="4"/>
                  </w:tcBorders>
                </w:tcP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缺失一项扣</w:t>
                  </w:r>
                  <w:r>
                    <w:rPr>
                      <w:sz w:val="21"/>
                    </w:rPr>
                    <w:t>0.5分/每次</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598"/>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存在问题描述：</w:t>
                  </w:r>
                </w:p>
              </w:tc>
            </w:tr>
          </w:tbl>
          <w:p>
            <w:pPr>
              <w:pStyle w:val="null3"/>
              <w:jc w:val="center"/>
              <w:outlineLvl w:val="1"/>
            </w:pPr>
            <w:r>
              <w:rPr>
                <w:sz w:val="21"/>
                <w:b/>
              </w:rPr>
              <w:t>8</w:t>
            </w:r>
            <w:r>
              <w:rPr>
                <w:sz w:val="21"/>
                <w:b/>
              </w:rPr>
              <w:t>．</w:t>
            </w:r>
            <w:r>
              <w:rPr>
                <w:sz w:val="21"/>
                <w:b/>
              </w:rPr>
              <w:t>其它设备运行考核</w:t>
            </w:r>
          </w:p>
          <w:p>
            <w:pPr>
              <w:pStyle w:val="null3"/>
              <w:ind w:firstLine="420"/>
              <w:jc w:val="both"/>
            </w:pPr>
            <w:r>
              <w:rPr>
                <w:sz w:val="21"/>
              </w:rPr>
              <w:t>表九：其它设备运行考核评分表</w:t>
            </w:r>
          </w:p>
          <w:tbl>
            <w:tblPr>
              <w:tblBorders>
                <w:top w:val="none" w:color="000000" w:sz="4"/>
                <w:left w:val="none" w:color="000000" w:sz="4"/>
                <w:bottom w:val="none" w:color="000000" w:sz="4"/>
                <w:right w:val="none" w:color="000000" w:sz="4"/>
                <w:insideH w:val="none"/>
                <w:insideV w:val="none"/>
              </w:tblBorders>
            </w:tblPr>
            <w:tblGrid>
              <w:gridCol w:w="398"/>
              <w:gridCol w:w="1406"/>
              <w:gridCol w:w="1120"/>
              <w:gridCol w:w="669"/>
              <w:gridCol w:w="669"/>
              <w:gridCol w:w="669"/>
              <w:gridCol w:w="669"/>
            </w:tblGrid>
            <w:tr>
              <w:tc>
                <w:tcPr>
                  <w:tcW w:type="dxa" w:w="180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项目时间：</w:t>
                  </w:r>
                </w:p>
              </w:tc>
              <w:tc>
                <w:tcPr>
                  <w:tcW w:type="dxa" w:w="3796"/>
                  <w:gridSpan w:val="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考核总得分：</w:t>
                  </w:r>
                  <w:r>
                    <w:rPr>
                      <w:sz w:val="21"/>
                    </w:rPr>
                    <w:t xml:space="preserve">      </w:t>
                  </w:r>
                  <w:r>
                    <w:rPr>
                      <w:sz w:val="21"/>
                    </w:rPr>
                    <w:t>（总分值：</w:t>
                  </w:r>
                  <w:r>
                    <w:rPr>
                      <w:sz w:val="21"/>
                    </w:rPr>
                    <w:t>100分）</w:t>
                  </w:r>
                </w:p>
              </w:tc>
            </w:tr>
            <w:tr>
              <w:tc>
                <w:tcPr>
                  <w:tcW w:type="dxa" w:w="180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项目名称：</w:t>
                  </w:r>
                </w:p>
              </w:tc>
              <w:tc>
                <w:tcPr>
                  <w:tcW w:type="dxa" w:w="3796"/>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维护单位</w:t>
                  </w:r>
                  <w:r>
                    <w:rPr>
                      <w:sz w:val="21"/>
                    </w:rPr>
                    <w:t>:</w:t>
                  </w:r>
                </w:p>
              </w:tc>
            </w:tr>
            <w:tr>
              <w:tc>
                <w:tcPr>
                  <w:tcW w:type="dxa" w:w="180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维护单位经办人</w:t>
                  </w:r>
                  <w:r>
                    <w:rPr>
                      <w:sz w:val="21"/>
                    </w:rPr>
                    <w:t>:</w:t>
                  </w:r>
                </w:p>
              </w:tc>
              <w:tc>
                <w:tcPr>
                  <w:tcW w:type="dxa" w:w="3796"/>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维护单位负责人：</w:t>
                  </w:r>
                </w:p>
              </w:tc>
            </w:tr>
            <w:tr>
              <w:tc>
                <w:tcPr>
                  <w:tcW w:type="dxa" w:w="5600"/>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考核人员</w:t>
                  </w:r>
                  <w:r>
                    <w:rPr>
                      <w:sz w:val="21"/>
                    </w:rPr>
                    <w:t>:</w:t>
                  </w:r>
                </w:p>
              </w:tc>
            </w:tr>
            <w:tr>
              <w:tc>
                <w:tcPr>
                  <w:tcW w:type="dxa" w:w="3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5202"/>
                  <w:gridSpan w:val="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其它设备运行现场养护</w:t>
                  </w:r>
                  <w:r>
                    <w:rPr>
                      <w:sz w:val="21"/>
                      <w:b/>
                    </w:rPr>
                    <w:t>(总分100分)</w:t>
                  </w:r>
                </w:p>
              </w:tc>
            </w:tr>
            <w:tr>
              <w:tc>
                <w:tcPr>
                  <w:tcW w:type="dxa" w:w="398"/>
                  <w:vMerge/>
                  <w:tcBorders>
                    <w:top w:val="none" w:color="000000" w:sz="4"/>
                    <w:left w:val="single" w:color="000000" w:sz="4"/>
                    <w:bottom w:val="single" w:color="000000" w:sz="4"/>
                    <w:right w:val="single" w:color="000000" w:sz="4"/>
                  </w:tcBorders>
                </w:tcPr>
                <w:p/>
              </w:tc>
              <w:tc>
                <w:tcPr>
                  <w:tcW w:type="dxa" w:w="1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考核标准</w:t>
                  </w:r>
                </w:p>
              </w:tc>
              <w:tc>
                <w:tcPr>
                  <w:tcW w:type="dxa" w:w="11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考核内容</w:t>
                  </w:r>
                </w:p>
              </w:tc>
              <w:tc>
                <w:tcPr>
                  <w:tcW w:type="dxa" w:w="6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分值</w:t>
                  </w:r>
                </w:p>
              </w:tc>
              <w:tc>
                <w:tcPr>
                  <w:tcW w:type="dxa" w:w="6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扣分标准</w:t>
                  </w:r>
                </w:p>
              </w:tc>
              <w:tc>
                <w:tcPr>
                  <w:tcW w:type="dxa" w:w="6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扣分</w:t>
                  </w:r>
                </w:p>
              </w:tc>
              <w:tc>
                <w:tcPr>
                  <w:tcW w:type="dxa" w:w="6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得分</w:t>
                  </w:r>
                </w:p>
              </w:tc>
            </w:tr>
            <w:tr>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设备正常运行率不能＜</w:t>
                  </w:r>
                  <w:r>
                    <w:rPr>
                      <w:sz w:val="21"/>
                    </w:rPr>
                    <w:t>90%，</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平台在线率：</w:t>
                  </w:r>
                  <w:r>
                    <w:rPr>
                      <w:sz w:val="21"/>
                    </w:rPr>
                    <w:t>1、设备正常运行率不能＜90%(包括紧急呼叫、公共广播、环境传感、气象传感、水位传感、停车道闸等设备)；</w:t>
                  </w:r>
                </w:p>
                <w:p>
                  <w:pPr>
                    <w:pStyle w:val="null3"/>
                    <w:jc w:val="left"/>
                  </w:pPr>
                  <w:r>
                    <w:rPr>
                      <w:sz w:val="21"/>
                    </w:rPr>
                    <w:t>2、注：由于运营商网络不通、平台故障、统一停电等问题引起不计入考核</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每低</w:t>
                  </w:r>
                  <w:r>
                    <w:rPr>
                      <w:sz w:val="21"/>
                    </w:rPr>
                    <w:t>0.1%扣0.5分</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要求每季度对传感设备、公共广播、停车道闸等设备进行检查。</w:t>
                  </w:r>
                </w:p>
                <w:p>
                  <w:pPr>
                    <w:pStyle w:val="null3"/>
                    <w:jc w:val="left"/>
                  </w:pPr>
                  <w:r>
                    <w:rPr>
                      <w:sz w:val="21"/>
                    </w:rPr>
                    <w:t>要求每年至少对井盖传感器进行检查一次。</w:t>
                  </w:r>
                </w:p>
                <w:p>
                  <w:pPr>
                    <w:pStyle w:val="null3"/>
                  </w:p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1、按养护计划要求完成巡查工作。每月检查完成率不低于90%；</w:t>
                  </w:r>
                </w:p>
                <w:p>
                  <w:pPr>
                    <w:pStyle w:val="null3"/>
                    <w:jc w:val="left"/>
                  </w:pPr>
                  <w:r>
                    <w:rPr>
                      <w:sz w:val="21"/>
                    </w:rPr>
                    <w:t>2、巡查设备包括：井盖传感器、紧急呼叫、公共广播、环境传感、气象传感、水位传感、停车道闸等设备；</w:t>
                  </w:r>
                </w:p>
                <w:p>
                  <w:pPr>
                    <w:pStyle w:val="null3"/>
                    <w:jc w:val="left"/>
                  </w:pPr>
                  <w:r>
                    <w:rPr>
                      <w:sz w:val="21"/>
                    </w:rPr>
                    <w:t>3、巡视记录,保证巡视记录准确、详细及归档</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巡查记录不清晰每次扣</w:t>
                  </w:r>
                  <w:r>
                    <w:rPr>
                      <w:sz w:val="21"/>
                    </w:rPr>
                    <w:t>0.5分；未巡查扣1分</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4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要求故障及时响应与处理</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响应时间</w:t>
                  </w:r>
                  <w:r>
                    <w:rPr>
                      <w:sz w:val="21"/>
                    </w:rPr>
                    <w:t>:要求事件发生后，10分钟内响应，60</w:t>
                  </w:r>
                </w:p>
                <w:p>
                  <w:pPr>
                    <w:pStyle w:val="null3"/>
                    <w:jc w:val="left"/>
                  </w:pPr>
                  <w:r>
                    <w:rPr>
                      <w:sz w:val="21"/>
                    </w:rPr>
                    <w:t>分钟内到达现场。</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每超过</w:t>
                  </w:r>
                  <w:r>
                    <w:rPr>
                      <w:sz w:val="21"/>
                    </w:rPr>
                    <w:t>1小时扣0.5分。</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406"/>
                  <w:vMerge/>
                  <w:tcBorders>
                    <w:top w:val="none" w:color="000000" w:sz="4"/>
                    <w:left w:val="none" w:color="000000" w:sz="4"/>
                    <w:bottom w:val="single" w:color="000000" w:sz="4"/>
                    <w:right w:val="single" w:color="000000" w:sz="4"/>
                  </w:tcBorders>
                </w:tc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恢复时间</w:t>
                  </w:r>
                  <w:r>
                    <w:rPr>
                      <w:sz w:val="21"/>
                    </w:rPr>
                    <w:t>:一般故障：无需更换或采用更换零配件的方式维修后可保证现场设备正常运行的须在2小时内恢复正常。特殊故障：如隐蔽线路故障、须管道开挖、破路、杆件拆装、围蔽车道施工等，2小时内无法修复的，及时上报相关单位，重新制定修复方案经批准后进行</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未在采购人规定时间内处理好，扣</w:t>
                  </w:r>
                  <w:r>
                    <w:rPr>
                      <w:sz w:val="21"/>
                    </w:rPr>
                    <w:t>0.5分。</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406"/>
                  <w:vMerge/>
                  <w:tcBorders>
                    <w:top w:val="none" w:color="000000" w:sz="4"/>
                    <w:left w:val="none" w:color="000000" w:sz="4"/>
                    <w:bottom w:val="single" w:color="000000" w:sz="4"/>
                    <w:right w:val="single" w:color="000000" w:sz="4"/>
                  </w:tcBorders>
                </w:tc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应急故障处理</w:t>
                  </w:r>
                  <w:r>
                    <w:rPr>
                      <w:sz w:val="21"/>
                    </w:rPr>
                    <w:t>:</w:t>
                  </w:r>
                </w:p>
                <w:p>
                  <w:pPr>
                    <w:pStyle w:val="null3"/>
                    <w:jc w:val="left"/>
                  </w:pPr>
                  <w:r>
                    <w:rPr>
                      <w:sz w:val="21"/>
                    </w:rPr>
                    <w:t>1、由于人为、自然灾害等非可控原因造成不能及时处理的故障，积极收集并提供相关音像、书面文件、通告等证明，并及时报告使用单位；</w:t>
                  </w:r>
                </w:p>
                <w:p>
                  <w:pPr>
                    <w:pStyle w:val="null3"/>
                    <w:jc w:val="left"/>
                  </w:pPr>
                  <w:r>
                    <w:rPr>
                      <w:sz w:val="21"/>
                    </w:rPr>
                    <w:t>2、对暂时无法处理的故障(如厂家无法提供备件等)，及时跟踪处理、通报，并报告使用单位，经批准后延长修复时间；</w:t>
                  </w:r>
                </w:p>
                <w:p>
                  <w:pPr>
                    <w:pStyle w:val="null3"/>
                    <w:jc w:val="left"/>
                  </w:pPr>
                  <w:r>
                    <w:rPr>
                      <w:sz w:val="21"/>
                    </w:rPr>
                    <w:t>3、应急通信保障：按不同时期的相关工作要求进行，在启动各类自然灾害或重大节日活动交通保卫等通讯保障预案后，在规定时间内完成交办相关工作</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每违反一次，扣</w:t>
                  </w:r>
                  <w:r>
                    <w:rPr>
                      <w:sz w:val="21"/>
                    </w:rPr>
                    <w:t>0.2</w:t>
                  </w:r>
                </w:p>
                <w:p>
                  <w:pPr>
                    <w:pStyle w:val="null3"/>
                    <w:jc w:val="center"/>
                  </w:pPr>
                  <w:r>
                    <w:rPr>
                      <w:sz w:val="21"/>
                    </w:rPr>
                    <w:t>分</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4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必须使用合同规定的材料品牌及型号；未规定的，需与采购人书面确认后，方可使用</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未使用合同规定品牌及型号</w:t>
                  </w:r>
                </w:p>
              </w:tc>
              <w:tc>
                <w:tcPr>
                  <w:tcW w:type="dxa" w:w="6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0.5分/例</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406"/>
                  <w:vMerge/>
                  <w:tcBorders>
                    <w:top w:val="none" w:color="000000" w:sz="4"/>
                    <w:left w:val="none" w:color="000000" w:sz="4"/>
                    <w:bottom w:val="single" w:color="000000" w:sz="4"/>
                    <w:right w:val="single" w:color="000000" w:sz="4"/>
                  </w:tcBorders>
                </w:tc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使用未经确认品牌及型号</w:t>
                  </w:r>
                </w:p>
              </w:tc>
              <w:tc>
                <w:tcPr>
                  <w:tcW w:type="dxa" w:w="669"/>
                  <w:vMerge/>
                  <w:tcBorders>
                    <w:top w:val="none" w:color="000000" w:sz="4"/>
                    <w:left w:val="none" w:color="000000" w:sz="4"/>
                    <w:bottom w:val="single" w:color="000000" w:sz="4"/>
                    <w:right w:val="single" w:color="000000" w:sz="4"/>
                  </w:tcBorders>
                </w:tcP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0.5分/例</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600"/>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存在问题描述：</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1.采购代理机构：本项目是指广东政通招标有限公司，负责整个采购活动的组织，依法负责编制和发布招标文件，对招标文件拥有最终的解释权，不以任何身份出任评标委员会成员。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东莞滨海湾新区管理委员会</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服务费根据国家计委[计价格[2002]1980号]文和国家发改委[发改价格[2011]534号]文及相关规定向中标单位收取，按差额定率累进法计算，以中标通知书中确定的中标总金额作为收费的计算依据。</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60分钟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杨先生</w:t>
      </w:r>
    </w:p>
    <w:p>
      <w:pPr>
        <w:pStyle w:val="null3"/>
        <w:ind w:firstLine="480"/>
      </w:pPr>
      <w:r>
        <w:rPr/>
        <w:t>电话：</w:t>
      </w:r>
      <w:r>
        <w:rPr/>
        <w:t>0769-22881803</w:t>
      </w:r>
    </w:p>
    <w:p>
      <w:pPr>
        <w:pStyle w:val="null3"/>
        <w:ind w:firstLine="480"/>
      </w:pPr>
      <w:r>
        <w:rPr/>
        <w:t>传真：</w:t>
      </w:r>
      <w:r>
        <w:rPr/>
        <w:t>0769-22881803</w:t>
      </w:r>
    </w:p>
    <w:p>
      <w:pPr>
        <w:pStyle w:val="null3"/>
        <w:ind w:firstLine="480"/>
      </w:pPr>
      <w:r>
        <w:rPr/>
        <w:t>邮箱：</w:t>
      </w:r>
      <w:r>
        <w:rPr/>
        <w:t>471539976@qq.com</w:t>
      </w:r>
    </w:p>
    <w:p>
      <w:pPr>
        <w:pStyle w:val="null3"/>
        <w:ind w:firstLine="480"/>
      </w:pPr>
      <w:r>
        <w:rPr/>
        <w:t>地址：</w:t>
      </w:r>
      <w:r>
        <w:rPr/>
        <w:t>东莞市南城街道鸿福路199号（市民服务中心）411室</w:t>
      </w:r>
    </w:p>
    <w:p>
      <w:pPr>
        <w:pStyle w:val="null3"/>
        <w:ind w:firstLine="480"/>
      </w:pPr>
      <w:r>
        <w:rPr/>
        <w:t>邮编：</w:t>
      </w:r>
      <w:r>
        <w:rPr/>
        <w:t>523000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政府采购监督管理机构名称：东莞市财政局政府采购监管科</w:t>
      </w:r>
    </w:p>
    <w:p>
      <w:pPr>
        <w:pStyle w:val="null3"/>
      </w:pPr>
      <w:r>
        <w:rPr/>
        <w:t>地 址：东莞市南城区鸿福路99号行政办事中心主楼12楼28室</w:t>
      </w:r>
    </w:p>
    <w:p>
      <w:pPr>
        <w:pStyle w:val="null3"/>
      </w:pPr>
      <w:r>
        <w:rPr/>
        <w:t>电 话：0769-22831025、0769-22830161</w:t>
      </w:r>
    </w:p>
    <w:p>
      <w:pPr>
        <w:pStyle w:val="null3"/>
      </w:pPr>
      <w:r>
        <w:rPr/>
        <w:t>邮 编：523000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1.3合同条款中应规定，乙方完全遵守《中华人民共和国劳动合同法》有关规定和《中华人民共和国妇女权益保障法》中关于“劳动和社会保障权益”的有关要求。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东莞滨海湾新区智慧道路前端设备运维服务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广东政通招标有限公司</w:t>
      </w:r>
      <w:r>
        <w:rPr/>
        <w:t>统一对外发布。</w:t>
      </w:r>
    </w:p>
    <w:p>
      <w:pPr>
        <w:pStyle w:val="null3"/>
        <w:ind w:firstLine="480"/>
      </w:pPr>
      <w:r>
        <w:rPr/>
        <w:t>（2）对</w:t>
      </w:r>
      <w:r>
        <w:rPr/>
        <w:t>广东政通招标有限公司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采购包1（东莞滨海湾新区智慧道路前端设备运维服务项目）：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小型、微型企业，监狱企业，残疾人福利性单位</w:t>
            </w:r>
          </w:p>
        </w:tc>
        <w:tc>
          <w:tcPr>
            <w:tcW w:type="dxa" w:w="2160"/>
          </w:tcPr>
          <w:p>
            <w:pPr>
              <w:pStyle w:val="null3"/>
            </w:pPr>
            <w:r>
              <w:rPr/>
              <w:t>投标（响应）供应商为大中型企业与小微企业组成联合体或者大中型企业向一家或者多家小微企业分包的，对于联合体协议或者分包意向协议约定小微企业的合同份额占到合同总金额30%以上</w:t>
            </w:r>
          </w:p>
        </w:tc>
        <w:tc>
          <w:tcPr>
            <w:tcW w:type="dxa" w:w="1246"/>
          </w:tcPr>
          <w:p>
            <w:pPr>
              <w:pStyle w:val="null3"/>
            </w:pPr>
            <w:r>
              <w:rPr/>
              <w:t>4%</w:t>
            </w:r>
          </w:p>
        </w:tc>
        <w:tc>
          <w:tcPr>
            <w:tcW w:type="dxa" w:w="2160"/>
          </w:tcPr>
          <w:p>
            <w:pPr>
              <w:pStyle w:val="null3"/>
              <w:jc w:val="left"/>
            </w:pPr>
            <w:r>
              <w:rPr/>
              <w:t>大中型企业与小微企业组成联合体或者允许大中型企业向一家或者多家小微企业分包的采购项目，对于联合协议或者分包意向协议约定小微企业的合同份额占到合同总金额 30%以上的，报价给予价格扣除C1，即：评标价=投标报价×（1-C1）;监狱企业与残疾人福利性单位视同小型、微型企业，享受同等价格扣除，当企业属性重复时，不重复价格扣除。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采购包1（东莞滨海湾新区智慧道路前端设备运维服务项目）：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投标（响应）文件中提供《资格条件承诺函》，可参考公告附件格式。</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投标（响应）文件中提供《资格条件承诺函》，可参考公告附件格式。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投标（响应）文件中提供《资格条件承诺函》，可参考公告附件格式。</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投标（响应）文件中提供《资格条件承诺函》。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特殊资质</w:t>
            </w:r>
          </w:p>
        </w:tc>
        <w:tc>
          <w:tcPr>
            <w:tcW w:type="dxa" w:w="4238"/>
          </w:tcPr>
          <w:p>
            <w:pPr>
              <w:pStyle w:val="null3"/>
            </w:pPr>
            <w:r>
              <w:rPr/>
              <w:t>投标人须具有以下有效期内的任一资质证书： 1）机电设备安装工程专业承包叁级（或以上）资质证书； 2）机电工程施工总承包乙级（或以上）资质证书【或更换资质证书前机电工程施工总承包叁级（或以上）资质证书】； 3）建筑机电工程专业承包乙级（或以上）资质证书【或更换资质证书前城市及道路照明工程专业承包叁级（或以上）资质证书或更换资质证书前建筑机电安装工程专业承包叁级（或以上）资质证书】； 4）市政公用工程施工总承包乙级（或以上）资质证书【或更换资质证书前有效期内市政公用工程施工总承包叁级（或以上）资质证书】； 5）《承装（修、试）电力设施许可证》五级（或以上）证书。 注：1）资质证书已过期的按《住房和城乡建设部办公厅关于建设工程企业资质有关事宜的通知（建办市函〔2022〕361号）》、《广东省住房和城乡建设厅关于建设工程企业资质有关事宜的通知（粤建许函〔2022〕846号》执行，相关文件如有更新，以最新发布的文件规定为准。2）以联合体形式参加响应的，联合体各方中至少有一方符合以上资质条件。</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本项目不属于专门面向中小企业的采购项目</w:t>
            </w:r>
          </w:p>
        </w:tc>
      </w:tr>
    </w:tbl>
    <w:p>
      <w:pPr>
        <w:pStyle w:val="null3"/>
        <w:ind w:firstLine="480"/>
      </w:pPr>
      <w:r>
        <w:rPr/>
        <w:t>表二符合性审查表：</w:t>
      </w:r>
    </w:p>
    <w:p>
      <w:pPr>
        <w:pStyle w:val="null3"/>
      </w:pPr>
      <w:r>
        <w:rPr/>
        <w:t>采购包1（东莞滨海湾新区智慧道路前端设备运维服务项目）：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w:t>
            </w:r>
          </w:p>
        </w:tc>
        <w:tc>
          <w:tcPr>
            <w:tcW w:type="dxa" w:w="4238"/>
          </w:tcPr>
          <w:p>
            <w:pPr>
              <w:pStyle w:val="null3"/>
            </w:pPr>
            <w:r>
              <w:rPr/>
              <w:t>已经盖章、签署，授权有效期。</w:t>
            </w:r>
          </w:p>
        </w:tc>
      </w:tr>
      <w:tr>
        <w:tc>
          <w:tcPr>
            <w:tcW w:type="dxa" w:w="890"/>
          </w:tcPr>
          <w:p>
            <w:pPr>
              <w:pStyle w:val="null3"/>
            </w:pPr>
            <w:r>
              <w:rPr/>
              <w:t>3</w:t>
            </w:r>
          </w:p>
        </w:tc>
        <w:tc>
          <w:tcPr>
            <w:tcW w:type="dxa" w:w="3178"/>
          </w:tcPr>
          <w:p>
            <w:pPr>
              <w:pStyle w:val="null3"/>
            </w:pPr>
            <w:r>
              <w:rPr/>
              <w:t>投标文件内容、签署、盖章</w:t>
            </w:r>
          </w:p>
        </w:tc>
        <w:tc>
          <w:tcPr>
            <w:tcW w:type="dxa" w:w="4238"/>
          </w:tcPr>
          <w:p>
            <w:pPr>
              <w:pStyle w:val="null3"/>
            </w:pPr>
            <w:r>
              <w:rPr/>
              <w:t>投标文件内容完整，无重大错漏，并已按招标文件要求盖章、签署。</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投标人的投标报价无超出项目预算金额。</w:t>
            </w:r>
          </w:p>
        </w:tc>
      </w:tr>
      <w:tr>
        <w:tc>
          <w:tcPr>
            <w:tcW w:type="dxa" w:w="890"/>
          </w:tcPr>
          <w:p>
            <w:pPr>
              <w:pStyle w:val="null3"/>
            </w:pPr>
            <w:r>
              <w:rPr/>
              <w:t>5</w:t>
            </w:r>
          </w:p>
        </w:tc>
        <w:tc>
          <w:tcPr>
            <w:tcW w:type="dxa" w:w="3178"/>
          </w:tcPr>
          <w:p>
            <w:pPr>
              <w:pStyle w:val="null3"/>
            </w:pPr>
            <w:r>
              <w:rPr/>
              <w:t>商务审查</w:t>
            </w:r>
          </w:p>
        </w:tc>
        <w:tc>
          <w:tcPr>
            <w:tcW w:type="dxa" w:w="4238"/>
          </w:tcPr>
          <w:p>
            <w:pPr>
              <w:pStyle w:val="null3"/>
            </w:pPr>
            <w:r>
              <w:rPr/>
              <w:t>商务条款满足招标文件要求。</w:t>
            </w:r>
          </w:p>
        </w:tc>
      </w:tr>
      <w:tr>
        <w:tc>
          <w:tcPr>
            <w:tcW w:type="dxa" w:w="890"/>
          </w:tcPr>
          <w:p>
            <w:pPr>
              <w:pStyle w:val="null3"/>
            </w:pPr>
            <w:r>
              <w:rPr/>
              <w:t>6</w:t>
            </w:r>
          </w:p>
        </w:tc>
        <w:tc>
          <w:tcPr>
            <w:tcW w:type="dxa" w:w="3178"/>
          </w:tcPr>
          <w:p>
            <w:pPr>
              <w:pStyle w:val="null3"/>
            </w:pPr>
            <w:r>
              <w:rPr/>
              <w:t>技术审查</w:t>
            </w:r>
          </w:p>
        </w:tc>
        <w:tc>
          <w:tcPr>
            <w:tcW w:type="dxa" w:w="4238"/>
          </w:tcPr>
          <w:p>
            <w:pPr>
              <w:pStyle w:val="null3"/>
            </w:pPr>
            <w:r>
              <w:rPr/>
              <w:t>技术条款满足招标文件要求。</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8</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采购包1(东莞滨海湾新区智慧道路前端设备运维服务项目):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技术部分60.0分</w:t>
            </w:r>
          </w:p>
          <w:p>
            <w:pPr>
              <w:pStyle w:val="null3"/>
            </w:pPr>
            <w:r>
              <w:rPr/>
              <w:t>报价得分20.0分</w:t>
            </w:r>
          </w:p>
        </w:tc>
      </w:tr>
      <w:tr>
        <w:tc>
          <w:tcPr>
            <w:tcW w:type="dxa" w:w="922"/>
            <w:gridSpan w:val="2"/>
            <w:vMerge w:val="restart"/>
          </w:tcPr>
          <w:p>
            <w:pPr>
              <w:pStyle w:val="null3"/>
              <w:jc w:val="center"/>
            </w:pPr>
            <w:r>
              <w:rPr/>
              <w:t>技术部分</w:t>
            </w:r>
          </w:p>
        </w:tc>
        <w:tc>
          <w:tcPr>
            <w:tcW w:type="dxa" w:w="2307"/>
          </w:tcPr>
          <w:p>
            <w:pPr>
              <w:pStyle w:val="null3"/>
              <w:jc w:val="left"/>
            </w:pPr>
            <w:r>
              <w:rPr/>
              <w:t>对服务的保障 (12.0分)</w:t>
            </w:r>
            <w:r>
              <w:rPr/>
              <w:t>，（等次分值选择：</w:t>
            </w:r>
            <w:r>
              <w:rPr/>
              <w:t>0.0;</w:t>
            </w:r>
            <w:r>
              <w:rPr/>
              <w:t>1.0;</w:t>
            </w:r>
            <w:r>
              <w:rPr/>
              <w:t>4.0;</w:t>
            </w:r>
            <w:r>
              <w:rPr/>
              <w:t>8.0;</w:t>
            </w:r>
            <w:r>
              <w:rPr/>
              <w:t>12.0;</w:t>
            </w:r>
            <w:r>
              <w:rPr/>
              <w:t>）</w:t>
            </w:r>
          </w:p>
        </w:tc>
        <w:tc>
          <w:tcPr>
            <w:tcW w:type="dxa" w:w="5076"/>
          </w:tcPr>
          <w:p>
            <w:pPr>
              <w:pStyle w:val="null3"/>
              <w:jc w:val="left"/>
            </w:pPr>
            <w:r>
              <w:rPr/>
              <w:t>根据投标人所提供的服务方案进行评审： ①投入的人员、设备充足且优于采购需求，从事该项目的经验非常丰富，得分12分； ②投入的人员、设备能满足采购需求，有较丰富的从事该项目的经验，得分8分； ③投入的人员、设备基本能满足采购需求，有一定从事该项目的经验，得分4分； ④投入的人员、设备不能满足采购需求，有过从事该项目的经验，得分1分。 ⑤未提供对应方案不得分。</w:t>
            </w:r>
          </w:p>
        </w:tc>
      </w:tr>
      <w:tr>
        <w:tc>
          <w:tcPr>
            <w:tcW w:type="dxa" w:w="922"/>
            <w:gridSpan w:val="2"/>
            <w:vMerge/>
          </w:tcPr>
          <w:p/>
        </w:tc>
        <w:tc>
          <w:tcPr>
            <w:tcW w:type="dxa" w:w="2307"/>
          </w:tcPr>
          <w:p>
            <w:pPr>
              <w:pStyle w:val="null3"/>
              <w:jc w:val="left"/>
            </w:pPr>
            <w:r>
              <w:rPr/>
              <w:t>保养实施方案 (12.0分)</w:t>
            </w:r>
            <w:r>
              <w:rPr/>
              <w:t>，（等次分值选择：</w:t>
            </w:r>
            <w:r>
              <w:rPr/>
              <w:t>0.0;</w:t>
            </w:r>
            <w:r>
              <w:rPr/>
              <w:t>1.0;</w:t>
            </w:r>
            <w:r>
              <w:rPr/>
              <w:t>4.0;</w:t>
            </w:r>
            <w:r>
              <w:rPr/>
              <w:t>8.0;</w:t>
            </w:r>
            <w:r>
              <w:rPr/>
              <w:t>12.0;</w:t>
            </w:r>
            <w:r>
              <w:rPr/>
              <w:t>）</w:t>
            </w:r>
          </w:p>
        </w:tc>
        <w:tc>
          <w:tcPr>
            <w:tcW w:type="dxa" w:w="5076"/>
          </w:tcPr>
          <w:p>
            <w:pPr>
              <w:pStyle w:val="null3"/>
              <w:jc w:val="left"/>
            </w:pPr>
            <w:r>
              <w:rPr/>
              <w:t>根据投标人提供的保养实施方案进行评审： ①针对本项目包括检修抢修、安全文明管理、技术资料备案和节假日预案等的保养服务方案具体可行、详细明确，运行成本构成合理，完全满足项目的要求，得分12分； ②针对本项目包括检修抢修、安全文明管理、技术资料备案和节假日预案等的保养服务方案可行明确，运行成本构成合理，能满足项目的要求，得分8分； ③针对本项目的保养服务方案较为可行明确，运行成本构成较合理，能满足项目的要求，得分4分； ④针对本项目的保养服务方案一般，运行成本构成基本合理，能满足项目的要求，得分1分。 ⑤未提供对应方案不得分。</w:t>
            </w:r>
          </w:p>
        </w:tc>
      </w:tr>
      <w:tr>
        <w:tc>
          <w:tcPr>
            <w:tcW w:type="dxa" w:w="922"/>
            <w:gridSpan w:val="2"/>
            <w:vMerge/>
          </w:tcPr>
          <w:p/>
        </w:tc>
        <w:tc>
          <w:tcPr>
            <w:tcW w:type="dxa" w:w="2307"/>
          </w:tcPr>
          <w:p>
            <w:pPr>
              <w:pStyle w:val="null3"/>
              <w:jc w:val="left"/>
            </w:pPr>
            <w:r>
              <w:rPr/>
              <w:t>项目管理组织架构方案 (12.0分)</w:t>
            </w:r>
            <w:r>
              <w:rPr/>
              <w:t>，（等次分值选择：</w:t>
            </w:r>
            <w:r>
              <w:rPr/>
              <w:t>0.0;</w:t>
            </w:r>
            <w:r>
              <w:rPr/>
              <w:t>1.0;</w:t>
            </w:r>
            <w:r>
              <w:rPr/>
              <w:t>4.0;</w:t>
            </w:r>
            <w:r>
              <w:rPr/>
              <w:t>8.0;</w:t>
            </w:r>
            <w:r>
              <w:rPr/>
              <w:t>12.0;</w:t>
            </w:r>
            <w:r>
              <w:rPr/>
              <w:t>）</w:t>
            </w:r>
          </w:p>
        </w:tc>
        <w:tc>
          <w:tcPr>
            <w:tcW w:type="dxa" w:w="5076"/>
          </w:tcPr>
          <w:p>
            <w:pPr>
              <w:pStyle w:val="null3"/>
              <w:jc w:val="left"/>
            </w:pPr>
            <w:r>
              <w:rPr/>
              <w:t>根据投标人提供的项目管理组织架构方案进行评审： ①项目管理架构完善，分工明确，岗位责任制强，项目负责人管理经验丰富能力高，配备充足的专业水平高且有相关特长的技术工程人员，能全面高效地完成本项目，得分12分； ②项目管理架构较为完善，分工较明确，项目负责人管理经验丰富能力较高，工程人员专业水平较高，能较好地完成本项目，得分8分； ③有项目管理架构和分工，项目负责人有相关管理经验能力较高，工程人员熟悉本专业，能完成本项目，得分4分； ④有项目管理架构和分工，项目负责人有一定管理经验，工程人员能从事本项目服务，得分1分。 ⑤未提供对应方案不得分。</w:t>
            </w:r>
          </w:p>
        </w:tc>
      </w:tr>
      <w:tr>
        <w:tc>
          <w:tcPr>
            <w:tcW w:type="dxa" w:w="922"/>
            <w:gridSpan w:val="2"/>
            <w:vMerge/>
          </w:tcPr>
          <w:p/>
        </w:tc>
        <w:tc>
          <w:tcPr>
            <w:tcW w:type="dxa" w:w="2307"/>
          </w:tcPr>
          <w:p>
            <w:pPr>
              <w:pStyle w:val="null3"/>
              <w:jc w:val="left"/>
            </w:pPr>
            <w:r>
              <w:rPr/>
              <w:t>质量保证措施 (12.0分)</w:t>
            </w:r>
            <w:r>
              <w:rPr/>
              <w:t>，（等次分值选择：</w:t>
            </w:r>
            <w:r>
              <w:rPr/>
              <w:t>0.0;</w:t>
            </w:r>
            <w:r>
              <w:rPr/>
              <w:t>1.0;</w:t>
            </w:r>
            <w:r>
              <w:rPr/>
              <w:t>4.0;</w:t>
            </w:r>
            <w:r>
              <w:rPr/>
              <w:t>8.0;</w:t>
            </w:r>
            <w:r>
              <w:rPr/>
              <w:t>12.0;</w:t>
            </w:r>
            <w:r>
              <w:rPr/>
              <w:t>）</w:t>
            </w:r>
          </w:p>
        </w:tc>
        <w:tc>
          <w:tcPr>
            <w:tcW w:type="dxa" w:w="5076"/>
          </w:tcPr>
          <w:p>
            <w:pPr>
              <w:pStyle w:val="null3"/>
              <w:jc w:val="left"/>
            </w:pPr>
            <w:r>
              <w:rPr/>
              <w:t>根据投标人提供的质量保证措施方案进行评审： ①有详细明确的保养质量目标及分期目标，并提供具体可行、详细准确保证措施，得分12分； ②有详细的保养质量目标及分期目标，并提供具体可行的保证措施，得分8分； ③有详细的保养质量目标，并能提供一定的保证措施，得分4分； ④有保养质量目标和保证措施，得分1分。 ⑤未提供对应方案不得分。</w:t>
            </w:r>
          </w:p>
        </w:tc>
      </w:tr>
      <w:tr>
        <w:tc>
          <w:tcPr>
            <w:tcW w:type="dxa" w:w="922"/>
            <w:gridSpan w:val="2"/>
            <w:vMerge/>
          </w:tcPr>
          <w:p/>
        </w:tc>
        <w:tc>
          <w:tcPr>
            <w:tcW w:type="dxa" w:w="2307"/>
          </w:tcPr>
          <w:p>
            <w:pPr>
              <w:pStyle w:val="null3"/>
              <w:jc w:val="left"/>
            </w:pPr>
            <w:r>
              <w:rPr/>
              <w:t>应急措施方案 (12.0分)</w:t>
            </w:r>
            <w:r>
              <w:rPr/>
              <w:t>，（等次分值选择：</w:t>
            </w:r>
            <w:r>
              <w:rPr/>
              <w:t>0.0;</w:t>
            </w:r>
            <w:r>
              <w:rPr/>
              <w:t>1.0;</w:t>
            </w:r>
            <w:r>
              <w:rPr/>
              <w:t>4.0;</w:t>
            </w:r>
            <w:r>
              <w:rPr/>
              <w:t>8.0;</w:t>
            </w:r>
            <w:r>
              <w:rPr/>
              <w:t>12.0;</w:t>
            </w:r>
            <w:r>
              <w:rPr/>
              <w:t>）</w:t>
            </w:r>
          </w:p>
        </w:tc>
        <w:tc>
          <w:tcPr>
            <w:tcW w:type="dxa" w:w="5076"/>
          </w:tcPr>
          <w:p>
            <w:pPr>
              <w:pStyle w:val="null3"/>
              <w:jc w:val="left"/>
            </w:pPr>
            <w:r>
              <w:rPr/>
              <w:t>根据投标人提供的应急措施方案进行评审： ①应急措施方案详细明确，并提供具体可行高、详细准确应急措施，得分12分； ②应急措施方案详细，并提供具体可行的保证措施，得分8分； ③应急措施方案一般，并能提供一定的保证措施，基本符合项目需求，得分4分； ④应急措施方案不详细，目标和保证措施不明确，得分1分。 ⑤未提供对应方案不得分。</w:t>
            </w:r>
          </w:p>
        </w:tc>
      </w:tr>
      <w:tr>
        <w:tc>
          <w:tcPr>
            <w:tcW w:type="dxa" w:w="922"/>
            <w:gridSpan w:val="2"/>
            <w:vMerge w:val="restart"/>
          </w:tcPr>
          <w:p>
            <w:pPr>
              <w:pStyle w:val="null3"/>
              <w:jc w:val="center"/>
            </w:pPr>
            <w:r>
              <w:rPr/>
              <w:t>商务部分</w:t>
            </w:r>
          </w:p>
        </w:tc>
        <w:tc>
          <w:tcPr>
            <w:tcW w:type="dxa" w:w="2307"/>
          </w:tcPr>
          <w:p>
            <w:pPr>
              <w:pStyle w:val="null3"/>
              <w:jc w:val="left"/>
            </w:pPr>
            <w:r>
              <w:rPr/>
              <w:t>业绩经验 (10.0分)</w:t>
            </w:r>
            <w:r>
              <w:rPr/>
              <w:t>，（等次分值选择：</w:t>
            </w:r>
            <w:r>
              <w:rPr/>
              <w:t>0.0;</w:t>
            </w:r>
            <w:r>
              <w:rPr/>
              <w:t>2.0;</w:t>
            </w:r>
            <w:r>
              <w:rPr/>
              <w:t>4.0;</w:t>
            </w:r>
            <w:r>
              <w:rPr/>
              <w:t>6.0;</w:t>
            </w:r>
            <w:r>
              <w:rPr/>
              <w:t>8.0;</w:t>
            </w:r>
            <w:r>
              <w:rPr/>
              <w:t>10.0;</w:t>
            </w:r>
            <w:r>
              <w:rPr/>
              <w:t>）</w:t>
            </w:r>
          </w:p>
        </w:tc>
        <w:tc>
          <w:tcPr>
            <w:tcW w:type="dxa" w:w="5076"/>
          </w:tcPr>
          <w:p>
            <w:pPr>
              <w:pStyle w:val="null3"/>
              <w:jc w:val="left"/>
            </w:pPr>
            <w:r>
              <w:rPr/>
              <w:t>投标人具有路灯照明养护（或道路视频监控维护或电子警察维护或交通信号灯设备维护或公交站台维护或智能交通标志维护或道路设施维护）类项目业绩的，每提供一个得2分，本项最高10分。 注：须提供业绩合同的复印件加盖公章，否则不得分。（若联合体投标，联合体之一具备即可得分）</w:t>
            </w:r>
          </w:p>
        </w:tc>
      </w:tr>
      <w:tr>
        <w:tc>
          <w:tcPr>
            <w:tcW w:type="dxa" w:w="922"/>
            <w:gridSpan w:val="2"/>
            <w:vMerge/>
          </w:tcPr>
          <w:p/>
        </w:tc>
        <w:tc>
          <w:tcPr>
            <w:tcW w:type="dxa" w:w="2307"/>
          </w:tcPr>
          <w:p>
            <w:pPr>
              <w:pStyle w:val="null3"/>
              <w:jc w:val="left"/>
            </w:pPr>
            <w:r>
              <w:rPr/>
              <w:t>体系认证 (2.0分)</w:t>
            </w:r>
          </w:p>
        </w:tc>
        <w:tc>
          <w:tcPr>
            <w:tcW w:type="dxa" w:w="5076"/>
          </w:tcPr>
          <w:p>
            <w:pPr>
              <w:pStyle w:val="null3"/>
              <w:jc w:val="left"/>
            </w:pPr>
            <w:r>
              <w:rPr/>
              <w:t>投标人获得由国家认证认可监督管理部门批准设立的认证机构颁发并在有效期内的质量管理体系认证证书得2分，本项最高得2分。 注：须提供有效期内证书复印件并加盖投标人公章，否则不得分。（若联合体投标，联合体之一具备即可得分）</w:t>
            </w:r>
          </w:p>
        </w:tc>
      </w:tr>
      <w:tr>
        <w:tc>
          <w:tcPr>
            <w:tcW w:type="dxa" w:w="922"/>
            <w:gridSpan w:val="2"/>
            <w:vMerge/>
          </w:tcPr>
          <w:p/>
        </w:tc>
        <w:tc>
          <w:tcPr>
            <w:tcW w:type="dxa" w:w="2307"/>
          </w:tcPr>
          <w:p>
            <w:pPr>
              <w:pStyle w:val="null3"/>
              <w:jc w:val="left"/>
            </w:pPr>
            <w:r>
              <w:rPr/>
              <w:t>拟投入设备情况 (8.0分)</w:t>
            </w:r>
            <w:r>
              <w:rPr/>
              <w:t>，（等次分值选择：</w:t>
            </w:r>
            <w:r>
              <w:rPr/>
              <w:t>0.0;</w:t>
            </w:r>
            <w:r>
              <w:rPr/>
              <w:t>4.0;</w:t>
            </w:r>
            <w:r>
              <w:rPr/>
              <w:t>8.0;</w:t>
            </w:r>
            <w:r>
              <w:rPr/>
              <w:t>）</w:t>
            </w:r>
          </w:p>
        </w:tc>
        <w:tc>
          <w:tcPr>
            <w:tcW w:type="dxa" w:w="5076"/>
          </w:tcPr>
          <w:p>
            <w:pPr>
              <w:pStyle w:val="null3"/>
              <w:jc w:val="left"/>
            </w:pPr>
            <w:r>
              <w:rPr/>
              <w:t>以下各评分项须在满足招标文件采购需求中对拟投入设备要求的前提下，进行评分（未满足的不予评分）： 1、额外增加一台巡查车辆的得4分，本项最高得4分。 2、额外增加一台高空作业车得4分，本项最高得4分。 注：①以上车辆属于自有的，必须提供购车发票及有效期内行驶证；②以上车辆属于租赁的，必须提供租赁合同及有效期内行驶证；上述材料须附相应的复印件，并盖投标人公章。（若联合体投标，联合体之一具备即可得分）</w:t>
            </w:r>
          </w:p>
        </w:tc>
      </w:tr>
      <w:tr>
        <w:tc>
          <w:tcPr>
            <w:tcW w:type="dxa" w:w="922"/>
            <w:gridSpan w:val="2"/>
          </w:tcPr>
          <w:p>
            <w:pPr>
              <w:pStyle w:val="null3"/>
              <w:jc w:val="center"/>
            </w:pPr>
            <w:r>
              <w:rPr/>
              <w:t>投标报价</w:t>
            </w:r>
          </w:p>
        </w:tc>
        <w:tc>
          <w:tcPr>
            <w:tcW w:type="dxa" w:w="2307"/>
          </w:tcPr>
          <w:p>
            <w:pPr>
              <w:pStyle w:val="null3"/>
              <w:jc w:val="left"/>
            </w:pPr>
            <w:r>
              <w:rPr/>
              <w:t>投标报价得分 (20.0分)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rPr>
        <w:t>广东省政府采购</w:t>
      </w:r>
    </w:p>
    <w:p>
      <w:pPr>
        <w:pStyle w:val="null3"/>
        <w:jc w:val="center"/>
      </w:pPr>
      <w:r>
        <w:rPr>
          <w:sz w:val="48"/>
          <w:b/>
        </w:rPr>
        <w:t>合同书</w:t>
      </w:r>
    </w:p>
    <w:p>
      <w:pPr>
        <w:pStyle w:val="null3"/>
        <w:jc w:val="center"/>
      </w:pPr>
      <w:r>
        <w:rPr>
          <w:sz w:val="28"/>
        </w:rPr>
        <w:t>采购计划编号：</w:t>
      </w:r>
    </w:p>
    <w:p>
      <w:pPr>
        <w:pStyle w:val="null3"/>
        <w:jc w:val="center"/>
      </w:pPr>
      <w:r>
        <w:rPr>
          <w:sz w:val="28"/>
        </w:rPr>
        <w:t>项目编号：</w:t>
      </w:r>
    </w:p>
    <w:p>
      <w:pPr>
        <w:pStyle w:val="null3"/>
        <w:jc w:val="center"/>
      </w:pPr>
      <w:r>
        <w:rPr>
          <w:sz w:val="28"/>
        </w:rPr>
        <w:t>项目名称：</w:t>
      </w:r>
    </w:p>
    <w:p>
      <w:pPr>
        <w:pStyle w:val="null3"/>
        <w:jc w:val="both"/>
      </w:pPr>
      <w:r>
        <w:rPr/>
        <w:t xml:space="preserve"> </w:t>
      </w:r>
    </w:p>
    <w:p>
      <w:pPr>
        <w:pStyle w:val="null3"/>
        <w:jc w:val="both"/>
      </w:pPr>
      <w:r>
        <w:rPr>
          <w:sz w:val="21"/>
        </w:rPr>
        <w:t>甲方：</w:t>
      </w:r>
      <w:r>
        <w:rPr>
          <w:sz w:val="21"/>
        </w:rPr>
        <w:t xml:space="preserve">  </w:t>
      </w:r>
    </w:p>
    <w:p>
      <w:pPr>
        <w:pStyle w:val="null3"/>
        <w:jc w:val="both"/>
      </w:pPr>
      <w:r>
        <w:rPr>
          <w:sz w:val="21"/>
        </w:rPr>
        <w:t>电话：</w:t>
      </w:r>
      <w:r>
        <w:rPr>
          <w:sz w:val="21"/>
        </w:rPr>
        <w:t xml:space="preserve">  </w:t>
      </w:r>
      <w:r>
        <w:rPr>
          <w:sz w:val="21"/>
        </w:rPr>
        <w:t>传真</w:t>
      </w:r>
      <w:r>
        <w:rPr>
          <w:sz w:val="21"/>
        </w:rPr>
        <w:t>：</w:t>
      </w:r>
      <w:r>
        <w:rPr>
          <w:sz w:val="21"/>
        </w:rPr>
        <w:t xml:space="preserve">  </w:t>
      </w:r>
      <w:r>
        <w:rPr>
          <w:sz w:val="21"/>
        </w:rPr>
        <w:t>地址：</w:t>
      </w:r>
      <w:r>
        <w:rPr>
          <w:sz w:val="21"/>
        </w:rPr>
        <w:t xml:space="preserve">   </w:t>
      </w:r>
    </w:p>
    <w:p>
      <w:pPr>
        <w:pStyle w:val="null3"/>
        <w:jc w:val="both"/>
      </w:pPr>
      <w:r>
        <w:rPr>
          <w:sz w:val="21"/>
        </w:rPr>
        <w:t>乙方：</w:t>
      </w:r>
      <w:r>
        <w:rPr>
          <w:sz w:val="21"/>
        </w:rPr>
        <w:t xml:space="preserve">  </w:t>
      </w:r>
    </w:p>
    <w:p>
      <w:pPr>
        <w:pStyle w:val="null3"/>
        <w:jc w:val="both"/>
      </w:pPr>
      <w:r>
        <w:rPr>
          <w:sz w:val="21"/>
        </w:rPr>
        <w:t>电话：</w:t>
      </w:r>
      <w:r>
        <w:rPr>
          <w:sz w:val="21"/>
        </w:rPr>
        <w:t xml:space="preserve">   </w:t>
      </w:r>
      <w:r>
        <w:rPr>
          <w:sz w:val="21"/>
        </w:rPr>
        <w:t>传真：　　　</w:t>
      </w:r>
      <w:r>
        <w:rPr>
          <w:sz w:val="21"/>
        </w:rPr>
        <w:t xml:space="preserve">   </w:t>
      </w:r>
      <w:r>
        <w:rPr>
          <w:sz w:val="21"/>
        </w:rPr>
        <w:t>地址：</w:t>
      </w:r>
      <w:r>
        <w:rPr>
          <w:sz w:val="21"/>
        </w:rPr>
        <w:t xml:space="preserve">   </w:t>
      </w:r>
    </w:p>
    <w:p>
      <w:pPr>
        <w:pStyle w:val="null3"/>
        <w:jc w:val="both"/>
      </w:pPr>
      <w:r>
        <w:rPr>
          <w:sz w:val="21"/>
        </w:rPr>
        <w:t xml:space="preserve"> </w:t>
      </w:r>
    </w:p>
    <w:p>
      <w:pPr>
        <w:pStyle w:val="null3"/>
        <w:jc w:val="both"/>
      </w:pPr>
      <w:r>
        <w:rPr>
          <w:sz w:val="21"/>
        </w:rPr>
        <w:t xml:space="preserve">  </w:t>
      </w:r>
      <w:r>
        <w:rPr>
          <w:sz w:val="21"/>
        </w:rPr>
        <w:t>根据</w:t>
      </w:r>
      <w:r>
        <w:rPr>
          <w:sz w:val="21"/>
        </w:rPr>
        <w:t xml:space="preserve">          </w:t>
      </w:r>
      <w:r>
        <w:rPr>
          <w:sz w:val="21"/>
        </w:rPr>
        <w:t>项目</w:t>
      </w:r>
      <w:r>
        <w:rPr>
          <w:sz w:val="21"/>
        </w:rPr>
        <w:t>的采购结果，按照《中华人民共和国政府采购法》，《中华人民共和国民法典</w:t>
      </w:r>
      <w:r>
        <w:rPr>
          <w:sz w:val="21"/>
        </w:rPr>
        <w:t>(合同编)》的规定，经双方协商，本着平等互利和诚实信用的原则，一致同意遵守本合同如下。</w:t>
      </w:r>
    </w:p>
    <w:p>
      <w:pPr>
        <w:pStyle w:val="null3"/>
        <w:jc w:val="both"/>
      </w:pPr>
      <w:r>
        <w:rPr>
          <w:sz w:val="21"/>
          <w:b/>
        </w:rPr>
        <w:t>一、合同金额</w:t>
      </w:r>
    </w:p>
    <w:p>
      <w:pPr>
        <w:pStyle w:val="null3"/>
        <w:ind w:firstLine="420"/>
        <w:jc w:val="both"/>
      </w:pPr>
      <w:r>
        <w:rPr>
          <w:sz w:val="21"/>
        </w:rPr>
        <w:t>合同金额为（大写）：</w:t>
      </w:r>
      <w:r>
        <w:rPr>
          <w:sz w:val="21"/>
        </w:rPr>
        <w:t>_____________元（￥_________元）人民币。</w:t>
      </w:r>
      <w:r>
        <w:rPr>
          <w:sz w:val="21"/>
        </w:rPr>
        <w:t>包括运维服务费、监控点电费、人工、材料、措施费、税费以及合同实施过程中等全部费用。</w:t>
      </w:r>
    </w:p>
    <w:p>
      <w:pPr>
        <w:pStyle w:val="null3"/>
        <w:jc w:val="both"/>
      </w:pPr>
      <w:r>
        <w:rPr>
          <w:sz w:val="21"/>
          <w:b/>
        </w:rPr>
        <w:t>二、服务范围</w:t>
      </w:r>
    </w:p>
    <w:p>
      <w:pPr>
        <w:pStyle w:val="null3"/>
        <w:jc w:val="both"/>
        <w:outlineLvl w:val="3"/>
      </w:pPr>
      <w:r>
        <w:rPr>
          <w:sz w:val="24"/>
          <w:b/>
        </w:rPr>
        <w:t>1</w:t>
      </w:r>
      <w:r>
        <w:rPr>
          <w:sz w:val="24"/>
          <w:b/>
        </w:rPr>
        <w:t>、项目概况</w:t>
      </w:r>
    </w:p>
    <w:p>
      <w:pPr>
        <w:pStyle w:val="null3"/>
        <w:ind w:left="420"/>
        <w:jc w:val="both"/>
        <w:outlineLvl w:val="1"/>
      </w:pPr>
      <w:r>
        <w:rPr>
          <w:sz w:val="21"/>
          <w:b/>
        </w:rPr>
        <w:t>1.1.项目概述</w:t>
      </w:r>
    </w:p>
    <w:p>
      <w:pPr>
        <w:pStyle w:val="null3"/>
        <w:ind w:left="420"/>
        <w:jc w:val="both"/>
        <w:outlineLvl w:val="2"/>
      </w:pPr>
      <w:r>
        <w:rPr>
          <w:sz w:val="21"/>
          <w:b/>
        </w:rPr>
        <w:t>1.1.1.项目基本情况</w:t>
      </w:r>
    </w:p>
    <w:p>
      <w:pPr>
        <w:pStyle w:val="null3"/>
        <w:ind w:firstLine="560"/>
        <w:jc w:val="both"/>
      </w:pPr>
      <w:r>
        <w:rPr>
          <w:sz w:val="21"/>
        </w:rPr>
        <w:t>本次运维项目包括原建设项目东莞滨海湾新区智慧灯杆试点项目灯杆设备采购项目（以下简称试点项目）和东莞滨海湾新区交椅湾智慧道路</w:t>
      </w:r>
      <w:r>
        <w:rPr>
          <w:sz w:val="21"/>
        </w:rPr>
        <w:t>(二期）滨海湾大道、中海路、华海路、振海路、东海路前端设备采购项目（以下简称二期项目）两期建设的全部设备。</w:t>
      </w:r>
    </w:p>
    <w:p>
      <w:pPr>
        <w:pStyle w:val="null3"/>
        <w:ind w:left="420"/>
        <w:jc w:val="both"/>
        <w:outlineLvl w:val="2"/>
      </w:pPr>
      <w:r>
        <w:rPr>
          <w:sz w:val="21"/>
          <w:b/>
        </w:rPr>
        <w:t>1.1.2.设施设备使用情况</w:t>
      </w:r>
    </w:p>
    <w:p>
      <w:pPr>
        <w:pStyle w:val="null3"/>
        <w:ind w:firstLine="420"/>
        <w:jc w:val="left"/>
      </w:pPr>
      <w:r>
        <w:rPr>
          <w:sz w:val="21"/>
        </w:rPr>
        <w:t>智慧道路前端设施设备包括，智慧灯杆、供配电系统、智能照明控制系统、交通信号控制系统、电子警察系统、智能标志牌统、视频监控系统、智慧公交站台、</w:t>
      </w:r>
      <w:r>
        <w:rPr>
          <w:sz w:val="21"/>
        </w:rPr>
        <w:t>LED信息发布屏、紧急呼叫与公共广播、环境气象监测、井盖监测等设施设备，目前设备运行良好。基于智慧道路前端设备构建设备智联“一张网”，通过物联智控等手段，打通跨品牌智联终端通信协议，实现所有道路设施无障碍接入平台，打造“人-车-路-环境”多源城市道路大数据融合“感知神经末销”，为滨海湾智慧城市管理中心提供安全可控的在线监测、业务联动、远程维保等管理和服务功能的城市运行感知数据支撑，夯实滨海湾数字底座，</w:t>
      </w:r>
      <w:r>
        <w:rPr>
          <w:sz w:val="21"/>
          <w:shd w:fill="FFFFFF" w:val="clear"/>
        </w:rPr>
        <w:t>满足城市照明、交通、安防、市政等社会治理事件的一网统管、高效协同，提升城市精细化管理能力和现代化管理水平，助力打造</w:t>
      </w:r>
      <w:r>
        <w:rPr>
          <w:sz w:val="21"/>
          <w:shd w:fill="FFFFFF" w:val="clear"/>
        </w:rPr>
        <w:t>“智慧滨海湾、数字未来城”。</w:t>
      </w:r>
    </w:p>
    <w:p>
      <w:pPr>
        <w:pStyle w:val="null3"/>
        <w:ind w:left="420"/>
        <w:jc w:val="both"/>
        <w:outlineLvl w:val="1"/>
      </w:pPr>
      <w:r>
        <w:rPr>
          <w:sz w:val="21"/>
          <w:b/>
        </w:rPr>
        <w:t>1.2.项目运维目标</w:t>
      </w:r>
    </w:p>
    <w:p>
      <w:pPr>
        <w:pStyle w:val="null3"/>
        <w:ind w:firstLine="420"/>
        <w:jc w:val="both"/>
      </w:pPr>
      <w:r>
        <w:rPr>
          <w:sz w:val="21"/>
        </w:rPr>
        <w:t>本项目主要是对滨海湾新区智慧道路试点及二期项目建设的前端路面设备进行运维保养，主要包含以下设备的正常维护：前端箱式变电站</w:t>
      </w:r>
      <w:r>
        <w:rPr>
          <w:sz w:val="21"/>
        </w:rPr>
        <w:t>5台、10KV高压分支箱1台、电箱2台、灯杆1279杆、综合机箱9台、电子警察22套、各类摄像机1076台、路牌349套、广播音柱89套、户外显示屏42套、一键呼叫89套、井盖传感器2415套、气象传感器10、环境传感器10套、水位传感器20套及配套设施供电线路，项目采用完全外包的模式，服务周期为一年。项目需规范维护工作流程，落实责任，保证智慧道路前端设备正常运行，满足管委会各部门业务正常运行的需要。</w:t>
      </w:r>
    </w:p>
    <w:p>
      <w:pPr>
        <w:pStyle w:val="null3"/>
        <w:ind w:firstLine="420"/>
        <w:jc w:val="both"/>
      </w:pPr>
      <w:r>
        <w:rPr>
          <w:sz w:val="21"/>
        </w:rPr>
        <w:t>实现智慧道路前端设备的定期维护和管理，包括设备巡检、故障处理等工作，从而减少设备故障率和维修次数，并提高设备可靠性和稳定性。</w:t>
      </w:r>
    </w:p>
    <w:p>
      <w:pPr>
        <w:pStyle w:val="null3"/>
        <w:ind w:firstLine="420"/>
        <w:jc w:val="both"/>
      </w:pPr>
      <w:r>
        <w:rPr>
          <w:sz w:val="21"/>
        </w:rPr>
        <w:t>建立设备运维日志和故障记录，及时发现和解决设备问题，把握设备运行情况，制定科学的设备运维计划。</w:t>
      </w:r>
    </w:p>
    <w:p>
      <w:pPr>
        <w:pStyle w:val="null3"/>
        <w:ind w:firstLine="420"/>
        <w:jc w:val="both"/>
      </w:pPr>
      <w:r>
        <w:rPr>
          <w:sz w:val="21"/>
        </w:rPr>
        <w:t>不断优化智慧道路前端设备的运行效率，提高设备数据采集和传输能力，为交通管理提供更加全面有效的数据支持。</w:t>
      </w:r>
    </w:p>
    <w:p>
      <w:pPr>
        <w:pStyle w:val="null3"/>
        <w:ind w:firstLine="420"/>
        <w:jc w:val="both"/>
      </w:pPr>
      <w:r>
        <w:rPr>
          <w:sz w:val="21"/>
        </w:rPr>
        <w:t>通过维护促进功能的完善与发展，满足管委会各部门业务不断发展的需要。</w:t>
      </w:r>
    </w:p>
    <w:p>
      <w:pPr>
        <w:pStyle w:val="null3"/>
        <w:jc w:val="both"/>
        <w:outlineLvl w:val="3"/>
      </w:pPr>
      <w:r>
        <w:rPr>
          <w:sz w:val="24"/>
          <w:b/>
        </w:rPr>
        <w:t>2</w:t>
      </w:r>
      <w:r>
        <w:rPr>
          <w:sz w:val="24"/>
          <w:b/>
        </w:rPr>
        <w:t>、现状及需求分析</w:t>
      </w:r>
    </w:p>
    <w:p>
      <w:pPr>
        <w:pStyle w:val="null3"/>
        <w:ind w:left="420"/>
        <w:jc w:val="both"/>
        <w:outlineLvl w:val="1"/>
      </w:pPr>
      <w:r>
        <w:rPr>
          <w:sz w:val="21"/>
          <w:b/>
        </w:rPr>
        <w:t>2.1.项目现状分析</w:t>
      </w:r>
    </w:p>
    <w:p>
      <w:pPr>
        <w:pStyle w:val="null3"/>
        <w:ind w:left="420"/>
        <w:jc w:val="both"/>
        <w:outlineLvl w:val="2"/>
      </w:pPr>
      <w:r>
        <w:rPr>
          <w:sz w:val="21"/>
          <w:b/>
        </w:rPr>
        <w:t>2.1.1.项目现状</w:t>
      </w:r>
    </w:p>
    <w:p>
      <w:pPr>
        <w:pStyle w:val="null3"/>
        <w:ind w:firstLine="420"/>
        <w:jc w:val="both"/>
      </w:pPr>
      <w:r>
        <w:rPr>
          <w:sz w:val="21"/>
        </w:rPr>
        <w:t>东莞滨海湾新区智慧道路经过试点项目和二期项目两期建设，其中试点项目建设范围包括兴海路（</w:t>
      </w:r>
      <w:r>
        <w:rPr>
          <w:sz w:val="21"/>
        </w:rPr>
        <w:t>1.8公里）、迎宾路（282米）两条道路，二期项目建设范围包括滨海湾大道（4.46公里）、中海路（2.62公里）、振海路（1.58公里）、华海路（1.69公里）、东海路（2.65公里）、规划二路（564米）共6条道路，以及10个出入口道闸和保安亭；整体项目运行良好。</w:t>
      </w:r>
    </w:p>
    <w:p>
      <w:pPr>
        <w:pStyle w:val="null3"/>
        <w:ind w:firstLine="420"/>
        <w:jc w:val="both"/>
      </w:pPr>
      <w:r>
        <w:rPr>
          <w:sz w:val="21"/>
        </w:rPr>
        <w:t>目前，滨海湾智慧道路已完成集智能照明、视频监控、井盖监测、交通信号控制、电子警察、信息发布屏、紧急呼叫、公共广播、环境气象监测、水位监控、智能发光标牌等多功能于一体的智慧多功能杆</w:t>
      </w:r>
      <w:r>
        <w:rPr>
          <w:sz w:val="21"/>
        </w:rPr>
        <w:t>1279杆、智能公交站、道闸等道路设备，设备采用数据统一汇聚到滨海湾城市管理中心。实现视频监控、智慧照明、感知设备、信息发布等功能，涉及公交、交警、城管、市政等多个职能部门的业务应用。</w:t>
      </w:r>
    </w:p>
    <w:p>
      <w:pPr>
        <w:pStyle w:val="null3"/>
        <w:ind w:left="420"/>
        <w:jc w:val="both"/>
        <w:outlineLvl w:val="2"/>
      </w:pPr>
      <w:r>
        <w:rPr>
          <w:sz w:val="21"/>
          <w:b/>
        </w:rPr>
        <w:t>2.1.2.日常维护需求分析</w:t>
      </w:r>
    </w:p>
    <w:p>
      <w:pPr>
        <w:pStyle w:val="null3"/>
        <w:ind w:firstLine="420"/>
        <w:jc w:val="both"/>
      </w:pPr>
      <w:r>
        <w:rPr>
          <w:sz w:val="21"/>
        </w:rPr>
        <w:t>为保证滨海湾新区智慧道路项目的质量，实现预期的使用效果，及时掌握设备运行的情况，快速的排除各类故障，现需以外包的形式面向社会招聘系统维护服务商，对整个智慧道路前端设备进行维护和保养。并要求中标人针对本项目制定的日常维护方案包括定期维护保养，特殊天气维护方案和节假日、大型活动维护方案。</w:t>
      </w:r>
    </w:p>
    <w:p>
      <w:pPr>
        <w:pStyle w:val="null3"/>
        <w:ind w:left="420"/>
        <w:jc w:val="both"/>
        <w:outlineLvl w:val="3"/>
      </w:pPr>
      <w:r>
        <w:rPr>
          <w:sz w:val="21"/>
          <w:b/>
        </w:rPr>
        <w:t>2.1.2.1.智慧灯杆及道路照明维护需求</w:t>
      </w:r>
    </w:p>
    <w:p>
      <w:pPr>
        <w:pStyle w:val="null3"/>
        <w:ind w:firstLine="420"/>
        <w:jc w:val="both"/>
      </w:pPr>
      <w:r>
        <w:rPr>
          <w:sz w:val="21"/>
        </w:rPr>
        <w:t>道路照明维护的目标是确保道路夜间照明效果良好，提高行车和行人的安全性。</w:t>
      </w:r>
    </w:p>
    <w:p>
      <w:pPr>
        <w:pStyle w:val="null3"/>
        <w:ind w:firstLine="420"/>
        <w:jc w:val="both"/>
      </w:pPr>
      <w:r>
        <w:rPr>
          <w:sz w:val="21"/>
        </w:rPr>
        <w:t>需要对道路照明设备进行定期巡查和维护，包括灯杆、灯具、节点、线路等的检查和更换以及设备防盗。</w:t>
      </w:r>
    </w:p>
    <w:p>
      <w:pPr>
        <w:pStyle w:val="null3"/>
        <w:ind w:firstLine="420"/>
        <w:jc w:val="both"/>
      </w:pPr>
      <w:r>
        <w:rPr>
          <w:sz w:val="21"/>
        </w:rPr>
        <w:t>需要建立道路照明设备表面定期清洗计划，及时清除城市照明设施上包括灯杆、电箱、设备箱等设施的乱张贴、乱涂写和乱拉挂。</w:t>
      </w:r>
    </w:p>
    <w:p>
      <w:pPr>
        <w:pStyle w:val="null3"/>
        <w:ind w:firstLine="420"/>
        <w:jc w:val="both"/>
      </w:pPr>
      <w:r>
        <w:rPr>
          <w:sz w:val="21"/>
        </w:rPr>
        <w:t>需要建立灯杆、电箱喷漆翻新计划，每季度对灯杆等其他影响观瞻的设备表面按规定定期喷漆。</w:t>
      </w:r>
    </w:p>
    <w:p>
      <w:pPr>
        <w:pStyle w:val="null3"/>
        <w:ind w:firstLine="420"/>
        <w:jc w:val="both"/>
      </w:pPr>
      <w:r>
        <w:rPr>
          <w:sz w:val="21"/>
        </w:rPr>
        <w:t>需要建立道路照明设备的故障报修机制，对居民或相关部门报修的路灯故障及时修复。</w:t>
      </w:r>
    </w:p>
    <w:p>
      <w:pPr>
        <w:pStyle w:val="null3"/>
        <w:ind w:firstLine="420"/>
        <w:jc w:val="both"/>
      </w:pPr>
      <w:r>
        <w:rPr>
          <w:sz w:val="21"/>
        </w:rPr>
        <w:t>需要建立道路照明设备维护记录，记录每次巡查和维护的时间、地点、问题和处理情况，以便后续跟踪和分析。</w:t>
      </w:r>
    </w:p>
    <w:p>
      <w:pPr>
        <w:pStyle w:val="null3"/>
        <w:ind w:firstLine="420"/>
        <w:jc w:val="both"/>
      </w:pPr>
      <w:r>
        <w:rPr>
          <w:sz w:val="21"/>
        </w:rPr>
        <w:t>需要建立道路照明设备维护人员的管理和培训机制，确保维护人员具备专业知识和技能。</w:t>
      </w:r>
    </w:p>
    <w:p>
      <w:pPr>
        <w:pStyle w:val="null3"/>
        <w:ind w:firstLine="420"/>
        <w:jc w:val="both"/>
      </w:pPr>
      <w:r>
        <w:rPr>
          <w:sz w:val="21"/>
        </w:rPr>
        <w:t>需要建立道路照明设备备品备件管理机制，确保设备故障第一时间得到修复。</w:t>
      </w:r>
    </w:p>
    <w:p>
      <w:pPr>
        <w:pStyle w:val="null3"/>
        <w:ind w:firstLine="420"/>
        <w:jc w:val="both"/>
      </w:pPr>
      <w:r>
        <w:rPr>
          <w:sz w:val="21"/>
        </w:rPr>
        <w:t>需要与供电部门进行配合，确保路灯供电正常并及时处理供电故障。</w:t>
      </w:r>
    </w:p>
    <w:p>
      <w:pPr>
        <w:pStyle w:val="null3"/>
        <w:ind w:firstLine="420"/>
        <w:jc w:val="both"/>
      </w:pPr>
      <w:r>
        <w:rPr>
          <w:sz w:val="21"/>
        </w:rPr>
        <w:t>需要定期评估路灯照明效果，根据评估结果进行调整和改进，以提高照明效果和节能减排。</w:t>
      </w:r>
    </w:p>
    <w:p>
      <w:pPr>
        <w:pStyle w:val="null3"/>
        <w:ind w:firstLine="420"/>
        <w:jc w:val="both"/>
      </w:pPr>
      <w:r>
        <w:rPr>
          <w:sz w:val="21"/>
        </w:rPr>
        <w:t>需要建立路灯照明维护的监督和考核机制，确保维护工作的质量和效果。</w:t>
      </w:r>
    </w:p>
    <w:p>
      <w:pPr>
        <w:pStyle w:val="null3"/>
        <w:ind w:firstLine="420"/>
        <w:jc w:val="both"/>
      </w:pPr>
      <w:r>
        <w:rPr>
          <w:sz w:val="21"/>
        </w:rPr>
        <w:t>道路高低压配电设备的维护必须确保设备的安全性，包括防止电气火灾、电击等安全隐患，及时发现和排除设备故障，保障人员和设备的安全。</w:t>
      </w:r>
    </w:p>
    <w:p>
      <w:pPr>
        <w:pStyle w:val="null3"/>
        <w:ind w:firstLine="420"/>
        <w:jc w:val="both"/>
      </w:pPr>
      <w:r>
        <w:rPr>
          <w:sz w:val="21"/>
        </w:rPr>
        <w:t>在设备发生故障或者突发情况时，需要能够快速响应并进行维修，以减少设备停运时间，避免对道路交通和安全产生影响。</w:t>
      </w:r>
    </w:p>
    <w:p>
      <w:pPr>
        <w:pStyle w:val="null3"/>
        <w:ind w:left="420"/>
        <w:jc w:val="both"/>
        <w:outlineLvl w:val="3"/>
      </w:pPr>
      <w:r>
        <w:rPr>
          <w:sz w:val="21"/>
          <w:b/>
        </w:rPr>
        <w:t>2.1.2.2.道路视频监控维护需求</w:t>
      </w:r>
    </w:p>
    <w:p>
      <w:pPr>
        <w:pStyle w:val="null3"/>
        <w:ind w:firstLine="420"/>
        <w:jc w:val="both"/>
      </w:pPr>
      <w:r>
        <w:rPr>
          <w:sz w:val="21"/>
        </w:rPr>
        <w:t>需要建立日常巡检制度，巡查摄像头设备，检查摄像头的清晰度、焦距、灵敏度和工作状态等指标，防止意外损坏或失效的情况发生。</w:t>
      </w:r>
    </w:p>
    <w:p>
      <w:pPr>
        <w:pStyle w:val="null3"/>
        <w:ind w:firstLine="420"/>
        <w:jc w:val="both"/>
      </w:pPr>
      <w:r>
        <w:rPr>
          <w:sz w:val="21"/>
        </w:rPr>
        <w:t>定期更换和维护摄像头的镜头、光圈和云台等部件，保证清晰度和焦距的基础上，保证摄像头的可控性和灵敏度。</w:t>
      </w:r>
    </w:p>
    <w:p>
      <w:pPr>
        <w:pStyle w:val="null3"/>
        <w:ind w:firstLine="420"/>
        <w:jc w:val="both"/>
      </w:pPr>
      <w:r>
        <w:rPr>
          <w:sz w:val="21"/>
        </w:rPr>
        <w:t>定期检查监控设备的网络连接、传输速率和传输质量等指标，保证摄像头与监控中心之间的数据传输畅通。</w:t>
      </w:r>
    </w:p>
    <w:p>
      <w:pPr>
        <w:pStyle w:val="null3"/>
        <w:ind w:firstLine="420"/>
        <w:jc w:val="both"/>
      </w:pPr>
      <w:r>
        <w:rPr>
          <w:sz w:val="21"/>
        </w:rPr>
        <w:t>当发现摄像头出现故障或失效的情况时，立即进行维护和修理，并及时更换故障的部件和设备。</w:t>
      </w:r>
    </w:p>
    <w:p>
      <w:pPr>
        <w:pStyle w:val="null3"/>
        <w:ind w:firstLine="420"/>
        <w:jc w:val="both"/>
      </w:pPr>
      <w:r>
        <w:rPr>
          <w:sz w:val="21"/>
        </w:rPr>
        <w:t>定期对视频监控设备进行更新升级和软件更新，及时满足监控需求的变化和更新。</w:t>
      </w:r>
    </w:p>
    <w:p>
      <w:pPr>
        <w:pStyle w:val="null3"/>
        <w:ind w:firstLine="420"/>
        <w:jc w:val="both"/>
      </w:pPr>
      <w:r>
        <w:rPr>
          <w:sz w:val="21"/>
        </w:rPr>
        <w:t>对于道路监控画面涉及的信息和事件应当有专门负责的人员进行及时汇总、记录和报告，以提供相关部门的及时支持，以保证交通出行的畅通和安全。</w:t>
      </w:r>
    </w:p>
    <w:p>
      <w:pPr>
        <w:pStyle w:val="null3"/>
        <w:ind w:left="420"/>
        <w:jc w:val="both"/>
        <w:outlineLvl w:val="3"/>
      </w:pPr>
      <w:r>
        <w:rPr>
          <w:sz w:val="21"/>
          <w:b/>
        </w:rPr>
        <w:t>2.1.2.3.电子警察维护需求</w:t>
      </w:r>
    </w:p>
    <w:p>
      <w:pPr>
        <w:pStyle w:val="null3"/>
        <w:ind w:firstLine="420"/>
        <w:jc w:val="both"/>
      </w:pPr>
      <w:r>
        <w:rPr>
          <w:sz w:val="21"/>
        </w:rPr>
        <w:t>需要定期对电子警察清洁，因为电子警察设备通常放置在路边或交通路口等场所，容易受到外部环境的影响，需要定期清洁设备表面和镜头，以保证影像采集的质量。</w:t>
      </w:r>
    </w:p>
    <w:p>
      <w:pPr>
        <w:pStyle w:val="null3"/>
        <w:ind w:firstLine="420"/>
        <w:jc w:val="both"/>
      </w:pPr>
      <w:r>
        <w:rPr>
          <w:sz w:val="21"/>
        </w:rPr>
        <w:t>为了保证电子警察设备采集到准确的数据，需要定期对其进行校准，确保其记录的数据与实际情况相符，同时检查设备是否存在故障现象。</w:t>
      </w:r>
    </w:p>
    <w:p>
      <w:pPr>
        <w:pStyle w:val="null3"/>
        <w:ind w:firstLine="420"/>
        <w:jc w:val="both"/>
      </w:pPr>
      <w:r>
        <w:rPr>
          <w:sz w:val="21"/>
        </w:rPr>
        <w:t>需要定期检查设备的运行状态，确保其正常工作，例如检查镜头是否清晰，摄像头是否损坏等等。</w:t>
      </w:r>
    </w:p>
    <w:p>
      <w:pPr>
        <w:pStyle w:val="null3"/>
        <w:ind w:firstLine="420"/>
        <w:jc w:val="both"/>
      </w:pPr>
      <w:r>
        <w:rPr>
          <w:sz w:val="21"/>
        </w:rPr>
        <w:t>电子警察设备需要稳定运行，因此需要确保设备的电源供应和网络连接稳定，避免影响设备的采集和上传数据的能力。</w:t>
      </w:r>
    </w:p>
    <w:p>
      <w:pPr>
        <w:pStyle w:val="null3"/>
        <w:ind w:firstLine="420"/>
        <w:jc w:val="both"/>
      </w:pPr>
      <w:r>
        <w:rPr>
          <w:sz w:val="21"/>
        </w:rPr>
        <w:t>如果电子警察设备出现故障，应及时进行维修和更换，以免影响其正常使用。</w:t>
      </w:r>
    </w:p>
    <w:p>
      <w:pPr>
        <w:pStyle w:val="null3"/>
        <w:ind w:firstLine="420"/>
        <w:jc w:val="both"/>
      </w:pPr>
      <w:r>
        <w:rPr>
          <w:sz w:val="21"/>
        </w:rPr>
        <w:t>通过定期的维护和保养，可以确保电子警察设备的正常运行和准确监测，提高交通违法的检测率和执法效果。</w:t>
      </w:r>
    </w:p>
    <w:p>
      <w:pPr>
        <w:pStyle w:val="null3"/>
        <w:ind w:left="420"/>
        <w:jc w:val="both"/>
        <w:outlineLvl w:val="3"/>
      </w:pPr>
      <w:r>
        <w:rPr>
          <w:sz w:val="21"/>
          <w:b/>
        </w:rPr>
        <w:t>2.1.2.4.交通信号灯设备维护需求</w:t>
      </w:r>
    </w:p>
    <w:p>
      <w:pPr>
        <w:pStyle w:val="null3"/>
        <w:ind w:firstLine="420"/>
        <w:jc w:val="both"/>
      </w:pPr>
      <w:r>
        <w:rPr>
          <w:sz w:val="21"/>
        </w:rPr>
        <w:t>需要定期检查交通信号灯的各项部件，如灯泡、电线、控制器及其他电子设备，确保其正常运行。</w:t>
      </w:r>
    </w:p>
    <w:p>
      <w:pPr>
        <w:pStyle w:val="null3"/>
        <w:ind w:firstLine="420"/>
        <w:jc w:val="both"/>
      </w:pPr>
      <w:r>
        <w:rPr>
          <w:sz w:val="21"/>
        </w:rPr>
        <w:t>需要检查交通信号灯的亮度和颜色是否符合标准，以确保其能够清晰地指示交通情况。</w:t>
      </w:r>
    </w:p>
    <w:p>
      <w:pPr>
        <w:pStyle w:val="null3"/>
        <w:ind w:firstLine="420"/>
        <w:jc w:val="both"/>
      </w:pPr>
      <w:r>
        <w:rPr>
          <w:sz w:val="21"/>
        </w:rPr>
        <w:t>对于需要更换或修理的部件，及时进行维护和更换，以保证信号灯的长期稳定运行。</w:t>
      </w:r>
    </w:p>
    <w:p>
      <w:pPr>
        <w:pStyle w:val="null3"/>
        <w:ind w:firstLine="420"/>
        <w:jc w:val="both"/>
      </w:pPr>
      <w:r>
        <w:rPr>
          <w:sz w:val="21"/>
        </w:rPr>
        <w:t>对于电控箱和灯杆等设备，应定期进行检测和维护，并保持其干净、整洁。</w:t>
      </w:r>
    </w:p>
    <w:p>
      <w:pPr>
        <w:pStyle w:val="null3"/>
        <w:ind w:firstLine="420"/>
        <w:jc w:val="both"/>
      </w:pPr>
      <w:r>
        <w:rPr>
          <w:sz w:val="21"/>
        </w:rPr>
        <w:t>对于信号灯控制程序的升级、维护和改进等工作，应及时跟进，以保证交通信号灯的安全和稳定性。</w:t>
      </w:r>
    </w:p>
    <w:p>
      <w:pPr>
        <w:pStyle w:val="null3"/>
        <w:ind w:firstLine="420"/>
        <w:jc w:val="both"/>
      </w:pPr>
      <w:r>
        <w:rPr>
          <w:sz w:val="21"/>
        </w:rPr>
        <w:t>对于信号灯周围交通环境的变化，如道路扩建、交通流量增加等问题，应及时进行调整和改进，以适应交通环境的变化。</w:t>
      </w:r>
    </w:p>
    <w:p>
      <w:pPr>
        <w:pStyle w:val="null3"/>
        <w:ind w:firstLine="420"/>
        <w:jc w:val="both"/>
      </w:pPr>
      <w:r>
        <w:rPr>
          <w:sz w:val="21"/>
        </w:rPr>
        <w:t>及时更新信号灯的数据记录，如故障记录、运行时长、功耗等信息，以便于管理人员进行维护和管理。</w:t>
      </w:r>
    </w:p>
    <w:p>
      <w:pPr>
        <w:pStyle w:val="null3"/>
        <w:ind w:left="420"/>
        <w:jc w:val="both"/>
        <w:outlineLvl w:val="3"/>
      </w:pPr>
      <w:r>
        <w:rPr>
          <w:sz w:val="21"/>
          <w:b/>
        </w:rPr>
        <w:t>2.1.2.5.公交站台维护需求</w:t>
      </w:r>
    </w:p>
    <w:p>
      <w:pPr>
        <w:pStyle w:val="null3"/>
        <w:ind w:firstLine="420"/>
        <w:jc w:val="both"/>
      </w:pPr>
      <w:r>
        <w:rPr>
          <w:sz w:val="21"/>
        </w:rPr>
        <w:t>需要定期对公交站台进行清洁，包括站台地面、座椅、广告牌等的清扫和擦拭，保持站台的整洁干净。</w:t>
      </w:r>
    </w:p>
    <w:p>
      <w:pPr>
        <w:pStyle w:val="null3"/>
        <w:ind w:firstLine="420"/>
        <w:jc w:val="both"/>
      </w:pPr>
      <w:r>
        <w:rPr>
          <w:sz w:val="21"/>
        </w:rPr>
        <w:t>及时对站台设备进行检修和维护，如视频监控、</w:t>
      </w:r>
      <w:r>
        <w:rPr>
          <w:sz w:val="21"/>
        </w:rPr>
        <w:t>LCD候车信息屏、LED信息屏、音响设备等，确保其正常运行和使用。</w:t>
      </w:r>
    </w:p>
    <w:p>
      <w:pPr>
        <w:pStyle w:val="null3"/>
        <w:ind w:firstLine="420"/>
        <w:jc w:val="both"/>
      </w:pPr>
      <w:r>
        <w:rPr>
          <w:sz w:val="21"/>
        </w:rPr>
        <w:t>需要定期对站台的信息屏幕进行检查和维修，保证信息显示的准确和正常。同时，对站台的广告牌进行更新和维护，确保广告的清晰可见。</w:t>
      </w:r>
    </w:p>
    <w:p>
      <w:pPr>
        <w:pStyle w:val="null3"/>
        <w:ind w:firstLine="420"/>
        <w:jc w:val="both"/>
      </w:pPr>
      <w:r>
        <w:rPr>
          <w:sz w:val="21"/>
        </w:rPr>
        <w:t>对公交站台周围的环境进行维护和整理，保持站台的整洁，提高站台周围的美观度。</w:t>
      </w:r>
    </w:p>
    <w:p>
      <w:pPr>
        <w:pStyle w:val="null3"/>
        <w:ind w:firstLine="420"/>
        <w:jc w:val="both"/>
      </w:pPr>
      <w:r>
        <w:rPr>
          <w:sz w:val="21"/>
        </w:rPr>
        <w:t>对站台的安全设施进行定期检查和维修，如站台护栏、站牌等，确保其完好无损，保障乘客的安全。</w:t>
      </w:r>
    </w:p>
    <w:p>
      <w:pPr>
        <w:pStyle w:val="null3"/>
        <w:ind w:firstLine="420"/>
        <w:jc w:val="both"/>
      </w:pPr>
      <w:r>
        <w:rPr>
          <w:sz w:val="21"/>
        </w:rPr>
        <w:t>对站台的照明设备进行定期检查和维护，确保站台的照明充足，提高乘客的安全感。</w:t>
      </w:r>
    </w:p>
    <w:p>
      <w:pPr>
        <w:pStyle w:val="null3"/>
        <w:ind w:firstLine="420"/>
        <w:jc w:val="both"/>
      </w:pPr>
      <w:r>
        <w:rPr>
          <w:sz w:val="21"/>
        </w:rPr>
        <w:t>补充公交线路信息：根据实际情况，及时更新站台的公交线路信息，确保乘客能及时获取到准确的线路信息。</w:t>
      </w:r>
    </w:p>
    <w:p>
      <w:pPr>
        <w:pStyle w:val="null3"/>
        <w:ind w:left="420"/>
        <w:jc w:val="both"/>
        <w:outlineLvl w:val="3"/>
      </w:pPr>
      <w:r>
        <w:rPr>
          <w:sz w:val="21"/>
          <w:b/>
        </w:rPr>
        <w:t>2.1.2.6.智能交通标志维护需求</w:t>
      </w:r>
    </w:p>
    <w:p>
      <w:pPr>
        <w:pStyle w:val="null3"/>
        <w:ind w:firstLine="420"/>
        <w:jc w:val="both"/>
      </w:pPr>
      <w:r>
        <w:rPr>
          <w:sz w:val="21"/>
        </w:rPr>
        <w:t>需要定期检查交通标志的亮度、反射度和颜色等状态，确保标志的清晰度和可视性。</w:t>
      </w:r>
    </w:p>
    <w:p>
      <w:pPr>
        <w:pStyle w:val="null3"/>
        <w:ind w:firstLine="420"/>
        <w:jc w:val="both"/>
      </w:pPr>
      <w:r>
        <w:rPr>
          <w:sz w:val="21"/>
        </w:rPr>
        <w:t>检查交通标志的位置和高度是否适当，标志的内容是否正确、完整和合法。</w:t>
      </w:r>
    </w:p>
    <w:p>
      <w:pPr>
        <w:pStyle w:val="null3"/>
        <w:ind w:firstLine="420"/>
        <w:jc w:val="both"/>
      </w:pPr>
      <w:r>
        <w:rPr>
          <w:sz w:val="21"/>
        </w:rPr>
        <w:t>检查交通标志的支架、螺丝等安装件是否完好、稳固，并进行及时的维修和更换。</w:t>
      </w:r>
    </w:p>
    <w:p>
      <w:pPr>
        <w:pStyle w:val="null3"/>
        <w:ind w:firstLine="420"/>
        <w:jc w:val="both"/>
      </w:pPr>
      <w:r>
        <w:rPr>
          <w:sz w:val="21"/>
        </w:rPr>
        <w:t>检查交通标志周围的景观和设施，如树木、灯杆、广告牌等，装修工程时避免影响路面标志的视觉效果。</w:t>
      </w:r>
    </w:p>
    <w:p>
      <w:pPr>
        <w:pStyle w:val="null3"/>
        <w:ind w:firstLine="420"/>
        <w:jc w:val="both"/>
      </w:pPr>
      <w:r>
        <w:rPr>
          <w:sz w:val="21"/>
        </w:rPr>
        <w:t>定期对新的和更新后的交通标志进行检查和实测效果，确保标志在实际道路使用过程中的有效性和生效性。</w:t>
      </w:r>
    </w:p>
    <w:p>
      <w:pPr>
        <w:pStyle w:val="null3"/>
        <w:ind w:firstLine="420"/>
        <w:jc w:val="both"/>
      </w:pPr>
      <w:r>
        <w:rPr>
          <w:sz w:val="21"/>
        </w:rPr>
        <w:t>在交通标志上涂刷涂料和进行清洁时，应选择符合要求的防腐合适颜色的涂料并进行合理、规范的程序和步骤。</w:t>
      </w:r>
    </w:p>
    <w:p>
      <w:pPr>
        <w:pStyle w:val="null3"/>
        <w:ind w:firstLine="420"/>
        <w:jc w:val="both"/>
      </w:pPr>
      <w:r>
        <w:rPr>
          <w:sz w:val="21"/>
        </w:rPr>
        <w:t>及时更新道路标志牌、路面标线、电子信息等设备，及时提供路况信息和相应的维修保养。</w:t>
      </w:r>
    </w:p>
    <w:p>
      <w:pPr>
        <w:pStyle w:val="null3"/>
        <w:ind w:left="420"/>
        <w:jc w:val="both"/>
        <w:outlineLvl w:val="3"/>
      </w:pPr>
      <w:r>
        <w:rPr>
          <w:sz w:val="21"/>
          <w:b/>
        </w:rPr>
        <w:t>2.1.2.7.道闸与保安亭需求</w:t>
      </w:r>
    </w:p>
    <w:p>
      <w:pPr>
        <w:pStyle w:val="null3"/>
        <w:ind w:firstLine="420"/>
        <w:jc w:val="both"/>
      </w:pPr>
      <w:r>
        <w:rPr>
          <w:sz w:val="21"/>
        </w:rPr>
        <w:t>定期对车辆道闸进行检查，包括机械部件、电气系统、控制系统等是否正常工作，发现问题及时修复或更换故障部件。</w:t>
      </w:r>
    </w:p>
    <w:p>
      <w:pPr>
        <w:pStyle w:val="null3"/>
        <w:ind w:firstLine="420"/>
        <w:jc w:val="both"/>
      </w:pPr>
      <w:r>
        <w:rPr>
          <w:sz w:val="21"/>
        </w:rPr>
        <w:t>定期清洁车辆道闸的外观和内部部件，特别是机械部件和传感器部分，确保正常工作，防止污物积累影响使用效果。</w:t>
      </w:r>
    </w:p>
    <w:p>
      <w:pPr>
        <w:pStyle w:val="null3"/>
        <w:ind w:firstLine="420"/>
        <w:jc w:val="both"/>
      </w:pPr>
      <w:r>
        <w:rPr>
          <w:sz w:val="21"/>
        </w:rPr>
        <w:t>定期为车辆道闸的运动部件涂抹润滑油，保证机械运作的顺畅和减少磨损，延长使用寿命。</w:t>
      </w:r>
    </w:p>
    <w:p>
      <w:pPr>
        <w:pStyle w:val="null3"/>
        <w:ind w:firstLine="420"/>
        <w:jc w:val="both"/>
      </w:pPr>
      <w:r>
        <w:rPr>
          <w:sz w:val="21"/>
        </w:rPr>
        <w:t>在设备使用过程中出现突发故障时，需要及时进行维修，修复损坏的部件或更换可疑的部件，确保车辆道闸的正常运行。</w:t>
      </w:r>
    </w:p>
    <w:p>
      <w:pPr>
        <w:pStyle w:val="null3"/>
        <w:ind w:firstLine="420"/>
        <w:jc w:val="both"/>
      </w:pPr>
      <w:r>
        <w:rPr>
          <w:sz w:val="21"/>
        </w:rPr>
        <w:t>定期检查保安亭的电气设备，包括照明、监控设备、通讯设备等是否正常工作，发现问题及时修复或更换故障部件。</w:t>
      </w:r>
    </w:p>
    <w:p>
      <w:pPr>
        <w:pStyle w:val="null3"/>
        <w:ind w:firstLine="420"/>
        <w:jc w:val="both"/>
      </w:pPr>
      <w:r>
        <w:rPr>
          <w:sz w:val="21"/>
        </w:rPr>
        <w:t>保安亭需要进行防水处理，定期检查保安亭的屋顶和墙壁是否存在漏水现象，及时进行修补和保养，以保证内部设施和设备完好。</w:t>
      </w:r>
    </w:p>
    <w:p>
      <w:pPr>
        <w:pStyle w:val="null3"/>
        <w:ind w:firstLine="420"/>
        <w:jc w:val="both"/>
      </w:pPr>
      <w:r>
        <w:rPr>
          <w:sz w:val="21"/>
        </w:rPr>
        <w:t>在保安亭使用过程中出现突发故障时，需要及时进行维修，修复损坏的部件或更换可疑的部件，确保保安亭的正常使用。</w:t>
      </w:r>
    </w:p>
    <w:p>
      <w:pPr>
        <w:pStyle w:val="null3"/>
        <w:ind w:left="420"/>
        <w:jc w:val="both"/>
        <w:outlineLvl w:val="3"/>
      </w:pPr>
      <w:r>
        <w:rPr>
          <w:sz w:val="21"/>
          <w:b/>
        </w:rPr>
        <w:t>2.1.2.8.其它道路设施维护需求</w:t>
      </w:r>
    </w:p>
    <w:p>
      <w:pPr>
        <w:pStyle w:val="null3"/>
        <w:ind w:firstLine="420"/>
        <w:jc w:val="both"/>
      </w:pPr>
      <w:r>
        <w:rPr>
          <w:sz w:val="21"/>
        </w:rPr>
        <w:t>本项目除以上专项设施外还包括其它道路设施，如井盖传感器、紧急呼叫、公共广播、环境传感、气象传感、水位传感等设施。</w:t>
      </w:r>
    </w:p>
    <w:p>
      <w:pPr>
        <w:pStyle w:val="null3"/>
        <w:ind w:firstLine="420"/>
        <w:jc w:val="both"/>
      </w:pPr>
      <w:r>
        <w:rPr>
          <w:sz w:val="21"/>
        </w:rPr>
        <w:t>需要定期对井盖传感器、紧急呼叫、公共广播、环境传感、气象传感、水位传感等设施进行检查，确保其正常工作。检查设备设施的连接情况、电源供应情况等，确保设备设施工作正常。</w:t>
      </w:r>
    </w:p>
    <w:p>
      <w:pPr>
        <w:pStyle w:val="null3"/>
        <w:ind w:firstLine="420"/>
        <w:jc w:val="both"/>
      </w:pPr>
      <w:r>
        <w:rPr>
          <w:sz w:val="21"/>
        </w:rPr>
        <w:t>定期对井盖传感器、环境传感、气象传感、水位传感等设施进行清洁和保养，包括清除传感器设备表面的灰尘、杂物等，确保传感器的灵敏度和准确性。</w:t>
      </w:r>
    </w:p>
    <w:p>
      <w:pPr>
        <w:pStyle w:val="null3"/>
        <w:ind w:firstLine="420"/>
        <w:jc w:val="both"/>
      </w:pPr>
      <w:r>
        <w:rPr>
          <w:sz w:val="21"/>
        </w:rPr>
        <w:t>井盖传感器采用电池供电，需要定期检查电池的电量，并及时更换电池。确保传感器能够持续工作，并确保传感器对井盖状态的准确监测。</w:t>
      </w:r>
    </w:p>
    <w:p>
      <w:pPr>
        <w:pStyle w:val="null3"/>
        <w:ind w:firstLine="420"/>
        <w:jc w:val="both"/>
      </w:pPr>
      <w:r>
        <w:rPr>
          <w:sz w:val="21"/>
        </w:rPr>
        <w:t>如果发现井盖传感器、紧急呼叫、公共广播、环境传感、气象传感、水位传感等设施出现故障，需要及时进行维修或更换。对于设施设备无法正常工作的情况，需要进行故障排除并进行修复，以保证设施设备的正常运行。</w:t>
      </w:r>
    </w:p>
    <w:p>
      <w:pPr>
        <w:pStyle w:val="null3"/>
        <w:ind w:firstLine="420"/>
        <w:jc w:val="both"/>
      </w:pPr>
      <w:r>
        <w:rPr>
          <w:sz w:val="21"/>
        </w:rPr>
        <w:t>对井盖传感器、环境传感、气象传感、水位传感进行安全防护，防止恶意破坏或不当操作导致传感器损坏。同时，加强对传感器所在区域的巡查和管理，确保传感器的安全运行。</w:t>
      </w:r>
    </w:p>
    <w:p>
      <w:pPr>
        <w:pStyle w:val="null3"/>
        <w:ind w:left="420"/>
        <w:jc w:val="both"/>
        <w:outlineLvl w:val="3"/>
      </w:pPr>
      <w:r>
        <w:rPr>
          <w:sz w:val="21"/>
          <w:b/>
        </w:rPr>
        <w:t>2.1.2.9.特殊天气保障需求</w:t>
      </w:r>
    </w:p>
    <w:p>
      <w:pPr>
        <w:pStyle w:val="null3"/>
        <w:ind w:firstLine="420"/>
        <w:jc w:val="both"/>
      </w:pPr>
      <w:r>
        <w:rPr>
          <w:sz w:val="21"/>
        </w:rPr>
        <w:t>中标人维护人员时刻关注天气变化，遭遇灾害天气，提前检查加固外场设备的安全，及时做好保护措施，减少因灾害天气造成的损失及后果。</w:t>
      </w:r>
    </w:p>
    <w:p>
      <w:pPr>
        <w:pStyle w:val="null3"/>
        <w:ind w:firstLine="420"/>
        <w:jc w:val="both"/>
      </w:pPr>
      <w:r>
        <w:rPr>
          <w:sz w:val="21"/>
        </w:rPr>
        <w:t>在台风多发季节加强对对机箱等容易进水设备的巡查，提前做好保护措施</w:t>
      </w:r>
    </w:p>
    <w:p>
      <w:pPr>
        <w:pStyle w:val="null3"/>
        <w:ind w:firstLine="420"/>
        <w:jc w:val="both"/>
      </w:pPr>
      <w:r>
        <w:rPr>
          <w:sz w:val="21"/>
        </w:rPr>
        <w:t>在雷雨季节来临之前，加强对防雷系统的检查，减少由于雷雨天气造成的损失及后果</w:t>
      </w:r>
    </w:p>
    <w:p>
      <w:pPr>
        <w:pStyle w:val="null3"/>
        <w:ind w:left="420"/>
        <w:jc w:val="both"/>
        <w:outlineLvl w:val="3"/>
      </w:pPr>
      <w:r>
        <w:rPr>
          <w:sz w:val="21"/>
          <w:b/>
        </w:rPr>
        <w:t>2.1.2.10.节假日、大型活动维护需求</w:t>
      </w:r>
    </w:p>
    <w:p>
      <w:pPr>
        <w:pStyle w:val="null3"/>
        <w:ind w:firstLine="420"/>
        <w:jc w:val="both"/>
      </w:pPr>
      <w:r>
        <w:rPr>
          <w:sz w:val="21"/>
        </w:rPr>
        <w:t>要求中标人对重大节日以及特殊事件的维护抢修成立专门的</w:t>
      </w:r>
      <w:r>
        <w:rPr>
          <w:sz w:val="21"/>
        </w:rPr>
        <w:t>“特殊事件维护小组”，用于处理重大特殊紧急事件，配合相关部门做好节假日及大型活动的保障计划。</w:t>
      </w:r>
    </w:p>
    <w:p>
      <w:pPr>
        <w:pStyle w:val="null3"/>
        <w:ind w:firstLine="420"/>
        <w:jc w:val="both"/>
      </w:pPr>
      <w:r>
        <w:rPr>
          <w:sz w:val="21"/>
        </w:rPr>
        <w:t>在重要节日比如每年的国庆节、劳动节，以及重大活动组织进行的情况下，</w:t>
      </w:r>
      <w:r>
        <w:rPr>
          <w:sz w:val="21"/>
        </w:rPr>
        <w:t>“特殊事件维护小组”开始工作响应，提前对路口设备点加强巡检、保洁、保养和维护，并配合交警、公安等部门完成相关警保联动工作等。具体为重要节日每2天巡检1次，特殊重大活动时尽量做到1天1次，保证每两天维护1次。</w:t>
      </w:r>
    </w:p>
    <w:p>
      <w:pPr>
        <w:pStyle w:val="null3"/>
        <w:ind w:firstLine="420"/>
        <w:jc w:val="both"/>
      </w:pPr>
      <w:r>
        <w:rPr>
          <w:sz w:val="21"/>
        </w:rPr>
        <w:t>每年的特殊事件下的维护，专门小组都要做好维护巡检记录。</w:t>
      </w:r>
    </w:p>
    <w:p>
      <w:pPr>
        <w:pStyle w:val="null3"/>
        <w:ind w:left="420"/>
        <w:jc w:val="both"/>
        <w:outlineLvl w:val="2"/>
      </w:pPr>
      <w:r>
        <w:rPr>
          <w:sz w:val="21"/>
          <w:b/>
        </w:rPr>
        <w:t>2.1.3.系统故障应急服务需求</w:t>
      </w:r>
    </w:p>
    <w:p>
      <w:pPr>
        <w:pStyle w:val="null3"/>
        <w:ind w:firstLine="420"/>
        <w:jc w:val="both"/>
      </w:pPr>
      <w:r>
        <w:rPr>
          <w:sz w:val="21"/>
        </w:rPr>
        <w:t>系统故障分为：系统本身故障及系统因受到外力影响造成的故障。</w:t>
      </w:r>
    </w:p>
    <w:p>
      <w:pPr>
        <w:pStyle w:val="null3"/>
        <w:ind w:firstLine="420"/>
        <w:jc w:val="both"/>
      </w:pPr>
      <w:r>
        <w:rPr>
          <w:sz w:val="21"/>
        </w:rPr>
        <w:t>当系统因受到外力影响造成故障抢修（不可抗力因素除外），实行一事一报，中标人会收集并提供相关影像、书面文件、通告等证明，完成调查取证后，向用户提出维修方案，经用户单位同意后，由中标人负责购买维修，在完成抢修和恢复工作后，及时向业主递交相关材料。故障抢修和恢复费用由中标人向相关责任方进行追偿，业主应予以配合支持；如因无法确定责任方或责任方无赔偿能力等造成无法追偿，则损失由中标人自行承担。</w:t>
      </w:r>
    </w:p>
    <w:p>
      <w:pPr>
        <w:pStyle w:val="null3"/>
        <w:ind w:firstLine="420"/>
        <w:jc w:val="both"/>
      </w:pPr>
      <w:r>
        <w:rPr>
          <w:sz w:val="21"/>
        </w:rPr>
        <w:t>因台风、地震等不可抗力导致设备故障的，相关损失由业主承担。</w:t>
      </w:r>
    </w:p>
    <w:p>
      <w:pPr>
        <w:pStyle w:val="null3"/>
        <w:ind w:firstLine="420"/>
        <w:jc w:val="both"/>
      </w:pPr>
      <w:r>
        <w:rPr>
          <w:sz w:val="21"/>
        </w:rPr>
        <w:t>值班人员在接到抢修电话的第一时间里，将及时通知相关抢修人员。抢修人员接到通知后要尽快到现场，并向负责维护抢修的负责人汇报。抢修结束及时把结果反馈给相关负责人。</w:t>
      </w:r>
    </w:p>
    <w:p>
      <w:pPr>
        <w:pStyle w:val="null3"/>
        <w:ind w:firstLine="420"/>
        <w:jc w:val="both"/>
      </w:pPr>
      <w:r>
        <w:rPr>
          <w:sz w:val="21"/>
        </w:rPr>
        <w:t>每天做好各项维修记录，包括故障报修单位、时间、地点等。</w:t>
      </w:r>
    </w:p>
    <w:p>
      <w:pPr>
        <w:pStyle w:val="null3"/>
        <w:ind w:firstLine="420"/>
        <w:jc w:val="both"/>
      </w:pPr>
      <w:r>
        <w:rPr>
          <w:sz w:val="21"/>
        </w:rPr>
        <w:t>每周周一前做一份抢修维护记录交相关负责人确认，并提交维护周报；</w:t>
      </w:r>
    </w:p>
    <w:p>
      <w:pPr>
        <w:pStyle w:val="null3"/>
        <w:ind w:firstLine="420"/>
        <w:jc w:val="both"/>
      </w:pPr>
      <w:r>
        <w:rPr>
          <w:sz w:val="21"/>
        </w:rPr>
        <w:t>每个月第一周周一前提交上月月维护总结</w:t>
      </w:r>
    </w:p>
    <w:p>
      <w:pPr>
        <w:pStyle w:val="null3"/>
        <w:ind w:firstLine="420"/>
        <w:jc w:val="both"/>
      </w:pPr>
      <w:r>
        <w:rPr>
          <w:sz w:val="21"/>
        </w:rPr>
        <w:t>对于疑难故障，在故障解决后</w:t>
      </w:r>
      <w:r>
        <w:rPr>
          <w:sz w:val="21"/>
        </w:rPr>
        <w:t>2天内提交相关报告；</w:t>
      </w:r>
    </w:p>
    <w:p>
      <w:pPr>
        <w:pStyle w:val="null3"/>
        <w:ind w:firstLine="420"/>
        <w:jc w:val="both"/>
      </w:pPr>
      <w:r>
        <w:rPr>
          <w:sz w:val="21"/>
        </w:rPr>
        <w:t>在接到保障电话后</w:t>
      </w:r>
      <w:r>
        <w:rPr>
          <w:sz w:val="21"/>
        </w:rPr>
        <w:t>1小时内响应并到用户现场，24小时解决问题。如果系统故障在检修24小时内无法排除。</w:t>
      </w:r>
    </w:p>
    <w:p>
      <w:pPr>
        <w:pStyle w:val="null3"/>
        <w:ind w:firstLine="420"/>
        <w:jc w:val="both"/>
      </w:pPr>
      <w:r>
        <w:rPr>
          <w:sz w:val="21"/>
        </w:rPr>
        <w:t>应急故障处理详细内容如下：</w:t>
      </w:r>
    </w:p>
    <w:p>
      <w:pPr>
        <w:pStyle w:val="null3"/>
        <w:ind w:firstLine="420"/>
        <w:jc w:val="both"/>
      </w:pPr>
      <w:r>
        <w:rPr>
          <w:sz w:val="21"/>
        </w:rPr>
        <w:t>中标人在滨海湾新区提供驻场维护小组并设立</w:t>
      </w:r>
      <w:r>
        <w:rPr>
          <w:sz w:val="21"/>
        </w:rPr>
        <w:t>7×24×365服务专用电话，接受维修指令，分为：</w:t>
      </w:r>
    </w:p>
    <w:p>
      <w:pPr>
        <w:pStyle w:val="null3"/>
        <w:ind w:firstLine="420"/>
        <w:jc w:val="both"/>
      </w:pPr>
      <w:r>
        <w:rPr>
          <w:sz w:val="21"/>
        </w:rPr>
        <w:t>1.一般设备故障：1小时内赶赴现场，5小时内排除故障；如属夜间故障则需在次日凌晨0点前排除故障；特殊情况除外。</w:t>
      </w:r>
    </w:p>
    <w:p>
      <w:pPr>
        <w:pStyle w:val="null3"/>
        <w:ind w:firstLine="420"/>
        <w:jc w:val="both"/>
      </w:pPr>
      <w:r>
        <w:rPr>
          <w:sz w:val="21"/>
        </w:rPr>
        <w:t>2.主设备故障：30分钟内赶赴现场（特殊紧急情况，需15分钟赶赴现场），处理时限应在3小时内完成（特殊紧急情况处理时限为30分钟至1小时）；特殊情况除外。</w:t>
      </w:r>
    </w:p>
    <w:p>
      <w:pPr>
        <w:pStyle w:val="null3"/>
        <w:ind w:firstLine="420"/>
        <w:jc w:val="both"/>
      </w:pPr>
      <w:r>
        <w:rPr>
          <w:sz w:val="21"/>
        </w:rPr>
        <w:t>3.应急通信故障：按不同时期的相关工作要求进行；在启动各类自然灾害或者重大节日活动等通讯保障预案后，应在规定时间内完成相关工作。</w:t>
      </w:r>
    </w:p>
    <w:p>
      <w:pPr>
        <w:pStyle w:val="null3"/>
      </w:pPr>
      <w:r>
        <w:rPr/>
        <w:t xml:space="preserve"> </w:t>
      </w:r>
    </w:p>
    <w:p>
      <w:pPr>
        <w:pStyle w:val="null3"/>
        <w:jc w:val="both"/>
        <w:outlineLvl w:val="3"/>
      </w:pPr>
      <w:r>
        <w:rPr>
          <w:sz w:val="24"/>
          <w:b/>
        </w:rPr>
        <w:t>3</w:t>
      </w:r>
      <w:r>
        <w:rPr>
          <w:sz w:val="24"/>
          <w:b/>
        </w:rPr>
        <w:t>、运维内容</w:t>
      </w:r>
    </w:p>
    <w:p>
      <w:pPr>
        <w:pStyle w:val="null3"/>
        <w:ind w:left="420"/>
        <w:jc w:val="both"/>
        <w:outlineLvl w:val="1"/>
      </w:pPr>
      <w:r>
        <w:rPr>
          <w:sz w:val="21"/>
          <w:b/>
        </w:rPr>
        <w:t>3.1.运维整体情况</w:t>
      </w:r>
    </w:p>
    <w:p>
      <w:pPr>
        <w:pStyle w:val="null3"/>
        <w:ind w:left="420"/>
        <w:jc w:val="both"/>
        <w:outlineLvl w:val="2"/>
      </w:pPr>
      <w:r>
        <w:rPr>
          <w:sz w:val="21"/>
          <w:b/>
        </w:rPr>
        <w:t>3.1.1.维护范围</w:t>
      </w:r>
    </w:p>
    <w:p>
      <w:pPr>
        <w:pStyle w:val="null3"/>
        <w:ind w:firstLine="420"/>
        <w:jc w:val="both"/>
      </w:pPr>
      <w:r>
        <w:rPr>
          <w:sz w:val="21"/>
        </w:rPr>
        <w:t>包括兴海路、迎宾路、滨海湾大道、中海路、振海路、华海路、东海路、规划二路</w:t>
      </w:r>
      <w:r>
        <w:rPr>
          <w:sz w:val="21"/>
        </w:rPr>
        <w:t>8条智慧道路配套设备，以及10个出入口保安亭和道闸。</w:t>
      </w:r>
    </w:p>
    <w:p>
      <w:pPr>
        <w:pStyle w:val="null3"/>
        <w:ind w:left="420"/>
        <w:jc w:val="both"/>
        <w:outlineLvl w:val="2"/>
      </w:pPr>
      <w:r>
        <w:rPr>
          <w:sz w:val="21"/>
          <w:b/>
        </w:rPr>
        <w:t>3.1.2.维护设备</w:t>
      </w:r>
    </w:p>
    <w:p>
      <w:pPr>
        <w:pStyle w:val="null3"/>
        <w:ind w:firstLine="420"/>
        <w:jc w:val="both"/>
      </w:pPr>
      <w:r>
        <w:rPr>
          <w:sz w:val="21"/>
        </w:rPr>
        <w:t>智慧灯杆</w:t>
      </w:r>
      <w:r>
        <w:rPr>
          <w:sz w:val="21"/>
        </w:rPr>
        <w:t>1279支（含LED路灯及单灯控制节点），路由器3台，4G无线路由器11台，综合智能网关88台，交换机504台,AP基站17个,公共广播94个,紧急呼叫90个,信息发布屏中屏10块，信息发布屏大屏32块,环境、气象各10个，水位监测各19个,道路井盖监测2590个,挂杆配电箱471个，公交站台4座，道闸32处，综合设备箱8台，900W电子警察5组，测速卡口1组，交通信号机9套，箱式变压器6套，成品保安亭10套，人行信号灯26组，交通信号灯91组,多功能人行一体机43组，400W高清摄像球机351台，400W高清摄像枪机351台，400W高清人脸枪机352台，各类标志牌505块。以及附属配件。详见附件《项目内容清单》</w:t>
      </w:r>
    </w:p>
    <w:p>
      <w:pPr>
        <w:pStyle w:val="null3"/>
        <w:ind w:left="420"/>
        <w:jc w:val="both"/>
        <w:outlineLvl w:val="1"/>
      </w:pPr>
      <w:r>
        <w:rPr>
          <w:sz w:val="21"/>
          <w:b/>
        </w:rPr>
        <w:t>3.2.维护内容</w:t>
      </w:r>
    </w:p>
    <w:p>
      <w:pPr>
        <w:pStyle w:val="null3"/>
        <w:ind w:left="420"/>
        <w:jc w:val="both"/>
        <w:outlineLvl w:val="2"/>
      </w:pPr>
      <w:r>
        <w:rPr>
          <w:sz w:val="21"/>
          <w:b/>
        </w:rPr>
        <w:t>3.2.1.维护基本原则</w:t>
      </w:r>
    </w:p>
    <w:p>
      <w:pPr>
        <w:pStyle w:val="null3"/>
        <w:ind w:firstLine="420"/>
        <w:jc w:val="both"/>
      </w:pPr>
      <w:r>
        <w:rPr>
          <w:sz w:val="21"/>
        </w:rPr>
        <w:t>日常维护、季节性检测及重大节日检查、测试电缆、灯具：每年四次。</w:t>
      </w:r>
    </w:p>
    <w:p>
      <w:pPr>
        <w:pStyle w:val="null3"/>
        <w:ind w:firstLine="420"/>
        <w:jc w:val="both"/>
      </w:pPr>
      <w:r>
        <w:rPr>
          <w:sz w:val="21"/>
        </w:rPr>
        <w:t>灯杆清洗、灯具灯头护罩擦拭、检查：每年四次。</w:t>
      </w:r>
    </w:p>
    <w:p>
      <w:pPr>
        <w:pStyle w:val="null3"/>
        <w:ind w:firstLine="420"/>
        <w:jc w:val="both"/>
      </w:pPr>
      <w:r>
        <w:rPr>
          <w:sz w:val="21"/>
        </w:rPr>
        <w:t>中标人应配备与其养护活动相应的管理人员、专业技术人员、养护人员、特种作业人员。</w:t>
      </w:r>
    </w:p>
    <w:p>
      <w:pPr>
        <w:pStyle w:val="null3"/>
        <w:ind w:firstLine="420"/>
        <w:jc w:val="both"/>
      </w:pPr>
      <w:r>
        <w:rPr>
          <w:sz w:val="21"/>
        </w:rPr>
        <w:t>定期进行设备巡检和维护，确保设备正常运行并及时发现和修复潜在问题，避免因设备故障发生道路事故。</w:t>
      </w:r>
    </w:p>
    <w:p>
      <w:pPr>
        <w:pStyle w:val="null3"/>
        <w:ind w:firstLine="420"/>
        <w:jc w:val="both"/>
      </w:pPr>
      <w:r>
        <w:rPr>
          <w:sz w:val="21"/>
        </w:rPr>
        <w:t>定期清洁设备表面的灰尘、杂物、烟灰等；定期对设备进行保养，包括设备内部清洁、机械部件润滑、线缆接口检查等，以保证设备正常工作和延长设备寿命。</w:t>
      </w:r>
    </w:p>
    <w:p>
      <w:pPr>
        <w:pStyle w:val="null3"/>
        <w:ind w:firstLine="420"/>
        <w:jc w:val="both"/>
      </w:pPr>
      <w:r>
        <w:rPr>
          <w:sz w:val="21"/>
        </w:rPr>
        <w:t>定期对设备进行校准和调试，确保设备展现准确的数据和信息，提高其可靠性和准确性。</w:t>
      </w:r>
    </w:p>
    <w:p>
      <w:pPr>
        <w:pStyle w:val="null3"/>
        <w:ind w:firstLine="420"/>
        <w:jc w:val="both"/>
      </w:pPr>
      <w:r>
        <w:rPr>
          <w:sz w:val="21"/>
        </w:rPr>
        <w:t>对于发现的设备故障和损坏，要及时修复，避免对道路运行和信息采集造成影响。</w:t>
      </w:r>
    </w:p>
    <w:p>
      <w:pPr>
        <w:pStyle w:val="null3"/>
        <w:ind w:firstLine="420"/>
        <w:jc w:val="both"/>
      </w:pPr>
      <w:r>
        <w:rPr>
          <w:sz w:val="21"/>
        </w:rPr>
        <w:t>建立完善的备件管理制度，及时储备常用备件，以方便设备维修和更换。</w:t>
      </w:r>
    </w:p>
    <w:p>
      <w:pPr>
        <w:pStyle w:val="null3"/>
        <w:ind w:firstLine="420"/>
        <w:jc w:val="both"/>
      </w:pPr>
      <w:r>
        <w:rPr>
          <w:sz w:val="21"/>
        </w:rPr>
        <w:t>确保设备的安全防护措施完善，包括加固设备支架、设置防护罩、防雷防水等，以提高设备的稳定性和安全性。</w:t>
      </w:r>
    </w:p>
    <w:p>
      <w:pPr>
        <w:pStyle w:val="null3"/>
        <w:ind w:firstLine="420"/>
        <w:jc w:val="both"/>
      </w:pPr>
      <w:r>
        <w:rPr>
          <w:sz w:val="21"/>
        </w:rPr>
        <w:t>对养护人员进行专业培训，提高其对设备的操作和养护能力，确保设备的正常运行和维护。</w:t>
      </w:r>
    </w:p>
    <w:p>
      <w:pPr>
        <w:pStyle w:val="null3"/>
        <w:ind w:firstLine="420"/>
        <w:jc w:val="both"/>
      </w:pPr>
      <w:r>
        <w:rPr>
          <w:sz w:val="21"/>
        </w:rPr>
        <w:t>应定期进行检测和评价，及时掌握智慧道路设施设备的运行现状。</w:t>
      </w:r>
    </w:p>
    <w:p>
      <w:pPr>
        <w:pStyle w:val="null3"/>
        <w:ind w:left="420"/>
        <w:jc w:val="both"/>
        <w:outlineLvl w:val="2"/>
      </w:pPr>
      <w:r>
        <w:rPr>
          <w:sz w:val="21"/>
          <w:b/>
        </w:rPr>
        <w:t>3.2.2.智慧灯杆及道路照明系统</w:t>
      </w:r>
    </w:p>
    <w:p>
      <w:pPr>
        <w:pStyle w:val="null3"/>
        <w:ind w:firstLine="420"/>
        <w:jc w:val="both"/>
      </w:pPr>
      <w:r>
        <w:rPr>
          <w:sz w:val="21"/>
        </w:rPr>
        <w:t>智慧灯杆及道路照明系统包括灯杆、灯具、节点、线缆（含线缆通道、检修井）、高低压配电箱及其附属设施设备的日常巡查、定期检修、故障维修、清洁养护等工作。</w:t>
      </w:r>
    </w:p>
    <w:p>
      <w:pPr>
        <w:pStyle w:val="null3"/>
        <w:ind w:left="420"/>
        <w:jc w:val="both"/>
        <w:outlineLvl w:val="3"/>
      </w:pPr>
      <w:r>
        <w:rPr>
          <w:sz w:val="21"/>
          <w:b/>
        </w:rPr>
        <w:t>3.2.2.1.日常巡查</w:t>
      </w:r>
    </w:p>
    <w:p>
      <w:pPr>
        <w:pStyle w:val="null3"/>
        <w:ind w:firstLine="420"/>
        <w:jc w:val="both"/>
      </w:pPr>
      <w:r>
        <w:rPr>
          <w:sz w:val="21"/>
        </w:rPr>
        <w:t>设施巡查每周应不少于一次，对智慧灯杆及道路照明设施设备的全面巡查包括设备完好度、清洁度，并将巡查情况以书面形式向采购人汇报。</w:t>
      </w:r>
    </w:p>
    <w:p>
      <w:pPr>
        <w:pStyle w:val="null3"/>
        <w:jc w:val="both"/>
      </w:pPr>
      <w:r>
        <w:rPr>
          <w:sz w:val="21"/>
          <w:b/>
        </w:rPr>
        <w:t>3.2.2.1.1.照明设施巡查：</w:t>
      </w:r>
    </w:p>
    <w:p>
      <w:pPr>
        <w:pStyle w:val="null3"/>
        <w:ind w:firstLine="420"/>
        <w:jc w:val="both"/>
      </w:pPr>
      <w:r>
        <w:rPr>
          <w:sz w:val="21"/>
        </w:rPr>
        <w:t>1）照明设施及附属设施外观完好情况；</w:t>
      </w:r>
    </w:p>
    <w:p>
      <w:pPr>
        <w:pStyle w:val="null3"/>
        <w:ind w:firstLine="420"/>
        <w:jc w:val="both"/>
      </w:pPr>
      <w:r>
        <w:rPr>
          <w:sz w:val="21"/>
        </w:rPr>
        <w:t>2）其他施工对照明设施的影响；</w:t>
      </w:r>
    </w:p>
    <w:p>
      <w:pPr>
        <w:pStyle w:val="null3"/>
        <w:ind w:firstLine="420"/>
        <w:jc w:val="both"/>
      </w:pPr>
      <w:r>
        <w:rPr>
          <w:sz w:val="21"/>
        </w:rPr>
        <w:t>3）不符合安全距离而影响照明效果的树木。</w:t>
      </w:r>
    </w:p>
    <w:p>
      <w:pPr>
        <w:pStyle w:val="null3"/>
        <w:ind w:firstLine="420"/>
        <w:jc w:val="both"/>
      </w:pPr>
      <w:r>
        <w:rPr>
          <w:sz w:val="21"/>
        </w:rPr>
        <w:t>2、巡查其他损坏照明设施的现象应包括下列内容：</w:t>
      </w:r>
    </w:p>
    <w:p>
      <w:pPr>
        <w:pStyle w:val="null3"/>
        <w:ind w:firstLine="420"/>
        <w:jc w:val="both"/>
      </w:pPr>
      <w:r>
        <w:rPr>
          <w:sz w:val="21"/>
        </w:rPr>
        <w:t>1）在照明设施上的刻划、涂污等；</w:t>
      </w:r>
    </w:p>
    <w:p>
      <w:pPr>
        <w:pStyle w:val="null3"/>
        <w:ind w:firstLine="420"/>
        <w:jc w:val="both"/>
      </w:pPr>
      <w:r>
        <w:rPr>
          <w:sz w:val="21"/>
        </w:rPr>
        <w:t>2）在照明设施安全距离内，擅自植树、挖坑取土或者设置其他物体；倾倒含酸、碱、盐等腐蚀物或具有腐蚀性的废渣、废液等；</w:t>
      </w:r>
    </w:p>
    <w:p>
      <w:pPr>
        <w:pStyle w:val="null3"/>
        <w:ind w:firstLine="420"/>
        <w:jc w:val="both"/>
      </w:pPr>
      <w:r>
        <w:rPr>
          <w:sz w:val="21"/>
        </w:rPr>
        <w:t>3）擅自在照明设施上张贴、悬挂、设置宣传品、广告等；</w:t>
      </w:r>
    </w:p>
    <w:p>
      <w:pPr>
        <w:pStyle w:val="null3"/>
        <w:ind w:firstLine="420"/>
        <w:jc w:val="both"/>
      </w:pPr>
      <w:r>
        <w:rPr>
          <w:sz w:val="21"/>
        </w:rPr>
        <w:t>4）擅自在照明设施上架设线缆、安置其它设施或者接用电源等；</w:t>
      </w:r>
    </w:p>
    <w:p>
      <w:pPr>
        <w:pStyle w:val="null3"/>
        <w:ind w:firstLine="420"/>
        <w:jc w:val="both"/>
      </w:pPr>
      <w:r>
        <w:rPr>
          <w:sz w:val="21"/>
        </w:rPr>
        <w:t>5）擅自迁移、拆除、利用照明设施；</w:t>
      </w:r>
    </w:p>
    <w:p>
      <w:pPr>
        <w:pStyle w:val="null3"/>
        <w:ind w:firstLine="420"/>
        <w:jc w:val="both"/>
      </w:pPr>
      <w:r>
        <w:rPr>
          <w:sz w:val="21"/>
        </w:rPr>
        <w:t>6）其他可能影响照明设施正常运行的行为。</w:t>
      </w:r>
    </w:p>
    <w:p>
      <w:pPr>
        <w:pStyle w:val="null3"/>
        <w:jc w:val="both"/>
      </w:pPr>
      <w:r>
        <w:rPr>
          <w:sz w:val="21"/>
          <w:b/>
        </w:rPr>
        <w:t>3.2.2.1.2.灯杆巡查：</w:t>
      </w:r>
    </w:p>
    <w:p>
      <w:pPr>
        <w:pStyle w:val="null3"/>
        <w:ind w:firstLine="420"/>
        <w:jc w:val="both"/>
      </w:pPr>
      <w:r>
        <w:rPr>
          <w:sz w:val="21"/>
        </w:rPr>
        <w:t>1）灯杆、灯臂歪斜情况；</w:t>
      </w:r>
    </w:p>
    <w:p>
      <w:pPr>
        <w:pStyle w:val="null3"/>
        <w:ind w:firstLine="420"/>
        <w:jc w:val="both"/>
      </w:pPr>
      <w:r>
        <w:rPr>
          <w:sz w:val="21"/>
        </w:rPr>
        <w:t>2）灯杆表面乱写画、乱张贴，脱漆、颜色褪变等情况</w:t>
      </w:r>
    </w:p>
    <w:p>
      <w:pPr>
        <w:pStyle w:val="null3"/>
        <w:ind w:firstLine="420"/>
        <w:jc w:val="both"/>
      </w:pPr>
      <w:r>
        <w:rPr>
          <w:sz w:val="21"/>
        </w:rPr>
        <w:t>3）灯杆周围泥土流失、地基沉降等情况；</w:t>
      </w:r>
    </w:p>
    <w:p>
      <w:pPr>
        <w:pStyle w:val="null3"/>
        <w:ind w:firstLine="420"/>
        <w:jc w:val="both"/>
      </w:pPr>
      <w:r>
        <w:rPr>
          <w:sz w:val="21"/>
        </w:rPr>
        <w:t>4）灯杆、灯臂、法兰、紧固件等金属构件锈蚀、裂缝和凹凸等现象；</w:t>
      </w:r>
    </w:p>
    <w:p>
      <w:pPr>
        <w:pStyle w:val="null3"/>
        <w:ind w:firstLine="420"/>
        <w:jc w:val="both"/>
      </w:pPr>
      <w:r>
        <w:rPr>
          <w:sz w:val="21"/>
        </w:rPr>
        <w:t>5）基础螺栓和灯杆下法兰盘混凝土结面保护应完整无缺损；</w:t>
      </w:r>
    </w:p>
    <w:p>
      <w:pPr>
        <w:pStyle w:val="null3"/>
        <w:ind w:firstLine="420"/>
        <w:jc w:val="both"/>
      </w:pPr>
      <w:r>
        <w:rPr>
          <w:sz w:val="21"/>
        </w:rPr>
        <w:t>6）灯杆号牌应字迹清晰、完整；</w:t>
      </w:r>
    </w:p>
    <w:p>
      <w:pPr>
        <w:pStyle w:val="null3"/>
        <w:ind w:firstLine="420"/>
        <w:jc w:val="both"/>
      </w:pPr>
      <w:r>
        <w:rPr>
          <w:sz w:val="21"/>
        </w:rPr>
        <w:t>7）灯杆内电缆、引流线及接地接零保护接头牢固，电缆接头及终端无发热烧坏痕迹；</w:t>
      </w:r>
    </w:p>
    <w:p>
      <w:pPr>
        <w:pStyle w:val="null3"/>
        <w:ind w:firstLine="420"/>
        <w:jc w:val="both"/>
      </w:pPr>
      <w:r>
        <w:rPr>
          <w:sz w:val="21"/>
        </w:rPr>
        <w:t>8）接线板固定牢靠，螺栓紧固无锈蚀，熔断器熔体规格与负荷相匹配；</w:t>
      </w:r>
    </w:p>
    <w:p>
      <w:pPr>
        <w:pStyle w:val="null3"/>
        <w:ind w:firstLine="420"/>
        <w:jc w:val="both"/>
      </w:pPr>
      <w:r>
        <w:rPr>
          <w:sz w:val="21"/>
        </w:rPr>
        <w:t>9）灯杆检修门应开闭灵巧、防盗结构完好无异常；</w:t>
      </w:r>
    </w:p>
    <w:p>
      <w:pPr>
        <w:pStyle w:val="null3"/>
        <w:jc w:val="both"/>
      </w:pPr>
      <w:r>
        <w:rPr>
          <w:sz w:val="21"/>
          <w:b/>
        </w:rPr>
        <w:t>3.2.2.1.3.灯具、节点巡查：</w:t>
      </w:r>
    </w:p>
    <w:p>
      <w:pPr>
        <w:pStyle w:val="null3"/>
        <w:ind w:firstLine="420"/>
        <w:jc w:val="both"/>
      </w:pPr>
      <w:r>
        <w:rPr>
          <w:sz w:val="21"/>
        </w:rPr>
        <w:t>1）灯具、节点外壳完整度，无破损、锈蚀及缺陷；</w:t>
      </w:r>
    </w:p>
    <w:p>
      <w:pPr>
        <w:pStyle w:val="null3"/>
        <w:ind w:firstLine="420"/>
        <w:jc w:val="both"/>
      </w:pPr>
      <w:r>
        <w:rPr>
          <w:sz w:val="21"/>
        </w:rPr>
        <w:t>2）灯具透光罩应完整度，无裂纹、穿孔，反光器无变形断裂、光亮无积污，灯头无松动；</w:t>
      </w:r>
    </w:p>
    <w:p>
      <w:pPr>
        <w:pStyle w:val="null3"/>
        <w:jc w:val="both"/>
      </w:pPr>
      <w:r>
        <w:rPr>
          <w:sz w:val="21"/>
          <w:b/>
        </w:rPr>
        <w:t>3.2.2.1.4.高低压配电箱巡查</w:t>
      </w:r>
    </w:p>
    <w:p>
      <w:pPr>
        <w:pStyle w:val="null3"/>
        <w:ind w:firstLine="420"/>
        <w:jc w:val="both"/>
      </w:pPr>
      <w:r>
        <w:rPr>
          <w:sz w:val="21"/>
        </w:rPr>
        <w:t>1）配电箱体应完整，不渗水，箱内无积灰，外壳脱漆、锈蚀面积应等情况；</w:t>
      </w:r>
    </w:p>
    <w:p>
      <w:pPr>
        <w:pStyle w:val="null3"/>
        <w:ind w:firstLine="420"/>
        <w:jc w:val="both"/>
      </w:pPr>
      <w:r>
        <w:rPr>
          <w:sz w:val="21"/>
        </w:rPr>
        <w:t>2）接触器、开关、熔断器等电气元件工作情况，导线绝缘良好，表面清洁，无松动、变形、缺损和烧焦变色；</w:t>
      </w:r>
    </w:p>
    <w:p>
      <w:pPr>
        <w:pStyle w:val="null3"/>
        <w:ind w:firstLine="420"/>
        <w:jc w:val="both"/>
      </w:pPr>
      <w:r>
        <w:rPr>
          <w:sz w:val="21"/>
        </w:rPr>
        <w:t>3）熔断器熔体规格、自动开关整定值；</w:t>
      </w:r>
    </w:p>
    <w:p>
      <w:pPr>
        <w:pStyle w:val="null3"/>
        <w:ind w:firstLine="420"/>
        <w:jc w:val="both"/>
      </w:pPr>
      <w:r>
        <w:rPr>
          <w:sz w:val="21"/>
        </w:rPr>
        <w:t>4）配电箱仪表应完好，指示正确，各部件连接坚固，无松动或变形情况；</w:t>
      </w:r>
    </w:p>
    <w:p>
      <w:pPr>
        <w:pStyle w:val="null3"/>
        <w:ind w:firstLine="420"/>
        <w:jc w:val="both"/>
      </w:pPr>
      <w:r>
        <w:rPr>
          <w:sz w:val="21"/>
        </w:rPr>
        <w:t>5）箱体与门保护接地连接牢固，箱门锁开启灵活；</w:t>
      </w:r>
    </w:p>
    <w:p>
      <w:pPr>
        <w:pStyle w:val="null3"/>
        <w:ind w:firstLine="420"/>
        <w:jc w:val="both"/>
      </w:pPr>
      <w:r>
        <w:rPr>
          <w:sz w:val="21"/>
        </w:rPr>
        <w:t>6）对可视的电缆头进行外观检查。</w:t>
      </w:r>
    </w:p>
    <w:p>
      <w:pPr>
        <w:pStyle w:val="null3"/>
        <w:jc w:val="both"/>
      </w:pPr>
      <w:r>
        <w:rPr>
          <w:sz w:val="21"/>
          <w:b/>
        </w:rPr>
        <w:t>3.2.2.1.5.管线及工作井巡查</w:t>
      </w:r>
    </w:p>
    <w:p>
      <w:pPr>
        <w:pStyle w:val="null3"/>
        <w:ind w:firstLine="420"/>
        <w:jc w:val="both"/>
      </w:pPr>
      <w:r>
        <w:rPr>
          <w:sz w:val="21"/>
        </w:rPr>
        <w:t>1）周边环境巡查，发现电缆线路附近有修路开挖、地面沉降、化学腐蚀及地面堆积物等异常现象时应采取相应措施；</w:t>
      </w:r>
    </w:p>
    <w:p>
      <w:pPr>
        <w:pStyle w:val="null3"/>
        <w:ind w:firstLine="420"/>
        <w:jc w:val="both"/>
      </w:pPr>
      <w:r>
        <w:rPr>
          <w:sz w:val="21"/>
        </w:rPr>
        <w:t>2）电缆线路裸露的保护管、电缆铠装应无锈蚀；</w:t>
      </w:r>
    </w:p>
    <w:p>
      <w:pPr>
        <w:pStyle w:val="null3"/>
        <w:ind w:firstLine="420"/>
        <w:jc w:val="both"/>
      </w:pPr>
      <w:r>
        <w:rPr>
          <w:sz w:val="21"/>
        </w:rPr>
        <w:t>3）工作井井内电缆回路标志牌清晰度、完整度，井内无杂物、积水，井盖无断裂、破损、缺角，井盖端面与框上端面无落差；</w:t>
      </w:r>
    </w:p>
    <w:p>
      <w:pPr>
        <w:pStyle w:val="null3"/>
        <w:ind w:firstLine="420"/>
        <w:jc w:val="both"/>
      </w:pPr>
      <w:r>
        <w:rPr>
          <w:sz w:val="21"/>
        </w:rPr>
        <w:t>4）工作井内电缆接头包裹应严实，连接牢固，铠装接地良好；</w:t>
      </w:r>
    </w:p>
    <w:p>
      <w:pPr>
        <w:pStyle w:val="null3"/>
        <w:ind w:firstLine="420"/>
        <w:jc w:val="both"/>
      </w:pPr>
      <w:r>
        <w:rPr>
          <w:sz w:val="21"/>
        </w:rPr>
        <w:t>5）暴雨后应及时对低洼地带的电缆井进行检查；</w:t>
      </w:r>
    </w:p>
    <w:p>
      <w:pPr>
        <w:pStyle w:val="null3"/>
        <w:ind w:firstLine="420"/>
        <w:jc w:val="both"/>
      </w:pPr>
      <w:r>
        <w:rPr>
          <w:sz w:val="21"/>
        </w:rPr>
        <w:t>5）有含酸、碱、盐等有强腐蚀性的残留物流入工作井时，应及时进行封闭处理并上报。</w:t>
      </w:r>
    </w:p>
    <w:p>
      <w:pPr>
        <w:pStyle w:val="null3"/>
        <w:ind w:left="420"/>
        <w:jc w:val="both"/>
        <w:outlineLvl w:val="3"/>
      </w:pPr>
      <w:r>
        <w:rPr>
          <w:sz w:val="21"/>
          <w:b/>
        </w:rPr>
        <w:t>3.2.2.2.设施检测</w:t>
      </w:r>
    </w:p>
    <w:p>
      <w:pPr>
        <w:pStyle w:val="null3"/>
        <w:ind w:firstLine="420"/>
        <w:jc w:val="both"/>
      </w:pPr>
      <w:r>
        <w:rPr>
          <w:sz w:val="21"/>
        </w:rPr>
        <w:t>1、按供电部门有关规定，每季度定期常规检查箱变、配电箱、控制箱、电缆、灯具各一次；</w:t>
      </w:r>
    </w:p>
    <w:p>
      <w:pPr>
        <w:pStyle w:val="null3"/>
        <w:ind w:firstLine="420"/>
        <w:jc w:val="both"/>
      </w:pPr>
      <w:r>
        <w:rPr>
          <w:sz w:val="21"/>
        </w:rPr>
        <w:t>2、重大节日（元旦、春节、五一、国庆）前两周之内常规检查电缆、灯具共四次；</w:t>
      </w:r>
    </w:p>
    <w:p>
      <w:pPr>
        <w:pStyle w:val="null3"/>
        <w:ind w:firstLine="420"/>
        <w:jc w:val="both"/>
      </w:pPr>
      <w:r>
        <w:rPr>
          <w:sz w:val="21"/>
        </w:rPr>
        <w:t>3、电缆每年绝缘测试一次；</w:t>
      </w:r>
    </w:p>
    <w:p>
      <w:pPr>
        <w:pStyle w:val="null3"/>
        <w:ind w:firstLine="420"/>
        <w:jc w:val="both"/>
      </w:pPr>
      <w:r>
        <w:rPr>
          <w:sz w:val="21"/>
        </w:rPr>
        <w:t>4、箱变每年预防性试验检测一次并出具有效的检测报告(注：此项目必须由具有相应资质的企业施工并经采购人确认资质后于每年的春季实施)，检测报告要及时上报南方电网或市(街道)各级安全部门检查，检测费及检测结果涉及的病害和缺陷所需的维修费、元件更换费均由中标人承担（箱变因达到使用年限、整体老化需更换和不可抗拒自然灾害造成的损坏所涉及修复更换费用无需中标人承担)</w:t>
      </w:r>
    </w:p>
    <w:p>
      <w:pPr>
        <w:pStyle w:val="null3"/>
        <w:ind w:left="420"/>
        <w:jc w:val="both"/>
        <w:outlineLvl w:val="3"/>
      </w:pPr>
      <w:r>
        <w:rPr>
          <w:sz w:val="21"/>
          <w:b/>
        </w:rPr>
        <w:t>3.2.2.3.故障维修</w:t>
      </w:r>
    </w:p>
    <w:p>
      <w:pPr>
        <w:pStyle w:val="null3"/>
        <w:ind w:firstLine="420"/>
        <w:jc w:val="both"/>
      </w:pPr>
      <w:r>
        <w:rPr>
          <w:sz w:val="21"/>
        </w:rPr>
        <w:t>故障分为一般故障和严重故障</w:t>
      </w:r>
    </w:p>
    <w:p>
      <w:pPr>
        <w:pStyle w:val="null3"/>
        <w:ind w:firstLine="420"/>
        <w:jc w:val="both"/>
      </w:pPr>
      <w:r>
        <w:rPr>
          <w:sz w:val="21"/>
        </w:rPr>
        <w:t>故障处理及时率要求达到</w:t>
      </w:r>
      <w:r>
        <w:rPr>
          <w:sz w:val="21"/>
        </w:rPr>
        <w:t>99%，中标人应满足以下养护维修时限要求：一般故障应当在24小时之内处理完毕；严重故障除不可抗力外，应当于5日内处理完毕，高压线路或专用变压器故障可根据实际情况适当延长。涉及重大安全运行事故或突发事件，维护单位应在接报半小时内赶至现场组织处理。</w:t>
      </w:r>
    </w:p>
    <w:p>
      <w:pPr>
        <w:pStyle w:val="null3"/>
        <w:ind w:firstLine="420"/>
        <w:jc w:val="both"/>
      </w:pPr>
      <w:r>
        <w:rPr>
          <w:sz w:val="21"/>
        </w:rPr>
        <w:t>电缆被盗引起故障，当晚进行排查并将故障范围减到最小，线路故障必须于次日</w:t>
      </w:r>
      <w:r>
        <w:rPr>
          <w:sz w:val="21"/>
        </w:rPr>
        <w:t>18时前修复并根据被盗情况制定应对方案，对被盗多发路段电缆进行加固，由此所产生的费用由中标人承担；如损坏、被盗情况非常严重或故障涉及工程量较大确实在规定时间内不能完成，经得采购人同意后在规定时间内完成修复。</w:t>
      </w:r>
    </w:p>
    <w:p>
      <w:pPr>
        <w:pStyle w:val="null3"/>
        <w:ind w:firstLine="420"/>
        <w:jc w:val="both"/>
      </w:pPr>
      <w:r>
        <w:rPr>
          <w:sz w:val="21"/>
        </w:rPr>
        <w:t>对于一些无法维修设备，需要对设备进行更换，以确保故障维修的质量和安全性。在保修期内设备，维护单位负责免费更换，保修期外设备，维护单位负责更换，设备费用无需中标人承担。</w:t>
      </w:r>
    </w:p>
    <w:p>
      <w:pPr>
        <w:pStyle w:val="null3"/>
        <w:ind w:left="420"/>
        <w:jc w:val="both"/>
        <w:outlineLvl w:val="3"/>
      </w:pPr>
      <w:r>
        <w:rPr>
          <w:sz w:val="21"/>
          <w:b/>
        </w:rPr>
        <w:t>3.2.2.4.清洁养护</w:t>
      </w:r>
    </w:p>
    <w:p>
      <w:pPr>
        <w:pStyle w:val="null3"/>
        <w:ind w:firstLine="420"/>
        <w:jc w:val="both"/>
      </w:pPr>
      <w:r>
        <w:rPr>
          <w:sz w:val="21"/>
        </w:rPr>
        <w:t>1、灯杆、箱体及其他影响观瞻的设备表面每年喷漆翻新一次，必须在每年12月31日前完成；</w:t>
      </w:r>
    </w:p>
    <w:p>
      <w:pPr>
        <w:pStyle w:val="null3"/>
        <w:ind w:firstLine="420"/>
        <w:jc w:val="both"/>
      </w:pPr>
      <w:r>
        <w:rPr>
          <w:sz w:val="21"/>
        </w:rPr>
        <w:t>2、灯杆、灯罩、箱体、设备表面每季度清洗一次，分别在季度结束前完成；</w:t>
      </w:r>
    </w:p>
    <w:p>
      <w:pPr>
        <w:pStyle w:val="null3"/>
        <w:ind w:left="420"/>
        <w:jc w:val="both"/>
        <w:outlineLvl w:val="3"/>
      </w:pPr>
      <w:r>
        <w:rPr>
          <w:sz w:val="21"/>
          <w:b/>
        </w:rPr>
        <w:t>3.2.2.5  设备迁改</w:t>
      </w:r>
    </w:p>
    <w:p>
      <w:pPr>
        <w:pStyle w:val="null3"/>
        <w:ind w:firstLine="420"/>
        <w:jc w:val="both"/>
      </w:pPr>
      <w:r>
        <w:rPr>
          <w:sz w:val="21"/>
        </w:rPr>
        <w:t>项目服务期内，在设备迁改总费用不超过</w:t>
      </w:r>
      <w:r>
        <w:rPr>
          <w:sz w:val="21"/>
        </w:rPr>
        <w:t>5万元的情况下，维护单位每年免费提供10个灯杆点位（含基础、灯杆及设备拆除安装等），5个大型自发光标志牌，10个小牌的迁改。</w:t>
      </w:r>
    </w:p>
    <w:p>
      <w:pPr>
        <w:pStyle w:val="null3"/>
        <w:ind w:left="420"/>
        <w:jc w:val="both"/>
        <w:outlineLvl w:val="2"/>
      </w:pPr>
      <w:r>
        <w:rPr>
          <w:sz w:val="21"/>
          <w:b/>
        </w:rPr>
        <w:t>3.2.3.道路视频监控系统</w:t>
      </w:r>
    </w:p>
    <w:p>
      <w:pPr>
        <w:pStyle w:val="null3"/>
        <w:ind w:firstLine="420"/>
        <w:jc w:val="both"/>
      </w:pPr>
      <w:r>
        <w:rPr>
          <w:sz w:val="21"/>
        </w:rPr>
        <w:t>中标人负责对东莞滨海湾新区智慧道路项目高清视频监控系统建设的所有前端监控点提供维护运转服务，包括：</w:t>
      </w:r>
    </w:p>
    <w:p>
      <w:pPr>
        <w:pStyle w:val="null3"/>
        <w:ind w:firstLine="420"/>
        <w:jc w:val="both"/>
      </w:pPr>
      <w:r>
        <w:rPr>
          <w:sz w:val="21"/>
        </w:rPr>
        <w:t>1、对监控点前端的高清摄像机、人脸摄像机、交换机及电源等进行维护保养，保障其正常运行；</w:t>
      </w:r>
    </w:p>
    <w:p>
      <w:pPr>
        <w:pStyle w:val="null3"/>
        <w:ind w:firstLine="420"/>
        <w:jc w:val="both"/>
      </w:pPr>
      <w:r>
        <w:rPr>
          <w:sz w:val="21"/>
        </w:rPr>
        <w:t>2、对监控点开展日常巡检、应急维护、季度巡检工作；</w:t>
      </w:r>
    </w:p>
    <w:p>
      <w:pPr>
        <w:pStyle w:val="null3"/>
        <w:ind w:firstLine="420"/>
        <w:jc w:val="both"/>
      </w:pPr>
      <w:r>
        <w:rPr>
          <w:sz w:val="21"/>
        </w:rPr>
        <w:t>3、对摄像机、端子、接头、跳线、电源适配器等常损辅材的保养。</w:t>
      </w:r>
    </w:p>
    <w:p>
      <w:pPr>
        <w:pStyle w:val="null3"/>
        <w:ind w:firstLine="420"/>
        <w:jc w:val="both"/>
      </w:pPr>
      <w:r>
        <w:rPr>
          <w:sz w:val="21"/>
        </w:rPr>
        <w:t>4、项目一年内取电线路老化后的改造，包括负责排除前端供电线路故障，对电线中断、供电电气设备损坏进行修复和更换，及时消除供电隐患。</w:t>
      </w:r>
    </w:p>
    <w:p>
      <w:pPr>
        <w:pStyle w:val="null3"/>
        <w:ind w:left="420"/>
        <w:jc w:val="both"/>
        <w:outlineLvl w:val="3"/>
      </w:pPr>
      <w:r>
        <w:rPr>
          <w:sz w:val="21"/>
          <w:b/>
        </w:rPr>
        <w:t>3.2.3.1.定期巡检</w:t>
      </w:r>
    </w:p>
    <w:p>
      <w:pPr>
        <w:pStyle w:val="null3"/>
        <w:ind w:firstLine="420"/>
        <w:jc w:val="both"/>
      </w:pPr>
      <w:r>
        <w:rPr>
          <w:sz w:val="21"/>
        </w:rPr>
        <w:t>每月应不少于一次对每个前端监控点进行一次巡检，巡检包括：</w:t>
      </w:r>
    </w:p>
    <w:p>
      <w:pPr>
        <w:pStyle w:val="null3"/>
        <w:ind w:firstLine="420"/>
        <w:jc w:val="both"/>
      </w:pPr>
      <w:r>
        <w:rPr>
          <w:sz w:val="21"/>
        </w:rPr>
        <w:t>1、查看基础设施设备（摄像头、电箱等）有无遭到损坏（被车磕、撞、碰、绊等）。</w:t>
      </w:r>
    </w:p>
    <w:p>
      <w:pPr>
        <w:pStyle w:val="null3"/>
        <w:ind w:firstLine="420"/>
        <w:jc w:val="both"/>
      </w:pPr>
      <w:r>
        <w:rPr>
          <w:sz w:val="21"/>
        </w:rPr>
        <w:t>2、查看基础设施设备（摄像头、电箱等）有无被人为破坏（被撬、砸、拆、偷）。</w:t>
      </w:r>
    </w:p>
    <w:p>
      <w:pPr>
        <w:pStyle w:val="null3"/>
        <w:ind w:firstLine="420"/>
        <w:jc w:val="both"/>
      </w:pPr>
      <w:r>
        <w:rPr>
          <w:sz w:val="21"/>
        </w:rPr>
        <w:t>3、查看基础设施设备是否完整、整洁</w:t>
      </w:r>
    </w:p>
    <w:p>
      <w:pPr>
        <w:pStyle w:val="null3"/>
        <w:ind w:firstLine="420"/>
        <w:jc w:val="both"/>
      </w:pPr>
      <w:r>
        <w:rPr>
          <w:sz w:val="21"/>
        </w:rPr>
        <w:t>4、中心定期做好图像质量不好等检测，要及时配合予以修复、调整，不能修复的则予以更换。</w:t>
      </w:r>
    </w:p>
    <w:p>
      <w:pPr>
        <w:pStyle w:val="null3"/>
        <w:ind w:firstLine="420"/>
        <w:jc w:val="both"/>
      </w:pPr>
      <w:r>
        <w:rPr>
          <w:sz w:val="21"/>
        </w:rPr>
        <w:t>5、如有发现设备、辅材损坏等情况，要及时予以修复，不能修复的则予以更换。</w:t>
      </w:r>
    </w:p>
    <w:p>
      <w:pPr>
        <w:pStyle w:val="null3"/>
        <w:ind w:left="420"/>
        <w:jc w:val="both"/>
        <w:outlineLvl w:val="3"/>
      </w:pPr>
      <w:r>
        <w:rPr>
          <w:sz w:val="21"/>
          <w:b/>
        </w:rPr>
        <w:t>3.2.3.2.保养、维护</w:t>
      </w:r>
    </w:p>
    <w:p>
      <w:pPr>
        <w:pStyle w:val="null3"/>
        <w:ind w:firstLine="420"/>
        <w:jc w:val="both"/>
      </w:pPr>
      <w:r>
        <w:rPr>
          <w:sz w:val="21"/>
        </w:rPr>
        <w:t>在每个季度安排人员至少对每个前端设备进行一次保养</w:t>
      </w:r>
    </w:p>
    <w:p>
      <w:pPr>
        <w:pStyle w:val="null3"/>
        <w:ind w:firstLine="420"/>
        <w:jc w:val="both"/>
      </w:pPr>
      <w:r>
        <w:rPr>
          <w:sz w:val="21"/>
        </w:rPr>
        <w:t>1、对监控点机箱里电气设备进行清尘、清洁和检查。及时发现故障、隐患并及时处理，把故障消灭在萌芽状态，避免扩大故障范围；</w:t>
      </w:r>
    </w:p>
    <w:p>
      <w:pPr>
        <w:pStyle w:val="null3"/>
        <w:ind w:firstLine="420"/>
        <w:jc w:val="both"/>
      </w:pPr>
      <w:r>
        <w:rPr>
          <w:sz w:val="21"/>
        </w:rPr>
        <w:t>2、擦试防护罩，前视玻璃的除尘等；</w:t>
      </w:r>
    </w:p>
    <w:p>
      <w:pPr>
        <w:pStyle w:val="null3"/>
        <w:ind w:firstLine="420"/>
        <w:jc w:val="both"/>
      </w:pPr>
      <w:r>
        <w:rPr>
          <w:sz w:val="21"/>
        </w:rPr>
        <w:t>3、对发现的问题及时处理，以保证系统持续、稳定、安全地运行。</w:t>
      </w:r>
    </w:p>
    <w:p>
      <w:pPr>
        <w:pStyle w:val="null3"/>
        <w:ind w:firstLine="420"/>
        <w:jc w:val="both"/>
      </w:pPr>
      <w:r>
        <w:rPr>
          <w:sz w:val="21"/>
        </w:rPr>
        <w:t>4、对被树枝遮档或其它物体遮档，要及时剪枝和清理。</w:t>
      </w:r>
    </w:p>
    <w:p>
      <w:pPr>
        <w:pStyle w:val="null3"/>
        <w:ind w:left="420"/>
        <w:jc w:val="both"/>
        <w:outlineLvl w:val="3"/>
      </w:pPr>
      <w:r>
        <w:rPr>
          <w:sz w:val="21"/>
          <w:b/>
        </w:rPr>
        <w:t>3.2.3.3.性能测试</w:t>
      </w:r>
    </w:p>
    <w:p>
      <w:pPr>
        <w:pStyle w:val="null3"/>
        <w:ind w:firstLine="420"/>
        <w:jc w:val="both"/>
      </w:pPr>
      <w:r>
        <w:rPr>
          <w:sz w:val="21"/>
        </w:rPr>
        <w:t>1、在每个季度安排人员至少对各类电器设备进行一次检测并做好参数记录。在每年的3月份雷雨季节来临前，检查所有的监控点的避雷是否正常，检查各接地线是否正常。以保证在雷雨季节避雷器被击而造成设备损坏。</w:t>
      </w:r>
    </w:p>
    <w:p>
      <w:pPr>
        <w:pStyle w:val="null3"/>
        <w:ind w:firstLine="420"/>
        <w:jc w:val="both"/>
      </w:pPr>
      <w:r>
        <w:rPr>
          <w:sz w:val="21"/>
        </w:rPr>
        <w:t>2、根据需要调整传输设备的相关参数:对光传输线路损耗指标进行测试，确保图像及控制正常、网络无丢包，光线路物理故障时及时通知运营商维护。</w:t>
      </w:r>
    </w:p>
    <w:p>
      <w:pPr>
        <w:pStyle w:val="null3"/>
        <w:ind w:left="420"/>
        <w:jc w:val="both"/>
        <w:outlineLvl w:val="3"/>
      </w:pPr>
      <w:r>
        <w:rPr>
          <w:sz w:val="21"/>
          <w:b/>
        </w:rPr>
        <w:t>3.2.3.4.故障响应</w:t>
      </w:r>
    </w:p>
    <w:p>
      <w:pPr>
        <w:pStyle w:val="null3"/>
        <w:ind w:firstLine="420"/>
        <w:jc w:val="both"/>
      </w:pPr>
      <w:r>
        <w:rPr>
          <w:sz w:val="21"/>
        </w:rPr>
        <w:t>针对系统的故障，中标人应制定详细的运行维护服务保障方案，及时受理建设方故障报表、电话报修。</w:t>
      </w:r>
    </w:p>
    <w:p>
      <w:pPr>
        <w:pStyle w:val="null3"/>
        <w:ind w:firstLine="420"/>
        <w:jc w:val="both"/>
      </w:pPr>
      <w:r>
        <w:rPr>
          <w:sz w:val="21"/>
        </w:rPr>
        <w:t>故障级别定义及解决时间要求如表所示。</w:t>
      </w:r>
    </w:p>
    <w:tbl>
      <w:tblPr>
        <w:tblW w:w="0" w:type="auto"/>
        <w:tblBorders>
          <w:top w:val="none" w:color="000000" w:sz="4"/>
          <w:left w:val="none" w:color="000000" w:sz="4"/>
          <w:bottom w:val="none" w:color="000000" w:sz="4"/>
          <w:right w:val="none" w:color="000000" w:sz="4"/>
          <w:insideH w:val="none"/>
          <w:insideV w:val="none"/>
        </w:tblBorders>
      </w:tblPr>
      <w:tblGrid>
        <w:gridCol w:w="1374"/>
        <w:gridCol w:w="1374"/>
        <w:gridCol w:w="1374"/>
        <w:gridCol w:w="1374"/>
        <w:gridCol w:w="1374"/>
        <w:gridCol w:w="1374"/>
      </w:tblGrid>
      <w:tr>
        <w:tc>
          <w:tcPr>
            <w:tcW w:type="dxa" w:w="13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故障级别</w:t>
            </w:r>
          </w:p>
        </w:tc>
        <w:tc>
          <w:tcPr>
            <w:tcW w:type="dxa" w:w="13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技术人员到场时间</w:t>
            </w:r>
          </w:p>
        </w:tc>
        <w:tc>
          <w:tcPr>
            <w:tcW w:type="dxa" w:w="13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提出解决方案</w:t>
            </w:r>
          </w:p>
        </w:tc>
        <w:tc>
          <w:tcPr>
            <w:tcW w:type="dxa" w:w="13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备件到场时间</w:t>
            </w:r>
          </w:p>
        </w:tc>
        <w:tc>
          <w:tcPr>
            <w:tcW w:type="dxa" w:w="13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解决时间</w:t>
            </w:r>
          </w:p>
        </w:tc>
        <w:tc>
          <w:tcPr>
            <w:tcW w:type="dxa" w:w="13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其他</w:t>
            </w:r>
          </w:p>
        </w:tc>
      </w:tr>
      <w:tr>
        <w:tc>
          <w:tcPr>
            <w:tcW w:type="dxa" w:w="1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Ⅰ级：属于重特大故障，其具体现象为系统崩溃</w:t>
            </w:r>
          </w:p>
          <w:p>
            <w:pPr>
              <w:pStyle w:val="null3"/>
              <w:jc w:val="both"/>
            </w:pPr>
          </w:p>
        </w:tc>
        <w:tc>
          <w:tcPr>
            <w:tcW w:type="dxa" w:w="1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接报</w:t>
            </w:r>
            <w:r>
              <w:rPr>
                <w:sz w:val="21"/>
              </w:rPr>
              <w:t>30min以内到现场</w:t>
            </w:r>
          </w:p>
        </w:tc>
        <w:tc>
          <w:tcPr>
            <w:tcW w:type="dxa" w:w="1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到现场后</w:t>
            </w:r>
            <w:r>
              <w:rPr>
                <w:sz w:val="21"/>
              </w:rPr>
              <w:t>1h内提交故障解决方案</w:t>
            </w:r>
          </w:p>
        </w:tc>
        <w:tc>
          <w:tcPr>
            <w:tcW w:type="dxa" w:w="1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提出解决方案后</w:t>
            </w:r>
            <w:r>
              <w:rPr>
                <w:sz w:val="21"/>
              </w:rPr>
              <w:t>1</w:t>
            </w:r>
          </w:p>
          <w:p>
            <w:pPr>
              <w:pStyle w:val="null3"/>
              <w:jc w:val="both"/>
            </w:pPr>
            <w:r>
              <w:rPr>
                <w:sz w:val="21"/>
              </w:rPr>
              <w:t>h到现场</w:t>
            </w:r>
          </w:p>
        </w:tc>
        <w:tc>
          <w:tcPr>
            <w:tcW w:type="dxa" w:w="1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接报</w:t>
            </w:r>
            <w:r>
              <w:rPr>
                <w:sz w:val="21"/>
              </w:rPr>
              <w:t>3h以内</w:t>
            </w:r>
          </w:p>
        </w:tc>
        <w:tc>
          <w:tcPr>
            <w:tcW w:type="dxa" w:w="137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特殊情况，由建设方电话通知或下发纸质通知单，</w:t>
            </w:r>
            <w:r>
              <w:rPr>
                <w:sz w:val="21"/>
              </w:rPr>
              <w:t>3</w:t>
            </w:r>
          </w:p>
          <w:p>
            <w:pPr>
              <w:pStyle w:val="null3"/>
              <w:jc w:val="both"/>
            </w:pPr>
            <w:r>
              <w:rPr>
                <w:sz w:val="21"/>
              </w:rPr>
              <w:t>h内应修复</w:t>
            </w:r>
          </w:p>
        </w:tc>
      </w:tr>
      <w:tr>
        <w:tc>
          <w:tcPr>
            <w:tcW w:type="dxa" w:w="1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Ⅱ级：属于严重问题，其具体现象为分系统发生故障、或小面积瘫痪但不影响系统整体运行</w:t>
            </w:r>
          </w:p>
        </w:tc>
        <w:tc>
          <w:tcPr>
            <w:tcW w:type="dxa" w:w="1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接报</w:t>
            </w:r>
            <w:r>
              <w:rPr>
                <w:sz w:val="21"/>
              </w:rPr>
              <w:t>30min以内到现场</w:t>
            </w:r>
          </w:p>
        </w:tc>
        <w:tc>
          <w:tcPr>
            <w:tcW w:type="dxa" w:w="1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到现场后</w:t>
            </w:r>
            <w:r>
              <w:rPr>
                <w:sz w:val="21"/>
              </w:rPr>
              <w:t>1h内提交故障解决方案</w:t>
            </w:r>
          </w:p>
        </w:tc>
        <w:tc>
          <w:tcPr>
            <w:tcW w:type="dxa" w:w="1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提出解决方案后</w:t>
            </w:r>
            <w:r>
              <w:rPr>
                <w:sz w:val="21"/>
              </w:rPr>
              <w:t>1h到现场</w:t>
            </w:r>
          </w:p>
        </w:tc>
        <w:tc>
          <w:tcPr>
            <w:tcW w:type="dxa" w:w="1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接报</w:t>
            </w:r>
            <w:r>
              <w:rPr>
                <w:sz w:val="21"/>
              </w:rPr>
              <w:t>6h以内</w:t>
            </w:r>
          </w:p>
        </w:tc>
        <w:tc>
          <w:tcPr>
            <w:tcW w:type="dxa" w:w="1374"/>
            <w:vMerge/>
            <w:tcBorders>
              <w:top w:val="none" w:color="000000" w:sz="4"/>
              <w:left w:val="none" w:color="000000" w:sz="4"/>
              <w:bottom w:val="single" w:color="000000" w:sz="4"/>
              <w:right w:val="single" w:color="000000" w:sz="4"/>
            </w:tcBorders>
          </w:tcPr>
          <w:p/>
        </w:tc>
      </w:tr>
      <w:tr>
        <w:tc>
          <w:tcPr>
            <w:tcW w:type="dxa" w:w="1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Ⅲ级：属于普通问题，其具体现象为前端监控点单个摄像机故障、前端监控点传输设备或线路故障</w:t>
            </w:r>
          </w:p>
        </w:tc>
        <w:tc>
          <w:tcPr>
            <w:tcW w:type="dxa" w:w="1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接报</w:t>
            </w:r>
            <w:r>
              <w:rPr>
                <w:sz w:val="21"/>
              </w:rPr>
              <w:t>2h内到现场</w:t>
            </w:r>
          </w:p>
        </w:tc>
        <w:tc>
          <w:tcPr>
            <w:tcW w:type="dxa" w:w="1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即时提交或到现场后</w:t>
            </w:r>
            <w:r>
              <w:rPr>
                <w:sz w:val="21"/>
              </w:rPr>
              <w:t>1h内提交解决方案</w:t>
            </w:r>
          </w:p>
        </w:tc>
        <w:tc>
          <w:tcPr>
            <w:tcW w:type="dxa" w:w="1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视情况而定</w:t>
            </w:r>
          </w:p>
        </w:tc>
        <w:tc>
          <w:tcPr>
            <w:tcW w:type="dxa" w:w="1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接报</w:t>
            </w:r>
            <w:r>
              <w:rPr>
                <w:sz w:val="21"/>
              </w:rPr>
              <w:t>12h以内</w:t>
            </w:r>
          </w:p>
        </w:tc>
        <w:tc>
          <w:tcPr>
            <w:tcW w:type="dxa" w:w="1374"/>
            <w:vMerge/>
            <w:tcBorders>
              <w:top w:val="none" w:color="000000" w:sz="4"/>
              <w:left w:val="none" w:color="000000" w:sz="4"/>
              <w:bottom w:val="single" w:color="000000" w:sz="4"/>
              <w:right w:val="single" w:color="000000" w:sz="4"/>
            </w:tcBorders>
          </w:tcPr>
          <w:p/>
        </w:tc>
      </w:tr>
    </w:tbl>
    <w:p>
      <w:pPr>
        <w:pStyle w:val="null3"/>
        <w:ind w:firstLine="420"/>
        <w:jc w:val="both"/>
      </w:pPr>
      <w:r>
        <w:rPr>
          <w:sz w:val="21"/>
        </w:rPr>
        <w:t>故障响应要求如下：</w:t>
      </w:r>
    </w:p>
    <w:p>
      <w:pPr>
        <w:pStyle w:val="null3"/>
        <w:ind w:firstLine="420"/>
        <w:jc w:val="both"/>
      </w:pPr>
      <w:r>
        <w:rPr>
          <w:sz w:val="21"/>
        </w:rPr>
        <w:t>a)中标人及时提供主要设备发生故障时的应急处理方案，并保证对故障设备的及时维修和更换；</w:t>
      </w:r>
    </w:p>
    <w:p>
      <w:pPr>
        <w:pStyle w:val="null3"/>
        <w:ind w:firstLine="420"/>
        <w:jc w:val="both"/>
      </w:pPr>
      <w:r>
        <w:rPr>
          <w:sz w:val="21"/>
        </w:rPr>
        <w:t>b)制定光纤网络传输故障时的应急处理方案，保证光纤网络及时恢复正常传输；</w:t>
      </w:r>
    </w:p>
    <w:p>
      <w:pPr>
        <w:pStyle w:val="null3"/>
        <w:ind w:firstLine="420"/>
        <w:jc w:val="both"/>
      </w:pPr>
      <w:r>
        <w:rPr>
          <w:sz w:val="21"/>
        </w:rPr>
        <w:t>c)如果设备停产，根据备品备件考核要求及时提供相同性能或者性能更优的替代品，并保证不同时期提供的同类产品兼容。</w:t>
      </w:r>
    </w:p>
    <w:p>
      <w:pPr>
        <w:pStyle w:val="null3"/>
        <w:ind w:left="420"/>
        <w:jc w:val="both"/>
        <w:outlineLvl w:val="3"/>
      </w:pPr>
      <w:r>
        <w:rPr>
          <w:sz w:val="21"/>
          <w:b/>
        </w:rPr>
        <w:t>3.2.3.5.保密要求</w:t>
      </w:r>
    </w:p>
    <w:p>
      <w:pPr>
        <w:pStyle w:val="null3"/>
        <w:ind w:firstLine="420"/>
        <w:jc w:val="both"/>
      </w:pPr>
      <w:r>
        <w:rPr>
          <w:sz w:val="21"/>
        </w:rPr>
        <w:t>中标人应加强对运维人员有关安全保密方面的法律法规的学习，严格遵守《中华人民共和国保守国家秘密法》等法律法规和公安机关保密管理工作相关规定，严格保守在公安机关办公场所工作中（以下简称</w:t>
      </w:r>
      <w:r>
        <w:rPr>
          <w:sz w:val="21"/>
        </w:rPr>
        <w:t>“工作中”）所接触的国家秘密和警务工作秘密。坚决做到不该说的秘密不说，不该知悉的秘密不问，不该看的秘密不看。</w:t>
      </w:r>
    </w:p>
    <w:p>
      <w:pPr>
        <w:pStyle w:val="null3"/>
        <w:ind w:firstLine="420"/>
        <w:jc w:val="both"/>
      </w:pPr>
      <w:r>
        <w:rPr>
          <w:sz w:val="21"/>
        </w:rPr>
        <w:t>不得擅自记录、复制、拍摄、摘抄、收藏在工作中涉及的国家秘密、警务工作秘密和敏感信息；严禁将公安机关内部文件、信息、会议、谈话等内容泄露给无关人员；严禁将工作中接触到的相关工作方案及实施规划透露给无关人员；未经许可，不得擅自翻阅与本人工作无关的文件和资料。</w:t>
      </w:r>
    </w:p>
    <w:p>
      <w:pPr>
        <w:pStyle w:val="null3"/>
        <w:ind w:firstLine="420"/>
        <w:jc w:val="both"/>
      </w:pPr>
      <w:r>
        <w:rPr>
          <w:sz w:val="21"/>
        </w:rPr>
        <w:t>工作中如使用公安信息网，须严格遵守公安信息网安全管理规定，严禁发生</w:t>
      </w:r>
      <w:r>
        <w:rPr>
          <w:sz w:val="21"/>
        </w:rPr>
        <w:t>“一机两用”、移动存储介质内外网交叉混用及越权访问内部信息等违规行为；严禁将从公安信息网上获得的警务工作秘密及内部信息、数据透露给无关人员；严禁私自下载、拷贝公安网设备（包括终端计算机、服务器等）中存储的各类文件；不得泄露公安信息网相关设备、业务系统等的口令、密钥；未经许可，严禁使用软件、程序及其他技术手段对公安信息网等内部网络进行扫描和嗅探。</w:t>
      </w:r>
    </w:p>
    <w:p>
      <w:pPr>
        <w:pStyle w:val="null3"/>
        <w:ind w:firstLine="420"/>
        <w:jc w:val="both"/>
      </w:pPr>
      <w:r>
        <w:rPr>
          <w:sz w:val="21"/>
        </w:rPr>
        <w:t>严禁泄露公安机关警务科技研究、发明、装备器材及相关技术资料中涉及的国家秘密和警务工作秘密；在对外科技或学术交流中，不得发表涉及公安工作国家秘密和警务工作秘密的技术文档和论文。</w:t>
      </w:r>
    </w:p>
    <w:p>
      <w:pPr>
        <w:pStyle w:val="null3"/>
        <w:ind w:firstLine="420"/>
        <w:jc w:val="both"/>
      </w:pPr>
      <w:r>
        <w:rPr>
          <w:sz w:val="21"/>
        </w:rPr>
        <w:t>未经工作所在地公安机关负责人许可，不得擅自带领无关人员进入公安机关内部办公场所和接触国家秘密及警务工作秘密。</w:t>
      </w:r>
    </w:p>
    <w:p>
      <w:pPr>
        <w:pStyle w:val="null3"/>
        <w:ind w:left="420"/>
        <w:jc w:val="both"/>
        <w:outlineLvl w:val="2"/>
      </w:pPr>
      <w:r>
        <w:rPr>
          <w:sz w:val="21"/>
          <w:b/>
        </w:rPr>
        <w:t>3.2.4.电子警察系统</w:t>
      </w:r>
    </w:p>
    <w:p>
      <w:pPr>
        <w:pStyle w:val="null3"/>
        <w:ind w:firstLine="420"/>
        <w:jc w:val="both"/>
      </w:pPr>
      <w:r>
        <w:rPr>
          <w:sz w:val="21"/>
        </w:rPr>
        <w:t>电子警察监控系统前端设备维护：含违停抓拍球、违法抓拍枪、测速卡口、测速雷达、红绿灯检测服务器、补光灯、智能管理终端、传输设备维护、杆件、标志牌、线路及其附属设备维护，为提供维护质量需提供备品机，用于应急维护。</w:t>
      </w:r>
    </w:p>
    <w:p>
      <w:pPr>
        <w:pStyle w:val="null3"/>
        <w:ind w:left="420"/>
        <w:jc w:val="both"/>
        <w:outlineLvl w:val="3"/>
      </w:pPr>
      <w:r>
        <w:rPr>
          <w:sz w:val="21"/>
          <w:b/>
        </w:rPr>
        <w:t>3.2.4.1.定期巡检</w:t>
      </w:r>
    </w:p>
    <w:p>
      <w:pPr>
        <w:pStyle w:val="null3"/>
        <w:ind w:firstLine="420"/>
        <w:jc w:val="both"/>
      </w:pPr>
      <w:r>
        <w:rPr>
          <w:sz w:val="21"/>
        </w:rPr>
        <w:t>每个月至少对每个前端监控点进行一次巡检，巡检包括：</w:t>
      </w:r>
    </w:p>
    <w:p>
      <w:pPr>
        <w:pStyle w:val="null3"/>
        <w:ind w:firstLine="420"/>
        <w:jc w:val="both"/>
      </w:pPr>
      <w:r>
        <w:rPr>
          <w:sz w:val="21"/>
        </w:rPr>
        <w:t>1、物理检查</w:t>
      </w:r>
    </w:p>
    <w:p>
      <w:pPr>
        <w:pStyle w:val="null3"/>
        <w:ind w:firstLine="420"/>
        <w:jc w:val="both"/>
      </w:pPr>
      <w:r>
        <w:rPr>
          <w:sz w:val="21"/>
        </w:rPr>
        <w:t>检查设备是否依原标定位置存在：系统中前端设备的标定位置应与设备实际安装位置一致；检查设备及安装部件的完整性、破损情况及牢固程度：设备及安装部件应齐全、无明显破损，设备安装应牢固。</w:t>
      </w:r>
    </w:p>
    <w:p>
      <w:pPr>
        <w:pStyle w:val="null3"/>
        <w:ind w:firstLine="420"/>
        <w:jc w:val="both"/>
      </w:pPr>
      <w:r>
        <w:rPr>
          <w:sz w:val="21"/>
        </w:rPr>
        <w:t>2、运行环境检查</w:t>
      </w:r>
    </w:p>
    <w:p>
      <w:pPr>
        <w:pStyle w:val="null3"/>
        <w:ind w:firstLine="420"/>
        <w:jc w:val="both"/>
      </w:pPr>
      <w:r>
        <w:rPr>
          <w:sz w:val="21"/>
        </w:rPr>
        <w:t>检查前端有无影响摄像机取机、灯光补光范围和设备正常工作的因素：及时清理影响摄像机取机、灯光补光范围的遮挡物；对于无法现场自行处置的遮挡物和影响设备正常工作的因素，应详细记录相关情况并提出改进意见，协调使用单位或其他相关单位处置。</w:t>
      </w:r>
    </w:p>
    <w:p>
      <w:pPr>
        <w:pStyle w:val="null3"/>
        <w:ind w:firstLine="420"/>
        <w:jc w:val="both"/>
      </w:pPr>
      <w:r>
        <w:rPr>
          <w:sz w:val="21"/>
        </w:rPr>
        <w:t>3、电气参数与性能检查</w:t>
      </w:r>
    </w:p>
    <w:p>
      <w:pPr>
        <w:pStyle w:val="null3"/>
        <w:ind w:firstLine="420"/>
        <w:jc w:val="both"/>
      </w:pPr>
      <w:r>
        <w:rPr>
          <w:sz w:val="21"/>
        </w:rPr>
        <w:t>检查摄像机及其配套设备（包括电源、风扇、加热、辅助照明装置等）的工作状态：摄像机及其配套设备工作应正常，采用仪器仪表测量摄像机的相关指标，并进行相应调整，应满足使用管理要求。</w:t>
      </w:r>
    </w:p>
    <w:p>
      <w:pPr>
        <w:pStyle w:val="null3"/>
        <w:ind w:firstLine="420"/>
        <w:jc w:val="both"/>
      </w:pPr>
      <w:r>
        <w:rPr>
          <w:sz w:val="21"/>
        </w:rPr>
        <w:t>6、设备调整</w:t>
      </w:r>
    </w:p>
    <w:p>
      <w:pPr>
        <w:pStyle w:val="null3"/>
        <w:ind w:firstLine="420"/>
        <w:jc w:val="both"/>
      </w:pPr>
      <w:r>
        <w:rPr>
          <w:sz w:val="21"/>
        </w:rPr>
        <w:t>根据视频监控需要调整前端摄像机的焦距、监控范围等：设备应处于良好的运行状态，监控图像质量及监控范围应满足使用管理要求。</w:t>
      </w:r>
    </w:p>
    <w:p>
      <w:pPr>
        <w:pStyle w:val="null3"/>
        <w:ind w:left="420"/>
        <w:jc w:val="both"/>
        <w:outlineLvl w:val="3"/>
      </w:pPr>
      <w:r>
        <w:rPr>
          <w:sz w:val="21"/>
          <w:b/>
        </w:rPr>
        <w:t>3.2.4.2.保养、维护</w:t>
      </w:r>
    </w:p>
    <w:p>
      <w:pPr>
        <w:pStyle w:val="null3"/>
        <w:ind w:firstLine="420"/>
        <w:jc w:val="both"/>
      </w:pPr>
      <w:r>
        <w:rPr>
          <w:sz w:val="21"/>
        </w:rPr>
        <w:t>每个月安排人员至少对每个前端设备进行一次保养</w:t>
      </w:r>
    </w:p>
    <w:p>
      <w:pPr>
        <w:pStyle w:val="null3"/>
        <w:ind w:firstLine="420"/>
        <w:jc w:val="both"/>
      </w:pPr>
      <w:r>
        <w:rPr>
          <w:sz w:val="21"/>
        </w:rPr>
        <w:t>1、对监控点机箱里电气设备进行清尘、清洁和检查。及时发现故障、隐患并及时处理，把故障消灭在萌芽状态，避免扩大故障范围；</w:t>
      </w:r>
    </w:p>
    <w:p>
      <w:pPr>
        <w:pStyle w:val="null3"/>
        <w:ind w:firstLine="420"/>
        <w:jc w:val="both"/>
      </w:pPr>
      <w:r>
        <w:rPr>
          <w:sz w:val="21"/>
        </w:rPr>
        <w:t>2、擦试防护罩，前视玻璃的除尘等；</w:t>
      </w:r>
    </w:p>
    <w:p>
      <w:pPr>
        <w:pStyle w:val="null3"/>
        <w:ind w:firstLine="420"/>
        <w:jc w:val="both"/>
      </w:pPr>
      <w:r>
        <w:rPr>
          <w:sz w:val="21"/>
        </w:rPr>
        <w:t>3、对发现的问题及时处理，以保证系统持续、稳定、安全地运行。</w:t>
      </w:r>
    </w:p>
    <w:p>
      <w:pPr>
        <w:pStyle w:val="null3"/>
        <w:ind w:firstLine="420"/>
        <w:jc w:val="both"/>
      </w:pPr>
      <w:r>
        <w:rPr>
          <w:sz w:val="21"/>
        </w:rPr>
        <w:t>4、对被树枝遮档或其它物体遮档，要及时剪枝和清理。</w:t>
      </w:r>
    </w:p>
    <w:p>
      <w:pPr>
        <w:pStyle w:val="null3"/>
        <w:ind w:firstLine="420"/>
        <w:jc w:val="both"/>
      </w:pPr>
      <w:r>
        <w:rPr>
          <w:sz w:val="21"/>
        </w:rPr>
        <w:t>5、清洁和整理传输设备、过线间、手孔井等：保持井环井盖无损坏，密封性能好，井盖盖好在井环上，保持手孔井清洁干燥，无老鼠、蚂蚁、蟑螂等害虫，垃圾、杂物、废旧电缆等。</w:t>
      </w:r>
    </w:p>
    <w:p>
      <w:pPr>
        <w:pStyle w:val="null3"/>
        <w:ind w:left="420"/>
        <w:jc w:val="both"/>
        <w:outlineLvl w:val="3"/>
      </w:pPr>
      <w:r>
        <w:rPr>
          <w:sz w:val="21"/>
          <w:b/>
        </w:rPr>
        <w:t>3.2.4.3.性能测试</w:t>
      </w:r>
    </w:p>
    <w:p>
      <w:pPr>
        <w:pStyle w:val="null3"/>
        <w:ind w:firstLine="420"/>
        <w:jc w:val="both"/>
      </w:pPr>
      <w:r>
        <w:rPr>
          <w:sz w:val="21"/>
        </w:rPr>
        <w:t>1、在每个季度安排人员至少对各类电器设备进行一次检测并做好参数记录。在每年的3月份雷雨季节来临前，检查所有的监控点的避雷是否正常，检查各接地线是否正常。以保证在雷雨季节避雷器被击而造成设备损坏。</w:t>
      </w:r>
    </w:p>
    <w:p>
      <w:pPr>
        <w:pStyle w:val="null3"/>
        <w:ind w:firstLine="420"/>
        <w:jc w:val="both"/>
      </w:pPr>
      <w:r>
        <w:rPr>
          <w:sz w:val="21"/>
        </w:rPr>
        <w:t>2、根据需要调整传输设备的相关参数:对光传输线路损耗指标进行测试，确保图像及控制正常、网络无丢包，光线路物理故障时及时通知运营商维护。</w:t>
      </w:r>
    </w:p>
    <w:p>
      <w:pPr>
        <w:pStyle w:val="null3"/>
        <w:ind w:left="420"/>
        <w:jc w:val="both"/>
        <w:outlineLvl w:val="3"/>
      </w:pPr>
      <w:r>
        <w:rPr>
          <w:sz w:val="21"/>
          <w:b/>
        </w:rPr>
        <w:t>3.2.4.4.故障响应</w:t>
      </w:r>
    </w:p>
    <w:p>
      <w:pPr>
        <w:pStyle w:val="null3"/>
        <w:ind w:firstLine="420"/>
        <w:jc w:val="both"/>
      </w:pPr>
      <w:r>
        <w:rPr>
          <w:sz w:val="21"/>
        </w:rPr>
        <w:t>针对系统的故障，中标人应制定详细的运行维护服务保障方案，及时受理建设方故障报表、电话报修。</w:t>
      </w:r>
    </w:p>
    <w:p>
      <w:pPr>
        <w:pStyle w:val="null3"/>
        <w:ind w:firstLine="420"/>
        <w:jc w:val="both"/>
      </w:pPr>
      <w:r>
        <w:rPr>
          <w:sz w:val="21"/>
        </w:rPr>
        <w:t>故障级别定义及解决时间要求如表所示。</w:t>
      </w:r>
    </w:p>
    <w:tbl>
      <w:tblPr>
        <w:tblW w:w="0" w:type="auto"/>
        <w:tblBorders>
          <w:top w:val="none" w:color="000000" w:sz="4"/>
          <w:left w:val="none" w:color="000000" w:sz="4"/>
          <w:bottom w:val="none" w:color="000000" w:sz="4"/>
          <w:right w:val="none" w:color="000000" w:sz="4"/>
          <w:insideH w:val="none"/>
          <w:insideV w:val="none"/>
        </w:tblBorders>
      </w:tblPr>
      <w:tblGrid>
        <w:gridCol w:w="2679"/>
        <w:gridCol w:w="1087"/>
        <w:gridCol w:w="1231"/>
        <w:gridCol w:w="929"/>
        <w:gridCol w:w="731"/>
        <w:gridCol w:w="1649"/>
      </w:tblGrid>
      <w:tr>
        <w:tc>
          <w:tcPr>
            <w:tcW w:type="dxa" w:w="26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故障级别</w:t>
            </w:r>
          </w:p>
        </w:tc>
        <w:tc>
          <w:tcPr>
            <w:tcW w:type="dxa" w:w="10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技术人员到场时间</w:t>
            </w:r>
          </w:p>
        </w:tc>
        <w:tc>
          <w:tcPr>
            <w:tcW w:type="dxa" w:w="12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提出解决方案</w:t>
            </w:r>
          </w:p>
        </w:tc>
        <w:tc>
          <w:tcPr>
            <w:tcW w:type="dxa" w:w="9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备件到场时间</w:t>
            </w:r>
          </w:p>
        </w:tc>
        <w:tc>
          <w:tcPr>
            <w:tcW w:type="dxa" w:w="7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解决时间</w:t>
            </w:r>
          </w:p>
        </w:tc>
        <w:tc>
          <w:tcPr>
            <w:tcW w:type="dxa" w:w="16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w:t>
            </w:r>
          </w:p>
        </w:tc>
      </w:tr>
      <w:tr>
        <w:tc>
          <w:tcPr>
            <w:tcW w:type="dxa" w:w="26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Ⅰ级：属于重特大故障，其具体现象为系统崩溃</w:t>
            </w:r>
          </w:p>
        </w:tc>
        <w:tc>
          <w:tcPr>
            <w:tcW w:type="dxa" w:w="10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接报</w:t>
            </w:r>
            <w:r>
              <w:rPr>
                <w:sz w:val="21"/>
              </w:rPr>
              <w:t>30min以内到现场</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到现场后</w:t>
            </w:r>
            <w:r>
              <w:rPr>
                <w:sz w:val="21"/>
              </w:rPr>
              <w:t>1h内提交故障解决方案</w:t>
            </w:r>
          </w:p>
        </w:tc>
        <w:tc>
          <w:tcPr>
            <w:tcW w:type="dxa" w:w="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提出解决方案后</w:t>
            </w:r>
            <w:r>
              <w:rPr>
                <w:sz w:val="21"/>
              </w:rPr>
              <w:t>1</w:t>
            </w:r>
          </w:p>
          <w:p>
            <w:pPr>
              <w:pStyle w:val="null3"/>
              <w:jc w:val="both"/>
            </w:pPr>
            <w:r>
              <w:rPr>
                <w:sz w:val="21"/>
              </w:rPr>
              <w:t>h到现场</w:t>
            </w:r>
          </w:p>
        </w:tc>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接报</w:t>
            </w:r>
            <w:r>
              <w:rPr>
                <w:sz w:val="21"/>
              </w:rPr>
              <w:t>3h以内</w:t>
            </w:r>
          </w:p>
        </w:tc>
        <w:tc>
          <w:tcPr>
            <w:tcW w:type="dxa" w:w="164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特殊情况，由建设方电话通知或下发纸质通知单，</w:t>
            </w:r>
            <w:r>
              <w:rPr>
                <w:sz w:val="21"/>
              </w:rPr>
              <w:t>3</w:t>
            </w:r>
          </w:p>
          <w:p>
            <w:pPr>
              <w:pStyle w:val="null3"/>
              <w:jc w:val="both"/>
            </w:pPr>
            <w:r>
              <w:rPr>
                <w:sz w:val="21"/>
              </w:rPr>
              <w:t>h内应修复</w:t>
            </w:r>
          </w:p>
        </w:tc>
      </w:tr>
      <w:tr>
        <w:tc>
          <w:tcPr>
            <w:tcW w:type="dxa" w:w="26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Ⅱ级：属于严重问题，其具体现象为分系统发生故障、或小面积瘫痪但不影响系统整体运行</w:t>
            </w:r>
          </w:p>
        </w:tc>
        <w:tc>
          <w:tcPr>
            <w:tcW w:type="dxa" w:w="10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接报</w:t>
            </w:r>
            <w:r>
              <w:rPr>
                <w:sz w:val="21"/>
              </w:rPr>
              <w:t>30min以内到现场</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到现场后</w:t>
            </w:r>
            <w:r>
              <w:rPr>
                <w:sz w:val="21"/>
              </w:rPr>
              <w:t>1h内提交故障解决方案</w:t>
            </w:r>
          </w:p>
        </w:tc>
        <w:tc>
          <w:tcPr>
            <w:tcW w:type="dxa" w:w="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提出解决方案后</w:t>
            </w:r>
            <w:r>
              <w:rPr>
                <w:sz w:val="21"/>
              </w:rPr>
              <w:t>1h到现场</w:t>
            </w:r>
          </w:p>
        </w:tc>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接报</w:t>
            </w:r>
            <w:r>
              <w:rPr>
                <w:sz w:val="21"/>
              </w:rPr>
              <w:t>6h以内</w:t>
            </w:r>
          </w:p>
        </w:tc>
        <w:tc>
          <w:tcPr>
            <w:tcW w:type="dxa" w:w="1649"/>
            <w:vMerge/>
            <w:tcBorders>
              <w:top w:val="none" w:color="000000" w:sz="4"/>
              <w:left w:val="single" w:color="000000" w:sz="4"/>
              <w:bottom w:val="single" w:color="000000" w:sz="4"/>
              <w:right w:val="single" w:color="000000" w:sz="4"/>
            </w:tcBorders>
          </w:tcPr>
          <w:p/>
        </w:tc>
      </w:tr>
      <w:tr>
        <w:tc>
          <w:tcPr>
            <w:tcW w:type="dxa" w:w="26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Ⅲ级：属于普通问题，其具体现象为前端监控点单个摄像机故障、前端监控点传输设备或线路故障</w:t>
            </w:r>
          </w:p>
        </w:tc>
        <w:tc>
          <w:tcPr>
            <w:tcW w:type="dxa" w:w="10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接报</w:t>
            </w:r>
            <w:r>
              <w:rPr>
                <w:sz w:val="21"/>
              </w:rPr>
              <w:t>2h内到现场</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即时提交或到现场后</w:t>
            </w:r>
            <w:r>
              <w:rPr>
                <w:sz w:val="21"/>
              </w:rPr>
              <w:t>1h内提交解决方案</w:t>
            </w:r>
          </w:p>
        </w:tc>
        <w:tc>
          <w:tcPr>
            <w:tcW w:type="dxa" w:w="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视情况而定</w:t>
            </w:r>
          </w:p>
        </w:tc>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接报</w:t>
            </w:r>
            <w:r>
              <w:rPr>
                <w:sz w:val="21"/>
              </w:rPr>
              <w:t>12h以内</w:t>
            </w:r>
          </w:p>
        </w:tc>
        <w:tc>
          <w:tcPr>
            <w:tcW w:type="dxa" w:w="1649"/>
            <w:vMerge/>
            <w:tcBorders>
              <w:top w:val="none" w:color="000000" w:sz="4"/>
              <w:left w:val="single" w:color="000000" w:sz="4"/>
              <w:bottom w:val="single" w:color="000000" w:sz="4"/>
              <w:right w:val="single" w:color="000000" w:sz="4"/>
            </w:tcBorders>
          </w:tcPr>
          <w:p/>
        </w:tc>
      </w:tr>
    </w:tbl>
    <w:p>
      <w:pPr>
        <w:pStyle w:val="null3"/>
        <w:ind w:firstLine="420"/>
        <w:jc w:val="both"/>
      </w:pPr>
      <w:r>
        <w:rPr>
          <w:sz w:val="21"/>
        </w:rPr>
        <w:t>故障响应要求如下：</w:t>
      </w:r>
    </w:p>
    <w:p>
      <w:pPr>
        <w:pStyle w:val="null3"/>
        <w:ind w:firstLine="420"/>
        <w:jc w:val="both"/>
      </w:pPr>
      <w:r>
        <w:rPr>
          <w:sz w:val="21"/>
        </w:rPr>
        <w:t>a)中标人及时提供主要设备发生故障时的应急处理方案，并保证对故障设备的及时维修和更换；</w:t>
      </w:r>
    </w:p>
    <w:p>
      <w:pPr>
        <w:pStyle w:val="null3"/>
        <w:ind w:firstLine="420"/>
        <w:jc w:val="both"/>
      </w:pPr>
      <w:r>
        <w:rPr>
          <w:sz w:val="21"/>
        </w:rPr>
        <w:t>b)制定光纤网络传输故障时的应急处理方案，保证光纤网络及时恢复正常传输；</w:t>
      </w:r>
    </w:p>
    <w:p>
      <w:pPr>
        <w:pStyle w:val="null3"/>
        <w:ind w:firstLine="420"/>
        <w:jc w:val="both"/>
      </w:pPr>
      <w:r>
        <w:rPr>
          <w:sz w:val="21"/>
        </w:rPr>
        <w:t>c)如果设备停产，根据备品备件考核要求及时提供相同性能或者性能更优的替代品，并保证不同时期提供的同类产品兼容。</w:t>
      </w:r>
    </w:p>
    <w:p>
      <w:pPr>
        <w:pStyle w:val="null3"/>
        <w:ind w:left="420"/>
        <w:jc w:val="both"/>
        <w:outlineLvl w:val="3"/>
      </w:pPr>
      <w:r>
        <w:rPr>
          <w:sz w:val="21"/>
          <w:b/>
        </w:rPr>
        <w:t>3.2.4.5.保密要求</w:t>
      </w:r>
    </w:p>
    <w:p>
      <w:pPr>
        <w:pStyle w:val="null3"/>
        <w:ind w:firstLine="420"/>
        <w:jc w:val="both"/>
      </w:pPr>
      <w:r>
        <w:rPr>
          <w:sz w:val="21"/>
        </w:rPr>
        <w:t>中标人应加强对运维人员有关安全保密方面的法律法规的学习，严格遵守《中华人民共和国保守国家秘密法》等法律法规和公安机关保密管理工作相关规定，严格保守在公安机关办公场所工作中（以下简称</w:t>
      </w:r>
      <w:r>
        <w:rPr>
          <w:sz w:val="21"/>
        </w:rPr>
        <w:t>“工作中”）所接触的国家秘密和警务工作秘密。坚决做到不该说的秘密不说，不该知悉的秘密不问，不该看的秘密不看。</w:t>
      </w:r>
    </w:p>
    <w:p>
      <w:pPr>
        <w:pStyle w:val="null3"/>
        <w:ind w:firstLine="420"/>
        <w:jc w:val="both"/>
      </w:pPr>
      <w:r>
        <w:rPr>
          <w:sz w:val="21"/>
        </w:rPr>
        <w:t>不得擅自记录、复制、拍摄、摘抄、收藏在工作中涉及的国家秘密、警务工作秘密和敏感信息；严禁将公安机关内部文件、信息、会议、谈话等内容泄露给无关人员；严禁将工作中接触到的相关工作方案及实施规划透露给无关人员；未经许可，不得擅自翻阅与本人工作无关的文件和资料。</w:t>
      </w:r>
    </w:p>
    <w:p>
      <w:pPr>
        <w:pStyle w:val="null3"/>
        <w:ind w:firstLine="420"/>
        <w:jc w:val="both"/>
      </w:pPr>
      <w:r>
        <w:rPr>
          <w:sz w:val="21"/>
        </w:rPr>
        <w:t>工作中如使用公安信息网，须严格遵守公安信息网安全管理规定，严禁发生</w:t>
      </w:r>
      <w:r>
        <w:rPr>
          <w:sz w:val="21"/>
        </w:rPr>
        <w:t>“一机两用”、移动存储介质内外网交叉混用及越权访问内部信息等违规行为；严禁将从公安信息网上获得的警务工作秘密及内部信息、数据透露给无关人员；严禁私自下载、拷贝公安网设备（包括终端计算机、服务器等）中存储的各类文件；不得泄露公安信息网相关设备、业务系统等的口令、密钥；未经许可，严禁使用软件、程序及其他技术手段对公安信息网等内部网络进行扫描和嗅探。</w:t>
      </w:r>
    </w:p>
    <w:p>
      <w:pPr>
        <w:pStyle w:val="null3"/>
        <w:ind w:firstLine="420"/>
        <w:jc w:val="both"/>
      </w:pPr>
      <w:r>
        <w:rPr>
          <w:sz w:val="21"/>
        </w:rPr>
        <w:t>严禁泄露公安机关警务科技研究、发明、装备器材及相关技术资料中涉及的国家秘密和警务工作秘密；在对外科技或学术交流中，不得发表涉及公安工作国家秘密和警务工作秘密的技术文档和论文。</w:t>
      </w:r>
    </w:p>
    <w:p>
      <w:pPr>
        <w:pStyle w:val="null3"/>
        <w:ind w:firstLine="420"/>
        <w:jc w:val="both"/>
      </w:pPr>
      <w:r>
        <w:rPr>
          <w:sz w:val="21"/>
        </w:rPr>
        <w:t>未经工作所在地公安机关负责人许可，不得擅自带领无关人员进入公安机关内部办公场所和接触国家秘密及警务工作秘密。</w:t>
      </w:r>
    </w:p>
    <w:p>
      <w:pPr>
        <w:pStyle w:val="null3"/>
        <w:ind w:left="420"/>
        <w:jc w:val="both"/>
        <w:outlineLvl w:val="2"/>
      </w:pPr>
      <w:r>
        <w:rPr>
          <w:sz w:val="21"/>
          <w:b/>
        </w:rPr>
        <w:t>3.2.5.交通信号控制系统</w:t>
      </w:r>
    </w:p>
    <w:p>
      <w:pPr>
        <w:pStyle w:val="null3"/>
        <w:ind w:firstLine="420"/>
        <w:jc w:val="both"/>
      </w:pPr>
      <w:r>
        <w:rPr>
          <w:sz w:val="21"/>
        </w:rPr>
        <w:t>交通信号控制系统前端维护包括：机动车信号灯、人行信号灯、多功能人行灯一体机、交通控制服务器以及配置线缆、电源引入等设备维护、方案配时优化。</w:t>
      </w:r>
    </w:p>
    <w:p>
      <w:pPr>
        <w:pStyle w:val="null3"/>
        <w:ind w:left="420"/>
        <w:jc w:val="both"/>
        <w:outlineLvl w:val="3"/>
      </w:pPr>
      <w:r>
        <w:rPr>
          <w:sz w:val="21"/>
          <w:b/>
        </w:rPr>
        <w:t>3.2.5.1.定期巡检</w:t>
      </w:r>
    </w:p>
    <w:p>
      <w:pPr>
        <w:pStyle w:val="null3"/>
        <w:ind w:firstLine="420"/>
        <w:jc w:val="both"/>
      </w:pPr>
      <w:r>
        <w:rPr>
          <w:sz w:val="21"/>
        </w:rPr>
        <w:t>每个季度至少对每个前端设备进行一次巡检，巡检包括</w:t>
      </w:r>
      <w:r>
        <w:rPr>
          <w:sz w:val="21"/>
        </w:rPr>
        <w:t>:</w:t>
      </w:r>
    </w:p>
    <w:p>
      <w:pPr>
        <w:pStyle w:val="null3"/>
        <w:ind w:firstLine="420"/>
        <w:jc w:val="both"/>
      </w:pPr>
      <w:r>
        <w:rPr>
          <w:sz w:val="21"/>
        </w:rPr>
        <w:t>1、检查信号机主控板、相位板、车检板等信号机内板件是否正常工作，电源模块输出是否正常；</w:t>
      </w:r>
    </w:p>
    <w:p>
      <w:pPr>
        <w:pStyle w:val="null3"/>
        <w:ind w:firstLine="420"/>
        <w:jc w:val="both"/>
      </w:pPr>
      <w:r>
        <w:rPr>
          <w:sz w:val="21"/>
        </w:rPr>
        <w:t>2、检查信号设施之间、信号设施与交通组织、交通标志、标线是否存有矛盾冲突；</w:t>
      </w:r>
    </w:p>
    <w:p>
      <w:pPr>
        <w:pStyle w:val="null3"/>
        <w:ind w:firstLine="420"/>
        <w:jc w:val="both"/>
      </w:pPr>
      <w:r>
        <w:rPr>
          <w:sz w:val="21"/>
        </w:rPr>
        <w:t>3、检查信号设施被遮挡情况，广告标志悬挂情况、设施脏污和小广告张贴情况；</w:t>
      </w:r>
    </w:p>
    <w:p>
      <w:pPr>
        <w:pStyle w:val="null3"/>
        <w:ind w:firstLine="420"/>
        <w:jc w:val="both"/>
      </w:pPr>
      <w:r>
        <w:rPr>
          <w:sz w:val="21"/>
        </w:rPr>
        <w:t>4、检查管道和窨井堵塞情况、井盖及周边缺失破损情况。</w:t>
      </w:r>
    </w:p>
    <w:p>
      <w:pPr>
        <w:pStyle w:val="null3"/>
        <w:ind w:firstLine="420"/>
        <w:jc w:val="both"/>
      </w:pPr>
      <w:r>
        <w:rPr>
          <w:sz w:val="21"/>
        </w:rPr>
        <w:t>5、检查机箱门（锁）关闭和完好情况、手控按钮正常使用情况。</w:t>
      </w:r>
    </w:p>
    <w:p>
      <w:pPr>
        <w:pStyle w:val="null3"/>
        <w:ind w:firstLine="420"/>
        <w:jc w:val="both"/>
      </w:pPr>
      <w:r>
        <w:rPr>
          <w:sz w:val="21"/>
        </w:rPr>
        <w:t>6、检查信号灯路口外单位施工开挖情况。</w:t>
      </w:r>
    </w:p>
    <w:p>
      <w:pPr>
        <w:pStyle w:val="null3"/>
        <w:ind w:firstLine="420"/>
        <w:jc w:val="both"/>
      </w:pPr>
      <w:r>
        <w:rPr>
          <w:sz w:val="21"/>
        </w:rPr>
        <w:t>7、检查信号灯杆、信号灯、信号机柜结构件是否有锈蚀、倾斜、损坏，是否存在安全隐患或被附着其他设施。</w:t>
      </w:r>
    </w:p>
    <w:p>
      <w:pPr>
        <w:pStyle w:val="null3"/>
        <w:ind w:firstLine="420"/>
        <w:jc w:val="both"/>
      </w:pPr>
      <w:r>
        <w:rPr>
          <w:sz w:val="21"/>
        </w:rPr>
        <w:t>8、检查信号设施供电电缆和控制电缆是否外露、破损、漏电，机箱和杆体是否带电；或因道路积水、城市内涝可能造成信号设施漏电的情况。</w:t>
      </w:r>
    </w:p>
    <w:p>
      <w:pPr>
        <w:pStyle w:val="null3"/>
        <w:ind w:firstLine="420"/>
        <w:jc w:val="both"/>
      </w:pPr>
      <w:r>
        <w:rPr>
          <w:sz w:val="21"/>
        </w:rPr>
        <w:t>9检查信号灯的灯珠是否正常工作，包括灯是否熄灭、灯光是否亮度均匀或者过暗等情况。</w:t>
      </w:r>
    </w:p>
    <w:p>
      <w:pPr>
        <w:pStyle w:val="null3"/>
        <w:ind w:firstLine="420"/>
        <w:jc w:val="both"/>
      </w:pPr>
      <w:r>
        <w:rPr>
          <w:sz w:val="21"/>
        </w:rPr>
        <w:t>10、巡检当中发现的重大安全隐患应及时处置，并立即报告。</w:t>
      </w:r>
    </w:p>
    <w:p>
      <w:pPr>
        <w:pStyle w:val="null3"/>
        <w:ind w:firstLine="420"/>
        <w:jc w:val="both"/>
      </w:pPr>
      <w:r>
        <w:rPr>
          <w:sz w:val="21"/>
        </w:rPr>
        <w:t>11、检查信号灯的配时是否合理，根据道路交通流量和需求进行调整。</w:t>
      </w:r>
    </w:p>
    <w:p>
      <w:pPr>
        <w:pStyle w:val="null3"/>
        <w:ind w:left="420"/>
        <w:jc w:val="both"/>
        <w:outlineLvl w:val="3"/>
      </w:pPr>
      <w:r>
        <w:rPr>
          <w:sz w:val="21"/>
          <w:b/>
        </w:rPr>
        <w:t>3.2.5.2.保养、维护</w:t>
      </w:r>
    </w:p>
    <w:p>
      <w:pPr>
        <w:pStyle w:val="null3"/>
        <w:ind w:firstLine="420"/>
        <w:jc w:val="both"/>
      </w:pPr>
      <w:r>
        <w:rPr>
          <w:sz w:val="21"/>
        </w:rPr>
        <w:t>1、每月对维护保养的信号灯进行一次全部检查，处理存在的故障和问题。</w:t>
      </w:r>
    </w:p>
    <w:p>
      <w:pPr>
        <w:pStyle w:val="null3"/>
        <w:ind w:firstLine="420"/>
        <w:jc w:val="both"/>
      </w:pPr>
      <w:r>
        <w:rPr>
          <w:sz w:val="21"/>
        </w:rPr>
        <w:t>2、定期每半年一次对信号灯具清洗和保养，做到灯具外壳、透光玻璃、背板、遮罩、内部反光杆干净无尘，无破损，无老化变形。灯壳内无积水，密封性能好，亮度符合要求，信号灯具在杆上安装牢固，竖式安装时应垂直，横向安装时应平行，机动车信号灯具显示面正对所控制的机动车道，人行横道信号灯具显示面应正对人行横道，若有损坏或不完整的需要及时更换。</w:t>
      </w:r>
    </w:p>
    <w:p>
      <w:pPr>
        <w:pStyle w:val="null3"/>
        <w:ind w:firstLine="420"/>
        <w:jc w:val="both"/>
      </w:pPr>
      <w:r>
        <w:rPr>
          <w:sz w:val="21"/>
        </w:rPr>
        <w:t>3、每一年度对交通信号灯线路、设备进行一次彻底检查，更换老化的易损件。</w:t>
      </w:r>
    </w:p>
    <w:p>
      <w:pPr>
        <w:pStyle w:val="null3"/>
        <w:ind w:left="420"/>
        <w:jc w:val="both"/>
        <w:outlineLvl w:val="3"/>
      </w:pPr>
      <w:r>
        <w:rPr>
          <w:sz w:val="21"/>
          <w:b/>
        </w:rPr>
        <w:t>3.2.5.3.性能测试</w:t>
      </w:r>
    </w:p>
    <w:p>
      <w:pPr>
        <w:pStyle w:val="null3"/>
        <w:ind w:firstLine="420"/>
        <w:jc w:val="both"/>
      </w:pPr>
      <w:r>
        <w:rPr>
          <w:sz w:val="21"/>
        </w:rPr>
        <w:t>以三个月为一周期，成交供应商对各类电器设备进行检测、并做好参数记录。在每年的</w:t>
      </w:r>
      <w:r>
        <w:rPr>
          <w:sz w:val="21"/>
        </w:rPr>
        <w:t>3月份雷雨季节来临前，着重对所有信号灯的接地电阻进行测试和数据记录，并检查所有的信号灯的避雷是否正常。对测试后数据达不到要求的点采用增加接地桩等措施解决，以减小接地电阻。并更换被雷击穿的避雷器。同时，检查各接地线是否正常。以保证在雷雨季节避雷器被击而造成设备损坏。依据接地电阻测试要求（信号杆及信号机箱外壳接地阻抗在10欧姆以下），对接地电阻六个月为一测试周期，因避雷器被击而造成设备损坏，由成交供应商自行承担所需费用。如果由于地接线不符合要求发生触电事故的，由中标人承担责任。</w:t>
      </w:r>
    </w:p>
    <w:p>
      <w:pPr>
        <w:pStyle w:val="null3"/>
        <w:ind w:left="420"/>
        <w:jc w:val="both"/>
        <w:outlineLvl w:val="3"/>
      </w:pPr>
      <w:r>
        <w:rPr>
          <w:sz w:val="21"/>
          <w:b/>
        </w:rPr>
        <w:t>3.2.5.4.特殊保障工作</w:t>
      </w:r>
    </w:p>
    <w:p>
      <w:pPr>
        <w:pStyle w:val="null3"/>
        <w:ind w:firstLine="420"/>
        <w:jc w:val="both"/>
      </w:pPr>
      <w:r>
        <w:rPr>
          <w:sz w:val="21"/>
        </w:rPr>
        <w:t>在重要交通警卫保障工作时，要根据指示开展相关工作，如配合检查。日常要根据指示对维护的交通安全设施进行排查、对不合理、有问题的安全设施及时进行调整，提高路口通行效率。</w:t>
      </w:r>
    </w:p>
    <w:p>
      <w:pPr>
        <w:pStyle w:val="null3"/>
        <w:ind w:left="420"/>
        <w:jc w:val="both"/>
        <w:outlineLvl w:val="3"/>
      </w:pPr>
      <w:r>
        <w:rPr>
          <w:sz w:val="21"/>
          <w:b/>
        </w:rPr>
        <w:t>3.2.5.5.故障处理</w:t>
      </w:r>
    </w:p>
    <w:p>
      <w:pPr>
        <w:pStyle w:val="null3"/>
        <w:ind w:firstLine="420"/>
        <w:jc w:val="both"/>
      </w:pPr>
      <w:r>
        <w:rPr>
          <w:sz w:val="21"/>
        </w:rPr>
        <w:t>1、一般故障</w:t>
      </w:r>
    </w:p>
    <w:p>
      <w:pPr>
        <w:pStyle w:val="null3"/>
        <w:ind w:firstLine="420"/>
        <w:jc w:val="both"/>
      </w:pPr>
      <w:r>
        <w:rPr>
          <w:sz w:val="21"/>
        </w:rPr>
        <w:t>一般故障表现为不影响道路交通安全的其他一般故障，发现故障后能自动降级到更可靠的控制方式，保证信号灯控制主机继续正常工作。</w:t>
      </w:r>
    </w:p>
    <w:p>
      <w:pPr>
        <w:pStyle w:val="null3"/>
        <w:ind w:firstLine="420"/>
        <w:jc w:val="both"/>
      </w:pPr>
      <w:r>
        <w:rPr>
          <w:sz w:val="21"/>
        </w:rPr>
        <w:t>（</w:t>
      </w:r>
      <w:r>
        <w:rPr>
          <w:sz w:val="21"/>
        </w:rPr>
        <w:t>1）通信故障</w:t>
      </w:r>
    </w:p>
    <w:p>
      <w:pPr>
        <w:pStyle w:val="null3"/>
        <w:ind w:firstLine="420"/>
        <w:jc w:val="both"/>
      </w:pPr>
      <w:r>
        <w:rPr>
          <w:sz w:val="21"/>
        </w:rPr>
        <w:t>交通控制服务器与中心之间的通讯故障，这种情况下，基于区域控制的方案会自动降级到单点</w:t>
      </w:r>
      <w:r>
        <w:rPr>
          <w:sz w:val="21"/>
        </w:rPr>
        <w:t>/线协调的控制方式。</w:t>
      </w:r>
    </w:p>
    <w:p>
      <w:pPr>
        <w:pStyle w:val="null3"/>
        <w:ind w:firstLine="420"/>
        <w:jc w:val="both"/>
      </w:pPr>
      <w:r>
        <w:rPr>
          <w:sz w:val="21"/>
        </w:rPr>
        <w:t>（</w:t>
      </w:r>
      <w:r>
        <w:rPr>
          <w:sz w:val="21"/>
        </w:rPr>
        <w:t>2）车辆检测故障</w:t>
      </w:r>
    </w:p>
    <w:p>
      <w:pPr>
        <w:pStyle w:val="null3"/>
        <w:ind w:firstLine="420"/>
        <w:jc w:val="both"/>
      </w:pPr>
      <w:r>
        <w:rPr>
          <w:sz w:val="21"/>
        </w:rPr>
        <w:t>交通控制服务器通过设定的故障检测机制，基于雷达感应控制的方案会自动降级到多时段周期控制。</w:t>
      </w:r>
    </w:p>
    <w:p>
      <w:pPr>
        <w:pStyle w:val="null3"/>
        <w:ind w:firstLine="420"/>
        <w:jc w:val="both"/>
      </w:pPr>
      <w:r>
        <w:rPr>
          <w:sz w:val="21"/>
        </w:rPr>
        <w:t>（</w:t>
      </w:r>
      <w:r>
        <w:rPr>
          <w:sz w:val="21"/>
        </w:rPr>
        <w:t>3）电源故障</w:t>
      </w:r>
    </w:p>
    <w:p>
      <w:pPr>
        <w:pStyle w:val="null3"/>
        <w:ind w:firstLine="420"/>
        <w:jc w:val="both"/>
      </w:pPr>
      <w:r>
        <w:rPr>
          <w:sz w:val="21"/>
        </w:rPr>
        <w:t>交通控制服务器电源电压超出正常使用范围时，交通控制服务器能自动检测，并生成故障报警信息。</w:t>
      </w:r>
    </w:p>
    <w:p>
      <w:pPr>
        <w:pStyle w:val="null3"/>
        <w:ind w:firstLine="420"/>
        <w:jc w:val="both"/>
      </w:pPr>
      <w:r>
        <w:rPr>
          <w:sz w:val="21"/>
        </w:rPr>
        <w:t>2、严重故障</w:t>
      </w:r>
    </w:p>
    <w:p>
      <w:pPr>
        <w:pStyle w:val="null3"/>
        <w:ind w:firstLine="420"/>
        <w:jc w:val="both"/>
      </w:pPr>
      <w:r>
        <w:rPr>
          <w:sz w:val="21"/>
        </w:rPr>
        <w:t>当发生严重故障时，交通信号控制机立即改为黄闪控制。</w:t>
      </w:r>
    </w:p>
    <w:p>
      <w:pPr>
        <w:pStyle w:val="null3"/>
        <w:ind w:firstLine="420"/>
        <w:jc w:val="both"/>
      </w:pPr>
      <w:r>
        <w:rPr>
          <w:sz w:val="21"/>
        </w:rPr>
        <w:t>严重故障包括以下几种情况：</w:t>
      </w:r>
    </w:p>
    <w:p>
      <w:pPr>
        <w:pStyle w:val="null3"/>
        <w:ind w:firstLine="420"/>
        <w:jc w:val="both"/>
      </w:pPr>
      <w:r>
        <w:rPr>
          <w:sz w:val="21"/>
        </w:rPr>
        <w:t>（</w:t>
      </w:r>
      <w:r>
        <w:rPr>
          <w:sz w:val="21"/>
        </w:rPr>
        <w:t>1）绿冲突故障</w:t>
      </w:r>
    </w:p>
    <w:p>
      <w:pPr>
        <w:pStyle w:val="null3"/>
        <w:ind w:firstLine="420"/>
        <w:jc w:val="both"/>
      </w:pPr>
      <w:r>
        <w:rPr>
          <w:sz w:val="21"/>
        </w:rPr>
        <w:t>预先设定的冲突相位（不同时点亮绿灯的相位）在实际运行中发生同时点亮绿灯的情况，绿冲突可能导致严重的交通事故；</w:t>
      </w:r>
    </w:p>
    <w:p>
      <w:pPr>
        <w:pStyle w:val="null3"/>
        <w:ind w:firstLine="420"/>
        <w:jc w:val="both"/>
      </w:pPr>
      <w:r>
        <w:rPr>
          <w:sz w:val="21"/>
        </w:rPr>
        <w:t>（</w:t>
      </w:r>
      <w:r>
        <w:rPr>
          <w:sz w:val="21"/>
        </w:rPr>
        <w:t>2）同一灯组红绿冲突故障</w:t>
      </w:r>
    </w:p>
    <w:p>
      <w:pPr>
        <w:pStyle w:val="null3"/>
        <w:ind w:firstLine="420"/>
        <w:jc w:val="both"/>
      </w:pPr>
      <w:r>
        <w:rPr>
          <w:sz w:val="21"/>
        </w:rPr>
        <w:t>信号灯线发生搭线或其他短路现象时，可能会导致同一灯组的红绿信号同时点亮，这种情况的发生将使驾驶员无所适从；</w:t>
      </w:r>
    </w:p>
    <w:p>
      <w:pPr>
        <w:pStyle w:val="null3"/>
        <w:ind w:firstLine="420"/>
        <w:jc w:val="both"/>
      </w:pPr>
      <w:r>
        <w:rPr>
          <w:sz w:val="21"/>
        </w:rPr>
        <w:t>（</w:t>
      </w:r>
      <w:r>
        <w:rPr>
          <w:sz w:val="21"/>
        </w:rPr>
        <w:t>3）一组相位对应红灯信号均故障</w:t>
      </w:r>
    </w:p>
    <w:p>
      <w:pPr>
        <w:pStyle w:val="null3"/>
        <w:ind w:firstLine="420"/>
        <w:jc w:val="both"/>
      </w:pPr>
      <w:r>
        <w:rPr>
          <w:sz w:val="21"/>
        </w:rPr>
        <w:t>某一路输出所有信号灯的红灯均不能点亮，将导致该相位的机动车没有停止信号；</w:t>
      </w:r>
    </w:p>
    <w:p>
      <w:pPr>
        <w:pStyle w:val="null3"/>
        <w:ind w:firstLine="420"/>
        <w:jc w:val="both"/>
      </w:pPr>
      <w:r>
        <w:rPr>
          <w:sz w:val="21"/>
        </w:rPr>
        <w:t>3、故障存储与发送</w:t>
      </w:r>
    </w:p>
    <w:p>
      <w:pPr>
        <w:pStyle w:val="null3"/>
        <w:ind w:firstLine="420"/>
        <w:jc w:val="both"/>
      </w:pPr>
      <w:r>
        <w:rPr>
          <w:sz w:val="21"/>
        </w:rPr>
        <w:t>交通控制服务器能对所有在运行期间采集的故障信息进行存储记录，并向中心上传故障信息，所存储的信息也可通过手提电脑安装的工具软件显示、查阅。</w:t>
      </w:r>
    </w:p>
    <w:p>
      <w:pPr>
        <w:pStyle w:val="null3"/>
        <w:ind w:firstLine="420"/>
        <w:jc w:val="both"/>
      </w:pPr>
      <w:r>
        <w:rPr>
          <w:sz w:val="21"/>
        </w:rPr>
        <w:t>4、保障维修</w:t>
      </w:r>
    </w:p>
    <w:p>
      <w:pPr>
        <w:pStyle w:val="null3"/>
        <w:ind w:firstLine="420"/>
        <w:jc w:val="both"/>
      </w:pPr>
      <w:r>
        <w:rPr>
          <w:sz w:val="21"/>
        </w:rPr>
        <w:t>中标人要保障维修电话一天</w:t>
      </w:r>
      <w:r>
        <w:rPr>
          <w:sz w:val="21"/>
        </w:rPr>
        <w:t>24小时畅通，发现信号灯发生故障或造成交通阻塞，立即要向负责部门报告，同时通知专业维修人员，马上到现场抢修，做到接到报修通知1小时内到达现场，2小时内修复，严重故障维修做到当日问题当日解决，当日无法维修的，要求成交供应商提供同等品质的备件，直至修复能正常使用为止。</w:t>
      </w:r>
    </w:p>
    <w:p>
      <w:pPr>
        <w:pStyle w:val="null3"/>
        <w:ind w:left="420"/>
        <w:jc w:val="both"/>
        <w:outlineLvl w:val="2"/>
      </w:pPr>
      <w:r>
        <w:rPr>
          <w:sz w:val="21"/>
          <w:b/>
        </w:rPr>
        <w:t>3.2.6.公交站台设施</w:t>
      </w:r>
    </w:p>
    <w:p>
      <w:pPr>
        <w:pStyle w:val="null3"/>
        <w:ind w:firstLine="420"/>
        <w:jc w:val="both"/>
      </w:pPr>
      <w:r>
        <w:rPr>
          <w:sz w:val="21"/>
        </w:rPr>
        <w:t>公交站台设备前端维护包括公交站台主体、座椅、公交站牌、</w:t>
      </w:r>
      <w:r>
        <w:rPr>
          <w:sz w:val="21"/>
        </w:rPr>
        <w:t>LCD屏、LED屏、应急广播、视频监控、站台照明、交换机、控制器等设施设备及附属配件。</w:t>
      </w:r>
    </w:p>
    <w:p>
      <w:pPr>
        <w:pStyle w:val="null3"/>
        <w:ind w:left="420"/>
        <w:jc w:val="both"/>
        <w:outlineLvl w:val="3"/>
      </w:pPr>
      <w:r>
        <w:rPr>
          <w:sz w:val="21"/>
          <w:b/>
        </w:rPr>
        <w:t>3.2.6.1.日常检查</w:t>
      </w:r>
    </w:p>
    <w:p>
      <w:pPr>
        <w:pStyle w:val="null3"/>
        <w:ind w:firstLine="420"/>
        <w:jc w:val="both"/>
      </w:pPr>
      <w:r>
        <w:rPr>
          <w:sz w:val="21"/>
        </w:rPr>
        <w:t>根据一定周期（详见第</w:t>
      </w:r>
      <w:r>
        <w:rPr>
          <w:sz w:val="21"/>
        </w:rPr>
        <w:t>3检查周期）对公交站台基础设施易损部位和设备的运行状态,结合日常生产运营管理进行的现场检查。</w:t>
      </w:r>
    </w:p>
    <w:p>
      <w:pPr>
        <w:pStyle w:val="null3"/>
        <w:ind w:firstLine="420"/>
        <w:jc w:val="both"/>
      </w:pPr>
      <w:r>
        <w:rPr>
          <w:sz w:val="21"/>
        </w:rPr>
        <w:t>公交站台详细检查</w:t>
      </w:r>
      <w:r>
        <w:rPr>
          <w:sz w:val="21"/>
        </w:rPr>
        <w:t>:应在日常巡查的基础上,按一定的检查周期通过仪器检测包括公交站台设备电缆老化、电阻等测试,对公交基础设施有关信息进行的收集、分析、验算和判定的检查。</w:t>
      </w:r>
    </w:p>
    <w:p>
      <w:pPr>
        <w:pStyle w:val="null3"/>
        <w:ind w:left="420"/>
        <w:jc w:val="both"/>
        <w:outlineLvl w:val="3"/>
      </w:pPr>
      <w:r>
        <w:rPr>
          <w:sz w:val="21"/>
          <w:b/>
        </w:rPr>
        <w:t>3.2.6.2.站台维修</w:t>
      </w:r>
    </w:p>
    <w:p>
      <w:pPr>
        <w:pStyle w:val="null3"/>
        <w:ind w:firstLine="420"/>
        <w:jc w:val="both"/>
      </w:pPr>
      <w:r>
        <w:rPr>
          <w:sz w:val="21"/>
        </w:rPr>
        <w:t>公交站台维修可分为一级维护和二级维修，一级维修：应及时修复或排除公交基础设施的轻微损伤或小故障</w:t>
      </w:r>
      <w:r>
        <w:rPr>
          <w:sz w:val="21"/>
        </w:rPr>
        <w:t>,以保持公交基础设施正常使用功能和运行状态的日常小修、保养。二级维修:应对公交基础设施进行的局部或全面修理及修缮,以恢复或提高公交基础设施正常使用功能和运行状态的大、中修工程。</w:t>
      </w:r>
    </w:p>
    <w:p>
      <w:pPr>
        <w:pStyle w:val="null3"/>
        <w:ind w:left="420"/>
        <w:jc w:val="both"/>
        <w:outlineLvl w:val="3"/>
      </w:pPr>
      <w:r>
        <w:rPr>
          <w:sz w:val="21"/>
          <w:b/>
        </w:rPr>
        <w:t>3.2.6.3.检查周期</w:t>
      </w:r>
    </w:p>
    <w:p>
      <w:pPr>
        <w:pStyle w:val="null3"/>
        <w:ind w:firstLine="420"/>
        <w:jc w:val="center"/>
      </w:pPr>
      <w:r>
        <w:rPr>
          <w:sz w:val="21"/>
        </w:rPr>
        <w:t>公交站线网检查周期表</w:t>
      </w:r>
    </w:p>
    <w:tbl>
      <w:tblPr>
        <w:tblW w:w="0" w:type="auto"/>
        <w:tblBorders>
          <w:top w:val="none" w:color="000000" w:sz="4"/>
          <w:left w:val="none" w:color="000000" w:sz="4"/>
          <w:bottom w:val="none" w:color="000000" w:sz="4"/>
          <w:right w:val="none" w:color="000000" w:sz="4"/>
          <w:insideH w:val="none"/>
          <w:insideV w:val="none"/>
        </w:tblBorders>
      </w:tblPr>
      <w:tblGrid>
        <w:gridCol w:w="1227"/>
        <w:gridCol w:w="1825"/>
        <w:gridCol w:w="1825"/>
        <w:gridCol w:w="3382"/>
      </w:tblGrid>
      <w:tr>
        <w:tc>
          <w:tcPr>
            <w:tcW w:type="dxa" w:w="12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8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检查项目</w:t>
            </w:r>
          </w:p>
        </w:tc>
        <w:tc>
          <w:tcPr>
            <w:tcW w:type="dxa" w:w="18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检查周期</w:t>
            </w:r>
          </w:p>
        </w:tc>
        <w:tc>
          <w:tcPr>
            <w:tcW w:type="dxa" w:w="33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备注</w:t>
            </w:r>
          </w:p>
        </w:tc>
      </w:tr>
      <w:tr>
        <w:tc>
          <w:tcPr>
            <w:tcW w:type="dxa" w:w="1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网点</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3个月</w:t>
            </w:r>
          </w:p>
        </w:tc>
        <w:tc>
          <w:tcPr>
            <w:tcW w:type="dxa" w:w="338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1、节假日前增加1次;</w:t>
            </w:r>
          </w:p>
          <w:p>
            <w:pPr>
              <w:pStyle w:val="null3"/>
              <w:jc w:val="both"/>
            </w:pPr>
            <w:r>
              <w:rPr>
                <w:sz w:val="21"/>
              </w:rPr>
              <w:t>2、季节转换前增加1次</w:t>
            </w:r>
          </w:p>
        </w:tc>
      </w:tr>
      <w:tr>
        <w:tc>
          <w:tcPr>
            <w:tcW w:type="dxa" w:w="1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路段</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6个月</w:t>
            </w:r>
          </w:p>
        </w:tc>
        <w:tc>
          <w:tcPr>
            <w:tcW w:type="dxa" w:w="3382"/>
            <w:vMerge/>
            <w:tcBorders>
              <w:top w:val="none" w:color="000000" w:sz="4"/>
              <w:left w:val="none" w:color="000000" w:sz="4"/>
              <w:bottom w:val="single" w:color="000000" w:sz="4"/>
              <w:right w:val="single" w:color="000000" w:sz="4"/>
            </w:tcBorders>
          </w:tcPr>
          <w:p/>
        </w:tc>
      </w:tr>
      <w:tr>
        <w:tc>
          <w:tcPr>
            <w:tcW w:type="dxa" w:w="1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场内</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3个月</w:t>
            </w:r>
          </w:p>
        </w:tc>
        <w:tc>
          <w:tcPr>
            <w:tcW w:type="dxa" w:w="3382"/>
            <w:vMerge/>
            <w:tcBorders>
              <w:top w:val="none" w:color="000000" w:sz="4"/>
              <w:left w:val="none" w:color="000000" w:sz="4"/>
              <w:bottom w:val="single" w:color="000000" w:sz="4"/>
              <w:right w:val="single" w:color="000000" w:sz="4"/>
            </w:tcBorders>
          </w:tcPr>
          <w:p/>
        </w:tc>
      </w:tr>
    </w:tbl>
    <w:p>
      <w:pPr>
        <w:pStyle w:val="null3"/>
        <w:ind w:firstLine="420"/>
        <w:jc w:val="center"/>
      </w:pPr>
      <w:r>
        <w:rPr>
          <w:sz w:val="21"/>
        </w:rPr>
        <w:t>场站智能化设施详细检查的内容和周期</w:t>
      </w:r>
    </w:p>
    <w:tbl>
      <w:tblPr>
        <w:tblW w:w="0" w:type="auto"/>
        <w:tblBorders>
          <w:top w:val="none" w:color="000000" w:sz="4"/>
          <w:left w:val="none" w:color="000000" w:sz="4"/>
          <w:bottom w:val="none" w:color="000000" w:sz="4"/>
          <w:right w:val="none" w:color="000000" w:sz="4"/>
          <w:insideH w:val="none"/>
          <w:insideV w:val="none"/>
        </w:tblBorders>
      </w:tblPr>
      <w:tblGrid>
        <w:gridCol w:w="855"/>
        <w:gridCol w:w="1927"/>
        <w:gridCol w:w="4220"/>
        <w:gridCol w:w="1275"/>
      </w:tblGrid>
      <w:tr>
        <w:tc>
          <w:tcPr>
            <w:tcW w:type="dxa" w:w="8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9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名称</w:t>
            </w:r>
          </w:p>
        </w:tc>
        <w:tc>
          <w:tcPr>
            <w:tcW w:type="dxa" w:w="42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内容</w:t>
            </w:r>
          </w:p>
        </w:tc>
        <w:tc>
          <w:tcPr>
            <w:tcW w:type="dxa" w:w="12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周期</w:t>
            </w:r>
          </w:p>
        </w:tc>
      </w:tr>
      <w:tr>
        <w:tc>
          <w:tcPr>
            <w:tcW w:type="dxa" w:w="8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前端设备</w:t>
            </w:r>
          </w:p>
        </w:tc>
        <w:tc>
          <w:tcPr>
            <w:tcW w:type="dxa" w:w="4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前端摄像机、探测器、报警设备、控制设备、信息发布终端等</w:t>
            </w:r>
          </w:p>
        </w:tc>
        <w:tc>
          <w:tcPr>
            <w:tcW w:type="dxa" w:w="1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6个月</w:t>
            </w:r>
          </w:p>
        </w:tc>
      </w:tr>
      <w:tr>
        <w:tc>
          <w:tcPr>
            <w:tcW w:type="dxa" w:w="8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传输设备</w:t>
            </w:r>
          </w:p>
        </w:tc>
        <w:tc>
          <w:tcPr>
            <w:tcW w:type="dxa" w:w="4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管线质量、防雷接地、屏蔽情况、线路接头质量、传输光纤质量</w:t>
            </w:r>
          </w:p>
        </w:tc>
        <w:tc>
          <w:tcPr>
            <w:tcW w:type="dxa" w:w="1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6个月</w:t>
            </w:r>
          </w:p>
        </w:tc>
      </w:tr>
    </w:tbl>
    <w:p>
      <w:pPr>
        <w:pStyle w:val="null3"/>
        <w:ind w:left="420"/>
        <w:jc w:val="both"/>
        <w:outlineLvl w:val="2"/>
      </w:pPr>
      <w:r>
        <w:rPr>
          <w:sz w:val="21"/>
          <w:b/>
        </w:rPr>
        <w:t>3.2.7.智能交通标志系统</w:t>
      </w:r>
    </w:p>
    <w:p>
      <w:pPr>
        <w:pStyle w:val="null3"/>
        <w:ind w:firstLine="420"/>
        <w:jc w:val="both"/>
      </w:pPr>
      <w:r>
        <w:rPr>
          <w:sz w:val="21"/>
        </w:rPr>
        <w:t>针对智慧道路前端各种智能标志牌的检查包括日常巡查、定期检查、专项检查和安全检测。</w:t>
      </w:r>
    </w:p>
    <w:p>
      <w:pPr>
        <w:pStyle w:val="null3"/>
        <w:ind w:left="420"/>
        <w:jc w:val="both"/>
        <w:outlineLvl w:val="3"/>
      </w:pPr>
      <w:r>
        <w:rPr>
          <w:sz w:val="21"/>
          <w:b/>
        </w:rPr>
        <w:t>3.2.7.1.日常巡查</w:t>
      </w:r>
    </w:p>
    <w:p>
      <w:pPr>
        <w:pStyle w:val="null3"/>
        <w:ind w:firstLine="420"/>
        <w:jc w:val="both"/>
      </w:pPr>
      <w:r>
        <w:rPr>
          <w:sz w:val="21"/>
        </w:rPr>
        <w:t>日常巡查是为及时发现标志、标线损坏、污染及其他影响正常功能的情况，开展的日常检查、查看工作。日常巡查频率应按道路类别、级别、养护等级分别制定，对某条道路，宜</w:t>
      </w:r>
      <w:r>
        <w:rPr>
          <w:sz w:val="21"/>
        </w:rPr>
        <w:t>1~3天巡查一次。日常巡查宜以目测为主，可配备相应的工具进行测量。通过调研中标人可知，道路巡查的方式通常以驱车或步行为主，则巡查的内容以驱车或步行能观察到的情况制定，标志的巡查内容如表所示。</w:t>
      </w:r>
    </w:p>
    <w:p>
      <w:pPr>
        <w:pStyle w:val="null3"/>
        <w:ind w:firstLine="420"/>
        <w:jc w:val="center"/>
      </w:pPr>
      <w:r>
        <w:rPr>
          <w:sz w:val="21"/>
        </w:rPr>
        <w:t>标志日常巡查内容</w:t>
      </w:r>
    </w:p>
    <w:tbl>
      <w:tblPr>
        <w:tblW w:w="0" w:type="auto"/>
        <w:tblBorders>
          <w:top w:val="none" w:color="000000" w:sz="4"/>
          <w:left w:val="none" w:color="000000" w:sz="4"/>
          <w:bottom w:val="none" w:color="000000" w:sz="4"/>
          <w:right w:val="none" w:color="000000" w:sz="4"/>
          <w:insideH w:val="none"/>
          <w:insideV w:val="none"/>
        </w:tblBorders>
      </w:tblPr>
      <w:tblGrid>
        <w:gridCol w:w="1754"/>
        <w:gridCol w:w="6536"/>
      </w:tblGrid>
      <w:tr>
        <w:tc>
          <w:tcPr>
            <w:tcW w:type="dxa" w:w="17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设施</w:t>
            </w:r>
          </w:p>
        </w:tc>
        <w:tc>
          <w:tcPr>
            <w:tcW w:type="dxa" w:w="65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巡查内容</w:t>
            </w:r>
          </w:p>
        </w:tc>
      </w:tr>
      <w:tr>
        <w:tc>
          <w:tcPr>
            <w:tcW w:type="dxa" w:w="1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标志</w:t>
            </w:r>
          </w:p>
        </w:tc>
        <w:tc>
          <w:tcPr>
            <w:tcW w:type="dxa" w:w="6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(1)标志有无遮挡;</w:t>
            </w:r>
          </w:p>
          <w:p>
            <w:pPr>
              <w:pStyle w:val="null3"/>
              <w:jc w:val="both"/>
            </w:pPr>
            <w:r>
              <w:rPr>
                <w:sz w:val="21"/>
              </w:rPr>
              <w:t>(2)标志外观是否清洁，是否有明显锈蚀;</w:t>
            </w:r>
          </w:p>
          <w:p>
            <w:pPr>
              <w:pStyle w:val="null3"/>
              <w:jc w:val="both"/>
            </w:pPr>
            <w:r>
              <w:rPr>
                <w:sz w:val="21"/>
              </w:rPr>
              <w:t>(3)标志外观是否完整;</w:t>
            </w:r>
          </w:p>
          <w:p>
            <w:pPr>
              <w:pStyle w:val="null3"/>
              <w:jc w:val="both"/>
            </w:pPr>
            <w:r>
              <w:rPr>
                <w:sz w:val="21"/>
              </w:rPr>
              <w:t>(4)标志上是否附着有非交通标志;</w:t>
            </w:r>
          </w:p>
          <w:p>
            <w:pPr>
              <w:pStyle w:val="null3"/>
              <w:jc w:val="both"/>
            </w:pPr>
            <w:r>
              <w:rPr>
                <w:sz w:val="21"/>
              </w:rPr>
              <w:t>(5)标志版面内容是否清晰、信息是否准确、是否存在与其他设施信息冲突；</w:t>
            </w:r>
          </w:p>
          <w:p>
            <w:pPr>
              <w:pStyle w:val="null3"/>
              <w:jc w:val="both"/>
            </w:pPr>
            <w:r>
              <w:rPr>
                <w:sz w:val="21"/>
              </w:rPr>
              <w:t>(6)标志立柱、横梁、标志板有无明显破损、变形；</w:t>
            </w:r>
          </w:p>
          <w:p>
            <w:pPr>
              <w:pStyle w:val="null3"/>
              <w:jc w:val="both"/>
            </w:pPr>
            <w:r>
              <w:rPr>
                <w:sz w:val="21"/>
              </w:rPr>
              <w:t>(7)标志配电和网络设施运行是否正常；</w:t>
            </w:r>
          </w:p>
          <w:p>
            <w:pPr>
              <w:pStyle w:val="null3"/>
              <w:jc w:val="both"/>
            </w:pPr>
            <w:r>
              <w:rPr>
                <w:sz w:val="21"/>
              </w:rPr>
              <w:t>(8)标志LED信息是否正确显示。</w:t>
            </w:r>
          </w:p>
        </w:tc>
      </w:tr>
    </w:tbl>
    <w:p>
      <w:pPr>
        <w:pStyle w:val="null3"/>
        <w:ind w:left="420"/>
        <w:jc w:val="both"/>
        <w:outlineLvl w:val="3"/>
      </w:pPr>
      <w:r>
        <w:rPr>
          <w:sz w:val="21"/>
          <w:b/>
        </w:rPr>
        <w:t>3.2.7.2.定期检修</w:t>
      </w:r>
    </w:p>
    <w:p>
      <w:pPr>
        <w:pStyle w:val="null3"/>
        <w:ind w:firstLine="420"/>
        <w:jc w:val="both"/>
      </w:pPr>
      <w:r>
        <w:rPr>
          <w:sz w:val="21"/>
        </w:rPr>
        <w:t>定期检查是为评定标志使用功能、制定养护计划提供基本依据，定期对标志、标线的技术状况进行的全面检查。标志定期检查的频率宜不少于</w:t>
      </w:r>
      <w:r>
        <w:rPr>
          <w:sz w:val="21"/>
        </w:rPr>
        <w:t>1次/年，检查时间建议为春季或秋季，以避免不利天气的影响。定期检查以目测观察结合必要的量测仪器和设备检测进行，必须接近标志、标线仔细检查其技术状况。</w:t>
      </w:r>
    </w:p>
    <w:p>
      <w:pPr>
        <w:pStyle w:val="null3"/>
        <w:ind w:firstLine="420"/>
        <w:jc w:val="both"/>
      </w:pPr>
      <w:r>
        <w:rPr>
          <w:sz w:val="21"/>
        </w:rPr>
        <w:t>根据《道路交通标志板及支撑件》（</w:t>
      </w:r>
      <w:r>
        <w:rPr>
          <w:sz w:val="21"/>
        </w:rPr>
        <w:t>GB/T 23827—2009），除基础外，道路交通标志由标志板及支撑件组成。其中，标志板由标志底板、板面以及滑槽、铆钉等构件组成，支撑件由立柱、横梁、法兰盘、抱箍和紧固件等构件组成。则标志定期检查项目为上述各构件及标志整体情况，各检查项目的检查内容和方法如表所示。</w:t>
      </w:r>
    </w:p>
    <w:p>
      <w:pPr>
        <w:pStyle w:val="null3"/>
        <w:ind w:firstLine="420"/>
        <w:jc w:val="center"/>
      </w:pPr>
      <w:r>
        <w:rPr>
          <w:sz w:val="21"/>
        </w:rPr>
        <w:t>标志定期检查的检查内容、检查方法</w:t>
      </w:r>
    </w:p>
    <w:tbl>
      <w:tblPr>
        <w:tblW w:w="0" w:type="auto"/>
        <w:tblBorders>
          <w:top w:val="none" w:color="000000" w:sz="4"/>
          <w:left w:val="none" w:color="000000" w:sz="4"/>
          <w:bottom w:val="none" w:color="000000" w:sz="4"/>
          <w:right w:val="none" w:color="000000" w:sz="4"/>
          <w:insideH w:val="none"/>
          <w:insideV w:val="none"/>
        </w:tblBorders>
      </w:tblPr>
      <w:tblGrid>
        <w:gridCol w:w="1594"/>
        <w:gridCol w:w="3760"/>
        <w:gridCol w:w="2923"/>
      </w:tblGrid>
      <w:tr>
        <w:tc>
          <w:tcPr>
            <w:tcW w:type="dxa" w:w="15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检查项目</w:t>
            </w:r>
          </w:p>
        </w:tc>
        <w:tc>
          <w:tcPr>
            <w:tcW w:type="dxa" w:w="37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检查内容</w:t>
            </w:r>
          </w:p>
        </w:tc>
        <w:tc>
          <w:tcPr>
            <w:tcW w:type="dxa" w:w="29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检查方法</w:t>
            </w:r>
          </w:p>
        </w:tc>
      </w:tr>
      <w:tr>
        <w:tc>
          <w:tcPr>
            <w:tcW w:type="dxa" w:w="15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标志整体</w:t>
            </w:r>
          </w:p>
        </w:tc>
        <w:tc>
          <w:tcPr>
            <w:tcW w:type="dxa" w:w="3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有无遮挡</w:t>
            </w:r>
          </w:p>
        </w:tc>
        <w:tc>
          <w:tcPr>
            <w:tcW w:type="dxa" w:w="2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目测</w:t>
            </w:r>
          </w:p>
        </w:tc>
      </w:tr>
      <w:tr>
        <w:tc>
          <w:tcPr>
            <w:tcW w:type="dxa" w:w="1594"/>
            <w:vMerge/>
            <w:tcBorders>
              <w:top w:val="none" w:color="000000" w:sz="4"/>
              <w:left w:val="single" w:color="000000" w:sz="4"/>
              <w:bottom w:val="single" w:color="000000" w:sz="4"/>
              <w:right w:val="single" w:color="000000" w:sz="4"/>
            </w:tcBorders>
          </w:tcPr>
          <w:p/>
        </w:tc>
        <w:tc>
          <w:tcPr>
            <w:tcW w:type="dxa" w:w="3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外观是否清洁</w:t>
            </w:r>
          </w:p>
        </w:tc>
        <w:tc>
          <w:tcPr>
            <w:tcW w:type="dxa" w:w="2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目测</w:t>
            </w:r>
          </w:p>
        </w:tc>
      </w:tr>
      <w:tr>
        <w:tc>
          <w:tcPr>
            <w:tcW w:type="dxa" w:w="1594"/>
            <w:vMerge/>
            <w:tcBorders>
              <w:top w:val="none" w:color="000000" w:sz="4"/>
              <w:left w:val="single" w:color="000000" w:sz="4"/>
              <w:bottom w:val="single" w:color="000000" w:sz="4"/>
              <w:right w:val="single" w:color="000000" w:sz="4"/>
            </w:tcBorders>
          </w:tcPr>
          <w:p/>
        </w:tc>
        <w:tc>
          <w:tcPr>
            <w:tcW w:type="dxa" w:w="3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外观是否完整，缺失的构件位置及数量。</w:t>
            </w:r>
          </w:p>
        </w:tc>
        <w:tc>
          <w:tcPr>
            <w:tcW w:type="dxa" w:w="2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目测</w:t>
            </w:r>
          </w:p>
        </w:tc>
      </w:tr>
      <w:tr>
        <w:tc>
          <w:tcPr>
            <w:tcW w:type="dxa" w:w="1594"/>
            <w:vMerge/>
            <w:tcBorders>
              <w:top w:val="none" w:color="000000" w:sz="4"/>
              <w:left w:val="single" w:color="000000" w:sz="4"/>
              <w:bottom w:val="single" w:color="000000" w:sz="4"/>
              <w:right w:val="single" w:color="000000" w:sz="4"/>
            </w:tcBorders>
          </w:tcPr>
          <w:p/>
        </w:tc>
        <w:tc>
          <w:tcPr>
            <w:tcW w:type="dxa" w:w="3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是否附着有非交通标志</w:t>
            </w:r>
          </w:p>
        </w:tc>
        <w:tc>
          <w:tcPr>
            <w:tcW w:type="dxa" w:w="2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目测</w:t>
            </w:r>
          </w:p>
        </w:tc>
      </w:tr>
      <w:tr>
        <w:tc>
          <w:tcPr>
            <w:tcW w:type="dxa" w:w="15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标志板</w:t>
            </w:r>
          </w:p>
        </w:tc>
        <w:tc>
          <w:tcPr>
            <w:tcW w:type="dxa" w:w="3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版面内容是否清晰、信息是否准确、是否存在与其他设施信息冲突。</w:t>
            </w:r>
          </w:p>
        </w:tc>
        <w:tc>
          <w:tcPr>
            <w:tcW w:type="dxa" w:w="2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目测</w:t>
            </w:r>
          </w:p>
        </w:tc>
      </w:tr>
      <w:tr>
        <w:tc>
          <w:tcPr>
            <w:tcW w:type="dxa" w:w="1594"/>
            <w:vMerge/>
            <w:tcBorders>
              <w:top w:val="none" w:color="000000" w:sz="4"/>
              <w:left w:val="single" w:color="000000" w:sz="4"/>
              <w:bottom w:val="single" w:color="000000" w:sz="4"/>
              <w:right w:val="single" w:color="000000" w:sz="4"/>
            </w:tcBorders>
          </w:tcPr>
          <w:p/>
        </w:tc>
        <w:tc>
          <w:tcPr>
            <w:tcW w:type="dxa" w:w="3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反光膜逆反射系数</w:t>
            </w:r>
          </w:p>
        </w:tc>
        <w:tc>
          <w:tcPr>
            <w:tcW w:type="dxa" w:w="2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逆反射系数测试仪</w:t>
            </w:r>
          </w:p>
        </w:tc>
      </w:tr>
      <w:tr>
        <w:tc>
          <w:tcPr>
            <w:tcW w:type="dxa" w:w="1594"/>
            <w:vMerge/>
            <w:tcBorders>
              <w:top w:val="none" w:color="000000" w:sz="4"/>
              <w:left w:val="single" w:color="000000" w:sz="4"/>
              <w:bottom w:val="single" w:color="000000" w:sz="4"/>
              <w:right w:val="single" w:color="000000" w:sz="4"/>
            </w:tcBorders>
          </w:tcPr>
          <w:p/>
        </w:tc>
        <w:tc>
          <w:tcPr>
            <w:tcW w:type="dxa" w:w="3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反光膜冬种颜色的色品坐标及亮度因数</w:t>
            </w:r>
          </w:p>
        </w:tc>
        <w:tc>
          <w:tcPr>
            <w:tcW w:type="dxa" w:w="2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测色仪</w:t>
            </w:r>
          </w:p>
        </w:tc>
      </w:tr>
      <w:tr>
        <w:tc>
          <w:tcPr>
            <w:tcW w:type="dxa" w:w="1594"/>
            <w:vMerge/>
            <w:tcBorders>
              <w:top w:val="none" w:color="000000" w:sz="4"/>
              <w:left w:val="single" w:color="000000" w:sz="4"/>
              <w:bottom w:val="single" w:color="000000" w:sz="4"/>
              <w:right w:val="single" w:color="000000" w:sz="4"/>
            </w:tcBorders>
          </w:tcPr>
          <w:p/>
        </w:tc>
        <w:tc>
          <w:tcPr>
            <w:tcW w:type="dxa" w:w="3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标志板下缘距路面高度</w:t>
            </w:r>
          </w:p>
        </w:tc>
        <w:tc>
          <w:tcPr>
            <w:tcW w:type="dxa" w:w="2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经纬仪、全站仪或尺量</w:t>
            </w:r>
          </w:p>
        </w:tc>
      </w:tr>
      <w:tr>
        <w:tc>
          <w:tcPr>
            <w:tcW w:type="dxa" w:w="1594"/>
            <w:vMerge/>
            <w:tcBorders>
              <w:top w:val="none" w:color="000000" w:sz="4"/>
              <w:left w:val="single" w:color="000000" w:sz="4"/>
              <w:bottom w:val="single" w:color="000000" w:sz="4"/>
              <w:right w:val="single" w:color="000000" w:sz="4"/>
            </w:tcBorders>
          </w:tcPr>
          <w:p/>
        </w:tc>
        <w:tc>
          <w:tcPr>
            <w:tcW w:type="dxa" w:w="3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底板、板面有无破损、变形，出现以上缺陷的位置及程度。</w:t>
            </w:r>
          </w:p>
        </w:tc>
        <w:tc>
          <w:tcPr>
            <w:tcW w:type="dxa" w:w="2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目测</w:t>
            </w:r>
          </w:p>
        </w:tc>
      </w:tr>
      <w:tr>
        <w:tc>
          <w:tcPr>
            <w:tcW w:type="dxa" w:w="1594"/>
            <w:vMerge/>
            <w:tcBorders>
              <w:top w:val="none" w:color="000000" w:sz="4"/>
              <w:left w:val="single" w:color="000000" w:sz="4"/>
              <w:bottom w:val="single" w:color="000000" w:sz="4"/>
              <w:right w:val="single" w:color="000000" w:sz="4"/>
            </w:tcBorders>
          </w:tcPr>
          <w:p/>
        </w:tc>
        <w:tc>
          <w:tcPr>
            <w:tcW w:type="dxa" w:w="3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滑槽、铆钉有无缺失、松动、损坏，表面有无破损、锈蚀，出现以上缺陷的位置、数量及程度。</w:t>
            </w:r>
          </w:p>
        </w:tc>
        <w:tc>
          <w:tcPr>
            <w:tcW w:type="dxa" w:w="2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铜锤、目测</w:t>
            </w:r>
          </w:p>
        </w:tc>
      </w:tr>
      <w:tr>
        <w:tc>
          <w:tcPr>
            <w:tcW w:type="dxa" w:w="15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支撑件</w:t>
            </w:r>
          </w:p>
        </w:tc>
        <w:tc>
          <w:tcPr>
            <w:tcW w:type="dxa" w:w="3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立柱、横梁有无歪斜、变形、晃动，表面有无破损、锈蚀，出现以上缺陷的位置及程度。</w:t>
            </w:r>
          </w:p>
        </w:tc>
        <w:tc>
          <w:tcPr>
            <w:tcW w:type="dxa" w:w="2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尺量、铜锤、目测</w:t>
            </w:r>
          </w:p>
        </w:tc>
      </w:tr>
      <w:tr>
        <w:tc>
          <w:tcPr>
            <w:tcW w:type="dxa" w:w="1594"/>
            <w:vMerge/>
            <w:tcBorders>
              <w:top w:val="none" w:color="000000" w:sz="4"/>
              <w:left w:val="single" w:color="000000" w:sz="4"/>
              <w:bottom w:val="single" w:color="000000" w:sz="4"/>
              <w:right w:val="single" w:color="000000" w:sz="4"/>
            </w:tcBorders>
          </w:tcPr>
          <w:p/>
        </w:tc>
        <w:tc>
          <w:tcPr>
            <w:tcW w:type="dxa" w:w="3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法兰盘、抱箍、紧固件有无缺失、松动、损坏，表面有无破损、锈蚀，出现以上缺陷的位置及程度。</w:t>
            </w:r>
          </w:p>
        </w:tc>
        <w:tc>
          <w:tcPr>
            <w:tcW w:type="dxa" w:w="2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铜锤、目测</w:t>
            </w:r>
          </w:p>
        </w:tc>
      </w:tr>
      <w:tr>
        <w:tc>
          <w:tcPr>
            <w:tcW w:type="dxa" w:w="15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基础</w:t>
            </w:r>
          </w:p>
        </w:tc>
        <w:tc>
          <w:tcPr>
            <w:tcW w:type="dxa" w:w="3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是否稳定，有无下沉、移位，基础表面有无破损，出现以上缺陷的位置及程度。</w:t>
            </w:r>
          </w:p>
        </w:tc>
        <w:tc>
          <w:tcPr>
            <w:tcW w:type="dxa" w:w="2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尺量、目测</w:t>
            </w:r>
          </w:p>
        </w:tc>
      </w:tr>
      <w:tr>
        <w:tc>
          <w:tcPr>
            <w:tcW w:type="dxa" w:w="15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电气</w:t>
            </w:r>
          </w:p>
        </w:tc>
        <w:tc>
          <w:tcPr>
            <w:tcW w:type="dxa" w:w="3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标志是否自主发光</w:t>
            </w:r>
          </w:p>
        </w:tc>
        <w:tc>
          <w:tcPr>
            <w:tcW w:type="dxa" w:w="2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目测</w:t>
            </w:r>
          </w:p>
        </w:tc>
      </w:tr>
      <w:tr>
        <w:tc>
          <w:tcPr>
            <w:tcW w:type="dxa" w:w="1594"/>
            <w:vMerge/>
            <w:tcBorders>
              <w:top w:val="none" w:color="000000" w:sz="4"/>
              <w:left w:val="single" w:color="000000" w:sz="4"/>
              <w:bottom w:val="single" w:color="000000" w:sz="4"/>
              <w:right w:val="single" w:color="000000" w:sz="4"/>
            </w:tcBorders>
          </w:tcPr>
          <w:p/>
        </w:tc>
        <w:tc>
          <w:tcPr>
            <w:tcW w:type="dxa" w:w="3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标志</w:t>
            </w:r>
            <w:r>
              <w:rPr>
                <w:sz w:val="21"/>
              </w:rPr>
              <w:t>LED显示是否正常、有无灯珠缺失、损毁情况</w:t>
            </w:r>
          </w:p>
        </w:tc>
        <w:tc>
          <w:tcPr>
            <w:tcW w:type="dxa" w:w="2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目测</w:t>
            </w:r>
          </w:p>
        </w:tc>
      </w:tr>
      <w:tr>
        <w:tc>
          <w:tcPr>
            <w:tcW w:type="dxa" w:w="1594"/>
            <w:vMerge/>
            <w:tcBorders>
              <w:top w:val="none" w:color="000000" w:sz="4"/>
              <w:left w:val="single" w:color="000000" w:sz="4"/>
              <w:bottom w:val="single" w:color="000000" w:sz="4"/>
              <w:right w:val="single" w:color="000000" w:sz="4"/>
            </w:tcBorders>
          </w:tcPr>
          <w:p/>
        </w:tc>
        <w:tc>
          <w:tcPr>
            <w:tcW w:type="dxa" w:w="3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标志供电电压是否正常</w:t>
            </w:r>
          </w:p>
        </w:tc>
        <w:tc>
          <w:tcPr>
            <w:tcW w:type="dxa" w:w="2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万用表</w:t>
            </w:r>
          </w:p>
        </w:tc>
      </w:tr>
      <w:tr>
        <w:tc>
          <w:tcPr>
            <w:tcW w:type="dxa" w:w="15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网络</w:t>
            </w:r>
          </w:p>
        </w:tc>
        <w:tc>
          <w:tcPr>
            <w:tcW w:type="dxa" w:w="3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网络信号是否正常</w:t>
            </w:r>
          </w:p>
        </w:tc>
        <w:tc>
          <w:tcPr>
            <w:tcW w:type="dxa" w:w="2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中心平台查看、测线仪</w:t>
            </w:r>
          </w:p>
        </w:tc>
      </w:tr>
    </w:tbl>
    <w:p>
      <w:pPr>
        <w:pStyle w:val="null3"/>
        <w:ind w:left="420"/>
        <w:jc w:val="both"/>
        <w:outlineLvl w:val="3"/>
      </w:pPr>
      <w:r>
        <w:rPr>
          <w:sz w:val="21"/>
          <w:b/>
        </w:rPr>
        <w:t>3.2.7.3.专项检查</w:t>
      </w:r>
    </w:p>
    <w:p>
      <w:pPr>
        <w:pStyle w:val="null3"/>
        <w:ind w:firstLine="420"/>
        <w:jc w:val="both"/>
      </w:pPr>
      <w:r>
        <w:rPr>
          <w:sz w:val="21"/>
        </w:rPr>
        <w:t>专项检查为在极端天气过后或在重大会议、庆典等活动前，根据需要对标志、标线的技术状况进行的全面检查。因大风、暴雨、暴雪、冰雹等极端天气易对标志的结构造成损伤，则极端天气过后的专项检查应重点检查标志结构的稳定性、连接件的牢固性等情况，其检查方法与定期检查相同；重大活动前的专项检查的检查内容、检查方法与定期检查相同。专项检查和定期检查可结合开展。</w:t>
      </w:r>
    </w:p>
    <w:p>
      <w:pPr>
        <w:pStyle w:val="null3"/>
        <w:ind w:left="420"/>
        <w:jc w:val="both"/>
        <w:outlineLvl w:val="3"/>
      </w:pPr>
      <w:r>
        <w:rPr>
          <w:sz w:val="21"/>
          <w:b/>
        </w:rPr>
        <w:t>3.2.7.4.安全检测</w:t>
      </w:r>
    </w:p>
    <w:p>
      <w:pPr>
        <w:pStyle w:val="null3"/>
        <w:ind w:firstLine="420"/>
        <w:jc w:val="both"/>
      </w:pPr>
      <w:r>
        <w:rPr>
          <w:sz w:val="21"/>
        </w:rPr>
        <w:t>大型交通标志涉及结构安全问题，为查清其病害原因、破损程度或使用性能，应对其进行专门的试验检测、验算与分析等详细检查和鉴定工作，即安全检测。安全检测在以下情况结合开展：</w:t>
      </w:r>
    </w:p>
    <w:p>
      <w:pPr>
        <w:pStyle w:val="null3"/>
        <w:ind w:firstLine="420"/>
        <w:jc w:val="both"/>
      </w:pPr>
      <w:r>
        <w:rPr>
          <w:sz w:val="21"/>
        </w:rPr>
        <w:t>（</w:t>
      </w:r>
      <w:r>
        <w:rPr>
          <w:sz w:val="21"/>
        </w:rPr>
        <w:t>1）受撞击、火灾、爆炸、地震或其他外力因素等情况影响，易造成标志损伤时；</w:t>
      </w:r>
    </w:p>
    <w:p>
      <w:pPr>
        <w:pStyle w:val="null3"/>
        <w:ind w:firstLine="420"/>
        <w:jc w:val="both"/>
      </w:pPr>
      <w:r>
        <w:rPr>
          <w:sz w:val="21"/>
        </w:rPr>
        <w:t>（</w:t>
      </w:r>
      <w:r>
        <w:rPr>
          <w:sz w:val="21"/>
        </w:rPr>
        <w:t>2）日常巡查、定期检查与专项检查中发现存在安全隐患并难以判明病害原因及程度的问题时；</w:t>
      </w:r>
    </w:p>
    <w:p>
      <w:pPr>
        <w:pStyle w:val="null3"/>
        <w:ind w:firstLine="420"/>
        <w:jc w:val="both"/>
      </w:pPr>
      <w:r>
        <w:rPr>
          <w:sz w:val="21"/>
        </w:rPr>
        <w:t>（</w:t>
      </w:r>
      <w:r>
        <w:rPr>
          <w:sz w:val="21"/>
        </w:rPr>
        <w:t>3）标志自交工验收至设计使用年限止，宜5~8年进行一次安全检测；</w:t>
      </w:r>
    </w:p>
    <w:p>
      <w:pPr>
        <w:pStyle w:val="null3"/>
        <w:ind w:firstLine="420"/>
        <w:jc w:val="both"/>
      </w:pPr>
      <w:r>
        <w:rPr>
          <w:sz w:val="21"/>
        </w:rPr>
        <w:t>（</w:t>
      </w:r>
      <w:r>
        <w:rPr>
          <w:sz w:val="21"/>
        </w:rPr>
        <w:t>4）标志达到设计使用年限需延长使用时，宜2~5年进行一次安全检测。</w:t>
      </w:r>
    </w:p>
    <w:p>
      <w:pPr>
        <w:pStyle w:val="null3"/>
        <w:ind w:firstLine="420"/>
        <w:jc w:val="both"/>
      </w:pPr>
      <w:r>
        <w:rPr>
          <w:sz w:val="21"/>
        </w:rPr>
        <w:t>安全检测应根据标志的破损情况与性质，采用仪器设备进行现场测试及其他辅助试验，针对标志现状进行验算分析，形成鉴定结论。其检测内容、检测方法应符合相关标准规范的要求。</w:t>
      </w:r>
    </w:p>
    <w:p>
      <w:pPr>
        <w:pStyle w:val="null3"/>
        <w:ind w:left="420"/>
        <w:jc w:val="both"/>
        <w:outlineLvl w:val="3"/>
      </w:pPr>
      <w:r>
        <w:rPr>
          <w:sz w:val="21"/>
          <w:b/>
        </w:rPr>
        <w:t>3.2.7.5.保养、维护</w:t>
      </w:r>
    </w:p>
    <w:p>
      <w:pPr>
        <w:pStyle w:val="null3"/>
        <w:ind w:firstLine="420"/>
        <w:jc w:val="both"/>
      </w:pPr>
      <w:r>
        <w:rPr>
          <w:sz w:val="21"/>
        </w:rPr>
        <w:t>日常维护工作应避免在日间和交通繁忙时间进行，当天的工作量应当天完成，不能遗留作业面，如遇特殊情况，需延长（迟）维护时间的，中标人可报请采购人（或管理单位）批准；所有交通设施因各种原因被损坏或被盗的，一般在</w:t>
      </w:r>
      <w:r>
        <w:rPr>
          <w:sz w:val="21"/>
        </w:rPr>
        <w:t>12小时内修复，涉及抢险（修）等情况的，应在2小时内排除险情。</w:t>
      </w:r>
    </w:p>
    <w:p>
      <w:pPr>
        <w:pStyle w:val="null3"/>
        <w:ind w:firstLine="420"/>
        <w:jc w:val="both"/>
      </w:pPr>
      <w:r>
        <w:rPr>
          <w:sz w:val="21"/>
        </w:rPr>
        <w:t>遭遇自然灾害、发生交通事故或出现其他异常情况时，应及时进行附加的特殊检查，发现问题要及时记录和处理。</w:t>
      </w:r>
    </w:p>
    <w:p>
      <w:pPr>
        <w:pStyle w:val="null3"/>
        <w:ind w:left="420"/>
        <w:jc w:val="both"/>
        <w:outlineLvl w:val="3"/>
      </w:pPr>
      <w:r>
        <w:rPr>
          <w:sz w:val="21"/>
          <w:b/>
        </w:rPr>
        <w:t>3.2.7.6.技术状况评定</w:t>
      </w:r>
    </w:p>
    <w:p>
      <w:pPr>
        <w:pStyle w:val="null3"/>
        <w:ind w:firstLine="420"/>
        <w:jc w:val="both"/>
      </w:pPr>
      <w:r>
        <w:rPr>
          <w:sz w:val="21"/>
        </w:rPr>
        <w:t>标志定期检查或专项检查后，应进行技术状况评定，以了解标志的技术状况，为后续制定养护计划提供依据。标志技术状况评定时对照相应的技术状况等级评定标准，按优、良、中、差四个等级评定。标志、标线的技术状况等级评定标准分为定性描述和定量描述，定性描述为不可通过数值衡量的、需由养护人员主观判断的检查指标的技术状况描述，定量描述为可通过数值衡量的检查指标的技术状况描述，定性与定量相结合可准确判定标志的技术状况。技术状况评定时，取各检查项目评级中最低的一级作为该标志、标线的技术状况等级。当标志被评为</w:t>
      </w:r>
      <w:r>
        <w:rPr>
          <w:sz w:val="21"/>
        </w:rPr>
        <w:t>“差”级时，则认为其技术状况不合格。标志的技术状况等级评定标准分别如表所示。</w:t>
      </w:r>
    </w:p>
    <w:p>
      <w:pPr>
        <w:pStyle w:val="null3"/>
        <w:ind w:firstLine="420"/>
        <w:jc w:val="center"/>
      </w:pPr>
      <w:r>
        <w:rPr>
          <w:sz w:val="21"/>
        </w:rPr>
        <w:t>标志技术状况等级评定标准</w:t>
      </w:r>
    </w:p>
    <w:tbl>
      <w:tblPr>
        <w:tblW w:w="0" w:type="auto"/>
        <w:tblBorders>
          <w:top w:val="none" w:color="000000" w:sz="4"/>
          <w:left w:val="none" w:color="000000" w:sz="4"/>
          <w:bottom w:val="none" w:color="000000" w:sz="4"/>
          <w:right w:val="none" w:color="000000" w:sz="4"/>
          <w:insideH w:val="none"/>
          <w:insideV w:val="none"/>
        </w:tblBorders>
      </w:tblPr>
      <w:tblGrid>
        <w:gridCol w:w="855"/>
        <w:gridCol w:w="3840"/>
        <w:gridCol w:w="3582"/>
      </w:tblGrid>
      <w:tr>
        <w:tc>
          <w:tcPr>
            <w:tcW w:type="dxa" w:w="85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技术状况</w:t>
            </w:r>
          </w:p>
        </w:tc>
        <w:tc>
          <w:tcPr>
            <w:tcW w:type="dxa" w:w="742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技术状况等级描述</w:t>
            </w:r>
          </w:p>
        </w:tc>
      </w:tr>
      <w:tr>
        <w:tc>
          <w:tcPr>
            <w:tcW w:type="dxa" w:w="855"/>
            <w:vMerge/>
            <w:tcBorders>
              <w:top w:val="single" w:color="000000" w:sz="4"/>
              <w:left w:val="single" w:color="000000" w:sz="4"/>
              <w:bottom w:val="single" w:color="000000" w:sz="4"/>
              <w:right w:val="single" w:color="000000" w:sz="4"/>
            </w:tcBorders>
          </w:tcPr>
          <w:p/>
        </w:tc>
        <w:tc>
          <w:tcPr>
            <w:tcW w:type="dxa" w:w="3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定性描述</w:t>
            </w:r>
          </w:p>
        </w:tc>
        <w:tc>
          <w:tcPr>
            <w:tcW w:type="dxa" w:w="35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定量描述</w:t>
            </w:r>
          </w:p>
        </w:tc>
      </w:tr>
      <w:tr>
        <w:tc>
          <w:tcPr>
            <w:tcW w:type="dxa" w:w="8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优</w:t>
            </w:r>
          </w:p>
        </w:tc>
        <w:tc>
          <w:tcPr>
            <w:tcW w:type="dxa" w:w="3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标志各部件完好，视认清晰。</w:t>
            </w:r>
          </w:p>
        </w:tc>
        <w:tc>
          <w:tcPr>
            <w:tcW w:type="dxa" w:w="3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标志板反光膜逆反射系数值</w:t>
            </w:r>
            <w:r>
              <w:rPr>
                <w:sz w:val="21"/>
              </w:rPr>
              <w:t>Rc:Rc&gt;90%Rs;</w:t>
            </w:r>
          </w:p>
          <w:p>
            <w:pPr>
              <w:pStyle w:val="null3"/>
              <w:jc w:val="left"/>
            </w:pPr>
            <w:r>
              <w:rPr>
                <w:sz w:val="21"/>
              </w:rPr>
              <w:t>反光膜冬种颜色的色品坐标及亮度因数保持在《道路交通反光膜》</w:t>
            </w:r>
            <w:r>
              <w:rPr>
                <w:sz w:val="21"/>
              </w:rPr>
              <w:t>(GB/T 18833)中表8或表9规定的范围内。</w:t>
            </w:r>
          </w:p>
        </w:tc>
      </w:tr>
      <w:tr>
        <w:tc>
          <w:tcPr>
            <w:tcW w:type="dxa" w:w="8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良</w:t>
            </w:r>
          </w:p>
        </w:tc>
        <w:tc>
          <w:tcPr>
            <w:tcW w:type="dxa" w:w="3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1、标志外表有轻微污渍:</w:t>
            </w:r>
          </w:p>
          <w:p>
            <w:pPr>
              <w:pStyle w:val="null3"/>
              <w:jc w:val="left"/>
            </w:pPr>
            <w:r>
              <w:rPr>
                <w:sz w:val="21"/>
              </w:rPr>
              <w:t>2、标志外观完整;</w:t>
            </w:r>
          </w:p>
          <w:p>
            <w:pPr>
              <w:pStyle w:val="null3"/>
              <w:jc w:val="left"/>
            </w:pPr>
            <w:r>
              <w:rPr>
                <w:sz w:val="21"/>
              </w:rPr>
              <w:t>3、标志版面内容清晰、准确;</w:t>
            </w:r>
          </w:p>
          <w:p>
            <w:pPr>
              <w:pStyle w:val="null3"/>
              <w:jc w:val="left"/>
            </w:pPr>
            <w:r>
              <w:rPr>
                <w:sz w:val="21"/>
              </w:rPr>
              <w:t>4、标志底板、板面无明显破损、变形:</w:t>
            </w:r>
          </w:p>
          <w:p>
            <w:pPr>
              <w:pStyle w:val="null3"/>
              <w:jc w:val="left"/>
            </w:pPr>
            <w:r>
              <w:rPr>
                <w:sz w:val="21"/>
              </w:rPr>
              <w:t>5、标志板滑槽、铆钉无缺失，有个别松动、损坏，表面有轻微破损、锈蚀;</w:t>
            </w:r>
          </w:p>
          <w:p>
            <w:pPr>
              <w:pStyle w:val="null3"/>
              <w:jc w:val="left"/>
            </w:pPr>
            <w:r>
              <w:rPr>
                <w:sz w:val="21"/>
              </w:rPr>
              <w:t>6、标志立柱、横梁无明显歪斜、变形，表面有轻微破损、锈蚀;</w:t>
            </w:r>
          </w:p>
          <w:p>
            <w:pPr>
              <w:pStyle w:val="null3"/>
              <w:jc w:val="left"/>
            </w:pPr>
            <w:r>
              <w:rPr>
                <w:sz w:val="21"/>
              </w:rPr>
              <w:t>7、标志法兰盘、抱箍、紧固件无缺失、松动、损坏，表面有轻微破损、锈蚀:</w:t>
            </w:r>
          </w:p>
          <w:p>
            <w:pPr>
              <w:pStyle w:val="null3"/>
              <w:jc w:val="left"/>
            </w:pPr>
            <w:r>
              <w:rPr>
                <w:sz w:val="21"/>
              </w:rPr>
              <w:t>8、标志基础稳定，无明显下沉、移位，基础表面无破损。</w:t>
            </w:r>
          </w:p>
        </w:tc>
        <w:tc>
          <w:tcPr>
            <w:tcW w:type="dxa" w:w="3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1、标志板反光膜逆反射系数值 Rc:80%Rs≤RC&lt;90%Rs:</w:t>
            </w:r>
          </w:p>
          <w:p>
            <w:pPr>
              <w:pStyle w:val="null3"/>
              <w:jc w:val="left"/>
            </w:pPr>
            <w:r>
              <w:rPr>
                <w:sz w:val="21"/>
              </w:rPr>
              <w:t>2、反光膜冬种颜色的色品坐标及亮度因数保持在《道路交通反光膜》(GB/T 18833)中表8或表9规定的范围内:</w:t>
            </w:r>
          </w:p>
          <w:p>
            <w:pPr>
              <w:pStyle w:val="null3"/>
              <w:jc w:val="left"/>
            </w:pPr>
            <w:r>
              <w:rPr>
                <w:sz w:val="21"/>
              </w:rPr>
              <w:t>3、标志板下缘距路面高度与设计值之差LG:-10mm≤Le&lt;0:</w:t>
            </w:r>
          </w:p>
          <w:p>
            <w:pPr>
              <w:pStyle w:val="null3"/>
              <w:jc w:val="left"/>
            </w:pPr>
            <w:r>
              <w:rPr>
                <w:sz w:val="21"/>
              </w:rPr>
              <w:t>4、标志板滑槽、铆钉松动、损坏的累计数量N:0&lt;Nb≤1%NB总;</w:t>
            </w:r>
          </w:p>
          <w:p>
            <w:pPr>
              <w:pStyle w:val="null3"/>
              <w:jc w:val="left"/>
            </w:pPr>
            <w:r>
              <w:rPr>
                <w:sz w:val="21"/>
              </w:rPr>
              <w:t>5、立柱垂直度L:0&lt;Lc.≤1mm/m;</w:t>
            </w:r>
          </w:p>
          <w:p>
            <w:pPr>
              <w:pStyle w:val="null3"/>
              <w:jc w:val="left"/>
            </w:pPr>
            <w:r>
              <w:rPr>
                <w:sz w:val="21"/>
              </w:rPr>
              <w:t>6、金属构件表面破损、锈蚀的累计面积Sj:0&lt;Sr≤5%Sj总;</w:t>
            </w:r>
          </w:p>
          <w:p>
            <w:pPr>
              <w:pStyle w:val="null3"/>
              <w:jc w:val="left"/>
            </w:pPr>
            <w:r>
              <w:rPr>
                <w:sz w:val="21"/>
              </w:rPr>
              <w:t>7、标志基础移位Ly:0&lt;Lr≤15mm。</w:t>
            </w:r>
          </w:p>
        </w:tc>
      </w:tr>
      <w:tr>
        <w:tc>
          <w:tcPr>
            <w:tcW w:type="dxa" w:w="8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w:t>
            </w:r>
          </w:p>
        </w:tc>
        <w:tc>
          <w:tcPr>
            <w:tcW w:type="dxa" w:w="3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1、标志外表有明显污渍:</w:t>
            </w:r>
          </w:p>
          <w:p>
            <w:pPr>
              <w:pStyle w:val="null3"/>
              <w:jc w:val="left"/>
            </w:pPr>
            <w:r>
              <w:rPr>
                <w:sz w:val="21"/>
              </w:rPr>
              <w:t>2、标志外观无明显缺失;</w:t>
            </w:r>
          </w:p>
          <w:p>
            <w:pPr>
              <w:pStyle w:val="null3"/>
              <w:jc w:val="left"/>
            </w:pPr>
            <w:r>
              <w:rPr>
                <w:sz w:val="21"/>
              </w:rPr>
              <w:t>3、标志版面内容有一定的视认不清;</w:t>
            </w:r>
          </w:p>
          <w:p>
            <w:pPr>
              <w:pStyle w:val="null3"/>
              <w:jc w:val="left"/>
            </w:pPr>
            <w:r>
              <w:rPr>
                <w:sz w:val="21"/>
              </w:rPr>
              <w:t>4、标志底板、板面有一定的破损、变形;</w:t>
            </w:r>
          </w:p>
          <w:p>
            <w:pPr>
              <w:pStyle w:val="null3"/>
              <w:jc w:val="left"/>
            </w:pPr>
            <w:r>
              <w:rPr>
                <w:sz w:val="21"/>
              </w:rPr>
              <w:t>5、标志板滑槽、铆钉有个别缺失，有一定数量的松动、损坏，表面有一定的破损、锈蚀:</w:t>
            </w:r>
          </w:p>
          <w:p>
            <w:pPr>
              <w:pStyle w:val="null3"/>
              <w:jc w:val="left"/>
            </w:pPr>
            <w:r>
              <w:rPr>
                <w:sz w:val="21"/>
              </w:rPr>
              <w:t>6、标志立柱、横梁有轻微歪斜、变形，表面有定的破损、锈蚀;</w:t>
            </w:r>
          </w:p>
          <w:p>
            <w:pPr>
              <w:pStyle w:val="null3"/>
              <w:jc w:val="left"/>
            </w:pPr>
            <w:r>
              <w:rPr>
                <w:sz w:val="21"/>
              </w:rPr>
              <w:t>7、标志法兰盘、抱箍、紧固件无缺失，有个别松动、损坏，表面有一定的破损、锈蚀;</w:t>
            </w:r>
          </w:p>
          <w:p>
            <w:pPr>
              <w:pStyle w:val="null3"/>
              <w:jc w:val="left"/>
            </w:pPr>
            <w:r>
              <w:rPr>
                <w:sz w:val="21"/>
              </w:rPr>
              <w:t>8、标志基础稳定，有轻微下沉、移位，基础表面有轻微破损。</w:t>
            </w:r>
          </w:p>
        </w:tc>
        <w:tc>
          <w:tcPr>
            <w:tcW w:type="dxa" w:w="3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1、标志板反光膜逆反射系数值Rc:70%RS≤Rc&lt;80%Rs;</w:t>
            </w:r>
          </w:p>
          <w:p>
            <w:pPr>
              <w:pStyle w:val="null3"/>
              <w:jc w:val="left"/>
            </w:pPr>
            <w:r>
              <w:rPr>
                <w:sz w:val="21"/>
              </w:rPr>
              <w:t>2、反光膜冬种颜色的色品坐标及亮度因数保持在《道路交通反光膜》(GB/T 18833)中表8或表9规定的范围内:</w:t>
            </w:r>
          </w:p>
          <w:p>
            <w:pPr>
              <w:pStyle w:val="null3"/>
              <w:jc w:val="left"/>
            </w:pPr>
            <w:r>
              <w:rPr>
                <w:sz w:val="21"/>
              </w:rPr>
              <w:t>3、标志板下缘距路面高度与设计值之差LG:-20mm≤IG&lt;-10mm;</w:t>
            </w:r>
          </w:p>
          <w:p>
            <w:pPr>
              <w:pStyle w:val="null3"/>
              <w:jc w:val="left"/>
            </w:pPr>
            <w:r>
              <w:rPr>
                <w:sz w:val="21"/>
              </w:rPr>
              <w:t>4、标志板滑槽、铆钉缺失、松动、损坏的累计数量N:1%NB总&lt;Nb≤10%NBa;</w:t>
            </w:r>
          </w:p>
          <w:p>
            <w:pPr>
              <w:pStyle w:val="null3"/>
              <w:jc w:val="left"/>
            </w:pPr>
            <w:r>
              <w:rPr>
                <w:sz w:val="21"/>
              </w:rPr>
              <w:t>5立杜垂直度Lc:1mm/m&lt;Lc≤2mm/m:</w:t>
            </w:r>
          </w:p>
          <w:p>
            <w:pPr>
              <w:pStyle w:val="null3"/>
              <w:jc w:val="left"/>
            </w:pPr>
            <w:r>
              <w:rPr>
                <w:sz w:val="21"/>
              </w:rPr>
              <w:t>6金属构件表面破损、锈蚀的累计面积Sj:5%Sj总&lt;Sj≤10%Sj总;</w:t>
            </w:r>
          </w:p>
          <w:p>
            <w:pPr>
              <w:pStyle w:val="null3"/>
              <w:jc w:val="left"/>
            </w:pPr>
            <w:r>
              <w:rPr>
                <w:sz w:val="21"/>
              </w:rPr>
              <w:t>7、标志基础移位Ly:15mm&lt;Lr≤30mm。</w:t>
            </w:r>
          </w:p>
        </w:tc>
      </w:tr>
      <w:tr>
        <w:tc>
          <w:tcPr>
            <w:tcW w:type="dxa" w:w="8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差</w:t>
            </w:r>
          </w:p>
        </w:tc>
        <w:tc>
          <w:tcPr>
            <w:tcW w:type="dxa" w:w="3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1、标志外表有大面积污渍，且难以清除;</w:t>
            </w:r>
          </w:p>
          <w:p>
            <w:pPr>
              <w:pStyle w:val="null3"/>
              <w:jc w:val="left"/>
            </w:pPr>
            <w:r>
              <w:rPr>
                <w:sz w:val="21"/>
              </w:rPr>
              <w:t>2、标志外观有明显缺失;</w:t>
            </w:r>
          </w:p>
          <w:p>
            <w:pPr>
              <w:pStyle w:val="null3"/>
              <w:jc w:val="left"/>
            </w:pPr>
            <w:r>
              <w:rPr>
                <w:sz w:val="21"/>
              </w:rPr>
              <w:t>3、标志版面信息错误或内容有大片视认不清:</w:t>
            </w:r>
          </w:p>
          <w:p>
            <w:pPr>
              <w:pStyle w:val="null3"/>
              <w:jc w:val="left"/>
            </w:pPr>
            <w:r>
              <w:rPr>
                <w:sz w:val="21"/>
              </w:rPr>
              <w:t>4、标志底板、板面有明显破损、变形:</w:t>
            </w:r>
          </w:p>
          <w:p>
            <w:pPr>
              <w:pStyle w:val="null3"/>
              <w:jc w:val="left"/>
            </w:pPr>
            <w:r>
              <w:rPr>
                <w:sz w:val="21"/>
              </w:rPr>
              <w:t>5、标志板滑槽、铆钉有较多缺失、松动、损坏.表面有大面积破损、锈蚀:</w:t>
            </w:r>
          </w:p>
          <w:p>
            <w:pPr>
              <w:pStyle w:val="null3"/>
              <w:jc w:val="left"/>
            </w:pPr>
            <w:r>
              <w:rPr>
                <w:sz w:val="21"/>
              </w:rPr>
              <w:t>6、标志立柱、横梁有明显歪斜、变形、晃动，表面有大面积破损、锈蚀:</w:t>
            </w:r>
          </w:p>
          <w:p>
            <w:pPr>
              <w:pStyle w:val="null3"/>
              <w:jc w:val="left"/>
            </w:pPr>
            <w:r>
              <w:rPr>
                <w:sz w:val="21"/>
              </w:rPr>
              <w:t>7、标志法兰盘、抱箍、紧固件存在缺失，有较多松动、损坏，表面有大面积破损、锈蚀;</w:t>
            </w:r>
          </w:p>
          <w:p>
            <w:pPr>
              <w:pStyle w:val="null3"/>
              <w:jc w:val="left"/>
            </w:pPr>
            <w:r>
              <w:rPr>
                <w:sz w:val="21"/>
              </w:rPr>
              <w:t>8标志基础松动，有明显下沉、移位，基础表面有明显破损。</w:t>
            </w:r>
          </w:p>
        </w:tc>
        <w:tc>
          <w:tcPr>
            <w:tcW w:type="dxa" w:w="3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1、标志板反光膜逆反射系数值RC:RC&lt;70%Rs;</w:t>
            </w:r>
          </w:p>
          <w:p>
            <w:pPr>
              <w:pStyle w:val="null3"/>
              <w:jc w:val="left"/>
            </w:pPr>
            <w:r>
              <w:rPr>
                <w:sz w:val="21"/>
              </w:rPr>
              <w:t>2、反光膜冬种颜色的色品坐标及亮度因数不在《道路交通反光膜》(GB/T 18833)中表8或表9规定的范围内:</w:t>
            </w:r>
          </w:p>
          <w:p>
            <w:pPr>
              <w:pStyle w:val="null3"/>
              <w:jc w:val="left"/>
            </w:pPr>
            <w:r>
              <w:rPr>
                <w:sz w:val="21"/>
              </w:rPr>
              <w:t>3、标志板下缘距路面高度与设计值之差LG:LG&lt;-20mm;</w:t>
            </w:r>
          </w:p>
          <w:p>
            <w:pPr>
              <w:pStyle w:val="null3"/>
              <w:jc w:val="left"/>
            </w:pPr>
            <w:r>
              <w:rPr>
                <w:sz w:val="21"/>
              </w:rPr>
              <w:t>4、标志板滑槽、铆钉缺失、松动、损坏的累计数量Nb:Nb&gt;10%NB总;</w:t>
            </w:r>
          </w:p>
          <w:p>
            <w:pPr>
              <w:pStyle w:val="null3"/>
              <w:jc w:val="left"/>
            </w:pPr>
            <w:r>
              <w:rPr>
                <w:sz w:val="21"/>
              </w:rPr>
              <w:t>5、立杜垂直度Lc:Lc&gt;2mm/m;</w:t>
            </w:r>
          </w:p>
          <w:p>
            <w:pPr>
              <w:pStyle w:val="null3"/>
              <w:jc w:val="left"/>
            </w:pPr>
            <w:r>
              <w:rPr>
                <w:sz w:val="21"/>
              </w:rPr>
              <w:t>6、金属构件表面破损、锈蚀的累计面积Sj:Sj&gt;10%Sj总;</w:t>
            </w:r>
          </w:p>
          <w:p>
            <w:pPr>
              <w:pStyle w:val="null3"/>
              <w:jc w:val="left"/>
            </w:pPr>
            <w:r>
              <w:rPr>
                <w:sz w:val="21"/>
              </w:rPr>
              <w:t>7标志基础移位Ly:Ly&gt;30mm。</w:t>
            </w:r>
          </w:p>
        </w:tc>
      </w:tr>
    </w:tbl>
    <w:p>
      <w:pPr>
        <w:pStyle w:val="null3"/>
        <w:ind w:firstLine="420"/>
        <w:jc w:val="both"/>
      </w:pPr>
      <w:r>
        <w:rPr>
          <w:sz w:val="21"/>
        </w:rPr>
        <w:t>注</w:t>
      </w:r>
      <w:r>
        <w:rPr>
          <w:sz w:val="21"/>
        </w:rPr>
        <w:t>:标志板反光膜逆反射系数值的观测条件为观测角0.2°、入射角为-4、15°、和30%时;</w:t>
      </w:r>
    </w:p>
    <w:p>
      <w:pPr>
        <w:pStyle w:val="null3"/>
        <w:ind w:firstLine="420"/>
        <w:jc w:val="both"/>
      </w:pPr>
      <w:r>
        <w:rPr>
          <w:sz w:val="21"/>
        </w:rPr>
        <w:t>Rs一一标志板反光膜设计逆反射系数值;</w:t>
      </w:r>
    </w:p>
    <w:p>
      <w:pPr>
        <w:pStyle w:val="null3"/>
        <w:ind w:firstLine="420"/>
        <w:jc w:val="both"/>
      </w:pPr>
      <w:r>
        <w:rPr>
          <w:sz w:val="21"/>
        </w:rPr>
        <w:t>Nb总一一标志板滑槽、铆钉调查的总数量;</w:t>
      </w:r>
    </w:p>
    <w:p>
      <w:pPr>
        <w:pStyle w:val="null3"/>
        <w:ind w:firstLine="420"/>
        <w:jc w:val="both"/>
      </w:pPr>
      <w:r>
        <w:rPr>
          <w:sz w:val="21"/>
        </w:rPr>
        <w:t>Sj总一一金属构件调查的总数量。</w:t>
      </w:r>
    </w:p>
    <w:p>
      <w:pPr>
        <w:pStyle w:val="null3"/>
        <w:ind w:left="420"/>
        <w:jc w:val="both"/>
        <w:outlineLvl w:val="2"/>
      </w:pPr>
      <w:r>
        <w:rPr>
          <w:sz w:val="21"/>
          <w:b/>
        </w:rPr>
        <w:t>3.2.8.道闸与保安亭设施</w:t>
      </w:r>
    </w:p>
    <w:p>
      <w:pPr>
        <w:pStyle w:val="null3"/>
        <w:ind w:left="420"/>
        <w:jc w:val="both"/>
        <w:outlineLvl w:val="3"/>
      </w:pPr>
      <w:r>
        <w:rPr>
          <w:sz w:val="21"/>
          <w:b/>
        </w:rPr>
        <w:t>3.2.8.1.日常巡查</w:t>
      </w:r>
    </w:p>
    <w:p>
      <w:pPr>
        <w:pStyle w:val="null3"/>
        <w:ind w:firstLine="420"/>
        <w:jc w:val="both"/>
      </w:pPr>
      <w:r>
        <w:rPr>
          <w:sz w:val="21"/>
        </w:rPr>
        <w:t>车辆道闸巡查：巡查周期小于</w:t>
      </w:r>
      <w:r>
        <w:rPr>
          <w:sz w:val="21"/>
        </w:rPr>
        <w:t>60天</w:t>
      </w:r>
    </w:p>
    <w:p>
      <w:pPr>
        <w:pStyle w:val="null3"/>
        <w:ind w:firstLine="420"/>
        <w:jc w:val="both"/>
      </w:pPr>
      <w:r>
        <w:rPr>
          <w:sz w:val="21"/>
        </w:rPr>
        <w:t>定期检查道闸的机械结构、电气元件和控制系统，确保其正常工作。定期清洁道闸表面和内部部件，避免积灰和污垢影响使用。</w:t>
      </w:r>
    </w:p>
    <w:p>
      <w:pPr>
        <w:pStyle w:val="null3"/>
        <w:ind w:firstLine="420"/>
        <w:jc w:val="both"/>
      </w:pPr>
      <w:r>
        <w:rPr>
          <w:sz w:val="21"/>
        </w:rPr>
        <w:t>对道闸的运动部件进行润滑和保养，确保其顺畅运行。在合适的时间间隔内，为道闸的传动装置、轴承和摩擦部位添加润滑油，减少摩擦和磨损。</w:t>
      </w:r>
    </w:p>
    <w:p>
      <w:pPr>
        <w:pStyle w:val="null3"/>
        <w:ind w:firstLine="420"/>
        <w:jc w:val="both"/>
      </w:pPr>
      <w:r>
        <w:rPr>
          <w:sz w:val="21"/>
        </w:rPr>
        <w:t>定期进行设备的预防性检修，随时发现和解决潜在问题，避免设备故障对交通和安全带来影响。例如，检查道闸的电缆、电源以及控制系统的电路，确保线路连接良好，避免短路或断电情况。</w:t>
      </w:r>
    </w:p>
    <w:p>
      <w:pPr>
        <w:pStyle w:val="null3"/>
        <w:ind w:firstLine="420"/>
        <w:jc w:val="both"/>
      </w:pPr>
      <w:r>
        <w:rPr>
          <w:sz w:val="21"/>
        </w:rPr>
        <w:t>保安亭检查：巡查周期小于</w:t>
      </w:r>
      <w:r>
        <w:rPr>
          <w:sz w:val="21"/>
        </w:rPr>
        <w:t>90天</w:t>
      </w:r>
    </w:p>
    <w:p>
      <w:pPr>
        <w:pStyle w:val="null3"/>
        <w:ind w:firstLine="420"/>
        <w:jc w:val="both"/>
      </w:pPr>
      <w:r>
        <w:rPr>
          <w:sz w:val="21"/>
        </w:rPr>
        <w:t>保安亭外墙、玻璃、门窗等进行定期清洁，以确保良好的外观和透明度。保持室内卫生，定期打扫和除尘。</w:t>
      </w:r>
    </w:p>
    <w:p>
      <w:pPr>
        <w:pStyle w:val="null3"/>
        <w:ind w:firstLine="420"/>
        <w:jc w:val="both"/>
      </w:pPr>
      <w:r>
        <w:rPr>
          <w:sz w:val="21"/>
        </w:rPr>
        <w:t>保安亭内部设备的维护包括照明设备、监控设备、通讯设备等。定期检查设备的工作状态，更换损坏的部件，确保其正常运行。</w:t>
      </w:r>
    </w:p>
    <w:p>
      <w:pPr>
        <w:pStyle w:val="null3"/>
        <w:ind w:firstLine="420"/>
        <w:jc w:val="both"/>
      </w:pPr>
      <w:r>
        <w:rPr>
          <w:sz w:val="21"/>
        </w:rPr>
        <w:t>保安亭通常需要进行防水处理，对屋顶、墙壁、地板等部位进行检查，发现漏水和潮湿问题及时修补，防止设备损坏和腐蚀。</w:t>
      </w:r>
    </w:p>
    <w:p>
      <w:pPr>
        <w:pStyle w:val="null3"/>
        <w:ind w:firstLine="420"/>
        <w:jc w:val="both"/>
      </w:pPr>
      <w:r>
        <w:rPr>
          <w:sz w:val="21"/>
        </w:rPr>
        <w:t>定期检查保安亭的安全设施，例如防火设备、紧急按钮、逃生出口等，确保其可靠性和使用合规性。</w:t>
      </w:r>
    </w:p>
    <w:p>
      <w:pPr>
        <w:pStyle w:val="null3"/>
        <w:ind w:left="420"/>
        <w:jc w:val="both"/>
        <w:outlineLvl w:val="3"/>
      </w:pPr>
      <w:r>
        <w:rPr>
          <w:sz w:val="21"/>
          <w:b/>
        </w:rPr>
        <w:t>3.2.8.2.故障维修</w:t>
      </w:r>
    </w:p>
    <w:p>
      <w:pPr>
        <w:pStyle w:val="null3"/>
        <w:ind w:firstLine="420"/>
        <w:jc w:val="both"/>
      </w:pPr>
      <w:r>
        <w:rPr>
          <w:sz w:val="21"/>
        </w:rPr>
        <w:t>道闸和保安亭故障报修流程：</w:t>
      </w:r>
    </w:p>
    <w:p>
      <w:pPr>
        <w:pStyle w:val="null3"/>
        <w:ind w:firstLine="420"/>
        <w:jc w:val="both"/>
      </w:pPr>
      <w:r>
        <w:rPr>
          <w:sz w:val="21"/>
        </w:rPr>
        <w:t>发现故障</w:t>
      </w:r>
      <w:r>
        <w:rPr>
          <w:sz w:val="21"/>
        </w:rPr>
        <w:t>——&gt;故障报修——&gt;故障评估——&gt;维修计划——&gt;维修执行——&gt;测试调试——&gt;维修记录——&gt;维修反馈和报告。</w:t>
      </w:r>
    </w:p>
    <w:p>
      <w:pPr>
        <w:pStyle w:val="null3"/>
        <w:ind w:firstLine="420"/>
        <w:jc w:val="both"/>
      </w:pPr>
      <w:r>
        <w:rPr>
          <w:sz w:val="21"/>
        </w:rPr>
        <w:t>1、当车辆道闸或保安亭发生故障时，相关人员需要及时进行故障报告。可以通过电话、微信、邮件或其他适当的方式向中标人或责任人员报告故障情况。</w:t>
      </w:r>
    </w:p>
    <w:p>
      <w:pPr>
        <w:pStyle w:val="null3"/>
        <w:ind w:firstLine="420"/>
        <w:jc w:val="both"/>
      </w:pPr>
      <w:r>
        <w:rPr>
          <w:sz w:val="21"/>
        </w:rPr>
        <w:t>2、中标人或责任人员需要对接收到的故障报告进行评估。中标人需要调查故障的性质、原因和可能的解决方案，并确定需要采取的措施。</w:t>
      </w:r>
    </w:p>
    <w:p>
      <w:pPr>
        <w:pStyle w:val="null3"/>
        <w:ind w:firstLine="420"/>
        <w:jc w:val="both"/>
      </w:pPr>
      <w:r>
        <w:rPr>
          <w:sz w:val="21"/>
        </w:rPr>
        <w:t>3、在进行故障评估之后，中标人需要制定维修计划。该计划会明确维修的时间安排、所需资源和所需修复步骤。</w:t>
      </w:r>
    </w:p>
    <w:p>
      <w:pPr>
        <w:pStyle w:val="null3"/>
        <w:ind w:firstLine="420"/>
        <w:jc w:val="both"/>
      </w:pPr>
      <w:r>
        <w:rPr>
          <w:sz w:val="21"/>
        </w:rPr>
        <w:t>4、根据维修计划，中标人实施维修措施。可能需要更换损坏的零件、进行调整、修复电气或机械问题等，以恢复车辆道闸或保安亭的正常功能。</w:t>
      </w:r>
    </w:p>
    <w:p>
      <w:pPr>
        <w:pStyle w:val="null3"/>
        <w:ind w:firstLine="420"/>
        <w:jc w:val="both"/>
      </w:pPr>
      <w:r>
        <w:rPr>
          <w:sz w:val="21"/>
        </w:rPr>
        <w:t>5、在完成维修后，中标人需要进行一系列测试和调试，以确保车辆道闸或保安亭的功能恢复正常，并符合预期的安全和性能要求。</w:t>
      </w:r>
    </w:p>
    <w:p>
      <w:pPr>
        <w:pStyle w:val="null3"/>
        <w:ind w:firstLine="420"/>
        <w:jc w:val="both"/>
      </w:pPr>
      <w:r>
        <w:rPr>
          <w:sz w:val="21"/>
        </w:rPr>
        <w:t>6、中标人需要记录维修过程和维修结果，包括所采取的措施、所更换的零件、维修时间等。这些记录和文件可以用于日后的维护和维修参考。</w:t>
      </w:r>
    </w:p>
    <w:p>
      <w:pPr>
        <w:pStyle w:val="null3"/>
        <w:ind w:firstLine="420"/>
        <w:jc w:val="both"/>
      </w:pPr>
      <w:r>
        <w:rPr>
          <w:sz w:val="21"/>
        </w:rPr>
        <w:t>7、经过维修的车辆道闸或保安亭通常需要进行验收。中标人或责任人员需要向相关人员提供维修反馈和报告，包括维修的范围、改进建议以及可能的预防措施。</w:t>
      </w:r>
    </w:p>
    <w:p>
      <w:pPr>
        <w:pStyle w:val="null3"/>
        <w:ind w:left="420"/>
        <w:jc w:val="both"/>
        <w:outlineLvl w:val="2"/>
      </w:pPr>
      <w:r>
        <w:rPr>
          <w:sz w:val="21"/>
          <w:b/>
        </w:rPr>
        <w:t>3.2.9.其它道路设施</w:t>
      </w:r>
    </w:p>
    <w:p>
      <w:pPr>
        <w:pStyle w:val="null3"/>
        <w:ind w:firstLine="420"/>
        <w:jc w:val="both"/>
      </w:pPr>
      <w:r>
        <w:rPr>
          <w:sz w:val="21"/>
        </w:rPr>
        <w:t>本项目除以上专项设施外其它道路设施，包括井盖传感器、紧急呼叫、公共广播、环境传感、气象传感、水位传感等设施维护内容：</w:t>
      </w:r>
    </w:p>
    <w:p>
      <w:pPr>
        <w:pStyle w:val="null3"/>
        <w:ind w:left="420"/>
        <w:jc w:val="both"/>
        <w:outlineLvl w:val="3"/>
      </w:pPr>
      <w:r>
        <w:rPr>
          <w:sz w:val="21"/>
          <w:b/>
        </w:rPr>
        <w:t>3.2.9.1.定期巡检：</w:t>
      </w:r>
    </w:p>
    <w:p>
      <w:pPr>
        <w:pStyle w:val="null3"/>
        <w:ind w:firstLine="420"/>
        <w:jc w:val="both"/>
      </w:pPr>
      <w:r>
        <w:rPr>
          <w:sz w:val="21"/>
        </w:rPr>
        <w:t>经常性检查的频率不少于</w:t>
      </w:r>
      <w:r>
        <w:rPr>
          <w:sz w:val="21"/>
        </w:rPr>
        <w:t>1次/月;定期检查的频率不少于1次/年;遭遇自然灾害、发生交通事故或出现其他异常情况时，应及时进行附加的特殊检查:设施更新改造之后，应进行全面的专项检查。</w:t>
      </w:r>
    </w:p>
    <w:p>
      <w:pPr>
        <w:pStyle w:val="null3"/>
        <w:ind w:firstLine="420"/>
        <w:jc w:val="both"/>
      </w:pPr>
      <w:r>
        <w:rPr>
          <w:sz w:val="21"/>
        </w:rPr>
        <w:t>检查井盖传感器、紧急呼叫、公共广播、环境传感、气象传感、水位传感的外观、连接线路等是否完好，并及时处理发现的问题。</w:t>
      </w:r>
    </w:p>
    <w:p>
      <w:pPr>
        <w:pStyle w:val="null3"/>
        <w:ind w:left="420"/>
        <w:jc w:val="both"/>
        <w:outlineLvl w:val="3"/>
      </w:pPr>
      <w:r>
        <w:rPr>
          <w:sz w:val="21"/>
          <w:b/>
        </w:rPr>
        <w:t>3.2.9.2.清洁保养：</w:t>
      </w:r>
    </w:p>
    <w:p>
      <w:pPr>
        <w:pStyle w:val="null3"/>
        <w:ind w:firstLine="420"/>
        <w:jc w:val="both"/>
      </w:pPr>
      <w:r>
        <w:rPr>
          <w:sz w:val="21"/>
        </w:rPr>
        <w:t>对井盖传感器、紧急呼叫、公共广播、环境传感、气象传感、水位传感及周围环境进行清洁，确保无积尘、杂物等影响正常运行。</w:t>
      </w:r>
    </w:p>
    <w:p>
      <w:pPr>
        <w:pStyle w:val="null3"/>
        <w:ind w:firstLine="420"/>
        <w:jc w:val="both"/>
      </w:pPr>
      <w:r>
        <w:rPr>
          <w:sz w:val="21"/>
        </w:rPr>
        <w:t>定期清理井盖传感器、水位传感周围的沙土、泥污等，防止影响传感器的准确检测。</w:t>
      </w:r>
    </w:p>
    <w:p>
      <w:pPr>
        <w:pStyle w:val="null3"/>
        <w:ind w:left="420"/>
        <w:jc w:val="both"/>
        <w:outlineLvl w:val="3"/>
      </w:pPr>
      <w:r>
        <w:rPr>
          <w:sz w:val="21"/>
          <w:b/>
        </w:rPr>
        <w:t>3.2.9.3.定期校准：</w:t>
      </w:r>
    </w:p>
    <w:p>
      <w:pPr>
        <w:pStyle w:val="null3"/>
        <w:ind w:firstLine="420"/>
        <w:jc w:val="both"/>
      </w:pPr>
      <w:r>
        <w:rPr>
          <w:sz w:val="21"/>
        </w:rPr>
        <w:t>对井盖监测器的传感器、环境传感、气象传感、水位传感进行定期校准，确保监测结果准确可靠。</w:t>
      </w:r>
    </w:p>
    <w:p>
      <w:pPr>
        <w:pStyle w:val="null3"/>
        <w:ind w:firstLine="420"/>
        <w:jc w:val="both"/>
      </w:pPr>
      <w:r>
        <w:rPr>
          <w:sz w:val="21"/>
        </w:rPr>
        <w:t>根据厂家要求或技术规范，进行校准操作，并记录相关数据。</w:t>
      </w:r>
    </w:p>
    <w:p>
      <w:pPr>
        <w:pStyle w:val="null3"/>
        <w:ind w:left="420"/>
        <w:jc w:val="both"/>
        <w:outlineLvl w:val="3"/>
      </w:pPr>
      <w:r>
        <w:rPr>
          <w:sz w:val="21"/>
          <w:b/>
        </w:rPr>
        <w:t>3.2.9.4.故障处理：</w:t>
      </w:r>
    </w:p>
    <w:p>
      <w:pPr>
        <w:pStyle w:val="null3"/>
        <w:ind w:firstLine="420"/>
        <w:jc w:val="both"/>
      </w:pPr>
      <w:r>
        <w:rPr>
          <w:sz w:val="21"/>
        </w:rPr>
        <w:t>发现井盖传感器、紧急呼叫、公共广播、环境传感、气象传感、水位传感出现故障或异常情况时，及时报修或更换设备。</w:t>
      </w:r>
    </w:p>
    <w:p>
      <w:pPr>
        <w:pStyle w:val="null3"/>
        <w:ind w:firstLine="420"/>
        <w:jc w:val="both"/>
      </w:pPr>
      <w:r>
        <w:rPr>
          <w:sz w:val="21"/>
        </w:rPr>
        <w:t>因交通事故、自然灾害或其他原因造成的设施损伤应及时进行修复。</w:t>
      </w:r>
    </w:p>
    <w:p>
      <w:pPr>
        <w:pStyle w:val="null3"/>
        <w:ind w:firstLine="420"/>
        <w:jc w:val="both"/>
      </w:pPr>
      <w:r>
        <w:rPr>
          <w:sz w:val="21"/>
        </w:rPr>
        <w:t>维修人员应具备相应的技术能力，确保故障能够及时有效地处理。</w:t>
      </w:r>
    </w:p>
    <w:p>
      <w:pPr>
        <w:pStyle w:val="null3"/>
        <w:ind w:firstLine="420"/>
        <w:jc w:val="both"/>
      </w:pPr>
      <w:r>
        <w:rPr>
          <w:sz w:val="21"/>
        </w:rPr>
        <w:t>对于事故多发路段和一些特殊路段，应结合公路安全保障工程的技术内容，及时改造完善各种交通安全设施。</w:t>
      </w:r>
    </w:p>
    <w:p>
      <w:pPr>
        <w:pStyle w:val="null3"/>
        <w:ind w:left="420"/>
        <w:jc w:val="both"/>
        <w:outlineLvl w:val="2"/>
      </w:pPr>
      <w:r>
        <w:rPr>
          <w:sz w:val="21"/>
          <w:b/>
        </w:rPr>
        <w:t>3.2.10.应急抢修</w:t>
      </w:r>
    </w:p>
    <w:p>
      <w:pPr>
        <w:pStyle w:val="null3"/>
        <w:ind w:firstLine="420"/>
        <w:jc w:val="both"/>
      </w:pPr>
      <w:r>
        <w:rPr>
          <w:sz w:val="21"/>
        </w:rPr>
        <w:t>应急抢修分为道路设施供电紧急故障抢修、道路设施外力紧急故障抢修和非设施紧急故障配合抢修等。</w:t>
      </w:r>
    </w:p>
    <w:p>
      <w:pPr>
        <w:pStyle w:val="null3"/>
        <w:ind w:firstLine="420"/>
        <w:jc w:val="both"/>
      </w:pPr>
      <w:r>
        <w:rPr>
          <w:sz w:val="21"/>
        </w:rPr>
        <w:t>1、道路设施供电紧急故障抢修应至少包括以下故障类型：</w:t>
      </w:r>
    </w:p>
    <w:p>
      <w:pPr>
        <w:pStyle w:val="null3"/>
        <w:ind w:firstLine="420"/>
        <w:jc w:val="both"/>
      </w:pPr>
      <w:r>
        <w:rPr>
          <w:sz w:val="21"/>
        </w:rPr>
        <w:t>a)夜间集中灭灯；</w:t>
      </w:r>
    </w:p>
    <w:p>
      <w:pPr>
        <w:pStyle w:val="null3"/>
        <w:ind w:firstLine="420"/>
        <w:jc w:val="both"/>
      </w:pPr>
      <w:r>
        <w:rPr>
          <w:sz w:val="21"/>
        </w:rPr>
        <w:t>b)白天集中亮灯；</w:t>
      </w:r>
    </w:p>
    <w:p>
      <w:pPr>
        <w:pStyle w:val="null3"/>
        <w:ind w:firstLine="420"/>
        <w:jc w:val="both"/>
      </w:pPr>
      <w:r>
        <w:rPr>
          <w:sz w:val="21"/>
        </w:rPr>
        <w:t>c)其他设施紧急故障等。</w:t>
      </w:r>
    </w:p>
    <w:p>
      <w:pPr>
        <w:pStyle w:val="null3"/>
        <w:ind w:firstLine="420"/>
        <w:jc w:val="both"/>
      </w:pPr>
      <w:r>
        <w:rPr>
          <w:sz w:val="21"/>
        </w:rPr>
        <w:t>2、道路设施外力紧急故障抢修应至少包括以下故障类型：</w:t>
      </w:r>
    </w:p>
    <w:p>
      <w:pPr>
        <w:pStyle w:val="null3"/>
        <w:ind w:firstLine="420"/>
        <w:jc w:val="both"/>
      </w:pPr>
      <w:r>
        <w:rPr>
          <w:sz w:val="21"/>
        </w:rPr>
        <w:t>a)外力撞杆；</w:t>
      </w:r>
    </w:p>
    <w:p>
      <w:pPr>
        <w:pStyle w:val="null3"/>
        <w:ind w:firstLine="420"/>
        <w:jc w:val="both"/>
      </w:pPr>
      <w:r>
        <w:rPr>
          <w:sz w:val="21"/>
        </w:rPr>
        <w:t>b)电井盖丢失、破损、位移，沟道进水；</w:t>
      </w:r>
    </w:p>
    <w:p>
      <w:pPr>
        <w:pStyle w:val="null3"/>
        <w:ind w:firstLine="420"/>
        <w:jc w:val="both"/>
      </w:pPr>
      <w:r>
        <w:rPr>
          <w:sz w:val="21"/>
        </w:rPr>
        <w:t>c)外力原因切断线路等。</w:t>
      </w:r>
    </w:p>
    <w:p>
      <w:pPr>
        <w:pStyle w:val="null3"/>
        <w:ind w:firstLine="420"/>
        <w:jc w:val="both"/>
      </w:pPr>
      <w:r>
        <w:rPr>
          <w:sz w:val="21"/>
        </w:rPr>
        <w:t>3、非道路设施紧急故障配合抢修应至少包括以下故障类型：</w:t>
      </w:r>
    </w:p>
    <w:p>
      <w:pPr>
        <w:pStyle w:val="null3"/>
        <w:ind w:firstLine="420"/>
        <w:jc w:val="both"/>
      </w:pPr>
      <w:r>
        <w:rPr>
          <w:sz w:val="21"/>
        </w:rPr>
        <w:t>a)配合切断道路设施电源；</w:t>
      </w:r>
    </w:p>
    <w:p>
      <w:pPr>
        <w:pStyle w:val="null3"/>
        <w:ind w:firstLine="420"/>
        <w:jc w:val="both"/>
      </w:pPr>
      <w:r>
        <w:rPr>
          <w:sz w:val="21"/>
        </w:rPr>
        <w:t>b)配合挪移道路设施；</w:t>
      </w:r>
    </w:p>
    <w:p>
      <w:pPr>
        <w:pStyle w:val="null3"/>
        <w:ind w:firstLine="420"/>
        <w:jc w:val="both"/>
      </w:pPr>
      <w:r>
        <w:rPr>
          <w:sz w:val="21"/>
        </w:rPr>
        <w:t>c)配合现场值守等。</w:t>
      </w:r>
    </w:p>
    <w:p>
      <w:pPr>
        <w:pStyle w:val="null3"/>
        <w:ind w:firstLine="420"/>
        <w:jc w:val="both"/>
      </w:pPr>
      <w:r>
        <w:rPr>
          <w:sz w:val="21"/>
        </w:rPr>
        <w:t>4、应急抢修应符合以下规定：</w:t>
      </w:r>
    </w:p>
    <w:p>
      <w:pPr>
        <w:pStyle w:val="null3"/>
        <w:ind w:firstLine="420"/>
        <w:jc w:val="both"/>
      </w:pPr>
      <w:r>
        <w:rPr>
          <w:sz w:val="21"/>
        </w:rPr>
        <w:t>a)应针对道路设施突发事件的类型事先制定应急预案，并报管委会备案；</w:t>
      </w:r>
    </w:p>
    <w:p>
      <w:pPr>
        <w:pStyle w:val="null3"/>
        <w:ind w:firstLine="420"/>
        <w:jc w:val="both"/>
      </w:pPr>
      <w:r>
        <w:rPr>
          <w:sz w:val="21"/>
        </w:rPr>
        <w:t>b)应急抢修工程应根据现场故障情况进行处置，处置后应符合CJJ89的相关规定；</w:t>
      </w:r>
    </w:p>
    <w:p>
      <w:pPr>
        <w:pStyle w:val="null3"/>
        <w:ind w:firstLine="420"/>
        <w:jc w:val="both"/>
      </w:pPr>
      <w:r>
        <w:rPr>
          <w:sz w:val="21"/>
        </w:rPr>
        <w:t>c)故障处理完毕后，应及时确认设施恢复正常；</w:t>
      </w:r>
    </w:p>
    <w:p>
      <w:pPr>
        <w:pStyle w:val="null3"/>
        <w:ind w:firstLine="420"/>
        <w:jc w:val="both"/>
      </w:pPr>
      <w:r>
        <w:rPr>
          <w:sz w:val="21"/>
        </w:rPr>
        <w:t>d)对于经过应急抢修而恢复功能的道路设施，遗留有未能及时处理的故障时，应上报管委会；</w:t>
      </w:r>
    </w:p>
    <w:p>
      <w:pPr>
        <w:pStyle w:val="null3"/>
        <w:ind w:firstLine="420"/>
        <w:jc w:val="both"/>
      </w:pPr>
      <w:r>
        <w:rPr>
          <w:sz w:val="21"/>
        </w:rPr>
        <w:t>e)应急抢修完成后应清理抢修现场，确保无污染。</w:t>
      </w:r>
    </w:p>
    <w:p>
      <w:pPr>
        <w:pStyle w:val="null3"/>
        <w:ind w:firstLine="420"/>
        <w:jc w:val="both"/>
      </w:pPr>
      <w:r>
        <w:rPr>
          <w:sz w:val="21"/>
        </w:rPr>
        <w:t>5、应急抢修时间应符合以下规定：</w:t>
      </w:r>
    </w:p>
    <w:p>
      <w:pPr>
        <w:pStyle w:val="null3"/>
        <w:ind w:firstLine="420"/>
        <w:jc w:val="both"/>
      </w:pPr>
      <w:r>
        <w:rPr>
          <w:sz w:val="21"/>
        </w:rPr>
        <w:t>a)应在45min内到达故障现场；</w:t>
      </w:r>
    </w:p>
    <w:p>
      <w:pPr>
        <w:pStyle w:val="null3"/>
        <w:ind w:firstLine="420"/>
        <w:jc w:val="both"/>
      </w:pPr>
      <w:r>
        <w:rPr>
          <w:sz w:val="21"/>
        </w:rPr>
        <w:t>b)抢修时间从接到报修开始，对一般故障，应在24h内处理完毕；对复杂故障，宜在48h内处理完毕，且不应超过72h；</w:t>
      </w:r>
    </w:p>
    <w:p>
      <w:pPr>
        <w:pStyle w:val="null3"/>
        <w:ind w:firstLine="420"/>
        <w:jc w:val="both"/>
      </w:pPr>
      <w:r>
        <w:rPr>
          <w:sz w:val="21"/>
        </w:rPr>
        <w:t>c)对于可能引起次生灾害等风险的特殊故障抢修，应根据实际情况缩短处理时间。</w:t>
      </w:r>
    </w:p>
    <w:p>
      <w:pPr>
        <w:pStyle w:val="null3"/>
        <w:ind w:firstLine="420"/>
        <w:jc w:val="both"/>
      </w:pPr>
      <w:r>
        <w:rPr>
          <w:sz w:val="21"/>
        </w:rPr>
        <w:t>6、应急抢修在现在人员配备和机械配备能够完成抢修情况下，采购方不再增加费用，如维护单位需要增加人员和机械需要提供详细抢修费用清单，全年增加费用不能超出项目总额10%，超过部分由中标人自行承担。</w:t>
      </w:r>
    </w:p>
    <w:p>
      <w:pPr>
        <w:pStyle w:val="null3"/>
        <w:ind w:left="420"/>
        <w:jc w:val="both"/>
        <w:outlineLvl w:val="2"/>
      </w:pPr>
      <w:r>
        <w:rPr>
          <w:sz w:val="21"/>
          <w:b/>
        </w:rPr>
        <w:t>3.2.11.特殊天气保障</w:t>
      </w:r>
    </w:p>
    <w:p>
      <w:pPr>
        <w:pStyle w:val="null3"/>
        <w:ind w:firstLine="420"/>
        <w:jc w:val="both"/>
      </w:pPr>
      <w:r>
        <w:rPr>
          <w:sz w:val="21"/>
        </w:rPr>
        <w:t>智慧道路前端设备在特殊天气条件下的维护保障非常重要，可以采取以下措施来应对各种特殊天气情况：</w:t>
      </w:r>
    </w:p>
    <w:p>
      <w:pPr>
        <w:pStyle w:val="null3"/>
        <w:ind w:firstLine="420"/>
        <w:jc w:val="both"/>
      </w:pPr>
      <w:r>
        <w:rPr>
          <w:sz w:val="21"/>
        </w:rPr>
        <w:t>极端高温：在高温天气下，设备可能会受到过热的影响，导致性能下降或甚至损坏。因此，需要定期检查设备的散热系统，确保通风良好。同时，避免设备长时间处于直射阳光下，可以采用遮阳措施。</w:t>
      </w:r>
    </w:p>
    <w:p>
      <w:pPr>
        <w:pStyle w:val="null3"/>
        <w:ind w:firstLine="420"/>
        <w:jc w:val="both"/>
      </w:pPr>
      <w:r>
        <w:rPr>
          <w:sz w:val="21"/>
        </w:rPr>
        <w:t>极端低温：在寒冷天气中，要注意设备的防冻保护。确保设备外壳结构能够有效隔离冷空气和湿气，防止结冰。此外，保持设备正常供电和加强设备的绝缘措施也很重要。</w:t>
      </w:r>
    </w:p>
    <w:p>
      <w:pPr>
        <w:pStyle w:val="null3"/>
        <w:ind w:firstLine="420"/>
        <w:jc w:val="both"/>
      </w:pPr>
      <w:r>
        <w:rPr>
          <w:sz w:val="21"/>
        </w:rPr>
        <w:t>强风和风沙：在强风和风沙天气中，需要加强设备的固定和稳定性，确保设备不会被风吹倒或受到颗粒物侵蚀。可以采用加固设备架的方式，并且定期检查和维修设备固定螺栓等连接部件。</w:t>
      </w:r>
    </w:p>
    <w:p>
      <w:pPr>
        <w:pStyle w:val="null3"/>
        <w:ind w:firstLine="420"/>
        <w:jc w:val="both"/>
      </w:pPr>
      <w:r>
        <w:rPr>
          <w:sz w:val="21"/>
        </w:rPr>
        <w:t>暴雨和洪水：在暴雨天气中，需要确保设备的密封性能良好，防止雨水渗入设备内部。可以采用防水罩或防水胶带进行保护。对于易受水淹的地区，还可以将设备安装在较高的位置或采取隔水措施。</w:t>
      </w:r>
    </w:p>
    <w:p>
      <w:pPr>
        <w:pStyle w:val="null3"/>
        <w:ind w:firstLine="420"/>
        <w:jc w:val="both"/>
      </w:pPr>
      <w:r>
        <w:rPr>
          <w:sz w:val="21"/>
        </w:rPr>
        <w:t>冰雪天气：在冰雪天气中，要特别注意设备的防滑和除冰工作。及时清理设备表面的积雪和冰冻，同时可以使用除冰剂进行处理，确保设备正常运行和人员安全。</w:t>
      </w:r>
    </w:p>
    <w:p>
      <w:pPr>
        <w:pStyle w:val="null3"/>
        <w:ind w:firstLine="420"/>
        <w:jc w:val="both"/>
      </w:pPr>
      <w:r>
        <w:rPr>
          <w:sz w:val="21"/>
        </w:rPr>
        <w:t>此外，对于特殊天气条件下的设备维护，定期的巡检和维护是至关重要的。养护人员需要关注天气预报，提前做好准备工作，并且密切关注设备的运行状态，及时发现和处理异常情况。遇到特殊天气条件时，维护人员要加强与相关部门的沟通和协调，共同应对各种天气极端情况，确保智慧道路前端设备的正常运行和稳定性。</w:t>
      </w:r>
    </w:p>
    <w:p>
      <w:pPr>
        <w:pStyle w:val="null3"/>
        <w:ind w:firstLine="420"/>
        <w:jc w:val="both"/>
      </w:pPr>
      <w:r>
        <w:rPr>
          <w:sz w:val="21"/>
        </w:rPr>
        <w:t>因台风（八级或八级以上）、暴雨、洪水等自然灾害后</w:t>
      </w:r>
      <w:r>
        <w:rPr>
          <w:sz w:val="21"/>
        </w:rPr>
        <w:t>12小时内或采购人根据实际情况设定的时间内必须完成现场抢修工作，费用另计。</w:t>
      </w:r>
    </w:p>
    <w:p>
      <w:pPr>
        <w:pStyle w:val="null3"/>
        <w:ind w:left="420"/>
        <w:jc w:val="both"/>
        <w:outlineLvl w:val="2"/>
      </w:pPr>
      <w:r>
        <w:rPr>
          <w:sz w:val="21"/>
          <w:b/>
        </w:rPr>
        <w:t>3.2.12.节假日、大型活动</w:t>
      </w:r>
    </w:p>
    <w:p>
      <w:pPr>
        <w:pStyle w:val="null3"/>
        <w:ind w:firstLine="420"/>
        <w:jc w:val="both"/>
      </w:pPr>
      <w:r>
        <w:rPr>
          <w:sz w:val="21"/>
        </w:rPr>
        <w:t>节假日和大型活动期间的维护要特别重视，以确保设备的正常运行和交通管理的有效性。以下是一些应对策略：</w:t>
      </w:r>
    </w:p>
    <w:p>
      <w:pPr>
        <w:pStyle w:val="null3"/>
        <w:ind w:firstLine="420"/>
        <w:jc w:val="both"/>
      </w:pPr>
      <w:r>
        <w:rPr>
          <w:sz w:val="21"/>
        </w:rPr>
        <w:t>1、提前计划：在节假日和大型活动之前，制定详细的维护计划。考虑到人员和资源可能有限，确保维护团队能够充足且及时地进行设备维护和故障排除。</w:t>
      </w:r>
    </w:p>
    <w:p>
      <w:pPr>
        <w:pStyle w:val="null3"/>
        <w:ind w:firstLine="420"/>
        <w:jc w:val="both"/>
      </w:pPr>
      <w:r>
        <w:rPr>
          <w:sz w:val="21"/>
        </w:rPr>
        <w:t>2、人员调配：根据节假日和大型活动的交通流量和需求，调配足够数量的维护人员。确保设备维护团队具备足够的专业知识和技能，能够熟练处理设备故障和维护问题。</w:t>
      </w:r>
    </w:p>
    <w:p>
      <w:pPr>
        <w:pStyle w:val="null3"/>
        <w:ind w:firstLine="420"/>
        <w:jc w:val="both"/>
      </w:pPr>
      <w:r>
        <w:rPr>
          <w:sz w:val="21"/>
        </w:rPr>
        <w:t>3、值班机制：建立24小时值班机制，确保设备维护人员能够及时响应紧急情况和故障报警。设备维护人员应保持通讯畅通，随时可以接收到设备故障报警信息并采取相应措施。</w:t>
      </w:r>
    </w:p>
    <w:p>
      <w:pPr>
        <w:pStyle w:val="null3"/>
        <w:ind w:firstLine="420"/>
        <w:jc w:val="both"/>
      </w:pPr>
      <w:r>
        <w:rPr>
          <w:sz w:val="21"/>
        </w:rPr>
        <w:t>4、预防性维护：提前对设备进行全面检查和预防性维护，包括设备的外观、摄像头、传感器、通信设备等。发现问题及时修复，以避免在节假日和大型活动期间出现设备故障。</w:t>
      </w:r>
    </w:p>
    <w:p>
      <w:pPr>
        <w:pStyle w:val="null3"/>
        <w:ind w:firstLine="420"/>
        <w:jc w:val="both"/>
      </w:pPr>
      <w:r>
        <w:rPr>
          <w:sz w:val="21"/>
        </w:rPr>
        <w:t>5、协调合作：与相关部门、交通管理部门和活动组织者进行紧密合作，共同制定应对策略和应急预案。在需要疏导交通、设立临时交通规则等情况下，积极提供支持和协助。</w:t>
      </w:r>
    </w:p>
    <w:p>
      <w:pPr>
        <w:pStyle w:val="null3"/>
        <w:ind w:firstLine="420"/>
        <w:jc w:val="both"/>
      </w:pPr>
      <w:r>
        <w:rPr>
          <w:sz w:val="21"/>
        </w:rPr>
        <w:t>通过以上措施，可以确保节假日和大型活动期间智慧道路前端设备的维护和管理工作得到有效执行，提升道路交通的安全性和畅通性。同时，应对节假日和大型活动期间的维护需求，还需要根据具体情况灵活调整和补充措施，以确保设备的稳定运行。</w:t>
      </w:r>
    </w:p>
    <w:p>
      <w:pPr>
        <w:pStyle w:val="null3"/>
        <w:ind w:firstLine="420"/>
        <w:jc w:val="both"/>
      </w:pPr>
      <w:r>
        <w:rPr>
          <w:sz w:val="21"/>
        </w:rPr>
        <w:t>每逢节假日如元旦、春节、五一、国庆及市</w:t>
      </w:r>
      <w:r>
        <w:rPr>
          <w:sz w:val="21"/>
        </w:rPr>
        <w:t>(街道)政府要求的特别日子，采购人需在主要路口、路段另安装灯饰，中标人应积极配合。如需交给中标人安装的灯饰，造型方案要报采购人审批和同意，费用另计。</w:t>
      </w:r>
    </w:p>
    <w:p>
      <w:pPr>
        <w:pStyle w:val="null3"/>
        <w:ind w:left="420"/>
        <w:jc w:val="both"/>
        <w:outlineLvl w:val="2"/>
      </w:pPr>
      <w:r>
        <w:rPr>
          <w:sz w:val="21"/>
          <w:b/>
        </w:rPr>
        <w:t>3.2.13.缺陷和隐患处理</w:t>
      </w:r>
    </w:p>
    <w:p>
      <w:pPr>
        <w:pStyle w:val="null3"/>
        <w:ind w:firstLine="420"/>
        <w:jc w:val="both"/>
      </w:pPr>
      <w:r>
        <w:rPr>
          <w:sz w:val="21"/>
        </w:rPr>
        <w:t>运维中发现的对道路设施本身及周边环境出现影响安全、可靠和运行的情况，应纳入设施缺陷并进行治理。</w:t>
      </w:r>
    </w:p>
    <w:p>
      <w:pPr>
        <w:pStyle w:val="null3"/>
        <w:ind w:firstLine="420"/>
        <w:jc w:val="both"/>
      </w:pPr>
      <w:r>
        <w:rPr>
          <w:sz w:val="21"/>
        </w:rPr>
        <w:t>设施缺陷按其对人身、设施的危害或影响程度，可划分为一般缺陷、严重缺陷两个等级。</w:t>
      </w:r>
    </w:p>
    <w:p>
      <w:pPr>
        <w:pStyle w:val="null3"/>
        <w:ind w:firstLine="420"/>
        <w:jc w:val="both"/>
      </w:pPr>
      <w:r>
        <w:rPr>
          <w:sz w:val="21"/>
        </w:rPr>
        <w:t>设施缺陷应按照</w:t>
      </w:r>
      <w:r>
        <w:rPr>
          <w:sz w:val="21"/>
        </w:rPr>
        <w:t>“发现-上报-检修-验收-归档”的流程形成闭环管理。</w:t>
      </w:r>
    </w:p>
    <w:p>
      <w:pPr>
        <w:pStyle w:val="null3"/>
        <w:ind w:firstLine="420"/>
        <w:jc w:val="both"/>
      </w:pPr>
      <w:r>
        <w:rPr>
          <w:sz w:val="21"/>
        </w:rPr>
        <w:t>发现严重缺陷时应立即上报，并在确保安全的前提下采取临时防护措施。</w:t>
      </w:r>
    </w:p>
    <w:p>
      <w:pPr>
        <w:pStyle w:val="null3"/>
        <w:ind w:firstLine="420"/>
        <w:jc w:val="both"/>
      </w:pPr>
      <w:r>
        <w:rPr>
          <w:sz w:val="21"/>
        </w:rPr>
        <w:t>各类缺陷自发现至消除时间应符合以下要求：</w:t>
      </w:r>
    </w:p>
    <w:p>
      <w:pPr>
        <w:pStyle w:val="null3"/>
        <w:ind w:firstLine="420"/>
        <w:jc w:val="both"/>
      </w:pPr>
      <w:r>
        <w:rPr>
          <w:sz w:val="21"/>
        </w:rPr>
        <w:t>a)严重缺陷应在48h内消除；</w:t>
      </w:r>
    </w:p>
    <w:p>
      <w:pPr>
        <w:pStyle w:val="null3"/>
        <w:ind w:firstLine="420"/>
        <w:jc w:val="both"/>
      </w:pPr>
      <w:r>
        <w:rPr>
          <w:sz w:val="21"/>
        </w:rPr>
        <w:t>b)一般缺陷可在保证安全的前提下，结合检修计划消除；</w:t>
      </w:r>
    </w:p>
    <w:p>
      <w:pPr>
        <w:pStyle w:val="null3"/>
        <w:ind w:firstLine="420"/>
        <w:jc w:val="both"/>
      </w:pPr>
      <w:r>
        <w:rPr>
          <w:sz w:val="21"/>
        </w:rPr>
        <w:t>c)因现场环境、手续、资金投入等方面原因不能在一年内消除的一般缺陷，应报送管理部门申请纳入技术改造进行治理。</w:t>
      </w:r>
    </w:p>
    <w:p>
      <w:pPr>
        <w:pStyle w:val="null3"/>
        <w:ind w:firstLine="420"/>
        <w:jc w:val="both"/>
      </w:pPr>
      <w:r>
        <w:rPr>
          <w:sz w:val="21"/>
        </w:rPr>
        <w:t>超出消除缺陷周期仍未消除的设施严重缺陷，应纳入安全生产事故隐患进行防护和治理。</w:t>
      </w:r>
    </w:p>
    <w:p>
      <w:pPr>
        <w:pStyle w:val="null3"/>
        <w:ind w:firstLine="420"/>
        <w:jc w:val="both"/>
      </w:pPr>
      <w:r>
        <w:rPr>
          <w:sz w:val="21"/>
        </w:rPr>
        <w:t>道路设施事故隐患根据可能造成的事故后果可分为重大事故隐患和一般事故隐患两级。</w:t>
      </w:r>
    </w:p>
    <w:p>
      <w:pPr>
        <w:pStyle w:val="null3"/>
        <w:ind w:firstLine="420"/>
        <w:jc w:val="both"/>
      </w:pPr>
      <w:r>
        <w:rPr>
          <w:sz w:val="21"/>
        </w:rPr>
        <w:t>运维单位应当建立健全事故隐患排查治理和建档监控等制度，并应逐级建立并落实隐患排查治理和监控责任制。</w:t>
      </w:r>
    </w:p>
    <w:p>
      <w:pPr>
        <w:pStyle w:val="null3"/>
        <w:ind w:firstLine="420"/>
        <w:jc w:val="both"/>
      </w:pPr>
      <w:r>
        <w:rPr>
          <w:sz w:val="21"/>
        </w:rPr>
        <w:t>运维单位应定期组织排查设施安全隐患，对排查出的事故隐患，应当按照事故隐患的等级建立信息档案，并应按照职责分工实施监控治理。</w:t>
      </w:r>
    </w:p>
    <w:p>
      <w:pPr>
        <w:pStyle w:val="null3"/>
        <w:ind w:firstLine="420"/>
        <w:jc w:val="both"/>
      </w:pPr>
      <w:r>
        <w:rPr>
          <w:sz w:val="21"/>
        </w:rPr>
        <w:t>事故隐患排查治理应按照</w:t>
      </w:r>
      <w:r>
        <w:rPr>
          <w:sz w:val="21"/>
        </w:rPr>
        <w:t>“排查-评估-上报-治理-验收-注销”的流程形成闭环管理。</w:t>
      </w:r>
    </w:p>
    <w:p>
      <w:pPr>
        <w:pStyle w:val="null3"/>
        <w:ind w:firstLine="420"/>
        <w:jc w:val="both"/>
      </w:pPr>
      <w:r>
        <w:rPr>
          <w:sz w:val="21"/>
        </w:rPr>
        <w:t>设施带缺陷或隐患运行期间，运维人员应加强监视，采取相应应急措施。</w:t>
      </w:r>
    </w:p>
    <w:p>
      <w:pPr>
        <w:pStyle w:val="null3"/>
        <w:ind w:firstLine="420"/>
        <w:jc w:val="both"/>
      </w:pPr>
      <w:r>
        <w:rPr>
          <w:sz w:val="21"/>
        </w:rPr>
        <w:t>道路照明设施缺陷及隐患处置记录参见附件。</w:t>
      </w:r>
    </w:p>
    <w:p>
      <w:pPr>
        <w:pStyle w:val="null3"/>
        <w:ind w:left="420"/>
        <w:jc w:val="both"/>
        <w:outlineLvl w:val="2"/>
      </w:pPr>
      <w:r>
        <w:rPr>
          <w:sz w:val="21"/>
          <w:b/>
        </w:rPr>
        <w:t>3.2.14.设施保护</w:t>
      </w:r>
    </w:p>
    <w:p>
      <w:pPr>
        <w:pStyle w:val="null3"/>
        <w:ind w:firstLine="420"/>
        <w:jc w:val="both"/>
      </w:pPr>
      <w:r>
        <w:rPr>
          <w:sz w:val="21"/>
        </w:rPr>
        <w:t>运维单位应加强设施运行环境巡查，及时掌握环境动态情况，防止各类外力破坏。</w:t>
      </w:r>
    </w:p>
    <w:p>
      <w:pPr>
        <w:pStyle w:val="null3"/>
        <w:ind w:firstLine="420"/>
        <w:jc w:val="both"/>
      </w:pPr>
      <w:r>
        <w:rPr>
          <w:sz w:val="21"/>
        </w:rPr>
        <w:t>当线路和设施受到外力破坏、被盗时，应保护现场、留取原始资料、及时向主管部门报告；现场人员应进行相应紧急处置并进行安全防护。</w:t>
      </w:r>
    </w:p>
    <w:p>
      <w:pPr>
        <w:pStyle w:val="null3"/>
        <w:ind w:firstLine="420"/>
        <w:jc w:val="both"/>
      </w:pPr>
      <w:r>
        <w:rPr>
          <w:sz w:val="21"/>
        </w:rPr>
        <w:t>因自然生长而不符合安全距离要求或者遮挡功能照明光线的树木，运维单位应及时汇总上报主管部门，并应由主管部门通知有关单位及时修剪；如存在安全风险，应先做好现场安全防护或先行处理，同时通报相关管理部门。</w:t>
      </w:r>
    </w:p>
    <w:p>
      <w:pPr>
        <w:pStyle w:val="null3"/>
        <w:ind w:firstLine="420"/>
        <w:jc w:val="both"/>
      </w:pPr>
      <w:r>
        <w:rPr>
          <w:sz w:val="21"/>
        </w:rPr>
        <w:t>因施工挖掘暴露的电缆，应由维护人员在现场监护，并告知施工人员有关注意事项和保护措施。</w:t>
      </w:r>
    </w:p>
    <w:p>
      <w:pPr>
        <w:pStyle w:val="null3"/>
        <w:ind w:firstLine="420"/>
        <w:jc w:val="both"/>
      </w:pPr>
      <w:r>
        <w:rPr>
          <w:sz w:val="21"/>
        </w:rPr>
        <w:t>运维单位应定期开展设施保护巡查，并应及时评估和消除影响。</w:t>
      </w:r>
    </w:p>
    <w:p>
      <w:pPr>
        <w:pStyle w:val="null3"/>
        <w:ind w:left="420"/>
        <w:jc w:val="both"/>
        <w:outlineLvl w:val="1"/>
      </w:pPr>
      <w:r>
        <w:rPr>
          <w:sz w:val="21"/>
          <w:b/>
        </w:rPr>
        <w:t>3.3.安全生产管理</w:t>
      </w:r>
    </w:p>
    <w:p>
      <w:pPr>
        <w:pStyle w:val="null3"/>
        <w:ind w:firstLine="420"/>
        <w:jc w:val="both"/>
      </w:pPr>
      <w:r>
        <w:rPr>
          <w:sz w:val="21"/>
        </w:rPr>
        <w:t>为保证车辆、行人安全和施工正常进行，应按有关国家标准规定设置路栏、锥形交通路标、导向标等告示性和警告性标志。</w:t>
      </w:r>
    </w:p>
    <w:p>
      <w:pPr>
        <w:pStyle w:val="null3"/>
        <w:ind w:firstLine="420"/>
        <w:jc w:val="both"/>
      </w:pPr>
      <w:r>
        <w:rPr>
          <w:sz w:val="21"/>
        </w:rPr>
        <w:t>1、在施工作业、落石、塌方等危险路段两端或周围应设置路栏。</w:t>
      </w:r>
    </w:p>
    <w:p>
      <w:pPr>
        <w:pStyle w:val="null3"/>
        <w:ind w:firstLine="420"/>
        <w:jc w:val="both"/>
      </w:pPr>
      <w:r>
        <w:rPr>
          <w:sz w:val="21"/>
        </w:rPr>
        <w:t>2、在指引车辆绕过的施工、维修作业区或其他障碍物路段，应设置锥形交通路标。</w:t>
      </w:r>
    </w:p>
    <w:p>
      <w:pPr>
        <w:pStyle w:val="null3"/>
        <w:ind w:firstLine="420"/>
        <w:jc w:val="both"/>
      </w:pPr>
      <w:r>
        <w:rPr>
          <w:sz w:val="21"/>
        </w:rPr>
        <w:t>3、在路线方向发生明显变化处，应设置指示性导向标:在施工或维修作业区两端应设置警告性导向标。</w:t>
      </w:r>
    </w:p>
    <w:p>
      <w:pPr>
        <w:pStyle w:val="null3"/>
        <w:ind w:firstLine="420"/>
        <w:jc w:val="both"/>
      </w:pPr>
      <w:r>
        <w:rPr>
          <w:sz w:val="21"/>
        </w:rPr>
        <w:t>4、进入维护作业现场内的人员，必须穿戴具有反光功能的安全标志服和防护帽</w:t>
      </w:r>
    </w:p>
    <w:p>
      <w:pPr>
        <w:pStyle w:val="null3"/>
        <w:ind w:firstLine="420"/>
        <w:jc w:val="both"/>
      </w:pPr>
      <w:r>
        <w:rPr>
          <w:sz w:val="21"/>
        </w:rPr>
        <w:t>（</w:t>
      </w:r>
      <w:r>
        <w:rPr>
          <w:sz w:val="21"/>
        </w:rPr>
        <w:t>2）路栏、锥形交通路标和导向标，有移动式临时性设施，也有固定的永久性设施，应分别采取不同的养护和管理方法。</w:t>
      </w:r>
    </w:p>
    <w:p>
      <w:pPr>
        <w:pStyle w:val="null3"/>
        <w:ind w:left="420"/>
        <w:jc w:val="both"/>
        <w:outlineLvl w:val="1"/>
      </w:pPr>
      <w:r>
        <w:rPr>
          <w:sz w:val="21"/>
          <w:b/>
        </w:rPr>
        <w:t>3.4.在运维期间中标人对以下情况免责</w:t>
      </w:r>
    </w:p>
    <w:p>
      <w:pPr>
        <w:pStyle w:val="null3"/>
        <w:ind w:firstLine="420"/>
        <w:jc w:val="both"/>
      </w:pPr>
      <w:r>
        <w:rPr>
          <w:sz w:val="21"/>
        </w:rPr>
        <w:t>1）不可抗力造成的业务停止。</w:t>
      </w:r>
    </w:p>
    <w:p>
      <w:pPr>
        <w:pStyle w:val="null3"/>
        <w:ind w:firstLine="420"/>
        <w:jc w:val="both"/>
      </w:pPr>
      <w:r>
        <w:rPr>
          <w:sz w:val="21"/>
        </w:rPr>
        <w:t>2）合同约定的修复周期内造成的业务停止。</w:t>
      </w:r>
    </w:p>
    <w:p>
      <w:pPr>
        <w:pStyle w:val="null3"/>
        <w:ind w:firstLine="420"/>
        <w:jc w:val="both"/>
      </w:pPr>
      <w:r>
        <w:rPr>
          <w:sz w:val="21"/>
        </w:rPr>
        <w:t>3）故障发生到故障正常发现的时间造成的业务停止。</w:t>
      </w:r>
    </w:p>
    <w:p>
      <w:pPr>
        <w:pStyle w:val="null3"/>
        <w:ind w:firstLine="420"/>
        <w:jc w:val="both"/>
      </w:pPr>
      <w:r>
        <w:rPr>
          <w:sz w:val="21"/>
        </w:rPr>
        <w:t>4）因为市政停电造成的设备停止运行。</w:t>
      </w:r>
    </w:p>
    <w:p>
      <w:pPr>
        <w:pStyle w:val="null3"/>
        <w:ind w:firstLine="420"/>
        <w:jc w:val="both"/>
      </w:pPr>
      <w:r>
        <w:rPr>
          <w:sz w:val="21"/>
        </w:rPr>
        <w:t>5）因道路施工造成的管沟破损、外场设备被盗抢、人为破坏等第三方原因造成的设备损毁，在采购人书面确认维修方案及正常修复之前造成的业务停止（双方签字的第三方故障报告作为免责的依据）。</w:t>
      </w:r>
    </w:p>
    <w:p>
      <w:pPr>
        <w:pStyle w:val="null3"/>
        <w:ind w:left="420"/>
        <w:jc w:val="both"/>
        <w:outlineLvl w:val="1"/>
      </w:pPr>
      <w:r>
        <w:rPr>
          <w:sz w:val="21"/>
          <w:b/>
        </w:rPr>
        <w:t>3.5.服务便利性</w:t>
      </w:r>
    </w:p>
    <w:p>
      <w:pPr>
        <w:pStyle w:val="null3"/>
        <w:ind w:firstLine="420"/>
        <w:jc w:val="both"/>
      </w:pPr>
      <w:r>
        <w:rPr>
          <w:sz w:val="21"/>
        </w:rPr>
        <w:t>1、建立24小时紧急响应机制：建立紧急故障响应中心或热线电话，在设备发生紧急故障时能够随时响应和派遣维修人员。同时，配备专业的应急维修团队，能够在最短时间内到达现场进行处理，提高服务的便利性和紧急性。</w:t>
      </w:r>
    </w:p>
    <w:p>
      <w:pPr>
        <w:pStyle w:val="null3"/>
        <w:ind w:firstLine="420"/>
        <w:jc w:val="both"/>
      </w:pPr>
      <w:r>
        <w:rPr>
          <w:sz w:val="21"/>
        </w:rPr>
        <w:t>2、优化备品备件流程：中标人应在新区设立备品备件仓库，优化更换备品备件流程，减少等待时间，提升服务效率。</w:t>
      </w:r>
    </w:p>
    <w:p>
      <w:pPr>
        <w:pStyle w:val="null3"/>
        <w:ind w:firstLine="420"/>
        <w:jc w:val="both"/>
      </w:pPr>
      <w:r>
        <w:rPr>
          <w:sz w:val="21"/>
        </w:rPr>
        <w:t>3、多样化养护服务方式：中标人需要具有长期保养的能力，除了提供传统远程维护方式，还可采取提供驻点服务方式减少人员出动和响应时间，提高服务的便利性和效果。</w:t>
      </w:r>
    </w:p>
    <w:p>
      <w:pPr>
        <w:pStyle w:val="null3"/>
        <w:ind w:firstLine="420"/>
        <w:jc w:val="both"/>
      </w:pPr>
      <w:r>
        <w:rPr>
          <w:sz w:val="21"/>
        </w:rPr>
        <w:t>4、定期开展用户满意度调查：定期向用户或设备管理者进行满意度调查，了解其对前端养护服务的评价和需求。根据反馈结果进行改进和优化，不断提升服务质量。</w:t>
      </w:r>
    </w:p>
    <w:p>
      <w:pPr>
        <w:pStyle w:val="null3"/>
        <w:ind w:left="420"/>
        <w:jc w:val="both"/>
        <w:outlineLvl w:val="1"/>
      </w:pPr>
      <w:r>
        <w:rPr>
          <w:sz w:val="21"/>
          <w:b/>
        </w:rPr>
        <w:t>3.6.详细维护内容清单</w:t>
      </w:r>
    </w:p>
    <w:p>
      <w:pPr>
        <w:pStyle w:val="null3"/>
        <w:ind w:firstLine="420"/>
        <w:jc w:val="both"/>
      </w:pPr>
      <w:r>
        <w:rPr>
          <w:sz w:val="21"/>
        </w:rPr>
        <w:t>详见项目维护清单</w:t>
      </w:r>
    </w:p>
    <w:p>
      <w:pPr>
        <w:pStyle w:val="null3"/>
        <w:ind w:left="420"/>
        <w:jc w:val="both"/>
        <w:outlineLvl w:val="1"/>
      </w:pPr>
      <w:r>
        <w:rPr>
          <w:sz w:val="21"/>
          <w:b/>
        </w:rPr>
        <w:t>3.7.备品备件管理</w:t>
      </w:r>
    </w:p>
    <w:p>
      <w:pPr>
        <w:pStyle w:val="null3"/>
        <w:ind w:firstLine="420"/>
        <w:jc w:val="both"/>
      </w:pPr>
      <w:r>
        <w:rPr>
          <w:sz w:val="21"/>
        </w:rPr>
        <w:t>要求中标人做好本项目备件库存工作，除大型杆件、公交站和电箱外的其余前端监控、传感、感知设备，包括前端摄像机、公共广播、紧急呼叫、井盖监测器、网络交换机及相关配套配件等，库存配件种类、技术参数及数量详见：</w:t>
      </w:r>
      <w:r>
        <w:rPr>
          <w:sz w:val="21"/>
          <w:b/>
        </w:rPr>
        <w:t>备品备件清单</w:t>
      </w:r>
      <w:r>
        <w:rPr>
          <w:sz w:val="21"/>
        </w:rPr>
        <w:t>。</w:t>
      </w:r>
    </w:p>
    <w:p>
      <w:pPr>
        <w:pStyle w:val="null3"/>
        <w:ind w:left="420"/>
        <w:jc w:val="both"/>
        <w:outlineLvl w:val="2"/>
      </w:pPr>
      <w:r>
        <w:rPr>
          <w:sz w:val="21"/>
          <w:b/>
        </w:rPr>
        <w:t>3.7.1.库存管理：</w:t>
      </w:r>
    </w:p>
    <w:p>
      <w:pPr>
        <w:pStyle w:val="null3"/>
        <w:ind w:firstLine="420"/>
        <w:jc w:val="both"/>
      </w:pPr>
      <w:r>
        <w:rPr>
          <w:sz w:val="21"/>
        </w:rPr>
        <w:t>建立备品备件的库存清单，包括名称、型号、规格、数量等信息。</w:t>
      </w:r>
    </w:p>
    <w:p>
      <w:pPr>
        <w:pStyle w:val="null3"/>
        <w:ind w:firstLine="420"/>
        <w:jc w:val="both"/>
      </w:pPr>
      <w:r>
        <w:rPr>
          <w:sz w:val="21"/>
        </w:rPr>
        <w:t>定期进行库存盘点，确保库存数量准确，并及时更新清单。</w:t>
      </w:r>
    </w:p>
    <w:p>
      <w:pPr>
        <w:pStyle w:val="null3"/>
        <w:ind w:firstLine="420"/>
        <w:jc w:val="both"/>
      </w:pPr>
      <w:r>
        <w:rPr>
          <w:sz w:val="21"/>
        </w:rPr>
        <w:t>根据设备的使用情况和维修需求，合理制定备件的最低库存量和补充策略。</w:t>
      </w:r>
    </w:p>
    <w:p>
      <w:pPr>
        <w:pStyle w:val="null3"/>
        <w:ind w:left="420"/>
        <w:jc w:val="both"/>
        <w:outlineLvl w:val="2"/>
      </w:pPr>
      <w:r>
        <w:rPr>
          <w:sz w:val="21"/>
          <w:b/>
        </w:rPr>
        <w:t>3.7.2.采购流程：</w:t>
      </w:r>
    </w:p>
    <w:p>
      <w:pPr>
        <w:pStyle w:val="null3"/>
        <w:ind w:firstLine="420"/>
        <w:jc w:val="both"/>
      </w:pPr>
      <w:r>
        <w:rPr>
          <w:sz w:val="21"/>
        </w:rPr>
        <w:t>根据设备的维修需求和备件的消耗情况，制定采购计划，提交采购人。采购人通过备品采购流程后，中标人与供应商采购设备，设备进仓库入入库流程。备品备件采购费用不包含在智慧道路前端设备运维项目总费用中，由采购人负责费用。</w:t>
      </w:r>
    </w:p>
    <w:p>
      <w:pPr>
        <w:pStyle w:val="null3"/>
        <w:ind w:left="420"/>
        <w:jc w:val="both"/>
        <w:outlineLvl w:val="2"/>
      </w:pPr>
      <w:r>
        <w:rPr>
          <w:sz w:val="21"/>
          <w:b/>
        </w:rPr>
        <w:t>3.7.3.备件存储与保管：</w:t>
      </w:r>
    </w:p>
    <w:p>
      <w:pPr>
        <w:pStyle w:val="null3"/>
        <w:ind w:firstLine="420"/>
        <w:jc w:val="both"/>
      </w:pPr>
      <w:r>
        <w:rPr>
          <w:sz w:val="21"/>
        </w:rPr>
        <w:t>为备品备件配置专门的存储区域或仓库，保证其安全、整洁、防潮、防尘。</w:t>
      </w:r>
    </w:p>
    <w:p>
      <w:pPr>
        <w:pStyle w:val="null3"/>
        <w:ind w:firstLine="420"/>
        <w:jc w:val="both"/>
      </w:pPr>
      <w:r>
        <w:rPr>
          <w:sz w:val="21"/>
        </w:rPr>
        <w:t>对备件进行分类、标记和编号，便于库存管理和查找。</w:t>
      </w:r>
    </w:p>
    <w:p>
      <w:pPr>
        <w:pStyle w:val="null3"/>
        <w:ind w:firstLine="420"/>
        <w:jc w:val="both"/>
      </w:pPr>
      <w:r>
        <w:rPr>
          <w:sz w:val="21"/>
        </w:rPr>
        <w:t>注意备件的有效期限，避免过期备件的使用。</w:t>
      </w:r>
    </w:p>
    <w:p>
      <w:pPr>
        <w:pStyle w:val="null3"/>
        <w:ind w:left="420"/>
        <w:jc w:val="both"/>
        <w:outlineLvl w:val="2"/>
      </w:pPr>
      <w:r>
        <w:rPr>
          <w:sz w:val="21"/>
          <w:b/>
        </w:rPr>
        <w:t>3.7.4.备件出库与归还：</w:t>
      </w:r>
    </w:p>
    <w:p>
      <w:pPr>
        <w:pStyle w:val="null3"/>
        <w:ind w:firstLine="420"/>
        <w:jc w:val="both"/>
      </w:pPr>
      <w:r>
        <w:rPr>
          <w:sz w:val="21"/>
        </w:rPr>
        <w:t>设立备品备件领用制度，确保备件的合理使用和跟踪。</w:t>
      </w:r>
    </w:p>
    <w:p>
      <w:pPr>
        <w:pStyle w:val="null3"/>
        <w:ind w:firstLine="420"/>
        <w:jc w:val="both"/>
      </w:pPr>
      <w:r>
        <w:rPr>
          <w:sz w:val="21"/>
        </w:rPr>
        <w:t>在备件出库时填写相应的出库单据，记录领用人员、数量、用途等信息。</w:t>
      </w:r>
    </w:p>
    <w:p>
      <w:pPr>
        <w:pStyle w:val="null3"/>
        <w:ind w:firstLine="420"/>
        <w:jc w:val="both"/>
      </w:pPr>
      <w:r>
        <w:rPr>
          <w:sz w:val="21"/>
        </w:rPr>
        <w:t>定期检查已领用备件的使用情况，鼓励及时归还未使用的备件。</w:t>
      </w:r>
    </w:p>
    <w:p>
      <w:pPr>
        <w:pStyle w:val="null3"/>
        <w:ind w:left="420"/>
        <w:jc w:val="both"/>
        <w:outlineLvl w:val="2"/>
      </w:pPr>
      <w:r>
        <w:rPr>
          <w:sz w:val="21"/>
          <w:b/>
        </w:rPr>
        <w:t>3.7.5.培训与知识共享：</w:t>
      </w:r>
    </w:p>
    <w:p>
      <w:pPr>
        <w:pStyle w:val="null3"/>
        <w:ind w:firstLine="420"/>
        <w:jc w:val="both"/>
      </w:pPr>
      <w:r>
        <w:rPr>
          <w:sz w:val="21"/>
        </w:rPr>
        <w:t>对养护人员进行备件管理的培训，提高其备件管理的专业能力。</w:t>
      </w:r>
    </w:p>
    <w:p>
      <w:pPr>
        <w:pStyle w:val="null3"/>
        <w:ind w:firstLine="420"/>
        <w:jc w:val="both"/>
      </w:pPr>
      <w:r>
        <w:rPr>
          <w:sz w:val="21"/>
        </w:rPr>
        <w:t>建立备件管理的知识共享平台，促进备件管理经验的交流与分享。</w:t>
      </w:r>
    </w:p>
    <w:p>
      <w:pPr>
        <w:pStyle w:val="null3"/>
        <w:ind w:left="420"/>
        <w:jc w:val="both"/>
        <w:outlineLvl w:val="1"/>
      </w:pPr>
      <w:r>
        <w:rPr>
          <w:sz w:val="21"/>
          <w:b/>
        </w:rPr>
        <w:t>3.8.</w:t>
      </w:r>
      <w:r>
        <w:rPr>
          <w:sz w:val="32"/>
          <w:b/>
        </w:rPr>
        <w:t xml:space="preserve"> </w:t>
      </w:r>
      <w:r>
        <w:rPr>
          <w:sz w:val="21"/>
          <w:b/>
        </w:rPr>
        <w:t>人员及机械设备要求</w:t>
      </w:r>
    </w:p>
    <w:p>
      <w:pPr>
        <w:pStyle w:val="null3"/>
        <w:ind w:firstLine="420"/>
        <w:jc w:val="both"/>
      </w:pPr>
      <w:r>
        <w:rPr>
          <w:sz w:val="21"/>
        </w:rPr>
        <w:t>1、中标人需承诺中标后投入项目管理人员不少于2人，需包含1名项目负责人，且具备人社部门颁发的机电类二级建造师证书及以上或中级职称及以上，负责项目全面管理工作；1名技术负责人，且</w:t>
      </w:r>
      <w:r>
        <w:rPr>
          <w:sz w:val="21"/>
        </w:rPr>
        <w:t>具备人社部门颁发的信息系统项目管理中级职称及以上，负责项目整体技术工作管理。</w:t>
      </w:r>
    </w:p>
    <w:p>
      <w:pPr>
        <w:pStyle w:val="null3"/>
        <w:spacing w:before="105" w:after="105"/>
        <w:ind w:firstLine="420"/>
        <w:jc w:val="left"/>
      </w:pPr>
      <w:r>
        <w:rPr>
          <w:sz w:val="21"/>
        </w:rPr>
        <w:t>2、中标人需承诺中标后投入运维技术人员不少于</w:t>
      </w:r>
      <w:r>
        <w:rPr>
          <w:sz w:val="21"/>
        </w:rPr>
        <w:t>1</w:t>
      </w:r>
      <w:r>
        <w:rPr>
          <w:sz w:val="21"/>
        </w:rPr>
        <w:t>0个，需至少包括：</w:t>
      </w:r>
      <w:r>
        <w:rPr>
          <w:sz w:val="21"/>
        </w:rPr>
        <w:t>1-2</w:t>
      </w:r>
      <w:r>
        <w:rPr>
          <w:sz w:val="21"/>
        </w:rPr>
        <w:t>名持有特种作业操作证（高处作业</w:t>
      </w:r>
      <w:r>
        <w:rPr>
          <w:sz w:val="21"/>
        </w:rPr>
        <w:t>/高空作业）的技术人员，3</w:t>
      </w:r>
      <w:r>
        <w:rPr>
          <w:sz w:val="21"/>
        </w:rPr>
        <w:t>-6</w:t>
      </w:r>
      <w:r>
        <w:rPr>
          <w:sz w:val="21"/>
        </w:rPr>
        <w:t>名持有特种作业操作证（电工）</w:t>
      </w:r>
      <w:r>
        <w:rPr>
          <w:sz w:val="21"/>
        </w:rPr>
        <w:t>或电工进网作业许可证的技术人员，</w:t>
      </w:r>
      <w:r>
        <w:rPr>
          <w:sz w:val="21"/>
        </w:rPr>
        <w:t>1</w:t>
      </w:r>
      <w:r>
        <w:rPr>
          <w:sz w:val="21"/>
        </w:rPr>
        <w:t>-2</w:t>
      </w:r>
      <w:r>
        <w:rPr>
          <w:sz w:val="21"/>
        </w:rPr>
        <w:t>名持有中级（或以上）系统集成管理项目工程师证的技术人员，</w:t>
      </w:r>
      <w:r>
        <w:rPr>
          <w:sz w:val="21"/>
        </w:rPr>
        <w:t>1</w:t>
      </w:r>
      <w:r>
        <w:rPr>
          <w:sz w:val="21"/>
        </w:rPr>
        <w:t>-2</w:t>
      </w:r>
      <w:r>
        <w:rPr>
          <w:sz w:val="21"/>
        </w:rPr>
        <w:t>持有中级（或以上）机电工程师证的技术人员。</w:t>
      </w:r>
    </w:p>
    <w:p>
      <w:pPr>
        <w:pStyle w:val="null3"/>
        <w:ind w:firstLine="420"/>
        <w:jc w:val="both"/>
      </w:pPr>
      <w:r>
        <w:rPr>
          <w:sz w:val="21"/>
        </w:rPr>
        <w:t>3、中标人需承诺中标后至少配置1辆高空作业车、1辆巡查车。</w:t>
      </w:r>
    </w:p>
    <w:p>
      <w:pPr>
        <w:pStyle w:val="null3"/>
        <w:ind w:firstLine="420"/>
        <w:jc w:val="both"/>
      </w:pPr>
      <w:r>
        <w:rPr>
          <w:sz w:val="21"/>
        </w:rPr>
        <w:t>注：以上人员和机械设备需提供《承诺函》，格式自拟。中标人必须按采购文件要求及投标承诺配备充足的设备及聘请足额人员专用于本项目。服务期间，中标人必须因作业量的增加而相应增加作业人员、作业车辆和作业机械、工具等以满足作业的需要，确保作业质量。</w:t>
      </w:r>
    </w:p>
    <w:p>
      <w:pPr>
        <w:pStyle w:val="null3"/>
        <w:ind w:firstLine="420"/>
        <w:jc w:val="both"/>
        <w:outlineLvl w:val="1"/>
      </w:pPr>
      <w:r>
        <w:rPr>
          <w:sz w:val="21"/>
          <w:b/>
        </w:rPr>
        <w:t>3.9.运维档案管理</w:t>
      </w:r>
    </w:p>
    <w:p>
      <w:pPr>
        <w:pStyle w:val="null3"/>
        <w:ind w:firstLine="420"/>
        <w:jc w:val="both"/>
      </w:pPr>
      <w:r>
        <w:rPr>
          <w:sz w:val="21"/>
        </w:rPr>
        <w:t>档案管理是对设备养护过程和信息进行记录、整理和管理的一项重要工作。中标人应加强台账资料管理工作。台账资料应及时更新，装订成册，并推行信息化管理，确保数据及时更新、真实可靠。主要包括：：</w:t>
      </w:r>
    </w:p>
    <w:p>
      <w:pPr>
        <w:pStyle w:val="null3"/>
        <w:ind w:left="420"/>
        <w:jc w:val="both"/>
        <w:outlineLvl w:val="2"/>
      </w:pPr>
      <w:r>
        <w:rPr>
          <w:sz w:val="21"/>
          <w:b/>
        </w:rPr>
        <w:t>3.9.1.档案建立：</w:t>
      </w:r>
    </w:p>
    <w:p>
      <w:pPr>
        <w:pStyle w:val="null3"/>
        <w:ind w:firstLine="420"/>
        <w:jc w:val="both"/>
      </w:pPr>
      <w:r>
        <w:rPr>
          <w:sz w:val="21"/>
        </w:rPr>
        <w:t>为每个智慧道路设备建立相应的档案，包括设备基本信息、技术参数、安装位置、使用说明书等。档案可以以电子形式存储，也可以以纸质形式存档。</w:t>
      </w:r>
    </w:p>
    <w:p>
      <w:pPr>
        <w:pStyle w:val="null3"/>
        <w:ind w:left="420"/>
        <w:jc w:val="both"/>
        <w:outlineLvl w:val="2"/>
      </w:pPr>
      <w:r>
        <w:rPr>
          <w:sz w:val="21"/>
          <w:b/>
        </w:rPr>
        <w:t>3.9.2.养护任务记录：</w:t>
      </w:r>
    </w:p>
    <w:p>
      <w:pPr>
        <w:pStyle w:val="null3"/>
        <w:ind w:firstLine="420"/>
        <w:jc w:val="both"/>
      </w:pPr>
      <w:r>
        <w:rPr>
          <w:sz w:val="21"/>
        </w:rPr>
        <w:t>记录每次养护任务的具体内容和细节，包括日期、养护人员、养护内容、维修记录等。可以采用文档或表格的形式来记录，确保养护任务的全面性和可追溯性。</w:t>
      </w:r>
    </w:p>
    <w:p>
      <w:pPr>
        <w:pStyle w:val="null3"/>
        <w:ind w:left="420"/>
        <w:jc w:val="both"/>
        <w:outlineLvl w:val="2"/>
      </w:pPr>
      <w:r>
        <w:rPr>
          <w:sz w:val="21"/>
          <w:b/>
        </w:rPr>
        <w:t>3.9.3.故障记录和处理：</w:t>
      </w:r>
    </w:p>
    <w:p>
      <w:pPr>
        <w:pStyle w:val="null3"/>
        <w:ind w:firstLine="420"/>
        <w:jc w:val="both"/>
      </w:pPr>
      <w:r>
        <w:rPr>
          <w:sz w:val="21"/>
        </w:rPr>
        <w:t>对设备发生的故障进行详细记录，包括故障描述、故障原因分析、处理过程等。记录中可以包括图片、视频等多媒体资料，以便于后续参考和分析。</w:t>
      </w:r>
    </w:p>
    <w:p>
      <w:pPr>
        <w:pStyle w:val="null3"/>
        <w:ind w:left="420"/>
        <w:jc w:val="both"/>
        <w:outlineLvl w:val="2"/>
      </w:pPr>
      <w:r>
        <w:rPr>
          <w:sz w:val="21"/>
          <w:b/>
        </w:rPr>
        <w:t>3.9.4.养护计划和周期管理：</w:t>
      </w:r>
    </w:p>
    <w:p>
      <w:pPr>
        <w:pStyle w:val="null3"/>
        <w:ind w:firstLine="420"/>
        <w:jc w:val="both"/>
      </w:pPr>
      <w:r>
        <w:rPr>
          <w:sz w:val="21"/>
        </w:rPr>
        <w:t>制定养护计划，并在档案中记录计划的执行情况。可以设立养护周期提醒机制，以确保养护任务按时进行，并定期进行设备巡检和维护。</w:t>
      </w:r>
    </w:p>
    <w:p>
      <w:pPr>
        <w:pStyle w:val="null3"/>
        <w:ind w:left="420"/>
        <w:jc w:val="both"/>
        <w:outlineLvl w:val="2"/>
      </w:pPr>
      <w:r>
        <w:rPr>
          <w:sz w:val="21"/>
          <w:b/>
        </w:rPr>
        <w:t>3.9.5.维修和更换记录：</w:t>
      </w:r>
    </w:p>
    <w:p>
      <w:pPr>
        <w:pStyle w:val="null3"/>
        <w:ind w:firstLine="420"/>
        <w:jc w:val="both"/>
      </w:pPr>
      <w:r>
        <w:rPr>
          <w:sz w:val="21"/>
        </w:rPr>
        <w:t>记录设备的维修和更换情况，包括更换的部件、更换原因、更换时间等。这些记录有助于分析设备的使用寿命和维护成本，并为后续维修提供参考依据。</w:t>
      </w:r>
    </w:p>
    <w:p>
      <w:pPr>
        <w:pStyle w:val="null3"/>
        <w:ind w:left="420"/>
        <w:jc w:val="both"/>
        <w:outlineLvl w:val="2"/>
      </w:pPr>
      <w:r>
        <w:rPr>
          <w:sz w:val="21"/>
          <w:b/>
        </w:rPr>
        <w:t>3.9.6.数据备份和保护：</w:t>
      </w:r>
    </w:p>
    <w:p>
      <w:pPr>
        <w:pStyle w:val="null3"/>
        <w:ind w:firstLine="420"/>
        <w:jc w:val="both"/>
      </w:pPr>
      <w:r>
        <w:rPr>
          <w:sz w:val="21"/>
        </w:rPr>
        <w:t>对养护档案进行定期备份，确保数据的安全性和可恢复性。同时，对档案进行权限管理，只授权特定人员访问和修改档案信息，以确保数据的完整性和机密性。</w:t>
      </w:r>
    </w:p>
    <w:p>
      <w:pPr>
        <w:pStyle w:val="null3"/>
        <w:ind w:left="420"/>
        <w:jc w:val="both"/>
        <w:outlineLvl w:val="2"/>
      </w:pPr>
      <w:r>
        <w:rPr>
          <w:sz w:val="21"/>
          <w:b/>
        </w:rPr>
        <w:t>3.9.7.档案查询与分析：</w:t>
      </w:r>
    </w:p>
    <w:p>
      <w:pPr>
        <w:pStyle w:val="null3"/>
        <w:ind w:firstLine="420"/>
        <w:jc w:val="both"/>
      </w:pPr>
      <w:r>
        <w:rPr>
          <w:sz w:val="21"/>
        </w:rPr>
        <w:t>建立方便快捷的查询系统，使相关人员能够随时查询养护档案信息。利用档案数据进行分析，例如设备故障率分析、维护成本分析等，以优化养护策略和提高设备可靠性。</w:t>
      </w:r>
    </w:p>
    <w:p>
      <w:pPr>
        <w:pStyle w:val="null3"/>
        <w:ind w:firstLine="420"/>
        <w:jc w:val="both"/>
      </w:pPr>
      <w:r>
        <w:rPr>
          <w:sz w:val="21"/>
        </w:rPr>
        <w:t>通过有效的智慧道路设备前端养护档案管理，可以实现对设备养护过程和信息的全面管理和追溯，提高养护效率，减少故障发生和响应时间，延长设备使用寿命。</w:t>
      </w:r>
    </w:p>
    <w:p>
      <w:pPr>
        <w:pStyle w:val="null3"/>
        <w:jc w:val="both"/>
        <w:outlineLvl w:val="3"/>
      </w:pPr>
      <w:r>
        <w:rPr>
          <w:sz w:val="24"/>
          <w:b/>
        </w:rPr>
        <w:t>4</w:t>
      </w:r>
      <w:r>
        <w:rPr>
          <w:sz w:val="24"/>
          <w:b/>
        </w:rPr>
        <w:t>、项目清单</w:t>
      </w:r>
    </w:p>
    <w:p>
      <w:pPr>
        <w:pStyle w:val="null3"/>
        <w:ind w:left="420"/>
        <w:jc w:val="both"/>
        <w:outlineLvl w:val="1"/>
      </w:pPr>
      <w:r>
        <w:rPr>
          <w:sz w:val="21"/>
          <w:b/>
        </w:rPr>
        <w:t>1、项目维护清单</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850"/>
        <w:gridCol w:w="2182"/>
        <w:gridCol w:w="2778"/>
        <w:gridCol w:w="722"/>
        <w:gridCol w:w="1020"/>
        <w:gridCol w:w="722"/>
      </w:tblGrid>
      <w:tr>
        <w:tc>
          <w:tcPr>
            <w:tcW w:type="dxa" w:w="8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21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项目名称</w:t>
            </w:r>
          </w:p>
        </w:tc>
        <w:tc>
          <w:tcPr>
            <w:tcW w:type="dxa" w:w="27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规格型号</w:t>
            </w:r>
          </w:p>
        </w:tc>
        <w:tc>
          <w:tcPr>
            <w:tcW w:type="dxa" w:w="7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10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计数总量</w:t>
            </w:r>
          </w:p>
        </w:tc>
        <w:tc>
          <w:tcPr>
            <w:tcW w:type="dxa" w:w="7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备注</w:t>
            </w: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一</w:t>
            </w:r>
          </w:p>
        </w:tc>
        <w:tc>
          <w:tcPr>
            <w:tcW w:type="dxa" w:w="568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迎宾路、兴海路</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10米A类智慧灯杆</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定制，含灯具</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0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7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10米B类智慧灯杆</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定制，含灯具</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10米C类交通标志牌杆（F型）</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定制，含灯具</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10米普通灯杆（单臂灯）</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定制，含灯具</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10米普通灯杆（双臂灯）</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定制，含灯具</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13米普通灯杆</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定制，含灯具</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13米A类智慧灯杆</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定制，含灯具</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13米B类智慧灯杆</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定制，含灯具</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13米C类智慧灯杆</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定制，含灯具</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13米E类智慧灯杆</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定制，含灯具</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13米F类智慧灯杆</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定制，含灯具</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15米A类智慧灯杆</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定制，含灯具</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挂杆配电箱</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定制</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单灯控制器</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定制</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286</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路由器</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RHF2S208BH8-470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综合智能网关</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AR502H-CN</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高清球（</w:t>
            </w:r>
            <w:r>
              <w:rPr>
                <w:sz w:val="21"/>
              </w:rPr>
              <w:t>400W）</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M6741-E-Z37</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高清枪（</w:t>
            </w:r>
            <w:r>
              <w:rPr>
                <w:sz w:val="21"/>
              </w:rPr>
              <w:t>400W）</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M2241-QL</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人脸枪（</w:t>
            </w:r>
            <w:r>
              <w:rPr>
                <w:sz w:val="21"/>
              </w:rPr>
              <w:t>400W）</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M2241-EFL</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公共广播</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XC-9601</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紧急呼叫</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XC-9137AV</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停车场管理设备</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定制</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信息发布屏</w:t>
            </w:r>
            <w:r>
              <w:rPr>
                <w:sz w:val="21"/>
              </w:rPr>
              <w:t>(中屏)</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定制</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信息发布屏（大）</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定制</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环境监测</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FRT AQM916</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气象监测</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FRT RDM306</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水位监测</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TC-401</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道路井盖监测</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SC-iTWM-05</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175</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交通信号灯</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JD400-3-FM3</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交通信号机</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XHJ-CW-GA-HS2025</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电子警察（</w:t>
            </w:r>
            <w:r>
              <w:rPr>
                <w:sz w:val="21"/>
              </w:rPr>
              <w:t>900万像素）</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定制</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人行信号杆</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定制</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人行信号灯</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RX300-3-FM21</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标志牌</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Y型标志牌（6*1个600）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标志牌</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Y型标志牌（6*1个800）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标志牌</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三角标志牌</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标志牌</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倒三角标志牌</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标志牌</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人行道标志牌（双面</w:t>
            </w:r>
            <w:r>
              <w:rPr>
                <w:sz w:val="21"/>
              </w:rPr>
              <w:t>600）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标志牌</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人行道标志牌（双面</w:t>
            </w:r>
            <w:r>
              <w:rPr>
                <w:sz w:val="21"/>
              </w:rPr>
              <w:t>800）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标志牌</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半透型自动发光</w:t>
            </w:r>
            <w:r>
              <w:rPr>
                <w:sz w:val="21"/>
              </w:rPr>
              <w:t>F型标志</w:t>
            </w:r>
          </w:p>
          <w:p>
            <w:pPr>
              <w:pStyle w:val="null3"/>
              <w:jc w:val="center"/>
            </w:pPr>
            <w:r>
              <w:rPr>
                <w:sz w:val="21"/>
              </w:rPr>
              <w:t>牌（</w:t>
            </w:r>
            <w:r>
              <w:rPr>
                <w:sz w:val="21"/>
              </w:rPr>
              <w:t>4.2×2.4m）</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标志牌</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半透型自动发光</w:t>
            </w:r>
            <w:r>
              <w:rPr>
                <w:sz w:val="21"/>
              </w:rPr>
              <w:t>F型标志</w:t>
            </w:r>
          </w:p>
          <w:p>
            <w:pPr>
              <w:pStyle w:val="null3"/>
              <w:jc w:val="center"/>
            </w:pPr>
            <w:r>
              <w:rPr>
                <w:sz w:val="21"/>
              </w:rPr>
              <w:t>牌（</w:t>
            </w:r>
            <w:r>
              <w:rPr>
                <w:sz w:val="21"/>
              </w:rPr>
              <w:t>4.8×2.4m）</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标志牌</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半透型可变动态文字</w:t>
            </w:r>
            <w:r>
              <w:rPr>
                <w:sz w:val="21"/>
              </w:rPr>
              <w:t>F型</w:t>
            </w:r>
          </w:p>
          <w:p>
            <w:pPr>
              <w:pStyle w:val="null3"/>
              <w:jc w:val="center"/>
            </w:pPr>
            <w:r>
              <w:rPr>
                <w:sz w:val="21"/>
              </w:rPr>
              <w:t>标志牌（</w:t>
            </w:r>
            <w:r>
              <w:rPr>
                <w:sz w:val="21"/>
              </w:rPr>
              <w:t>4.8×2.8m）</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标志牌</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半透型自动发光</w:t>
            </w:r>
            <w:r>
              <w:rPr>
                <w:sz w:val="21"/>
              </w:rPr>
              <w:t>F型分向行驶车道标志牌（4.8×2.4m）</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标志牌</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公交专用车道标志（</w:t>
            </w:r>
            <w:r>
              <w:rPr>
                <w:sz w:val="21"/>
              </w:rPr>
              <w:t>4.2×2.4m）</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标志牌</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小型路名牌</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智能公交电子站牌</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定制</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站</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预报站屏（含安装支架）</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定制</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灯杆标签（定制）</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定制</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143</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电力电缆</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ZA-YJV-4*120mm²</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电力电缆</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YJV-4*25+1*16</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13649.66</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电力电缆</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YJV-5*10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297.98</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电力电缆</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YJV-3*6</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533</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电气配线</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RVV-3x2.5</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1404</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电气配线</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RVV-4x1.5</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1448</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电气配线</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RVV-5x1.5</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1622</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电力电缆</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ZA-YJV-3*120mm²+1*70mm²</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开关箱</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定制</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二</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滨海湾大道</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8米普通灯杆</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r>
              <w:rPr>
                <w:sz w:val="21"/>
              </w:rPr>
              <w:t>,含灯具</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284.00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8米A类智慧灯杆</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r>
              <w:rPr>
                <w:sz w:val="21"/>
              </w:rPr>
              <w:t>,含灯具</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74.00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8米A1类智慧灯杆</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r>
              <w:rPr>
                <w:sz w:val="21"/>
              </w:rPr>
              <w:t>,含灯具</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10米E类智慧灯杆</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r>
              <w:rPr>
                <w:sz w:val="21"/>
              </w:rPr>
              <w:t>,含灯具</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10米B类智慧灯杆</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r>
              <w:rPr>
                <w:sz w:val="21"/>
              </w:rPr>
              <w:t>,含灯具</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10米C类交通标志牌杆</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r>
              <w:rPr>
                <w:sz w:val="21"/>
              </w:rPr>
              <w:t>,含灯具</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13米普通灯杆</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r>
              <w:rPr>
                <w:sz w:val="21"/>
              </w:rPr>
              <w:t>,含灯具</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141.00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13米A类智慧灯杆</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r>
              <w:rPr>
                <w:sz w:val="21"/>
              </w:rPr>
              <w:t>,含灯具</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13米B类智慧灯杆</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r>
              <w:rPr>
                <w:sz w:val="21"/>
              </w:rPr>
              <w:t>,含灯具</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13米B1类智慧灯杆</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r>
              <w:rPr>
                <w:sz w:val="21"/>
              </w:rPr>
              <w:t>,含灯具</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13米C类智慧灯杆</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r>
              <w:rPr>
                <w:sz w:val="21"/>
              </w:rPr>
              <w:t>,含灯具</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13米D类智慧灯杆</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r>
              <w:rPr>
                <w:sz w:val="21"/>
              </w:rPr>
              <w:t>,含灯具</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13米E类智慧灯杆</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r>
              <w:rPr>
                <w:sz w:val="21"/>
              </w:rPr>
              <w:t>,含灯具</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13米E1类智慧灯杆</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r>
              <w:rPr>
                <w:sz w:val="21"/>
              </w:rPr>
              <w:t>,含灯具</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13米E2类智慧灯杆</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r>
              <w:rPr>
                <w:sz w:val="21"/>
              </w:rPr>
              <w:t>,含灯具</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13米F类智慧灯杆</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r>
              <w:rPr>
                <w:sz w:val="21"/>
              </w:rPr>
              <w:t>,含灯具</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13米F1类智慧灯杆</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r>
              <w:rPr>
                <w:sz w:val="21"/>
              </w:rPr>
              <w:t>,含灯具</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13米H类智慧灯杆</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r>
              <w:rPr>
                <w:sz w:val="21"/>
              </w:rPr>
              <w:t>,含灯具</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电子警察杆（</w:t>
            </w:r>
            <w:r>
              <w:rPr>
                <w:sz w:val="21"/>
              </w:rPr>
              <w:t>L型）</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机动车信号灯（箭头左转）</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FX400-3-3Z</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机动车信号灯（箭头直行）</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FX400-3-3D</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机动车信号灯（满盘灯）</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FX400-3-3R</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多功能人行灯一体机（单面）</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SLR-YTS30-DX-30K</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多功能人行灯一体机（双面）</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SLR-YTS30-DX-30L</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人行信号灯组</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立柱式三色信号灯</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立柱式三色信号灯杆件（单立杆）</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人行横道标志牌杆</w:t>
            </w:r>
            <w:r>
              <w:rPr>
                <w:sz w:val="21"/>
              </w:rPr>
              <w:t>(0.8*0.8mm）</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（禁止左转标志牌）单立杆</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（减速让行标志牌）单立杆</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（变窄警告标牌单面</w:t>
            </w:r>
            <w:r>
              <w:rPr>
                <w:sz w:val="21"/>
              </w:rPr>
              <w:t>A=900mm）单立杆</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（汇流警告标牌单面</w:t>
            </w:r>
            <w:r>
              <w:rPr>
                <w:sz w:val="21"/>
              </w:rPr>
              <w:t>A=900mm）单立杆</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掉头标志</w:t>
            </w:r>
            <w:r>
              <w:rPr>
                <w:sz w:val="21"/>
              </w:rPr>
              <w:t>(0.8*0.8m)牌单立杆</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指路标志牌</w:t>
            </w:r>
            <w:r>
              <w:rPr>
                <w:sz w:val="21"/>
              </w:rPr>
              <w:t>(5m*2.4m板面)杆</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分车道牌标志牌</w:t>
            </w:r>
            <w:r>
              <w:rPr>
                <w:sz w:val="21"/>
              </w:rPr>
              <w:t>(4.2m*2.4m板面)杆</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r型标志杆</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（禁止驶入标志牌）单立杆</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综合设备箱</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杆上配电箱</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158.00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单灯控制器</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1098.00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综合智能网关</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AR502H-CN</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电子警察</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测速卡口</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监控摄像机</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M6741-E-Z37</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83.00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监控摄像机</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M2241-QL</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137.00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监控摄像机</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X2241-HL</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92.00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公共广播</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XC-9601</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紧急呼叫</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XC-9137AV</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公共广播</w:t>
            </w:r>
            <w:r>
              <w:rPr>
                <w:sz w:val="21"/>
              </w:rPr>
              <w:t>+紧急呼叫系统软件</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XC-9137AV</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信息发布屏（大）</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3.846-800X1600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环境监测</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FRT AQM91</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气象监测</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FRT RDM306</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道路井盖监测</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CS-ITWM-05</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1008.00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积水监测</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TC-401</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AP</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RHF2S208H8-470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雷达</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FRTAQM916</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交换机</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AR550C-2C6GE</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155.00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交通信号机</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XHJ-CW-GA-HS2025</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人行道标志牌（双面</w:t>
            </w:r>
            <w:r>
              <w:rPr>
                <w:sz w:val="21"/>
              </w:rPr>
              <w:t>800）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减速让行标志（</w:t>
            </w:r>
            <w:r>
              <w:rPr>
                <w:sz w:val="21"/>
              </w:rPr>
              <w:t>△0.9m）</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路名牌（</w:t>
            </w:r>
            <w:r>
              <w:rPr>
                <w:sz w:val="21"/>
              </w:rPr>
              <w:t>1.2*0.4m)</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Y型标志牌牌面（φ0.8m*6）</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r型标志牌牌面（φ0.8m*4）</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64</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汇流警告标牌单面</w:t>
            </w:r>
            <w:r>
              <w:rPr>
                <w:sz w:val="21"/>
              </w:rPr>
              <w:t>A=900mm</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桥名标志牌（</w:t>
            </w:r>
            <w:r>
              <w:rPr>
                <w:sz w:val="21"/>
              </w:rPr>
              <w:t>1.5*0.66m）</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变窄警告标牌单面</w:t>
            </w:r>
            <w:r>
              <w:rPr>
                <w:sz w:val="21"/>
              </w:rPr>
              <w:t>A=900mm</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67</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小型路名牌</w:t>
            </w:r>
            <w:r>
              <w:rPr>
                <w:sz w:val="21"/>
              </w:rPr>
              <w:t>(竖1m*2m)</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T形路口标志</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69</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指路标志牌（</w:t>
            </w:r>
            <w:r>
              <w:rPr>
                <w:sz w:val="21"/>
              </w:rPr>
              <w:t>4*2.4m）</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分车道牌标志牌</w:t>
            </w:r>
            <w:r>
              <w:rPr>
                <w:sz w:val="21"/>
              </w:rPr>
              <w:t>(4.2m*2.4m板面)</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71</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指路标志牌</w:t>
            </w:r>
            <w:r>
              <w:rPr>
                <w:sz w:val="21"/>
              </w:rPr>
              <w:t>(5m*2.4m板面)</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指路标志牌</w:t>
            </w:r>
            <w:r>
              <w:rPr>
                <w:sz w:val="21"/>
              </w:rPr>
              <w:t>(T型2*4*2.4m)</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73</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分流标志</w:t>
            </w:r>
            <w:r>
              <w:rPr>
                <w:sz w:val="21"/>
              </w:rPr>
              <w:t>(0.8*0.8m)</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74</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警示柱</w:t>
            </w:r>
            <w:r>
              <w:rPr>
                <w:sz w:val="21"/>
              </w:rPr>
              <w:t>(0.16*1.2m)</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人行横道标志</w:t>
            </w:r>
            <w:r>
              <w:rPr>
                <w:sz w:val="21"/>
              </w:rPr>
              <w:t>(0.8*0.8m）双面</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76</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禁止左转标志牌</w:t>
            </w:r>
            <w:r>
              <w:rPr>
                <w:sz w:val="21"/>
              </w:rPr>
              <w:t>(0.8*0.8m）</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77</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变窄警告标牌单面</w:t>
            </w:r>
            <w:r>
              <w:rPr>
                <w:sz w:val="21"/>
              </w:rPr>
              <w:t>A=900mm</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78</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汇流警告标牌单面</w:t>
            </w:r>
            <w:r>
              <w:rPr>
                <w:sz w:val="21"/>
              </w:rPr>
              <w:t>A=900mm</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79</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减速让行标志（</w:t>
            </w:r>
            <w:r>
              <w:rPr>
                <w:sz w:val="21"/>
              </w:rPr>
              <w:t>△0.9m）</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掉头标志</w:t>
            </w:r>
            <w:r>
              <w:rPr>
                <w:sz w:val="21"/>
              </w:rPr>
              <w:t>(0.8*0.8m)</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81</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禁止驶入标志牌</w:t>
            </w:r>
            <w:r>
              <w:rPr>
                <w:sz w:val="21"/>
              </w:rPr>
              <w:t>(0.8*0.8m)</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82</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热熔型标线</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m2</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717.50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83</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电力电缆</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ZA-YJV-4×25+1×16mm²</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23627.30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84</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电力电缆</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ZA-YJV-4×35+1×16mm²</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13785.33</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85</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电力电缆</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ZR-YJV-5×16mm²</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11549.84</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86</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电力电缆</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ZR-YJV-3×10mm²</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346.03</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87</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电气配线</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RVSP-4*1.5mm²</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2538.00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88</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电气配线</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RVV-3x6mm²</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3616.00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89</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电气配线</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RVVP-2x2.5mm²</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4338.00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电气配线</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RVVP-3x1.0mm²</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585.00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91</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电气配线</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RVV-3x2.5</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17030.00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92</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电气配线</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RVV-2x1.5mm²</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4624.00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93</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电气配线</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RVSP-4*0.75mm²</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958.00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94</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超五类网线</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超五类</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7660.00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95</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4芯单模光纤</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4芯单模</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2280.00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96</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电气配线</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RVV-3x10mm²</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1793.00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97</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电气配线</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RVV-3x1.5</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4845.00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98</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电气配线</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RVV-4x1.5</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9475.00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99</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电气配线</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RVV-5x1.5</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8935.00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电力电缆</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ZA-YJV22-1kv-4*95+1*50mm²</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620.00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101</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200KVA带环网出线箱式变压器</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102</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304不锈钢低压配电箱（定制）</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103</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漏电保护器（防水开关盒）</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532.00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104</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灯杆标签（定制）</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647.00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105</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普通反光前方测速提示牌</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106</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普通标志牌</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107</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普通标志牌</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三</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东海路</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12米A类智慧灯杆</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12米B类智慧灯杆</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12米C类智慧灯杆</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12米F类智慧灯杆</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12米普通灯杆</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12米E类智慧灯杆</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20米高空瞭望杆</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机动车信号灯</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FX400-3-3R</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立柱式三色信号灯组</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多功能人行灯一体机（单面）</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SLR-YTS30-DX-30K</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人行信号灯组</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（人行横道标志）单立杆</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（分流标志牌）单立杆</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（掉头标志牌）单立杆</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综合设备箱</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杆上配电箱</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69.00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控制器</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273.00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综合智能网关</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AR502H-CN</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电子警察</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监控摄像机</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M6741-E-Z37</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监控摄像机</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M2241-QL</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监控摄像机</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X2241-HL</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公共广播</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XC-9601</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紧急呼叫</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XC-9137AV</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信息发布屏（大）</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3.846-800X1600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环境监测</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FRT AQM91</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气象监测</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FRT RDM306</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道路井盖监测</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CS-ITWM-05</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382.00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积水监测</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TC-401</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AP</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RHF2S208H8-470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雷达</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FRT AQM916</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交换机</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AR550C-2C6GE</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交通信号机</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XHJ-CW-GA-HS2025</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人行道标志牌（双面</w:t>
            </w:r>
            <w:r>
              <w:rPr>
                <w:sz w:val="21"/>
              </w:rPr>
              <w:t>800）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减速让行标志（</w:t>
            </w:r>
            <w:r>
              <w:rPr>
                <w:sz w:val="21"/>
              </w:rPr>
              <w:t>△0.9m）</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路名牌（</w:t>
            </w:r>
            <w:r>
              <w:rPr>
                <w:sz w:val="21"/>
              </w:rPr>
              <w:t>1.2*0.4m)</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Y型标志牌牌面（φ0.8m*6）</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限高标志（</w:t>
            </w:r>
            <w:r>
              <w:rPr>
                <w:sz w:val="21"/>
              </w:rPr>
              <w:t>φ0.8m+0.8*0.3m)</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F型车道指示标志牌（4.2*2.4m）</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F型指路标志牌（4.8*2.4m）</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掉头标志</w:t>
            </w:r>
            <w:r>
              <w:rPr>
                <w:sz w:val="21"/>
              </w:rPr>
              <w:t>(0.8*0.8m）</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分流标志</w:t>
            </w:r>
            <w:r>
              <w:rPr>
                <w:sz w:val="21"/>
              </w:rPr>
              <w:t>(0.8*0.8m）</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人行横道标志牌（</w:t>
            </w:r>
            <w:r>
              <w:rPr>
                <w:sz w:val="21"/>
              </w:rPr>
              <w:t>0.8*0.8）</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限高标志（</w:t>
            </w:r>
            <w:r>
              <w:rPr>
                <w:sz w:val="21"/>
              </w:rPr>
              <w:t>φ0.8m）</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热熔型标线</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m2</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385.00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电力电缆</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ZA-YJV-4×25+1×16mm²</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5238.99</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电力电缆</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ZA-YJV-4×35+1×16mm²</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5451.51</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电力电缆</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ZA-YJV-5×10mm²</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434.76</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电力电缆</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ZA-YJV-5×16mm²</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900.40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电气配线</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RVSP-4*1.5mm²</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1282.00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电气配线</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RVV-3x6mm²</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703.00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电气配线</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RVVP-2x2.5mm²</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1582.00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电气配线</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ZR-RVVP-3x1.0mm²</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电气配线</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ZR-RVV-3x2.5mm²</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4173.00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电气配线</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RVV-2x1.5mm²</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940.00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电气配线</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RVSP-4*0.75mm²</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590.00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超五类网线</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超五类</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3930.00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4芯单模光纤</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4芯单模</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804.00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电气配线</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RVV-3x10mm²</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196.00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电气配线</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RVV-3x1.5</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2531.00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电气配线</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RVV-4x1.5</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2124.00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电气配线</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RVV-5x1.5</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3745.00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315KVA箱式变压器</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64</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漏电保护器（防水开关盒）</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69.00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灯杆标签（定制）</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128.00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四</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华海路</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12米A类智慧灯杆</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定制，含灯具</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12米B类智慧灯杆</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定制，含灯具</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12米C类智慧灯杆</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定制，含灯具</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12米普通灯杆</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定制，含灯具</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12米E类智慧灯杆</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定制，含灯具</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12米E1类智慧灯杆</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定制，含灯具</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机动车信号灯</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FX400-3-3R</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多功能人行灯一体机（单面）</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SLR-YTS30-DX-30K</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人行信号灯灯组</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单立杆（掉头标志杆）</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Y型标志牌+限高标志（带文字辅助标志）整合杆</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综合设备箱</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杆上配电箱</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控制器</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216.00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综合智能网关</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AR502H-CN</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监控摄像机</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M6741-E-Z37</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监控摄像机</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M2241-QL</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监控摄像机</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X2241-HL</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公共广播</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XC-9601</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紧急呼叫</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XC-9137AV</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信息发布屏（大）</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3.846-800X1600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环境监测</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FRT AQM91</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气象监测</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FRT RDM306</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道路井盖监测</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CS-ITWM-05</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273.00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积水监测</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TC-401</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AP</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RHF2S208H8-470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雷达</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FRT AQM916</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交换机</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AR550C-2C6GE</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交通信号机</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XHJ-CW-GA-HS2025</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人行道标志牌（双面</w:t>
            </w:r>
            <w:r>
              <w:rPr>
                <w:sz w:val="21"/>
              </w:rPr>
              <w:t>800）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减速让行标志（</w:t>
            </w:r>
            <w:r>
              <w:rPr>
                <w:sz w:val="21"/>
              </w:rPr>
              <w:t>△0.9m）</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路名牌（</w:t>
            </w:r>
            <w:r>
              <w:rPr>
                <w:sz w:val="21"/>
              </w:rPr>
              <w:t>1.2*0.4m)</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Y型标志牌牌面（φ0.8m*6）</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限高标志（</w:t>
            </w:r>
            <w:r>
              <w:rPr>
                <w:sz w:val="21"/>
              </w:rPr>
              <w:t>φ0.8m+0.8*0.3m)</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限重标志（</w:t>
            </w:r>
            <w:r>
              <w:rPr>
                <w:sz w:val="21"/>
              </w:rPr>
              <w:t>φ0.8m）</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右转车道标志牌（方形</w:t>
            </w:r>
            <w:r>
              <w:rPr>
                <w:sz w:val="21"/>
              </w:rPr>
              <w:t>A800）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F型标志牌（4.8*2.4m）</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F型标志牌牌面（4.2×2.4m）</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限高标志（</w:t>
            </w:r>
            <w:r>
              <w:rPr>
                <w:sz w:val="21"/>
              </w:rPr>
              <w:t>φ0.8m）</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掉头标志</w:t>
            </w:r>
            <w:r>
              <w:rPr>
                <w:sz w:val="21"/>
              </w:rPr>
              <w:t>(0.8*0.8m）</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热熔型标线</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m2</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212.50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电力电缆</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ZA-YJV-4×25+1×16mm²</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8807.82</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电力电缆</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ZA-YJV-5×10mm²</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136.98</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电力电缆</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ZA-YJV-5×16mm²</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819.35</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电气配线</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RVSP-4*1.5mm²</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820.00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电气配线</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RVV-3x6mm²</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570.00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电气配线</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ZR-RVV-3x2.5mm²</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2950.00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电气配线</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RVV-2x1.5mm²</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855.00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电气配线</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RVSP-4*0.75mm²</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508.00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超五类网线</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超五类</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2150.00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4芯单模光纤</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4芯单模</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350.00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电气配线</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RVV-3x1.5</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2660.00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电气配线</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RVV-4x1.5</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1480.00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电气配线</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RVV-5x1.5</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2015.00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160KVA箱式变压器</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漏电保护器（防水开关盒）</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73.00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灯杆标签（定制）</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103.00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五</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振海路</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12米A类智慧灯杆</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定制，含灯具</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12米B类智慧灯杆</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定制，含灯具</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12米C类智慧灯杆</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定制，含灯具</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12米普通灯杆</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定制，含灯具</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Y型标志牌杆（路名牌+限重标志整合杆）</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（掉头标志牌）单立杆</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减速让行标志牌杆</w:t>
            </w:r>
          </w:p>
          <w:p>
            <w:pPr>
              <w:pStyle w:val="null3"/>
              <w:jc w:val="left"/>
            </w:pPr>
            <w:r>
              <w:rPr>
                <w:sz w:val="21"/>
              </w:rPr>
              <w:t>（</w:t>
            </w:r>
            <w:r>
              <w:rPr>
                <w:sz w:val="21"/>
              </w:rPr>
              <w:t>△0.9m）</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（桥名牌）单立杆</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杆上配电箱</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控制器</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156.00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综合智能网关</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AR502H-CN</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监控摄像机</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M6741-E-Z37</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监控摄像机</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M2241-QL</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监控摄像机</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X2241-HL</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公共广播</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XC-9601</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紧急呼叫</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XC-9137AV</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信息发布屏（大）</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3.846-800X1600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环境监测</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FRT AQM91</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气象监测</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FRT RDM306</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道路井盖监测</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CS-ITWM-05</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314.00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积水监测</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TC-401</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AP</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RHF2S208H8-470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交换机</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AR550C-2C6GE</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人行道标志牌（双面</w:t>
            </w:r>
            <w:r>
              <w:rPr>
                <w:sz w:val="21"/>
              </w:rPr>
              <w:t>800）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十字型路口标志（</w:t>
            </w:r>
            <w:r>
              <w:rPr>
                <w:sz w:val="21"/>
              </w:rPr>
              <w:t>△0.9m）</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路名牌（</w:t>
            </w:r>
            <w:r>
              <w:rPr>
                <w:sz w:val="21"/>
              </w:rPr>
              <w:t>1.2*0.4m)</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桥名牌（</w:t>
            </w:r>
            <w:r>
              <w:rPr>
                <w:sz w:val="21"/>
              </w:rPr>
              <w:t>1.5*6.6m)</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Y型标志牌牌面（φ0.8m*6）</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限高标志（</w:t>
            </w:r>
            <w:r>
              <w:rPr>
                <w:sz w:val="21"/>
              </w:rPr>
              <w:t>φ0.8m+0.8*0.3m)</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限重标志（</w:t>
            </w:r>
            <w:r>
              <w:rPr>
                <w:sz w:val="21"/>
              </w:rPr>
              <w:t>φ0.8m）</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F型车道（4.2×2.4m）</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F型指路标志牌牌面（4.8×2.8m）</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限高标志（</w:t>
            </w:r>
            <w:r>
              <w:rPr>
                <w:sz w:val="21"/>
              </w:rPr>
              <w:t>φ0.8m）</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掉头标志</w:t>
            </w:r>
            <w:r>
              <w:rPr>
                <w:sz w:val="21"/>
              </w:rPr>
              <w:t>(0.8*0.8m）</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减速让行标志（</w:t>
            </w:r>
            <w:r>
              <w:rPr>
                <w:sz w:val="21"/>
              </w:rPr>
              <w:t>△0.9m）</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桥名牌（</w:t>
            </w:r>
            <w:r>
              <w:rPr>
                <w:sz w:val="21"/>
              </w:rPr>
              <w:t>1.5*6.6m)</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电力电缆</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ZA-YJV-4×25+1×16mm²</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5424.08</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电力电缆</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RVV-2x1.5mm²</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622.00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电气配线</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RVV-3x6mm²</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415.00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电气配线</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RVV-3x2.5</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2160.00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电气配线</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RVV-3x1.5mm²</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2410.00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电气配线</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RVSP-4*0.75mm²</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338.00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超五类网线</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超五类</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1850.00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电力电缆</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ZR-YJV-5×16mm²</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1240.00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电力电缆</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ZA-YJV-4×35+1×16mm²</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198.00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200KVA箱式变压器</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高压环网柜</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漏电保护器（防水开关盒）</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灯杆标签（定制）</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79.00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六</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中海路</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12米智慧灯杆A-2A型</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定制，含灯具</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12米智慧灯杆A-1A型</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定制，含灯具</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12米智慧灯杆A-1B型</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定制，含灯具</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12米B类智慧灯杆</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定制，含灯具</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12米C类智慧灯杆</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定制，含灯具</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12米F类智慧灯杆</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定制，含灯具</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12米普通灯杆</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定制，含灯具</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13米E类智慧灯杆</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定制，含灯具</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20米高空瞭望杆</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定制，含设备</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机动车道交通信号灯杆</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机动车信号灯</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FX400-3-3R</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人行横道标志牌杆</w:t>
            </w:r>
            <w:r>
              <w:rPr>
                <w:sz w:val="21"/>
              </w:rPr>
              <w:t>(0.8*0.8mm）</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（减速让行标志牌）单立杆</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（右侧通行标志牌）单立杆</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多功能信号灯一体机（整合辅灯和人行道信号灯）</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1SLR-YTS30-JR-40X</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多功能人行灯一体机（单面）</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SLR-YTS30-DX-30K</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多功能人行灯一体机（双面）</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SLR-YTS30-DX-30L</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人行信号灯组</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综合设备箱</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杆上配电箱</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单灯控制器</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310.00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综合智能网关</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AR502H-CN</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电子警察</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监控摄像机</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M6741-E-Z37</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监控摄像机</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M2241-QL</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监控摄像机</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X2241-HL</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公共广播</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XC-9601</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紧急呼叫</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XC-9137AV</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信息发布屏（大）</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3.846-800X1600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环境监测</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FRT AQM91</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气象监测</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FRT RDM306</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道路井盖监测</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CS-ITWM-05</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385.00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积水监测</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TC-401</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AP</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RHF2S208H8-470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交换机</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AR550C-2C6GE</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雷达</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FRT AQM916</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网桥</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DH-PFM881E</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交通信号机</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XHJ-CW-GA-HS2025</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人行道标志牌（双面</w:t>
            </w:r>
            <w:r>
              <w:rPr>
                <w:sz w:val="21"/>
              </w:rPr>
              <w:t>800）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T型路口标志（△0.9m）</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减速让行标志（</w:t>
            </w:r>
            <w:r>
              <w:rPr>
                <w:sz w:val="21"/>
              </w:rPr>
              <w:t>△0.9m）</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路名牌（</w:t>
            </w:r>
            <w:r>
              <w:rPr>
                <w:sz w:val="21"/>
              </w:rPr>
              <w:t>1.2*0.4m)</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Y型标志牌牌面（φ0.8m*6）</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限高标志（</w:t>
            </w:r>
            <w:r>
              <w:rPr>
                <w:sz w:val="21"/>
              </w:rPr>
              <w:t>φ0.8m+0.8*0.3m)</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限重标志（</w:t>
            </w:r>
            <w:r>
              <w:rPr>
                <w:sz w:val="21"/>
              </w:rPr>
              <w:t>φ0.8m）</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禁停标志</w:t>
            </w:r>
            <w:r>
              <w:rPr>
                <w:sz w:val="21"/>
              </w:rPr>
              <w:t>(0.8m)</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限速标志</w:t>
            </w:r>
            <w:r>
              <w:rPr>
                <w:sz w:val="21"/>
              </w:rPr>
              <w:t>(0.8m）</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掉头标志</w:t>
            </w:r>
            <w:r>
              <w:rPr>
                <w:sz w:val="21"/>
              </w:rPr>
              <w:t>(0.8*0.8m）</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减速让行标志（</w:t>
            </w:r>
            <w:r>
              <w:rPr>
                <w:sz w:val="21"/>
              </w:rPr>
              <w:t>△0.9m）</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右侧通行标志（</w:t>
            </w:r>
            <w:r>
              <w:rPr>
                <w:sz w:val="21"/>
              </w:rPr>
              <w:t>φ0.6m）</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限高标志（</w:t>
            </w:r>
            <w:r>
              <w:rPr>
                <w:sz w:val="21"/>
              </w:rPr>
              <w:t>φ0.8m）</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人行道标志牌（双面</w:t>
            </w:r>
            <w:r>
              <w:rPr>
                <w:sz w:val="21"/>
              </w:rPr>
              <w:t>600）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半透型自动发光</w:t>
            </w:r>
            <w:r>
              <w:rPr>
                <w:sz w:val="21"/>
              </w:rPr>
              <w:t>F型标志</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半透型自动发光</w:t>
            </w:r>
            <w:r>
              <w:rPr>
                <w:sz w:val="21"/>
              </w:rPr>
              <w:t>F型标志</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热熔型标线</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m2</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447.50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电力电缆</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ZA-YJV-4×35+1×16</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4686.39</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电力电缆</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ZA-YJV-4×25+1×16</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7033.40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电力电缆</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ZA-YJV-5×16</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1216.78</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电力电缆</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ZA-YJV-5×10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190.28</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电气配线</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:RVSP-4*1.5mm²</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745.00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电气配线</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RVV-3x6mm²</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905.00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电气配线</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RVVP-2x2.5mm²</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700.00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电气配线</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RVVP-3x1.0mm²</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64</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电气配线</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RVV-3x2.5</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4630.00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电气配线</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RVV-2x1.5mm²</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741.00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电气配线</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RVSP-4*0.75mm²</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508.00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67</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超五类网线</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超五类</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3830.00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4芯单模光纤</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4芯单模</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1210.00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69</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电气配线</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RVV-3x10mm²</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电气配线</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RVV-3x1.5mm²</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2819.00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71</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电气配线</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RVV-4x1.5</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4830.00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电气配线</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RVV-5x1.5</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3820.00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73</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160KVA箱式变压器</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74</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漏电保护器（防水开关盒）</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103.00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灯杆标签（定制）</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155.00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七</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规划二路</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10米A类智慧灯杆</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定制，含灯具</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10米B类智慧灯杆</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定制，含灯具</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10米C类智慧灯杆</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定制，含灯具</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10米普通灯杆</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定制，含灯具</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控制器</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挂杆配电箱</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综合智能网关</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AR502H-CN</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监控摄像机</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M6741-E-Z37</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监控摄像机</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M2241-QL</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监控摄像机</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X2241-HL</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公共广播</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XC-9601</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紧急呼叫</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XC-9137AV</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环境监测</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FRT AQM91</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气象监测</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FRT RDM306</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道路井盖监测</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CS-ITWM-05</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积水监测</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TC-401</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交换机</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AR550C-2C6GE</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减速让行标志（</w:t>
            </w:r>
            <w:r>
              <w:rPr>
                <w:sz w:val="21"/>
              </w:rPr>
              <w:t>△0.9m）</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路名牌（</w:t>
            </w:r>
            <w:r>
              <w:rPr>
                <w:sz w:val="21"/>
              </w:rPr>
              <w:t>1.2*0.4m）</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Y型标志牌牌面（φ0.8m*6）</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F型车道指示标志牌标志</w:t>
            </w:r>
          </w:p>
          <w:p>
            <w:pPr>
              <w:pStyle w:val="null3"/>
              <w:jc w:val="left"/>
            </w:pPr>
            <w:r>
              <w:rPr>
                <w:sz w:val="21"/>
              </w:rPr>
              <w:t>牌（</w:t>
            </w:r>
            <w:r>
              <w:rPr>
                <w:sz w:val="21"/>
              </w:rPr>
              <w:t>4.2×2.4m）</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F型指路标志牌牌面</w:t>
            </w:r>
          </w:p>
          <w:p>
            <w:pPr>
              <w:pStyle w:val="null3"/>
              <w:jc w:val="left"/>
            </w:pPr>
            <w:r>
              <w:rPr>
                <w:sz w:val="21"/>
              </w:rPr>
              <w:t>牌（</w:t>
            </w:r>
            <w:r>
              <w:rPr>
                <w:sz w:val="21"/>
              </w:rPr>
              <w:t>4.8×2.8m）</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人行横道标志（</w:t>
            </w:r>
            <w:r>
              <w:rPr>
                <w:sz w:val="21"/>
              </w:rPr>
              <w:t>0.8*0.8）牌</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热熔型标线</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m2</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35.20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电力电缆</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ZA-YJV-4×35+1×16</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3409.00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电力电缆</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ZA-06、1KV-YJV-5×16</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1127.00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电气配线</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RVV-3x6mm²</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190.00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电气配线</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RVV-3x2.5</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759.00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电气配线</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RVV-3x1.5mm²</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799.00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电气配线</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RVSP-4*0.75mm²</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超五类网线</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超五类</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630.00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漏电保护器（防水开关盒）</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灯杆标签（定制）</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八</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兴海路与迎宾路路口</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13米C类智慧灯杆</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定制，含灯具</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13米E2型智慧灯杆</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定制，含灯具</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13米F类智慧灯杆</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定制，含灯具</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13米智慧灯杆F2型</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定制，含灯具</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15米智慧灯杆A2型</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定制，含灯具</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交通信号灯杆（</w:t>
            </w:r>
            <w:r>
              <w:rPr>
                <w:sz w:val="21"/>
              </w:rPr>
              <w:t>T型杆）</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机动车道信号辅灯</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机动车道信号灯（左转）</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FX400-3-3Z</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机动车道信号灯（直行转）</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FX400-3-3D</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人行立柱灯杆</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人行信号灯</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综合设备箱</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杆上配电箱</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综合智能网关</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AR502H-CN</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电子警察</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监控摄像机</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M6741-E-Z37</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监控摄像机</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X2241-HL</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公共广播</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XC-9601</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紧急呼叫</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XC-9137AV</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交通信号机</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XHJ-CW-GA-HS2025</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雷达</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FRT AQM916</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自主发光</w:t>
            </w:r>
          </w:p>
          <w:p>
            <w:pPr>
              <w:pStyle w:val="null3"/>
              <w:jc w:val="left"/>
            </w:pPr>
            <w:r>
              <w:rPr>
                <w:sz w:val="21"/>
              </w:rPr>
              <w:t>人行横道标志</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全透型，</w:t>
            </w:r>
            <w:r>
              <w:rPr>
                <w:sz w:val="21"/>
              </w:rPr>
              <w:t>800*800mm</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自主发光</w:t>
            </w:r>
          </w:p>
          <w:p>
            <w:pPr>
              <w:pStyle w:val="null3"/>
              <w:jc w:val="left"/>
            </w:pPr>
            <w:r>
              <w:rPr>
                <w:sz w:val="21"/>
              </w:rPr>
              <w:t>减速让行标志</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全透型，</w:t>
            </w:r>
            <w:r>
              <w:rPr>
                <w:sz w:val="21"/>
              </w:rPr>
              <w:t>a=900mm</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自主发光</w:t>
            </w:r>
          </w:p>
          <w:p>
            <w:pPr>
              <w:pStyle w:val="null3"/>
              <w:jc w:val="left"/>
            </w:pPr>
            <w:r>
              <w:rPr>
                <w:sz w:val="21"/>
              </w:rPr>
              <w:t>限速</w:t>
            </w:r>
            <w:r>
              <w:rPr>
                <w:sz w:val="21"/>
              </w:rPr>
              <w:t>60标志</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全透型，</w:t>
            </w:r>
            <w:r>
              <w:rPr>
                <w:sz w:val="21"/>
              </w:rPr>
              <w:t>φ800mm</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自主发光</w:t>
            </w:r>
          </w:p>
          <w:p>
            <w:pPr>
              <w:pStyle w:val="null3"/>
              <w:jc w:val="left"/>
            </w:pPr>
            <w:r>
              <w:rPr>
                <w:sz w:val="21"/>
              </w:rPr>
              <w:t>禁止停车标志</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全透型，</w:t>
            </w:r>
            <w:r>
              <w:rPr>
                <w:sz w:val="21"/>
              </w:rPr>
              <w:t>φ800mm</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自主发光</w:t>
            </w:r>
          </w:p>
          <w:p>
            <w:pPr>
              <w:pStyle w:val="null3"/>
              <w:jc w:val="left"/>
            </w:pPr>
            <w:r>
              <w:rPr>
                <w:sz w:val="21"/>
              </w:rPr>
              <w:t>机动车行驶标志</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全透型，</w:t>
            </w:r>
            <w:r>
              <w:rPr>
                <w:sz w:val="21"/>
              </w:rPr>
              <w:t>φ800mm</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自主发光</w:t>
            </w:r>
          </w:p>
          <w:p>
            <w:pPr>
              <w:pStyle w:val="null3"/>
              <w:jc w:val="left"/>
            </w:pPr>
            <w:r>
              <w:rPr>
                <w:sz w:val="21"/>
              </w:rPr>
              <w:t>禁止鸣喇叭标志</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全透型，</w:t>
            </w:r>
            <w:r>
              <w:rPr>
                <w:sz w:val="21"/>
              </w:rPr>
              <w:t>φ800mm</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自主发光分向行驶车道标志牌</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半透型，</w:t>
            </w:r>
            <w:r>
              <w:rPr>
                <w:sz w:val="21"/>
              </w:rPr>
              <w:t>4.8*2.4m</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自主发光非机动车行驶标志牌</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全透型，</w:t>
            </w:r>
            <w:r>
              <w:rPr>
                <w:sz w:val="21"/>
              </w:rPr>
              <w:t>φ800mm</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自主发光步行标志牌</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全透型，</w:t>
            </w:r>
            <w:r>
              <w:rPr>
                <w:sz w:val="21"/>
              </w:rPr>
              <w:t>φ800mm</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限速</w:t>
            </w:r>
            <w:r>
              <w:rPr>
                <w:sz w:val="21"/>
              </w:rPr>
              <w:t>30+前方测速区标牌</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全透型，</w:t>
            </w:r>
            <w:r>
              <w:rPr>
                <w:sz w:val="21"/>
              </w:rPr>
              <w:t>2000*1000mm</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禁停</w:t>
            </w:r>
            <w:r>
              <w:rPr>
                <w:sz w:val="21"/>
              </w:rPr>
              <w:t>+违停拍照处罚标牌</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全透型，</w:t>
            </w:r>
            <w:r>
              <w:rPr>
                <w:sz w:val="21"/>
              </w:rPr>
              <w:t>2000*1000mm</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注意行人标牌</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全透型，</w:t>
            </w:r>
            <w:r>
              <w:rPr>
                <w:sz w:val="21"/>
              </w:rPr>
              <w:t>a=900mm</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行人优先道口警示标牌</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3200*260*80mm</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电力电缆</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ZR-YJV-5×16mm²</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电气配线</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RVSP-4*1.5mm²</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450.00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电气配线</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RVV-3x6mm²</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480.00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电气配线</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RVV-2x1.5mm²</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1600.00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超六类网线</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超六类</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4芯单模光纤</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4芯单模</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电气配线</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RVV-4x1.5</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787.20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电气配线</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RVV-5x1.5</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1046.50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九</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高压引入工程</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电力电缆</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ZA-YJV22-8.7/10KV-3x120mm2</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3125.00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电力电缆</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ZA-YJV22-8.7/10KV-3x70mm2</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8704.00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四间隔户外开关箱</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十</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道闸与保安亭工程</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道闸</w:t>
            </w:r>
            <w:r>
              <w:rPr>
                <w:sz w:val="21"/>
              </w:rPr>
              <w:t>1</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DS-TMG510-X</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道闸</w:t>
            </w:r>
            <w:r>
              <w:rPr>
                <w:sz w:val="21"/>
              </w:rPr>
              <w:t>2</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DS-TMG510-X</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抓拍显示一体机</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DS-TMC400-B</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雷达</w:t>
            </w:r>
            <w:r>
              <w:rPr>
                <w:sz w:val="21"/>
              </w:rPr>
              <w:t>01</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DS-TMG034</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雷达</w:t>
            </w:r>
            <w:r>
              <w:rPr>
                <w:sz w:val="21"/>
              </w:rPr>
              <w:t>02</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DS-TMG034</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服务器管理电脑主机</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显示器</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8口千兆交换机</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AR550C-2C6GE</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4G无线路由器</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减速带</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402.00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电力电缆</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YJV-3×6</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2100.00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电气配线</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RVVSP-8x0.5mm²</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115.00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电气配线</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RVVSP-2x1.0mm²</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115.00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超五类屏蔽网线</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超五类屏蔽网线</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1280.00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通信线</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RVV-3*2.5mm²</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465.00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通信线</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RVV-3*1.0mm²</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195.00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通信线</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RVV-3*1.5mm²</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出入口控制终端</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DS-TPE3XX-S</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停车综合管理平台</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200万像素数字高清高速智能球机</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200万网络高清室内半球</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交换机</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断路器</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成品保安亭</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弱电箱</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4口千兆交换机</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outlineLvl w:val="1"/>
      </w:pPr>
      <w:r>
        <w:rPr>
          <w:sz w:val="21"/>
          <w:b/>
        </w:rPr>
        <w:t>2、备品备件清单</w:t>
      </w:r>
    </w:p>
    <w:tbl>
      <w:tblPr>
        <w:tblW w:w="0" w:type="auto"/>
        <w:tblInd w:type="dxa" w:w="120"/>
        <w:tblBorders>
          <w:top w:val="none" w:color="000000" w:sz="4"/>
          <w:left w:val="none" w:color="000000" w:sz="4"/>
          <w:bottom w:val="none" w:color="000000" w:sz="4"/>
          <w:right w:val="none" w:color="000000" w:sz="4"/>
          <w:insideH w:val="none"/>
          <w:insideV w:val="none"/>
        </w:tblBorders>
      </w:tblPr>
      <w:tblGrid>
        <w:gridCol w:w="1029"/>
        <w:gridCol w:w="3459"/>
        <w:gridCol w:w="1057"/>
        <w:gridCol w:w="1072"/>
        <w:gridCol w:w="1672"/>
      </w:tblGrid>
      <w:tr>
        <w:tc>
          <w:tcPr>
            <w:tcW w:type="dxa" w:w="10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3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货物名称</w:t>
            </w:r>
          </w:p>
        </w:tc>
        <w:tc>
          <w:tcPr>
            <w:tcW w:type="dxa" w:w="10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10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16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备注</w:t>
            </w:r>
          </w:p>
        </w:tc>
      </w:tr>
      <w:tr>
        <w:tc>
          <w:tcPr>
            <w:tcW w:type="dxa" w:w="10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挂杆配电箱</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综合智能网关</w:t>
            </w:r>
          </w:p>
        </w:tc>
        <w:tc>
          <w:tcPr>
            <w:tcW w:type="dxa" w:w="10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3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高清球（</w:t>
            </w:r>
            <w:r>
              <w:rPr>
                <w:sz w:val="21"/>
              </w:rPr>
              <w:t>400W）</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3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高清枪（</w:t>
            </w:r>
            <w:r>
              <w:rPr>
                <w:sz w:val="21"/>
              </w:rPr>
              <w:t>400W）</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3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人脸枪（</w:t>
            </w:r>
            <w:r>
              <w:rPr>
                <w:sz w:val="21"/>
              </w:rPr>
              <w:t>400W）</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3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公共广播</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3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紧急呼叫</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3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信息发布屏（大）</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备主板</w:t>
            </w:r>
          </w:p>
        </w:tc>
      </w:tr>
      <w:tr>
        <w:tc>
          <w:tcPr>
            <w:tcW w:type="dxa" w:w="10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3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道路井盖监测</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3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单灯控制器</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3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交换机</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3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标志牌</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电源模块</w:t>
            </w:r>
          </w:p>
        </w:tc>
      </w:tr>
      <w:tr>
        <w:tc>
          <w:tcPr>
            <w:tcW w:type="dxa" w:w="10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3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道闸</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道闸杆</w:t>
            </w:r>
          </w:p>
        </w:tc>
      </w:tr>
    </w:tbl>
    <w:p>
      <w:pPr>
        <w:pStyle w:val="null3"/>
        <w:jc w:val="both"/>
        <w:outlineLvl w:val="3"/>
      </w:pPr>
      <w:r>
        <w:rPr>
          <w:sz w:val="24"/>
          <w:b/>
        </w:rPr>
        <w:t>5</w:t>
      </w:r>
      <w:r>
        <w:rPr>
          <w:sz w:val="24"/>
          <w:b/>
        </w:rPr>
        <w:t>、运维考核管理</w:t>
      </w:r>
    </w:p>
    <w:p>
      <w:pPr>
        <w:pStyle w:val="null3"/>
        <w:ind w:left="1110"/>
        <w:jc w:val="both"/>
        <w:outlineLvl w:val="1"/>
      </w:pPr>
      <w:r>
        <w:rPr>
          <w:sz w:val="21"/>
          <w:b/>
        </w:rPr>
        <w:t>1．</w:t>
      </w:r>
      <w:r>
        <w:rPr>
          <w:sz w:val="21"/>
          <w:b/>
        </w:rPr>
        <w:t>运维考核管理综合评分</w:t>
      </w:r>
    </w:p>
    <w:p>
      <w:pPr>
        <w:pStyle w:val="null3"/>
        <w:ind w:firstLine="420"/>
        <w:jc w:val="both"/>
      </w:pPr>
      <w:r>
        <w:rPr>
          <w:sz w:val="21"/>
        </w:rPr>
        <w:t>运维考核管理综合评分表（详见表一</w:t>
      </w:r>
      <w:r>
        <w:rPr>
          <w:sz w:val="21"/>
        </w:rPr>
        <w:t>:</w:t>
      </w:r>
      <w:r>
        <w:rPr>
          <w:sz w:val="21"/>
        </w:rPr>
        <w:t>综合评分表）分为人员组织架构管理、项目日常管理及各个专项现场养护管理</w:t>
      </w:r>
      <w:r>
        <w:rPr>
          <w:sz w:val="21"/>
        </w:rPr>
        <w:t>(详见表二~表八</w:t>
      </w:r>
      <w:r>
        <w:rPr>
          <w:sz w:val="21"/>
        </w:rPr>
        <w:t>)</w:t>
      </w:r>
      <w:r>
        <w:rPr>
          <w:sz w:val="21"/>
        </w:rPr>
        <w:t>三部分组成。运维按季度进行考核，考核评分采用综合评分制，其中人员组织架构</w:t>
      </w:r>
      <w:r>
        <w:rPr>
          <w:sz w:val="21"/>
        </w:rPr>
        <w:t>10分，项目日常管理考核2</w:t>
      </w:r>
      <w:r>
        <w:rPr>
          <w:sz w:val="21"/>
        </w:rPr>
        <w:t>0</w:t>
      </w:r>
      <w:r>
        <w:rPr>
          <w:sz w:val="21"/>
        </w:rPr>
        <w:t>分，现场管理的子模块加权分</w:t>
      </w:r>
      <w:r>
        <w:rPr>
          <w:sz w:val="21"/>
        </w:rPr>
        <w:t>70分，合计</w:t>
      </w:r>
      <w:r>
        <w:rPr>
          <w:sz w:val="21"/>
        </w:rPr>
        <w:t>100</w:t>
      </w:r>
      <w:r>
        <w:rPr>
          <w:sz w:val="21"/>
        </w:rPr>
        <w:t>分。</w:t>
      </w:r>
    </w:p>
    <w:p>
      <w:pPr>
        <w:pStyle w:val="null3"/>
        <w:ind w:firstLine="420"/>
        <w:jc w:val="both"/>
      </w:pPr>
      <w:r>
        <w:rPr>
          <w:sz w:val="21"/>
        </w:rPr>
        <w:t>注：（</w:t>
      </w:r>
      <w:r>
        <w:rPr>
          <w:sz w:val="21"/>
        </w:rPr>
        <w:t>1）</w:t>
      </w:r>
      <w:r>
        <w:rPr>
          <w:sz w:val="21"/>
        </w:rPr>
        <w:t>采购人对中标人提供的服务质量进行年度评估并给出评估分数。评估分为优（得分</w:t>
      </w:r>
      <w:r>
        <w:rPr>
          <w:sz w:val="21"/>
        </w:rPr>
        <w:t>≥90分）、良（80分≤得分＜90分）、中（70分≤得分＜80分）、差（得分＜70分）四个等级。</w:t>
      </w:r>
    </w:p>
    <w:p>
      <w:pPr>
        <w:pStyle w:val="null3"/>
        <w:ind w:firstLine="420"/>
        <w:jc w:val="both"/>
      </w:pPr>
      <w:r>
        <w:rPr>
          <w:sz w:val="21"/>
        </w:rPr>
        <w:t>1）考核总体规则</w:t>
      </w:r>
    </w:p>
    <w:p>
      <w:pPr>
        <w:pStyle w:val="null3"/>
        <w:ind w:firstLine="420"/>
        <w:jc w:val="both"/>
      </w:pPr>
      <w:r>
        <w:rPr>
          <w:sz w:val="21"/>
        </w:rPr>
        <w:t>季度考评为</w:t>
      </w:r>
      <w:r>
        <w:rPr>
          <w:sz w:val="21"/>
        </w:rPr>
        <w:t>“优”，不扣除年度维护服务费；</w:t>
      </w:r>
    </w:p>
    <w:p>
      <w:pPr>
        <w:pStyle w:val="null3"/>
        <w:ind w:firstLine="420"/>
        <w:jc w:val="both"/>
      </w:pPr>
      <w:r>
        <w:rPr>
          <w:sz w:val="21"/>
        </w:rPr>
        <w:t>季度考评为</w:t>
      </w:r>
      <w:r>
        <w:rPr>
          <w:sz w:val="21"/>
        </w:rPr>
        <w:t>“良”，则扣除年度维护服务费的1%；</w:t>
      </w:r>
    </w:p>
    <w:p>
      <w:pPr>
        <w:pStyle w:val="null3"/>
        <w:ind w:firstLine="420"/>
        <w:jc w:val="both"/>
      </w:pPr>
      <w:r>
        <w:rPr>
          <w:sz w:val="21"/>
        </w:rPr>
        <w:t>季度考评为</w:t>
      </w:r>
      <w:r>
        <w:rPr>
          <w:sz w:val="21"/>
        </w:rPr>
        <w:t>“中”，则扣除年度维护服务费的5%；</w:t>
      </w:r>
    </w:p>
    <w:p>
      <w:pPr>
        <w:pStyle w:val="null3"/>
        <w:ind w:firstLine="420"/>
        <w:jc w:val="both"/>
      </w:pPr>
      <w:r>
        <w:rPr>
          <w:sz w:val="21"/>
        </w:rPr>
        <w:t>季度考评为</w:t>
      </w:r>
      <w:r>
        <w:rPr>
          <w:sz w:val="21"/>
        </w:rPr>
        <w:t>“差”，则扣除年度维护服务费的10%。</w:t>
      </w:r>
    </w:p>
    <w:p>
      <w:pPr>
        <w:pStyle w:val="null3"/>
        <w:ind w:firstLine="420"/>
        <w:jc w:val="both"/>
      </w:pPr>
      <w:r>
        <w:rPr>
          <w:sz w:val="21"/>
        </w:rPr>
        <w:t>表一：综合评分表</w:t>
      </w:r>
    </w:p>
    <w:tbl>
      <w:tblPr>
        <w:tblW w:w="0" w:type="auto"/>
        <w:tblBorders>
          <w:top w:val="none" w:color="000000" w:sz="4"/>
          <w:left w:val="none" w:color="000000" w:sz="4"/>
          <w:bottom w:val="none" w:color="000000" w:sz="4"/>
          <w:right w:val="none" w:color="000000" w:sz="4"/>
          <w:insideH w:val="none"/>
          <w:insideV w:val="none"/>
        </w:tblBorders>
      </w:tblPr>
      <w:tblGrid>
        <w:gridCol w:w="685"/>
        <w:gridCol w:w="1819"/>
        <w:gridCol w:w="2385"/>
        <w:gridCol w:w="700"/>
        <w:gridCol w:w="1118"/>
        <w:gridCol w:w="835"/>
        <w:gridCol w:w="700"/>
      </w:tblGrid>
      <w:tr>
        <w:tc>
          <w:tcPr>
            <w:tcW w:type="dxa" w:w="250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项目时间：</w:t>
            </w:r>
          </w:p>
        </w:tc>
        <w:tc>
          <w:tcPr>
            <w:tcW w:type="dxa" w:w="5738"/>
            <w:gridSpan w:val="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考核总得分：</w:t>
            </w:r>
            <w:r>
              <w:rPr>
                <w:sz w:val="21"/>
              </w:rPr>
              <w:t xml:space="preserve">      </w:t>
            </w:r>
            <w:r>
              <w:rPr>
                <w:sz w:val="21"/>
              </w:rPr>
              <w:t>（总分值：</w:t>
            </w:r>
            <w:r>
              <w:rPr>
                <w:sz w:val="21"/>
              </w:rPr>
              <w:t>100分）</w:t>
            </w:r>
          </w:p>
        </w:tc>
      </w:tr>
      <w:tr>
        <w:tc>
          <w:tcPr>
            <w:tcW w:type="dxa" w:w="250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项目名称：</w:t>
            </w:r>
          </w:p>
        </w:tc>
        <w:tc>
          <w:tcPr>
            <w:tcW w:type="dxa" w:w="5738"/>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维护单位</w:t>
            </w:r>
            <w:r>
              <w:rPr>
                <w:sz w:val="21"/>
              </w:rPr>
              <w:t>:</w:t>
            </w:r>
          </w:p>
        </w:tc>
      </w:tr>
      <w:tr>
        <w:tc>
          <w:tcPr>
            <w:tcW w:type="dxa" w:w="250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维护单位经办人</w:t>
            </w:r>
            <w:r>
              <w:rPr>
                <w:sz w:val="21"/>
              </w:rPr>
              <w:t>:</w:t>
            </w:r>
          </w:p>
        </w:tc>
        <w:tc>
          <w:tcPr>
            <w:tcW w:type="dxa" w:w="5738"/>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维护单位负责人：</w:t>
            </w:r>
          </w:p>
        </w:tc>
      </w:tr>
      <w:tr>
        <w:tc>
          <w:tcPr>
            <w:tcW w:type="dxa" w:w="8242"/>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社会事务局考核人员</w:t>
            </w:r>
            <w:r>
              <w:rPr>
                <w:sz w:val="21"/>
              </w:rPr>
              <w:t>:</w:t>
            </w:r>
          </w:p>
        </w:tc>
      </w:tr>
      <w:tr>
        <w:tc>
          <w:tcPr>
            <w:tcW w:type="dxa" w:w="6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7557"/>
            <w:gridSpan w:val="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一、人员管理</w:t>
            </w:r>
            <w:r>
              <w:rPr>
                <w:sz w:val="21"/>
              </w:rPr>
              <w:t>(总分10分)</w:t>
            </w:r>
          </w:p>
        </w:tc>
      </w:tr>
      <w:tr>
        <w:tc>
          <w:tcPr>
            <w:tcW w:type="dxa" w:w="685"/>
            <w:vMerge/>
            <w:tcBorders>
              <w:top w:val="none" w:color="000000" w:sz="4"/>
              <w:left w:val="single" w:color="000000" w:sz="4"/>
              <w:bottom w:val="single" w:color="000000" w:sz="4"/>
              <w:right w:val="single" w:color="000000" w:sz="4"/>
            </w:tcBorders>
          </w:tcPr>
          <w:p/>
        </w:tc>
        <w:tc>
          <w:tcPr>
            <w:tcW w:type="dxa" w:w="1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考核标准</w:t>
            </w:r>
          </w:p>
        </w:tc>
        <w:tc>
          <w:tcPr>
            <w:tcW w:type="dxa" w:w="23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考核内容</w:t>
            </w:r>
          </w:p>
        </w:tc>
        <w:tc>
          <w:tcPr>
            <w:tcW w:type="dxa" w:w="7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分值</w:t>
            </w:r>
          </w:p>
        </w:tc>
        <w:tc>
          <w:tcPr>
            <w:tcW w:type="dxa" w:w="11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扣分标准</w:t>
            </w:r>
          </w:p>
        </w:tc>
        <w:tc>
          <w:tcPr>
            <w:tcW w:type="dxa" w:w="8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扣分</w:t>
            </w:r>
          </w:p>
        </w:tc>
        <w:tc>
          <w:tcPr>
            <w:tcW w:type="dxa" w:w="7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得分</w:t>
            </w:r>
          </w:p>
        </w:tc>
      </w:tr>
      <w:tr>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8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人员是否按照中标合同要求进行配置，包括人员数量，证件是否匹配</w:t>
            </w:r>
          </w:p>
        </w:tc>
        <w:tc>
          <w:tcPr>
            <w:tcW w:type="dxa" w:w="2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人员数量未按要求配置</w:t>
            </w:r>
          </w:p>
        </w:tc>
        <w:tc>
          <w:tcPr>
            <w:tcW w:type="dxa" w:w="70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1分/人</w:t>
            </w:r>
          </w:p>
        </w:tc>
        <w:tc>
          <w:tcPr>
            <w:tcW w:type="dxa" w:w="83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819"/>
            <w:vMerge/>
            <w:tcBorders>
              <w:top w:val="none" w:color="000000" w:sz="4"/>
              <w:left w:val="none" w:color="000000" w:sz="4"/>
              <w:bottom w:val="single" w:color="000000" w:sz="4"/>
              <w:right w:val="single" w:color="000000" w:sz="4"/>
            </w:tcBorders>
          </w:tcPr>
          <w:p/>
        </w:tc>
        <w:tc>
          <w:tcPr>
            <w:tcW w:type="dxa" w:w="2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相关人员未取得相关证件缺失（项目经理和技术负责人）</w:t>
            </w:r>
          </w:p>
        </w:tc>
        <w:tc>
          <w:tcPr>
            <w:tcW w:type="dxa" w:w="700"/>
            <w:vMerge/>
            <w:tcBorders>
              <w:top w:val="none" w:color="000000" w:sz="4"/>
              <w:left w:val="none" w:color="000000" w:sz="4"/>
              <w:bottom w:val="single" w:color="000000" w:sz="4"/>
              <w:right w:val="single" w:color="000000" w:sz="4"/>
            </w:tcBorders>
          </w:tcP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1分/次</w:t>
            </w:r>
          </w:p>
        </w:tc>
        <w:tc>
          <w:tcPr>
            <w:tcW w:type="dxa" w:w="835"/>
            <w:vMerge/>
            <w:tcBorders>
              <w:top w:val="none" w:color="000000" w:sz="4"/>
              <w:left w:val="none" w:color="000000" w:sz="4"/>
              <w:bottom w:val="single" w:color="000000" w:sz="4"/>
              <w:right w:val="single" w:color="000000" w:sz="4"/>
            </w:tcBorders>
          </w:tcPr>
          <w:p/>
        </w:tc>
        <w:tc>
          <w:tcPr>
            <w:tcW w:type="dxa" w:w="700"/>
            <w:vMerge/>
            <w:tcBorders>
              <w:top w:val="none" w:color="000000" w:sz="4"/>
              <w:left w:val="none" w:color="000000" w:sz="4"/>
              <w:bottom w:val="single" w:color="000000" w:sz="4"/>
              <w:right w:val="single" w:color="000000" w:sz="4"/>
            </w:tcBorders>
          </w:tcPr>
          <w:p/>
        </w:tc>
      </w:tr>
      <w:tr>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819"/>
            <w:vMerge/>
            <w:tcBorders>
              <w:top w:val="none" w:color="000000" w:sz="4"/>
              <w:left w:val="none" w:color="000000" w:sz="4"/>
              <w:bottom w:val="single" w:color="000000" w:sz="4"/>
              <w:right w:val="single" w:color="000000" w:sz="4"/>
            </w:tcBorders>
          </w:tcPr>
          <w:p/>
        </w:tc>
        <w:tc>
          <w:tcPr>
            <w:tcW w:type="dxa" w:w="2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相关人员证件弄虚作假</w:t>
            </w:r>
          </w:p>
        </w:tc>
        <w:tc>
          <w:tcPr>
            <w:tcW w:type="dxa" w:w="700"/>
            <w:vMerge/>
            <w:tcBorders>
              <w:top w:val="none" w:color="000000" w:sz="4"/>
              <w:left w:val="none" w:color="000000" w:sz="4"/>
              <w:bottom w:val="single" w:color="000000" w:sz="4"/>
              <w:right w:val="single" w:color="000000" w:sz="4"/>
            </w:tcBorders>
          </w:tcP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1分/次</w:t>
            </w:r>
          </w:p>
        </w:tc>
        <w:tc>
          <w:tcPr>
            <w:tcW w:type="dxa" w:w="835"/>
            <w:vMerge/>
            <w:tcBorders>
              <w:top w:val="none" w:color="000000" w:sz="4"/>
              <w:left w:val="none" w:color="000000" w:sz="4"/>
              <w:bottom w:val="single" w:color="000000" w:sz="4"/>
              <w:right w:val="single" w:color="000000" w:sz="4"/>
            </w:tcBorders>
          </w:tcPr>
          <w:p/>
        </w:tc>
        <w:tc>
          <w:tcPr>
            <w:tcW w:type="dxa" w:w="700"/>
            <w:vMerge/>
            <w:tcBorders>
              <w:top w:val="none" w:color="000000" w:sz="4"/>
              <w:left w:val="none" w:color="000000" w:sz="4"/>
              <w:bottom w:val="single" w:color="000000" w:sz="4"/>
              <w:right w:val="single" w:color="000000" w:sz="4"/>
            </w:tcBorders>
          </w:tcPr>
          <w:p/>
        </w:tc>
      </w:tr>
      <w:tr>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安排人员上岗培训和定期组织安全培训</w:t>
            </w:r>
          </w:p>
        </w:tc>
        <w:tc>
          <w:tcPr>
            <w:tcW w:type="dxa" w:w="238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未提供培训记录</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11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1分/次</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85"/>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8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对各种保障维修工作能按时按质完成，并及时反馈处理情况。服务态度好、积极，及时纠正错误。如实上报各类实情，不存在瞒报、篡改现象。</w:t>
            </w:r>
          </w:p>
        </w:tc>
        <w:tc>
          <w:tcPr>
            <w:tcW w:type="dxa" w:w="2385"/>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人员服务态度差，瞒报、漏报、篡改现象</w:t>
            </w:r>
          </w:p>
        </w:tc>
        <w:tc>
          <w:tcPr>
            <w:tcW w:type="dxa" w:w="70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18"/>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0.5分/次</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85"/>
            <w:vMerge/>
            <w:tcBorders>
              <w:top w:val="none" w:color="000000" w:sz="4"/>
              <w:left w:val="single" w:color="000000" w:sz="4"/>
              <w:bottom w:val="none" w:color="000000" w:sz="4"/>
              <w:right w:val="single" w:color="000000" w:sz="4"/>
            </w:tcBorders>
          </w:tcPr>
          <w:p/>
        </w:tc>
        <w:tc>
          <w:tcPr>
            <w:tcW w:type="dxa" w:w="1819"/>
            <w:vMerge/>
            <w:tcBorders>
              <w:top w:val="none" w:color="000000" w:sz="4"/>
              <w:left w:val="none" w:color="000000" w:sz="4"/>
              <w:bottom w:val="single" w:color="000000" w:sz="4"/>
              <w:right w:val="single" w:color="000000" w:sz="4"/>
            </w:tcBorders>
          </w:tcPr>
          <w:p/>
        </w:tc>
        <w:tc>
          <w:tcPr>
            <w:tcW w:type="dxa" w:w="2385"/>
            <w:vMerge/>
            <w:tcBorders>
              <w:top w:val="single" w:color="000000" w:sz="4"/>
              <w:left w:val="none" w:color="000000" w:sz="4"/>
              <w:bottom w:val="none" w:color="000000" w:sz="4"/>
              <w:right w:val="single" w:color="000000" w:sz="4"/>
            </w:tcBorders>
          </w:tcPr>
          <w:p/>
        </w:tc>
        <w:tc>
          <w:tcPr>
            <w:tcW w:type="dxa" w:w="700"/>
            <w:vMerge/>
            <w:tcBorders>
              <w:top w:val="none" w:color="000000" w:sz="4"/>
              <w:left w:val="none" w:color="000000" w:sz="4"/>
              <w:bottom w:val="single" w:color="000000" w:sz="4"/>
              <w:right w:val="single" w:color="000000" w:sz="4"/>
            </w:tcBorders>
          </w:tcPr>
          <w:p/>
        </w:tc>
        <w:tc>
          <w:tcPr>
            <w:tcW w:type="dxa" w:w="1118"/>
            <w:vMerge/>
            <w:tcBorders>
              <w:top w:val="single" w:color="000000" w:sz="4"/>
              <w:left w:val="none" w:color="000000" w:sz="4"/>
              <w:bottom w:val="none" w:color="000000" w:sz="4"/>
              <w:right w:val="single" w:color="000000" w:sz="4"/>
            </w:tcBorders>
          </w:tcP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1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人员调整提前</w:t>
            </w:r>
            <w:r>
              <w:rPr>
                <w:sz w:val="21"/>
              </w:rPr>
              <w:t>1周备案</w:t>
            </w:r>
          </w:p>
        </w:tc>
        <w:tc>
          <w:tcPr>
            <w:tcW w:type="dxa" w:w="2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未报备</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0.2分/次</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二</w:t>
            </w:r>
          </w:p>
        </w:tc>
        <w:tc>
          <w:tcPr>
            <w:tcW w:type="dxa" w:w="7557"/>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日常管理</w:t>
            </w:r>
            <w:r>
              <w:rPr>
                <w:sz w:val="21"/>
              </w:rPr>
              <w:t>(总分20分)</w:t>
            </w:r>
          </w:p>
        </w:tc>
      </w:tr>
      <w:tr>
        <w:tc>
          <w:tcPr>
            <w:tcW w:type="dxa" w:w="685"/>
            <w:vMerge/>
            <w:tcBorders>
              <w:top w:val="none" w:color="000000" w:sz="4"/>
              <w:left w:val="single" w:color="000000" w:sz="4"/>
              <w:bottom w:val="single" w:color="000000" w:sz="4"/>
              <w:right w:val="single" w:color="000000" w:sz="4"/>
            </w:tcBorders>
          </w:tcPr>
          <w:p/>
        </w:tc>
        <w:tc>
          <w:tcPr>
            <w:tcW w:type="dxa" w:w="1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考核标准</w:t>
            </w:r>
          </w:p>
        </w:tc>
        <w:tc>
          <w:tcPr>
            <w:tcW w:type="dxa" w:w="23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考核内容</w:t>
            </w:r>
          </w:p>
        </w:tc>
        <w:tc>
          <w:tcPr>
            <w:tcW w:type="dxa" w:w="7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分值</w:t>
            </w:r>
          </w:p>
        </w:tc>
        <w:tc>
          <w:tcPr>
            <w:tcW w:type="dxa" w:w="11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扣分标准</w:t>
            </w:r>
          </w:p>
        </w:tc>
        <w:tc>
          <w:tcPr>
            <w:tcW w:type="dxa" w:w="8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扣分</w:t>
            </w:r>
          </w:p>
        </w:tc>
        <w:tc>
          <w:tcPr>
            <w:tcW w:type="dxa" w:w="7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得分</w:t>
            </w:r>
          </w:p>
        </w:tc>
      </w:tr>
      <w:tr>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1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管理制度（管理岗位职责、文明施工制度等）</w:t>
            </w:r>
          </w:p>
        </w:tc>
        <w:tc>
          <w:tcPr>
            <w:tcW w:type="dxa" w:w="2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未按要求设置管理制度</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0.5分/次</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1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设备、材料及工具必须分区摆设</w:t>
            </w:r>
          </w:p>
        </w:tc>
        <w:tc>
          <w:tcPr>
            <w:tcW w:type="dxa" w:w="2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未按要求分区摆设</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0.5分/次</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1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应建立每日巡查制度，每晚亮灯后，必须对养护范围内的所有路段检查一次亮灯情况并按要求填好路灯运行情况记录表格，同时要求对存在较大问题的路段进行拍照，每周一提交上周的巡查记录表、故障处理情况表和相关的图片等各项记录表格和资料台帐，记录表格等资料如有弄虚作假，</w:t>
            </w:r>
            <w:r>
              <w:rPr>
                <w:sz w:val="21"/>
              </w:rPr>
              <w:t>甲方</w:t>
            </w:r>
            <w:r>
              <w:rPr>
                <w:sz w:val="21"/>
              </w:rPr>
              <w:t>调查认定情况属实的</w:t>
            </w:r>
          </w:p>
        </w:tc>
        <w:tc>
          <w:tcPr>
            <w:tcW w:type="dxa" w:w="2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未按要求巡查或及时上交巡查记录等各项资料或弄虚作假的</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0.5分/处</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18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实行路灯、照明设施、视频监控、电子警察、交通信号灯、公交站台及其他设备户籍手册，做到所有设备都有档案记录</w:t>
            </w:r>
          </w:p>
        </w:tc>
        <w:tc>
          <w:tcPr>
            <w:tcW w:type="dxa" w:w="2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未建立户籍手册或未及时更新</w:t>
            </w:r>
          </w:p>
        </w:tc>
        <w:tc>
          <w:tcPr>
            <w:tcW w:type="dxa" w:w="70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1分/次</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1819"/>
            <w:vMerge/>
            <w:tcBorders>
              <w:top w:val="none" w:color="000000" w:sz="4"/>
              <w:left w:val="none" w:color="000000" w:sz="4"/>
              <w:bottom w:val="single" w:color="000000" w:sz="4"/>
              <w:right w:val="single" w:color="000000" w:sz="4"/>
            </w:tcBorders>
          </w:tcPr>
          <w:p/>
        </w:tc>
        <w:tc>
          <w:tcPr>
            <w:tcW w:type="dxa" w:w="2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未录入户籍手册或未及时更新</w:t>
            </w:r>
          </w:p>
        </w:tc>
        <w:tc>
          <w:tcPr>
            <w:tcW w:type="dxa" w:w="700"/>
            <w:vMerge/>
            <w:tcBorders>
              <w:top w:val="none" w:color="000000" w:sz="4"/>
              <w:left w:val="none" w:color="000000" w:sz="4"/>
              <w:bottom w:val="single" w:color="000000" w:sz="4"/>
              <w:right w:val="single" w:color="000000" w:sz="4"/>
            </w:tcBorders>
          </w:tcP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0.1分/处</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1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实行高处作业双报备制度，每月需配合</w:t>
            </w:r>
            <w:r>
              <w:rPr>
                <w:sz w:val="21"/>
              </w:rPr>
              <w:t>甲方</w:t>
            </w:r>
            <w:r>
              <w:rPr>
                <w:sz w:val="21"/>
              </w:rPr>
              <w:t>填写有关资料表格，接受</w:t>
            </w:r>
            <w:r>
              <w:rPr>
                <w:sz w:val="21"/>
              </w:rPr>
              <w:t>甲方</w:t>
            </w:r>
            <w:r>
              <w:rPr>
                <w:sz w:val="21"/>
              </w:rPr>
              <w:t>现场监督检查，完成有关工作台帐资料上交</w:t>
            </w:r>
          </w:p>
        </w:tc>
        <w:tc>
          <w:tcPr>
            <w:tcW w:type="dxa" w:w="2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未按要求进行配合双报备或未按要求上交各项工作台帐资料</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0.5分/次</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1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在进行养护作业时操作人员必须穿反光服、戴安全帽，维修现场设置规范的安全警示标志，并严格遵守国家电工安全操作规程规范，按文件落实各项安全生产和各项防疫要求</w:t>
            </w:r>
          </w:p>
        </w:tc>
        <w:tc>
          <w:tcPr>
            <w:tcW w:type="dxa" w:w="2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未按要求执行</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0.5分/次</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1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操作人员须持证上岗，如驾驶员要持有驾驶证，维修人员要持有电工证、高处作业证等</w:t>
            </w:r>
          </w:p>
        </w:tc>
        <w:tc>
          <w:tcPr>
            <w:tcW w:type="dxa" w:w="2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发现无证上岗</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0.5分/次</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1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根据《中标合同》要求，要有一定数量的灯具、</w:t>
            </w:r>
            <w:r>
              <w:rPr>
                <w:sz w:val="21"/>
              </w:rPr>
              <w:t>LED模组、电源、电缆、玉兰灯、摄像头、交换机等常用设备配件的库存</w:t>
            </w:r>
          </w:p>
        </w:tc>
        <w:tc>
          <w:tcPr>
            <w:tcW w:type="dxa" w:w="2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未按《中标合同清单》中备件清单备件</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0.5分/项/次</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2.10</w:t>
            </w:r>
          </w:p>
        </w:tc>
        <w:tc>
          <w:tcPr>
            <w:tcW w:type="dxa" w:w="18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按照招标内容配备相应的作业车辆和作业人员</w:t>
            </w:r>
          </w:p>
        </w:tc>
        <w:tc>
          <w:tcPr>
            <w:tcW w:type="dxa" w:w="2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未按要求配备作业车辆</w:t>
            </w:r>
          </w:p>
        </w:tc>
        <w:tc>
          <w:tcPr>
            <w:tcW w:type="dxa" w:w="70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0.5分/辆</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2.11</w:t>
            </w:r>
          </w:p>
        </w:tc>
        <w:tc>
          <w:tcPr>
            <w:tcW w:type="dxa" w:w="1819"/>
            <w:vMerge/>
            <w:tcBorders>
              <w:top w:val="none" w:color="000000" w:sz="4"/>
              <w:left w:val="none" w:color="000000" w:sz="4"/>
              <w:bottom w:val="single" w:color="000000" w:sz="4"/>
              <w:right w:val="single" w:color="000000" w:sz="4"/>
            </w:tcBorders>
          </w:tcPr>
          <w:p/>
        </w:tc>
        <w:tc>
          <w:tcPr>
            <w:tcW w:type="dxa" w:w="2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未按要求配备作业人员</w:t>
            </w:r>
          </w:p>
        </w:tc>
        <w:tc>
          <w:tcPr>
            <w:tcW w:type="dxa" w:w="700"/>
            <w:vMerge/>
            <w:tcBorders>
              <w:top w:val="none" w:color="000000" w:sz="4"/>
              <w:left w:val="none" w:color="000000" w:sz="4"/>
              <w:bottom w:val="single" w:color="000000" w:sz="4"/>
              <w:right w:val="single" w:color="000000" w:sz="4"/>
            </w:tcBorders>
          </w:tcP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0.5分/人</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2.12</w:t>
            </w:r>
          </w:p>
        </w:tc>
        <w:tc>
          <w:tcPr>
            <w:tcW w:type="dxa" w:w="18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若因养护不到位受到市民投诉（除突发外在因素造成，如车祸、道路、绿化施工破坏）</w:t>
            </w:r>
          </w:p>
        </w:tc>
        <w:tc>
          <w:tcPr>
            <w:tcW w:type="dxa" w:w="2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养护不到位引起的投诉</w:t>
            </w:r>
          </w:p>
        </w:tc>
        <w:tc>
          <w:tcPr>
            <w:tcW w:type="dxa" w:w="70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1分/次</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2.13</w:t>
            </w:r>
          </w:p>
        </w:tc>
        <w:tc>
          <w:tcPr>
            <w:tcW w:type="dxa" w:w="1819"/>
            <w:vMerge/>
            <w:tcBorders>
              <w:top w:val="none" w:color="000000" w:sz="4"/>
              <w:left w:val="none" w:color="000000" w:sz="4"/>
              <w:bottom w:val="single" w:color="000000" w:sz="4"/>
              <w:right w:val="single" w:color="000000" w:sz="4"/>
            </w:tcBorders>
          </w:tcPr>
          <w:p/>
        </w:tc>
        <w:tc>
          <w:tcPr>
            <w:tcW w:type="dxa" w:w="2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受到媒体曝光或一个月内再次受到投诉</w:t>
            </w:r>
          </w:p>
        </w:tc>
        <w:tc>
          <w:tcPr>
            <w:tcW w:type="dxa" w:w="700"/>
            <w:vMerge/>
            <w:tcBorders>
              <w:top w:val="none" w:color="000000" w:sz="4"/>
              <w:left w:val="none" w:color="000000" w:sz="4"/>
              <w:bottom w:val="single" w:color="000000" w:sz="4"/>
              <w:right w:val="single" w:color="000000" w:sz="4"/>
            </w:tcBorders>
          </w:tcP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1分/次</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2.14</w:t>
            </w:r>
          </w:p>
        </w:tc>
        <w:tc>
          <w:tcPr>
            <w:tcW w:type="dxa" w:w="1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前线人员社保缴纳证明</w:t>
            </w:r>
          </w:p>
        </w:tc>
        <w:tc>
          <w:tcPr>
            <w:tcW w:type="dxa" w:w="2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检查发现没有按规定购买相关保险的</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0.5分/人次</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2.15</w:t>
            </w:r>
          </w:p>
        </w:tc>
        <w:tc>
          <w:tcPr>
            <w:tcW w:type="dxa" w:w="1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每季度资料归档要求及时及完整性</w:t>
            </w:r>
          </w:p>
        </w:tc>
        <w:tc>
          <w:tcPr>
            <w:tcW w:type="dxa" w:w="2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每季度需要归档资料：</w:t>
            </w:r>
            <w:r>
              <w:rPr>
                <w:sz w:val="21"/>
              </w:rPr>
              <w:t>1、巡查、维修情况汇总表；2、安全生产检查台账；3、处理投诉维修台账；4、路灯清理台账；5、隐患排查和整改情况台账；6、亮灯时间调整台账；7、工作日志；8、养护评分表；9、照度检查、防漏电检查；10、每周会议资料</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不完整或不更新，</w:t>
            </w:r>
            <w:r>
              <w:rPr>
                <w:sz w:val="21"/>
              </w:rPr>
              <w:t>0.2分/次</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2.16</w:t>
            </w:r>
          </w:p>
        </w:tc>
        <w:tc>
          <w:tcPr>
            <w:tcW w:type="dxa" w:w="1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其它资料归档要求及时及完整性</w:t>
            </w:r>
          </w:p>
        </w:tc>
        <w:tc>
          <w:tcPr>
            <w:tcW w:type="dxa" w:w="2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其它需要归档资料：</w:t>
            </w:r>
            <w:r>
              <w:rPr>
                <w:sz w:val="21"/>
              </w:rPr>
              <w:t>1、高空作业报备 (按维修安排次数)，2、安全演练资料(一年两次或以上)，3、照明设施安全保护系统检查台账 (一年两次，每半年一次)，4、灯杆翻新台账 (每年)，5、箱变检测台账(附第三方检查报告，每年一次)，6、述安述职资料 (一年两次，每半年一次)，7、电力电缆常规检测 (一年四次)， 9、安全培训台账(按实际情况汇总)，10、市民满意度调查（一年一次）</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不完整或不更新，</w:t>
            </w:r>
            <w:r>
              <w:rPr>
                <w:sz w:val="21"/>
              </w:rPr>
              <w:t>0.2分/次</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2.17</w:t>
            </w:r>
          </w:p>
        </w:tc>
        <w:tc>
          <w:tcPr>
            <w:tcW w:type="dxa" w:w="1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要求具有养护组织实施方案</w:t>
            </w:r>
          </w:p>
        </w:tc>
        <w:tc>
          <w:tcPr>
            <w:tcW w:type="dxa" w:w="2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乙方</w:t>
            </w:r>
            <w:r>
              <w:rPr>
                <w:sz w:val="21"/>
              </w:rPr>
              <w:t>编制养护组织实施方案，按实际情况及时更新，要求留存归档</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不完整或不更新，</w:t>
            </w:r>
            <w:r>
              <w:rPr>
                <w:sz w:val="21"/>
              </w:rPr>
              <w:t>0.5分/次</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w:t>
            </w:r>
          </w:p>
        </w:tc>
        <w:tc>
          <w:tcPr>
            <w:tcW w:type="dxa" w:w="7557"/>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现场管理的子模块</w:t>
            </w:r>
            <w:r>
              <w:rPr>
                <w:sz w:val="21"/>
                <w:b/>
              </w:rPr>
              <w:t>(总分70分)</w:t>
            </w:r>
          </w:p>
        </w:tc>
      </w:tr>
      <w:tr>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1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按照《表二</w:t>
            </w:r>
            <w:r>
              <w:rPr>
                <w:sz w:val="21"/>
              </w:rPr>
              <w:t>.照明设施养护评分表》执行</w:t>
            </w:r>
          </w:p>
        </w:tc>
        <w:tc>
          <w:tcPr>
            <w:tcW w:type="dxa" w:w="23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对智慧灯杆、综合箱、灯具、单灯控制器、箱变等照明设施设备的现场养护质量检查</w:t>
            </w:r>
          </w:p>
        </w:tc>
        <w:tc>
          <w:tcPr>
            <w:tcW w:type="dxa" w:w="7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11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按照权重来分配，照明设施养护占总分</w:t>
            </w:r>
            <w:r>
              <w:rPr>
                <w:sz w:val="21"/>
              </w:rPr>
              <w:t>20%,道路视频监控系统养护占总分15%，电子警察系统养护占总分10%,交通信号控制系统占总分10%，公交站台智能化设备占总分5%，智能交通标志牌系统养护占总分5%，其它设备养护占总分5%,具体扣分标准详见各考核评价表</w:t>
            </w:r>
          </w:p>
        </w:tc>
        <w:tc>
          <w:tcPr>
            <w:tcW w:type="dxa" w:w="8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c>
          <w:tcPr>
            <w:tcW w:type="dxa" w:w="1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按照《表三</w:t>
            </w:r>
            <w:r>
              <w:rPr>
                <w:sz w:val="21"/>
              </w:rPr>
              <w:t>.道路视频监控系统运行考核评分表》执行</w:t>
            </w:r>
          </w:p>
        </w:tc>
        <w:tc>
          <w:tcPr>
            <w:tcW w:type="dxa" w:w="2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对高清摄像机、人脸微卡、交换机等视频监控系统的现场养护质量检查</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118"/>
            <w:vMerge/>
            <w:tcBorders>
              <w:top w:val="single" w:color="000000" w:sz="4"/>
              <w:left w:val="none" w:color="000000" w:sz="4"/>
              <w:bottom w:val="single" w:color="000000" w:sz="4"/>
              <w:right w:val="single" w:color="000000" w:sz="4"/>
            </w:tcBorders>
          </w:tcP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c>
          <w:tcPr>
            <w:tcW w:type="dxa" w:w="1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按照《表四</w:t>
            </w:r>
            <w:r>
              <w:rPr>
                <w:sz w:val="21"/>
              </w:rPr>
              <w:t>.电子警察系统运行考核评分表》执行</w:t>
            </w:r>
          </w:p>
        </w:tc>
        <w:tc>
          <w:tcPr>
            <w:tcW w:type="dxa" w:w="2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对电子警察抓拍机、爆闪灯、智能终端、交换机等电子警察系统的现场养护质量检查</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118"/>
            <w:vMerge/>
            <w:tcBorders>
              <w:top w:val="single" w:color="000000" w:sz="4"/>
              <w:left w:val="none" w:color="000000" w:sz="4"/>
              <w:bottom w:val="single" w:color="000000" w:sz="4"/>
              <w:right w:val="single" w:color="000000" w:sz="4"/>
            </w:tcBorders>
          </w:tcP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c>
          <w:tcPr>
            <w:tcW w:type="dxa" w:w="1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按照《表五</w:t>
            </w:r>
            <w:r>
              <w:rPr>
                <w:sz w:val="21"/>
              </w:rPr>
              <w:t>.交通信号控制系统运行考核评分表》执行</w:t>
            </w:r>
          </w:p>
        </w:tc>
        <w:tc>
          <w:tcPr>
            <w:tcW w:type="dxa" w:w="2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对机动车信号灯、人行信号机、行人过街一体机、雷达、信号控制机等交通信号控制系统的现场养护质量检查</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118"/>
            <w:vMerge/>
            <w:tcBorders>
              <w:top w:val="single" w:color="000000" w:sz="4"/>
              <w:left w:val="none" w:color="000000" w:sz="4"/>
              <w:bottom w:val="single" w:color="000000" w:sz="4"/>
              <w:right w:val="single" w:color="000000" w:sz="4"/>
            </w:tcBorders>
          </w:tcP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1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按照《表六</w:t>
            </w:r>
            <w:r>
              <w:rPr>
                <w:sz w:val="21"/>
              </w:rPr>
              <w:t>.公交站台运行考核评分表》执行</w:t>
            </w:r>
          </w:p>
        </w:tc>
        <w:tc>
          <w:tcPr>
            <w:tcW w:type="dxa" w:w="2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对公交站台智能化设备的现场养护质量检查</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118"/>
            <w:vMerge/>
            <w:tcBorders>
              <w:top w:val="single" w:color="000000" w:sz="4"/>
              <w:left w:val="none" w:color="000000" w:sz="4"/>
              <w:bottom w:val="single" w:color="000000" w:sz="4"/>
              <w:right w:val="single" w:color="000000" w:sz="4"/>
            </w:tcBorders>
          </w:tcP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c>
          <w:tcPr>
            <w:tcW w:type="dxa" w:w="1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按照《表七</w:t>
            </w:r>
            <w:r>
              <w:rPr>
                <w:sz w:val="21"/>
              </w:rPr>
              <w:t>.智能交通标志牌运行考核评分表》执行</w:t>
            </w:r>
          </w:p>
        </w:tc>
        <w:tc>
          <w:tcPr>
            <w:tcW w:type="dxa" w:w="2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对智能交通标志牌、控制箱等交通标志系统的现场养护质量检查</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118"/>
            <w:vMerge/>
            <w:tcBorders>
              <w:top w:val="single" w:color="000000" w:sz="4"/>
              <w:left w:val="none" w:color="000000" w:sz="4"/>
              <w:bottom w:val="single" w:color="000000" w:sz="4"/>
              <w:right w:val="single" w:color="000000" w:sz="4"/>
            </w:tcBorders>
          </w:tcP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w:t>
            </w:r>
          </w:p>
        </w:tc>
        <w:tc>
          <w:tcPr>
            <w:tcW w:type="dxa" w:w="1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按照《表八</w:t>
            </w:r>
            <w:r>
              <w:rPr>
                <w:sz w:val="21"/>
              </w:rPr>
              <w:t>.其它设备运行考核评分表》执行</w:t>
            </w:r>
          </w:p>
        </w:tc>
        <w:tc>
          <w:tcPr>
            <w:tcW w:type="dxa" w:w="2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对紧急呼叫、公共广播、环境传感、气象传感、水位传感、停车道闸等设备的现场养护质量检查</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118"/>
            <w:vMerge/>
            <w:tcBorders>
              <w:top w:val="single" w:color="000000" w:sz="4"/>
              <w:left w:val="none" w:color="000000" w:sz="4"/>
              <w:bottom w:val="single" w:color="000000" w:sz="4"/>
              <w:right w:val="single" w:color="000000" w:sz="4"/>
            </w:tcBorders>
          </w:tcP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242"/>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存在问题描述：</w:t>
            </w:r>
          </w:p>
        </w:tc>
      </w:tr>
    </w:tbl>
    <w:p>
      <w:pPr>
        <w:pStyle w:val="null3"/>
        <w:ind w:firstLine="420"/>
        <w:jc w:val="both"/>
        <w:outlineLvl w:val="1"/>
      </w:pPr>
      <w:r>
        <w:rPr>
          <w:sz w:val="21"/>
          <w:b/>
        </w:rPr>
        <w:t>2</w:t>
      </w:r>
      <w:r>
        <w:rPr>
          <w:sz w:val="21"/>
          <w:b/>
        </w:rPr>
        <w:t>．</w:t>
      </w:r>
      <w:r>
        <w:rPr>
          <w:sz w:val="21"/>
          <w:b/>
        </w:rPr>
        <w:t>智慧灯杆、照明设施及配电箱箱变运行考核</w:t>
      </w:r>
    </w:p>
    <w:p>
      <w:pPr>
        <w:pStyle w:val="null3"/>
        <w:ind w:firstLine="420"/>
        <w:jc w:val="both"/>
      </w:pPr>
      <w:r>
        <w:rPr>
          <w:sz w:val="21"/>
        </w:rPr>
        <w:t>照明设施养护评价指标从日常管理检查、现场养护、配电箱及箱变检查等多个方面对</w:t>
      </w:r>
      <w:r>
        <w:rPr>
          <w:sz w:val="21"/>
        </w:rPr>
        <w:t>乙方</w:t>
      </w:r>
      <w:r>
        <w:rPr>
          <w:sz w:val="21"/>
        </w:rPr>
        <w:t>进行考核评定，包括下列内容：</w:t>
      </w:r>
    </w:p>
    <w:p>
      <w:pPr>
        <w:pStyle w:val="null3"/>
        <w:ind w:firstLine="420"/>
        <w:jc w:val="left"/>
      </w:pPr>
      <w:r>
        <w:rPr>
          <w:sz w:val="21"/>
        </w:rPr>
        <w:t>表二：照明设施养护考核评分表</w:t>
      </w:r>
    </w:p>
    <w:tbl>
      <w:tblPr>
        <w:tblW w:w="0" w:type="auto"/>
        <w:tblBorders>
          <w:top w:val="none" w:color="000000" w:sz="4"/>
          <w:left w:val="none" w:color="000000" w:sz="4"/>
          <w:bottom w:val="none" w:color="000000" w:sz="4"/>
          <w:right w:val="none" w:color="000000" w:sz="4"/>
          <w:insideH w:val="none"/>
          <w:insideV w:val="none"/>
        </w:tblBorders>
      </w:tblPr>
      <w:tblGrid>
        <w:gridCol w:w="643"/>
        <w:gridCol w:w="2077"/>
        <w:gridCol w:w="2231"/>
        <w:gridCol w:w="1255"/>
        <w:gridCol w:w="1255"/>
        <w:gridCol w:w="414"/>
        <w:gridCol w:w="431"/>
      </w:tblGrid>
      <w:tr>
        <w:tc>
          <w:tcPr>
            <w:tcW w:type="dxa" w:w="2720"/>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项目时间：</w:t>
            </w:r>
          </w:p>
        </w:tc>
        <w:tc>
          <w:tcPr>
            <w:tcW w:type="dxa" w:w="5586"/>
            <w:gridSpan w:val="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考核总得分：</w:t>
            </w:r>
            <w:r>
              <w:rPr>
                <w:sz w:val="21"/>
              </w:rPr>
              <w:t xml:space="preserve">      </w:t>
            </w:r>
            <w:r>
              <w:rPr>
                <w:sz w:val="21"/>
              </w:rPr>
              <w:t>（总分值：</w:t>
            </w:r>
            <w:r>
              <w:rPr>
                <w:sz w:val="21"/>
              </w:rPr>
              <w:t>100分）</w:t>
            </w:r>
          </w:p>
        </w:tc>
      </w:tr>
      <w:tr>
        <w:tc>
          <w:tcPr>
            <w:tcW w:type="dxa" w:w="27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项目名称：</w:t>
            </w:r>
          </w:p>
        </w:tc>
        <w:tc>
          <w:tcPr>
            <w:tcW w:type="dxa" w:w="5586"/>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维护单位</w:t>
            </w:r>
            <w:r>
              <w:rPr>
                <w:sz w:val="21"/>
              </w:rPr>
              <w:t>:</w:t>
            </w:r>
          </w:p>
        </w:tc>
      </w:tr>
      <w:tr>
        <w:tc>
          <w:tcPr>
            <w:tcW w:type="dxa" w:w="27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维护单位经办人</w:t>
            </w:r>
            <w:r>
              <w:rPr>
                <w:sz w:val="21"/>
              </w:rPr>
              <w:t>:</w:t>
            </w:r>
          </w:p>
        </w:tc>
        <w:tc>
          <w:tcPr>
            <w:tcW w:type="dxa" w:w="5586"/>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维护单位负责人：</w:t>
            </w:r>
          </w:p>
        </w:tc>
      </w:tr>
      <w:tr>
        <w:tc>
          <w:tcPr>
            <w:tcW w:type="dxa" w:w="8306"/>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考核人员</w:t>
            </w:r>
            <w:r>
              <w:rPr>
                <w:sz w:val="21"/>
              </w:rPr>
              <w:t>:</w:t>
            </w:r>
          </w:p>
        </w:tc>
      </w:tr>
      <w:tr>
        <w:tc>
          <w:tcPr>
            <w:tcW w:type="dxa" w:w="64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7663"/>
            <w:gridSpan w:val="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一、灯杆、灯具等照明设施现场养护</w:t>
            </w:r>
            <w:r>
              <w:rPr>
                <w:sz w:val="21"/>
                <w:b/>
              </w:rPr>
              <w:t>(总分70分)</w:t>
            </w:r>
          </w:p>
        </w:tc>
      </w:tr>
      <w:tr>
        <w:tc>
          <w:tcPr>
            <w:tcW w:type="dxa" w:w="643"/>
            <w:vMerge/>
            <w:tcBorders>
              <w:top w:val="none" w:color="000000" w:sz="4"/>
              <w:left w:val="single" w:color="000000" w:sz="4"/>
              <w:bottom w:val="single" w:color="000000" w:sz="4"/>
              <w:right w:val="single" w:color="000000" w:sz="4"/>
            </w:tcBorders>
          </w:tcPr>
          <w:p/>
        </w:tc>
        <w:tc>
          <w:tcPr>
            <w:tcW w:type="dxa" w:w="2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考核标准</w:t>
            </w:r>
          </w:p>
        </w:tc>
        <w:tc>
          <w:tcPr>
            <w:tcW w:type="dxa" w:w="22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考核内容</w:t>
            </w:r>
          </w:p>
        </w:tc>
        <w:tc>
          <w:tcPr>
            <w:tcW w:type="dxa" w:w="12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分值</w:t>
            </w:r>
          </w:p>
        </w:tc>
        <w:tc>
          <w:tcPr>
            <w:tcW w:type="dxa" w:w="12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扣分标准</w:t>
            </w:r>
          </w:p>
        </w:tc>
        <w:tc>
          <w:tcPr>
            <w:tcW w:type="dxa" w:w="4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扣分</w:t>
            </w:r>
          </w:p>
        </w:tc>
        <w:tc>
          <w:tcPr>
            <w:tcW w:type="dxa" w:w="4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得分</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20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亮灯率：主干道亮灯率达</w:t>
            </w:r>
            <w:r>
              <w:rPr>
                <w:sz w:val="21"/>
              </w:rPr>
              <w:t>98%;次干道、支路的亮灯率达到96%；</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维护范围路灯的整体亮灯率情况</w:t>
            </w:r>
            <w:r>
              <w:rPr>
                <w:sz w:val="21"/>
              </w:rPr>
              <w:t>,主干道亮灯率达98%;次干道、支路的亮灯率达到96%，由于台风等不可抗力因素引起的不计入考核；</w:t>
            </w:r>
          </w:p>
          <w:p>
            <w:pPr>
              <w:pStyle w:val="null3"/>
            </w:pPr>
            <w:r>
              <w:rPr>
                <w:sz w:val="21"/>
              </w:rPr>
              <w:t>注：由于运营商网络不通、平台故障、统一停电等问题引起不计入考核</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每低</w:t>
            </w:r>
            <w:r>
              <w:rPr>
                <w:sz w:val="21"/>
              </w:rPr>
              <w:t>0.1%扣0.2分</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2077"/>
            <w:vMerge/>
            <w:tcBorders>
              <w:top w:val="none" w:color="000000" w:sz="4"/>
              <w:left w:val="none" w:color="000000" w:sz="4"/>
              <w:bottom w:val="single" w:color="000000" w:sz="4"/>
              <w:right w:val="single" w:color="000000" w:sz="4"/>
            </w:tcBorders>
          </w:tcP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较大面积（同一路段</w:t>
            </w:r>
            <w:r>
              <w:rPr>
                <w:sz w:val="21"/>
              </w:rPr>
              <w:t>10盏以上）路灯故障，未报备</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0.5分/次</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20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维修电缆等故障施工有破坏绿化、道路或其它设施的，必须在维修好后五天内按原来标准恢复，由于台风、连续暴雨等恶劣天气导致的延误不计入考核</w:t>
            </w:r>
          </w:p>
          <w:p>
            <w:pPr>
              <w:pStyle w:val="null3"/>
            </w:pP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大于五天修复</w:t>
            </w:r>
          </w:p>
        </w:tc>
        <w:tc>
          <w:tcPr>
            <w:tcW w:type="dxa" w:w="12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0.5分/次</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2077"/>
            <w:vMerge/>
            <w:tcBorders>
              <w:top w:val="none" w:color="000000" w:sz="4"/>
              <w:left w:val="none" w:color="000000" w:sz="4"/>
              <w:bottom w:val="single" w:color="000000" w:sz="4"/>
              <w:right w:val="single" w:color="000000" w:sz="4"/>
            </w:tcBorders>
          </w:tcP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未修复</w:t>
            </w:r>
          </w:p>
        </w:tc>
        <w:tc>
          <w:tcPr>
            <w:tcW w:type="dxa" w:w="1255"/>
            <w:vMerge/>
            <w:tcBorders>
              <w:top w:val="none" w:color="000000" w:sz="4"/>
              <w:left w:val="none" w:color="000000" w:sz="4"/>
              <w:bottom w:val="single" w:color="000000" w:sz="4"/>
              <w:right w:val="single" w:color="000000" w:sz="4"/>
            </w:tcBorders>
          </w:tcP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1分/次</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20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若因第三方施工单位原因造成电缆损坏引起路灯不亮的，由</w:t>
            </w:r>
            <w:r>
              <w:rPr>
                <w:sz w:val="21"/>
              </w:rPr>
              <w:t>甲方</w:t>
            </w:r>
            <w:r>
              <w:rPr>
                <w:sz w:val="21"/>
              </w:rPr>
              <w:t>协助</w:t>
            </w:r>
            <w:r>
              <w:rPr>
                <w:sz w:val="21"/>
              </w:rPr>
              <w:t>乙方</w:t>
            </w:r>
            <w:r>
              <w:rPr>
                <w:sz w:val="21"/>
              </w:rPr>
              <w:t>协调第三方进行确认并索赔，</w:t>
            </w:r>
            <w:r>
              <w:rPr>
                <w:sz w:val="21"/>
              </w:rPr>
              <w:t>乙方</w:t>
            </w:r>
            <w:r>
              <w:rPr>
                <w:sz w:val="21"/>
              </w:rPr>
              <w:t>必须五天内按原来标准恢复，然后再跟踪赔偿的事宜（赔偿所得归</w:t>
            </w:r>
            <w:r>
              <w:rPr>
                <w:sz w:val="21"/>
              </w:rPr>
              <w:t>乙方</w:t>
            </w:r>
            <w:r>
              <w:rPr>
                <w:sz w:val="21"/>
              </w:rPr>
              <w:t>所有）</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大于五天修复</w:t>
            </w:r>
          </w:p>
        </w:tc>
        <w:tc>
          <w:tcPr>
            <w:tcW w:type="dxa" w:w="12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1分/次</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2077"/>
            <w:vMerge/>
            <w:tcBorders>
              <w:top w:val="none" w:color="000000" w:sz="4"/>
              <w:left w:val="none" w:color="000000" w:sz="4"/>
              <w:bottom w:val="single" w:color="000000" w:sz="4"/>
              <w:right w:val="single" w:color="000000" w:sz="4"/>
            </w:tcBorders>
          </w:tcP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未修复</w:t>
            </w:r>
          </w:p>
        </w:tc>
        <w:tc>
          <w:tcPr>
            <w:tcW w:type="dxa" w:w="1255"/>
            <w:vMerge/>
            <w:tcBorders>
              <w:top w:val="none" w:color="000000" w:sz="4"/>
              <w:left w:val="none" w:color="000000" w:sz="4"/>
              <w:bottom w:val="single" w:color="000000" w:sz="4"/>
              <w:right w:val="single" w:color="000000" w:sz="4"/>
            </w:tcBorders>
          </w:tcP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2分/次</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20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每天</w:t>
            </w:r>
            <w:r>
              <w:rPr>
                <w:sz w:val="21"/>
              </w:rPr>
              <w:t>24小时有人值班，发生事故或其他紧急情况，半小时内赶至现场组织处理</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超过半小时</w:t>
            </w:r>
            <w:r>
              <w:rPr>
                <w:sz w:val="21"/>
              </w:rPr>
              <w:t>1小时内赶到现场</w:t>
            </w:r>
          </w:p>
        </w:tc>
        <w:tc>
          <w:tcPr>
            <w:tcW w:type="dxa" w:w="12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0.5分/次</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2077"/>
            <w:vMerge/>
            <w:tcBorders>
              <w:top w:val="none" w:color="000000" w:sz="4"/>
              <w:left w:val="none" w:color="000000" w:sz="4"/>
              <w:bottom w:val="single" w:color="000000" w:sz="4"/>
              <w:right w:val="single" w:color="000000" w:sz="4"/>
            </w:tcBorders>
          </w:tcP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1小时以上赶到现场</w:t>
            </w:r>
          </w:p>
        </w:tc>
        <w:tc>
          <w:tcPr>
            <w:tcW w:type="dxa" w:w="1255"/>
            <w:vMerge/>
            <w:tcBorders>
              <w:top w:val="none" w:color="000000" w:sz="4"/>
              <w:left w:val="none" w:color="000000" w:sz="4"/>
              <w:bottom w:val="single" w:color="000000" w:sz="4"/>
              <w:right w:val="single" w:color="000000" w:sz="4"/>
            </w:tcBorders>
          </w:tcP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1分/次</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w:t>
            </w:r>
          </w:p>
        </w:tc>
        <w:tc>
          <w:tcPr>
            <w:tcW w:type="dxa" w:w="2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每一条灯杆无论何时不能带电（电压高于</w:t>
            </w:r>
            <w:r>
              <w:rPr>
                <w:sz w:val="21"/>
              </w:rPr>
              <w:t>36V）</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高于</w:t>
            </w:r>
            <w:r>
              <w:rPr>
                <w:sz w:val="21"/>
              </w:rPr>
              <w:t>36V</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1分/杆/次</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1.11</w:t>
            </w:r>
          </w:p>
        </w:tc>
        <w:tc>
          <w:tcPr>
            <w:tcW w:type="dxa" w:w="2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如发生交通事故对本项目养护范围内的路灯或其配套设施造成损坏的，必须在接到事故报告后半小时内到达现场进行处理清除隐患，并在接到事故报告后</w:t>
            </w:r>
            <w:r>
              <w:rPr>
                <w:sz w:val="21"/>
              </w:rPr>
              <w:t>10天内按原标准进行修复或更换</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维修处理超出规定时限（如果由于事故造成损坏的设备属于特殊订制的，超过规定的时限修复或更换不计入考核）</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1分/次</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2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灯杆破裂、倾倒、侧歪，</w:t>
            </w:r>
            <w:r>
              <w:rPr>
                <w:sz w:val="21"/>
              </w:rPr>
              <w:t>10天内进行修复或更换。由于设计、灯杆质量或普遍出现的问题，由</w:t>
            </w:r>
            <w:r>
              <w:rPr>
                <w:sz w:val="21"/>
              </w:rPr>
              <w:t>甲方</w:t>
            </w:r>
            <w:r>
              <w:rPr>
                <w:sz w:val="21"/>
              </w:rPr>
              <w:t>协商解决。</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维修处理超出规定时限（如设备属于特殊订制的，超过规定的时限修复或更换不计入考核）</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0.5分/次</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1.13</w:t>
            </w:r>
          </w:p>
        </w:tc>
        <w:tc>
          <w:tcPr>
            <w:tcW w:type="dxa" w:w="2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必须使用合同规定的材料品牌及型号；未规定的，需与</w:t>
            </w:r>
            <w:r>
              <w:rPr>
                <w:sz w:val="21"/>
              </w:rPr>
              <w:t>甲方</w:t>
            </w:r>
            <w:r>
              <w:rPr>
                <w:sz w:val="21"/>
              </w:rPr>
              <w:t>书面确认后，方可使用</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未使用合同规定品牌及型号</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0.5分/例</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二</w:t>
            </w:r>
          </w:p>
        </w:tc>
        <w:tc>
          <w:tcPr>
            <w:tcW w:type="dxa" w:w="7663"/>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配电箱及箱变检查</w:t>
            </w:r>
            <w:r>
              <w:rPr>
                <w:sz w:val="21"/>
                <w:b/>
              </w:rPr>
              <w:t>(总分20分)</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20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配电箱及箱变检查。随机抽取不少于</w:t>
            </w:r>
            <w:r>
              <w:rPr>
                <w:sz w:val="21"/>
              </w:rPr>
              <w:t>40%路段（覆盖合同范围内的不同等级的路段）的路灯设施，检查设施运行状况。</w:t>
            </w:r>
          </w:p>
        </w:tc>
        <w:tc>
          <w:tcPr>
            <w:tcW w:type="dxa" w:w="22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配电箱及箱变外观未保持通风良好，有积水情况</w:t>
            </w:r>
          </w:p>
        </w:tc>
        <w:tc>
          <w:tcPr>
            <w:tcW w:type="dxa" w:w="125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2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0.2分/处</w:t>
            </w:r>
          </w:p>
        </w:tc>
        <w:tc>
          <w:tcPr>
            <w:tcW w:type="dxa" w:w="4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2077"/>
            <w:vMerge/>
            <w:tcBorders>
              <w:top w:val="none" w:color="000000" w:sz="4"/>
              <w:left w:val="none" w:color="000000" w:sz="4"/>
              <w:bottom w:val="single" w:color="000000" w:sz="4"/>
              <w:right w:val="single" w:color="000000" w:sz="4"/>
            </w:tcBorders>
          </w:tcP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配电箱及箱变内各元器件安装不牢固</w:t>
            </w:r>
          </w:p>
        </w:tc>
        <w:tc>
          <w:tcPr>
            <w:tcW w:type="dxa" w:w="1255"/>
            <w:vMerge/>
            <w:tcBorders>
              <w:top w:val="single" w:color="000000" w:sz="4"/>
              <w:left w:val="none" w:color="000000" w:sz="4"/>
              <w:bottom w:val="single" w:color="000000" w:sz="4"/>
              <w:right w:val="single" w:color="000000" w:sz="4"/>
            </w:tcBorders>
          </w:tcP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0.2分/处</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2077"/>
            <w:vMerge/>
            <w:tcBorders>
              <w:top w:val="none" w:color="000000" w:sz="4"/>
              <w:left w:val="none" w:color="000000" w:sz="4"/>
              <w:bottom w:val="single" w:color="000000" w:sz="4"/>
              <w:right w:val="single" w:color="000000" w:sz="4"/>
            </w:tcBorders>
          </w:tcP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配电箱及箱变内导线排列不整齐</w:t>
            </w:r>
          </w:p>
        </w:tc>
        <w:tc>
          <w:tcPr>
            <w:tcW w:type="dxa" w:w="1255"/>
            <w:vMerge/>
            <w:tcBorders>
              <w:top w:val="single" w:color="000000" w:sz="4"/>
              <w:left w:val="none" w:color="000000" w:sz="4"/>
              <w:bottom w:val="single" w:color="000000" w:sz="4"/>
              <w:right w:val="single" w:color="000000" w:sz="4"/>
            </w:tcBorders>
          </w:tcP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0.2分/处</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2077"/>
            <w:vMerge/>
            <w:tcBorders>
              <w:top w:val="none" w:color="000000" w:sz="4"/>
              <w:left w:val="none" w:color="000000" w:sz="4"/>
              <w:bottom w:val="single" w:color="000000" w:sz="4"/>
              <w:right w:val="single" w:color="000000" w:sz="4"/>
            </w:tcBorders>
          </w:tcP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配电箱及箱变未按要求设置危险警示和投诉电话号码标识</w:t>
            </w:r>
          </w:p>
        </w:tc>
        <w:tc>
          <w:tcPr>
            <w:tcW w:type="dxa" w:w="1255"/>
            <w:vMerge/>
            <w:tcBorders>
              <w:top w:val="single" w:color="000000" w:sz="4"/>
              <w:left w:val="none" w:color="000000" w:sz="4"/>
              <w:bottom w:val="single" w:color="000000" w:sz="4"/>
              <w:right w:val="single" w:color="000000" w:sz="4"/>
            </w:tcBorders>
          </w:tcP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0.2分/处</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2077"/>
            <w:vMerge/>
            <w:tcBorders>
              <w:top w:val="none" w:color="000000" w:sz="4"/>
              <w:left w:val="none" w:color="000000" w:sz="4"/>
              <w:bottom w:val="single" w:color="000000" w:sz="4"/>
              <w:right w:val="single" w:color="000000" w:sz="4"/>
            </w:tcBorders>
          </w:tcP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箱变或配电箱的箱门未锁好</w:t>
            </w:r>
          </w:p>
        </w:tc>
        <w:tc>
          <w:tcPr>
            <w:tcW w:type="dxa" w:w="1255"/>
            <w:vMerge/>
            <w:tcBorders>
              <w:top w:val="single" w:color="000000" w:sz="4"/>
              <w:left w:val="none" w:color="000000" w:sz="4"/>
              <w:bottom w:val="single" w:color="000000" w:sz="4"/>
              <w:right w:val="single" w:color="000000" w:sz="4"/>
            </w:tcBorders>
          </w:tcP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0.3分/处</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2077"/>
            <w:vMerge/>
            <w:tcBorders>
              <w:top w:val="none" w:color="000000" w:sz="4"/>
              <w:left w:val="none" w:color="000000" w:sz="4"/>
              <w:bottom w:val="single" w:color="000000" w:sz="4"/>
              <w:right w:val="single" w:color="000000" w:sz="4"/>
            </w:tcBorders>
          </w:tcP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配电箱的电缆进出口未按照规定封堵</w:t>
            </w:r>
          </w:p>
        </w:tc>
        <w:tc>
          <w:tcPr>
            <w:tcW w:type="dxa" w:w="1255"/>
            <w:vMerge/>
            <w:tcBorders>
              <w:top w:val="single" w:color="000000" w:sz="4"/>
              <w:left w:val="none" w:color="000000" w:sz="4"/>
              <w:bottom w:val="single" w:color="000000" w:sz="4"/>
              <w:right w:val="single" w:color="000000" w:sz="4"/>
            </w:tcBorders>
          </w:tcP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0.2分/处</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2077"/>
            <w:vMerge/>
            <w:tcBorders>
              <w:top w:val="none" w:color="000000" w:sz="4"/>
              <w:left w:val="none" w:color="000000" w:sz="4"/>
              <w:bottom w:val="single" w:color="000000" w:sz="4"/>
              <w:right w:val="single" w:color="000000" w:sz="4"/>
            </w:tcBorders>
          </w:tcP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电缆敷设不规范，电缆两端未悬挂标识牌</w:t>
            </w:r>
          </w:p>
        </w:tc>
        <w:tc>
          <w:tcPr>
            <w:tcW w:type="dxa" w:w="1255"/>
            <w:vMerge/>
            <w:tcBorders>
              <w:top w:val="single" w:color="000000" w:sz="4"/>
              <w:left w:val="none" w:color="000000" w:sz="4"/>
              <w:bottom w:val="single" w:color="000000" w:sz="4"/>
              <w:right w:val="single" w:color="000000" w:sz="4"/>
            </w:tcBorders>
          </w:tcP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0.2分/处</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2077"/>
            <w:vMerge/>
            <w:tcBorders>
              <w:top w:val="none" w:color="000000" w:sz="4"/>
              <w:left w:val="none" w:color="000000" w:sz="4"/>
              <w:bottom w:val="single" w:color="000000" w:sz="4"/>
              <w:right w:val="single" w:color="000000" w:sz="4"/>
            </w:tcBorders>
          </w:tcP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电缆管内线路有严重缺陷和损伤，有漏电现象</w:t>
            </w:r>
          </w:p>
        </w:tc>
        <w:tc>
          <w:tcPr>
            <w:tcW w:type="dxa" w:w="1255"/>
            <w:vMerge/>
            <w:tcBorders>
              <w:top w:val="single" w:color="000000" w:sz="4"/>
              <w:left w:val="none" w:color="000000" w:sz="4"/>
              <w:bottom w:val="single" w:color="000000" w:sz="4"/>
              <w:right w:val="single" w:color="000000" w:sz="4"/>
            </w:tcBorders>
          </w:tcP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0.3分/处</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2077"/>
            <w:vMerge/>
            <w:tcBorders>
              <w:top w:val="none" w:color="000000" w:sz="4"/>
              <w:left w:val="none" w:color="000000" w:sz="4"/>
              <w:bottom w:val="single" w:color="000000" w:sz="4"/>
              <w:right w:val="single" w:color="000000" w:sz="4"/>
            </w:tcBorders>
          </w:tcP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接地电阻大于</w:t>
            </w:r>
            <w:r>
              <w:rPr>
                <w:sz w:val="21"/>
              </w:rPr>
              <w:t>4 欧姆</w:t>
            </w:r>
          </w:p>
        </w:tc>
        <w:tc>
          <w:tcPr>
            <w:tcW w:type="dxa" w:w="1255"/>
            <w:vMerge/>
            <w:tcBorders>
              <w:top w:val="single" w:color="000000" w:sz="4"/>
              <w:left w:val="none" w:color="000000" w:sz="4"/>
              <w:bottom w:val="single" w:color="000000" w:sz="4"/>
              <w:right w:val="single" w:color="000000" w:sz="4"/>
            </w:tcBorders>
          </w:tcP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0.3分/处</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三</w:t>
            </w:r>
          </w:p>
        </w:tc>
        <w:tc>
          <w:tcPr>
            <w:tcW w:type="dxa" w:w="7663"/>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清洁、翻新</w:t>
            </w:r>
            <w:r>
              <w:rPr>
                <w:sz w:val="21"/>
                <w:b/>
              </w:rPr>
              <w:t>(总分10分)</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20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根据中标要求对照明设备进行清洁养护，灯杆、灯罩、箱体、设备表面每季度清洗一次，分别在季度结束前完成</w:t>
            </w:r>
          </w:p>
        </w:tc>
        <w:tc>
          <w:tcPr>
            <w:tcW w:type="dxa" w:w="22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照明设施未保持干净清洁</w:t>
            </w:r>
          </w:p>
        </w:tc>
        <w:tc>
          <w:tcPr>
            <w:tcW w:type="dxa" w:w="125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2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w:t>
            </w:r>
          </w:p>
          <w:p>
            <w:pPr>
              <w:pStyle w:val="null3"/>
              <w:jc w:val="center"/>
            </w:pPr>
            <w:r>
              <w:rPr>
                <w:sz w:val="21"/>
              </w:rPr>
              <w:t>分</w:t>
            </w:r>
            <w:r>
              <w:rPr>
                <w:sz w:val="21"/>
              </w:rPr>
              <w:t>/处</w:t>
            </w:r>
          </w:p>
        </w:tc>
        <w:tc>
          <w:tcPr>
            <w:tcW w:type="dxa" w:w="4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c>
          <w:tcPr>
            <w:tcW w:type="dxa" w:w="2077"/>
            <w:vMerge/>
            <w:tcBorders>
              <w:top w:val="none" w:color="000000" w:sz="4"/>
              <w:left w:val="none" w:color="000000" w:sz="4"/>
              <w:bottom w:val="single" w:color="000000" w:sz="4"/>
              <w:right w:val="single" w:color="000000" w:sz="4"/>
            </w:tcBorders>
          </w:tcP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无标签、标签破损</w:t>
            </w:r>
          </w:p>
        </w:tc>
        <w:tc>
          <w:tcPr>
            <w:tcW w:type="dxa" w:w="1255"/>
            <w:vMerge/>
            <w:tcBorders>
              <w:top w:val="single" w:color="000000" w:sz="4"/>
              <w:left w:val="none" w:color="000000" w:sz="4"/>
              <w:bottom w:val="single" w:color="000000" w:sz="4"/>
              <w:right w:val="single" w:color="000000" w:sz="4"/>
            </w:tcBorders>
          </w:tcP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0.1分/处</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c>
          <w:tcPr>
            <w:tcW w:type="dxa" w:w="2077"/>
            <w:vMerge/>
            <w:tcBorders>
              <w:top w:val="none" w:color="000000" w:sz="4"/>
              <w:left w:val="none" w:color="000000" w:sz="4"/>
              <w:bottom w:val="single" w:color="000000" w:sz="4"/>
              <w:right w:val="single" w:color="000000" w:sz="4"/>
            </w:tcBorders>
          </w:tcP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悬挂影响安全运行的设施</w:t>
            </w:r>
          </w:p>
        </w:tc>
        <w:tc>
          <w:tcPr>
            <w:tcW w:type="dxa" w:w="1255"/>
            <w:vMerge/>
            <w:tcBorders>
              <w:top w:val="single" w:color="000000" w:sz="4"/>
              <w:left w:val="none" w:color="000000" w:sz="4"/>
              <w:bottom w:val="single" w:color="000000" w:sz="4"/>
              <w:right w:val="single" w:color="000000" w:sz="4"/>
            </w:tcBorders>
          </w:tcP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2分/处</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c>
          <w:tcPr>
            <w:tcW w:type="dxa" w:w="2077"/>
            <w:vMerge/>
            <w:tcBorders>
              <w:top w:val="none" w:color="000000" w:sz="4"/>
              <w:left w:val="none" w:color="000000" w:sz="4"/>
              <w:bottom w:val="single" w:color="000000" w:sz="4"/>
              <w:right w:val="single" w:color="000000" w:sz="4"/>
            </w:tcBorders>
          </w:tcP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未进行清洗</w:t>
            </w:r>
          </w:p>
        </w:tc>
        <w:tc>
          <w:tcPr>
            <w:tcW w:type="dxa" w:w="1255"/>
            <w:vMerge/>
            <w:tcBorders>
              <w:top w:val="single" w:color="000000" w:sz="4"/>
              <w:left w:val="none" w:color="000000" w:sz="4"/>
              <w:bottom w:val="single" w:color="000000" w:sz="4"/>
              <w:right w:val="single" w:color="000000" w:sz="4"/>
            </w:tcBorders>
          </w:tcP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5分/次</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2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灯杆、箱体及其他影响观瞻的设备表面每年喷漆翻新一次，必须在每年</w:t>
            </w:r>
            <w:r>
              <w:rPr>
                <w:sz w:val="21"/>
              </w:rPr>
              <w:t>12月31日前完成</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脱落、锈蚀，且未处理</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0.1分/处</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06"/>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存在问题描述：</w:t>
            </w:r>
          </w:p>
        </w:tc>
      </w:tr>
    </w:tbl>
    <w:p>
      <w:pPr>
        <w:pStyle w:val="null3"/>
        <w:ind w:firstLine="420"/>
        <w:jc w:val="both"/>
      </w:pPr>
      <w:r>
        <w:rPr>
          <w:sz w:val="21"/>
        </w:rPr>
        <w:t>养护管理单位应通过养护状况评定来对</w:t>
      </w:r>
      <w:r>
        <w:rPr>
          <w:sz w:val="21"/>
        </w:rPr>
        <w:t>乙方</w:t>
      </w:r>
      <w:r>
        <w:rPr>
          <w:sz w:val="21"/>
        </w:rPr>
        <w:t>进行日常工作考核，掌握路灯设备设施运行状况。为设施提升、更新提供依据。</w:t>
      </w:r>
    </w:p>
    <w:p>
      <w:pPr>
        <w:pStyle w:val="null3"/>
        <w:ind w:left="1110"/>
        <w:jc w:val="both"/>
        <w:outlineLvl w:val="1"/>
      </w:pPr>
      <w:r>
        <w:rPr>
          <w:sz w:val="21"/>
          <w:b/>
        </w:rPr>
        <w:t>3</w:t>
      </w:r>
      <w:r>
        <w:rPr>
          <w:sz w:val="21"/>
          <w:b/>
        </w:rPr>
        <w:t>．</w:t>
      </w:r>
      <w:r>
        <w:rPr>
          <w:sz w:val="21"/>
          <w:b/>
        </w:rPr>
        <w:t>道路视频监控系统运行考核</w:t>
      </w:r>
    </w:p>
    <w:p>
      <w:pPr>
        <w:pStyle w:val="null3"/>
        <w:ind w:firstLine="420"/>
        <w:jc w:val="both"/>
      </w:pPr>
      <w:r>
        <w:rPr>
          <w:sz w:val="21"/>
        </w:rPr>
        <w:t>道路视频监控是公共安全重要监控手段，特别是人脸微卡口在保障人民生命和财产安全的重要作用，所以道路视频监控分为定期考核和不定期考核二种。</w:t>
      </w:r>
    </w:p>
    <w:p>
      <w:pPr>
        <w:pStyle w:val="null3"/>
        <w:ind w:firstLine="420"/>
        <w:jc w:val="both"/>
      </w:pPr>
      <w:r>
        <w:rPr>
          <w:sz w:val="21"/>
        </w:rPr>
        <w:t>（</w:t>
      </w:r>
      <w:r>
        <w:rPr>
          <w:sz w:val="21"/>
        </w:rPr>
        <w:t>1</w:t>
      </w:r>
      <w:r>
        <w:rPr>
          <w:sz w:val="21"/>
        </w:rPr>
        <w:t>）不定期考核：对</w:t>
      </w:r>
      <w:r>
        <w:rPr>
          <w:sz w:val="21"/>
        </w:rPr>
        <w:t>乙方</w:t>
      </w:r>
      <w:r>
        <w:rPr>
          <w:sz w:val="21"/>
        </w:rPr>
        <w:t>在本项目的服务进行日常检查，对不符合规定要求的，立即发出书面警告，责令限期整改，发出整改通知五天后，仍达不到规定要求的，</w:t>
      </w:r>
      <w:r>
        <w:rPr>
          <w:sz w:val="21"/>
        </w:rPr>
        <w:t>甲方</w:t>
      </w:r>
      <w:r>
        <w:rPr>
          <w:sz w:val="21"/>
        </w:rPr>
        <w:t>将按照考核标准在当季度考核评分中进行扣分；</w:t>
      </w:r>
    </w:p>
    <w:p>
      <w:pPr>
        <w:pStyle w:val="null3"/>
        <w:ind w:firstLine="420"/>
        <w:jc w:val="both"/>
      </w:pPr>
      <w:r>
        <w:rPr>
          <w:sz w:val="21"/>
        </w:rPr>
        <w:t>（</w:t>
      </w:r>
      <w:r>
        <w:rPr>
          <w:sz w:val="21"/>
        </w:rPr>
        <w:t>2</w:t>
      </w:r>
      <w:r>
        <w:rPr>
          <w:sz w:val="21"/>
        </w:rPr>
        <w:t>）定期考核：本项目每三个月（一个季度）对</w:t>
      </w:r>
      <w:r>
        <w:rPr>
          <w:sz w:val="21"/>
        </w:rPr>
        <w:t>乙方</w:t>
      </w:r>
      <w:r>
        <w:rPr>
          <w:sz w:val="21"/>
        </w:rPr>
        <w:t>进行一次定期考核，</w:t>
      </w:r>
      <w:r>
        <w:rPr>
          <w:sz w:val="21"/>
        </w:rPr>
        <w:t>甲方</w:t>
      </w:r>
      <w:r>
        <w:rPr>
          <w:sz w:val="21"/>
        </w:rPr>
        <w:t>于每季度结束后，对</w:t>
      </w:r>
      <w:r>
        <w:rPr>
          <w:sz w:val="21"/>
        </w:rPr>
        <w:t>乙方</w:t>
      </w:r>
      <w:r>
        <w:rPr>
          <w:sz w:val="21"/>
        </w:rPr>
        <w:t>维保情况进行考核：</w:t>
      </w:r>
    </w:p>
    <w:p>
      <w:pPr>
        <w:pStyle w:val="null3"/>
        <w:ind w:firstLine="420"/>
        <w:jc w:val="left"/>
      </w:pPr>
      <w:r>
        <w:rPr>
          <w:sz w:val="21"/>
        </w:rPr>
        <w:t>表三：道路视频监控系统运行考核评分表</w:t>
      </w:r>
    </w:p>
    <w:tbl>
      <w:tblPr>
        <w:tblW w:w="0" w:type="auto"/>
        <w:tblBorders>
          <w:top w:val="none" w:color="000000" w:sz="4"/>
          <w:left w:val="none" w:color="000000" w:sz="4"/>
          <w:bottom w:val="none" w:color="000000" w:sz="4"/>
          <w:right w:val="none" w:color="000000" w:sz="4"/>
          <w:insideH w:val="none"/>
          <w:insideV w:val="none"/>
        </w:tblBorders>
      </w:tblPr>
      <w:tblGrid>
        <w:gridCol w:w="885"/>
        <w:gridCol w:w="1894"/>
        <w:gridCol w:w="2185"/>
        <w:gridCol w:w="683"/>
        <w:gridCol w:w="886"/>
        <w:gridCol w:w="886"/>
        <w:gridCol w:w="886"/>
      </w:tblGrid>
      <w:tr>
        <w:tc>
          <w:tcPr>
            <w:tcW w:type="dxa" w:w="2779"/>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项目时间：</w:t>
            </w:r>
          </w:p>
        </w:tc>
        <w:tc>
          <w:tcPr>
            <w:tcW w:type="dxa" w:w="5526"/>
            <w:gridSpan w:val="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考核总得分：</w:t>
            </w:r>
            <w:r>
              <w:rPr>
                <w:sz w:val="21"/>
              </w:rPr>
              <w:t xml:space="preserve">      </w:t>
            </w:r>
            <w:r>
              <w:rPr>
                <w:sz w:val="21"/>
              </w:rPr>
              <w:t>（总分值：</w:t>
            </w:r>
            <w:r>
              <w:rPr>
                <w:sz w:val="21"/>
              </w:rPr>
              <w:t>100分）</w:t>
            </w:r>
          </w:p>
        </w:tc>
      </w:tr>
      <w:tr>
        <w:tc>
          <w:tcPr>
            <w:tcW w:type="dxa" w:w="277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项目名称：</w:t>
            </w:r>
          </w:p>
        </w:tc>
        <w:tc>
          <w:tcPr>
            <w:tcW w:type="dxa" w:w="5526"/>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维护单位</w:t>
            </w:r>
            <w:r>
              <w:rPr>
                <w:sz w:val="21"/>
              </w:rPr>
              <w:t>:</w:t>
            </w:r>
          </w:p>
        </w:tc>
      </w:tr>
      <w:tr>
        <w:tc>
          <w:tcPr>
            <w:tcW w:type="dxa" w:w="277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维护单位经办人</w:t>
            </w:r>
            <w:r>
              <w:rPr>
                <w:sz w:val="21"/>
              </w:rPr>
              <w:t>:</w:t>
            </w:r>
          </w:p>
        </w:tc>
        <w:tc>
          <w:tcPr>
            <w:tcW w:type="dxa" w:w="5526"/>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维护单位负责人：</w:t>
            </w:r>
          </w:p>
        </w:tc>
      </w:tr>
      <w:tr>
        <w:tc>
          <w:tcPr>
            <w:tcW w:type="dxa" w:w="8305"/>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考核人员</w:t>
            </w:r>
            <w:r>
              <w:rPr>
                <w:sz w:val="21"/>
              </w:rPr>
              <w:t>:</w:t>
            </w:r>
          </w:p>
        </w:tc>
      </w:tr>
      <w:tr>
        <w:tc>
          <w:tcPr>
            <w:tcW w:type="dxa" w:w="8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7420"/>
            <w:gridSpan w:val="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道路视频监控系统现场养护</w:t>
            </w:r>
            <w:r>
              <w:rPr>
                <w:sz w:val="21"/>
                <w:b/>
              </w:rPr>
              <w:t>(总分100分)</w:t>
            </w:r>
          </w:p>
        </w:tc>
      </w:tr>
      <w:tr>
        <w:tc>
          <w:tcPr>
            <w:tcW w:type="dxa" w:w="885"/>
            <w:vMerge/>
            <w:tcBorders>
              <w:top w:val="none" w:color="000000" w:sz="4"/>
              <w:left w:val="single" w:color="000000" w:sz="4"/>
              <w:bottom w:val="single" w:color="000000" w:sz="4"/>
              <w:right w:val="single" w:color="000000" w:sz="4"/>
            </w:tcBorders>
          </w:tcPr>
          <w:p/>
        </w:tc>
        <w:tc>
          <w:tcPr>
            <w:tcW w:type="dxa" w:w="1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考核标准</w:t>
            </w:r>
          </w:p>
        </w:tc>
        <w:tc>
          <w:tcPr>
            <w:tcW w:type="dxa" w:w="21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考核内容</w:t>
            </w:r>
          </w:p>
        </w:tc>
        <w:tc>
          <w:tcPr>
            <w:tcW w:type="dxa" w:w="6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分值</w:t>
            </w:r>
          </w:p>
        </w:tc>
        <w:tc>
          <w:tcPr>
            <w:tcW w:type="dxa" w:w="8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扣分标准</w:t>
            </w:r>
          </w:p>
        </w:tc>
        <w:tc>
          <w:tcPr>
            <w:tcW w:type="dxa" w:w="8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扣分</w:t>
            </w:r>
          </w:p>
        </w:tc>
        <w:tc>
          <w:tcPr>
            <w:tcW w:type="dxa" w:w="8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得分</w:t>
            </w:r>
          </w:p>
        </w:tc>
      </w:tr>
      <w:tr>
        <w:tc>
          <w:tcPr>
            <w:tcW w:type="dxa" w:w="8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根据《公共安全视频监控建设联网应用</w:t>
            </w:r>
            <w:r>
              <w:rPr>
                <w:sz w:val="21"/>
              </w:rPr>
              <w:t>“十三五”规划方案》规定了重点公共区域视频监控覆盖率达到100%，新增视频监控联网率达到95%</w:t>
            </w:r>
          </w:p>
          <w:p>
            <w:pPr>
              <w:pStyle w:val="null3"/>
            </w:pPr>
            <w:r>
              <w:rPr>
                <w:sz w:val="21"/>
              </w:rPr>
              <w:t>（参考公安部门公布的考核数据）</w:t>
            </w:r>
          </w:p>
        </w:tc>
        <w:tc>
          <w:tcPr>
            <w:tcW w:type="dxa" w:w="2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平台在线率：</w:t>
            </w:r>
          </w:p>
          <w:p>
            <w:pPr>
              <w:pStyle w:val="null3"/>
              <w:jc w:val="left"/>
            </w:pPr>
            <w:r>
              <w:rPr>
                <w:sz w:val="21"/>
              </w:rPr>
              <w:t>1、在线率低于95%;</w:t>
            </w:r>
          </w:p>
          <w:p>
            <w:pPr>
              <w:pStyle w:val="null3"/>
              <w:jc w:val="left"/>
            </w:pPr>
            <w:r>
              <w:rPr>
                <w:sz w:val="21"/>
              </w:rPr>
              <w:t>2、注：由于运营商网络不通、平台故障、统一停电等问题引起不计入考核</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每低</w:t>
            </w:r>
            <w:r>
              <w:rPr>
                <w:sz w:val="21"/>
              </w:rPr>
              <w:t>0.1%扣0.2分</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无论是否有报修记录要求每个月巡查及排查一次故障。</w:t>
            </w:r>
          </w:p>
        </w:tc>
        <w:tc>
          <w:tcPr>
            <w:tcW w:type="dxa" w:w="2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检查维护：</w:t>
            </w:r>
          </w:p>
          <w:p>
            <w:pPr>
              <w:pStyle w:val="null3"/>
              <w:jc w:val="left"/>
            </w:pPr>
            <w:r>
              <w:rPr>
                <w:sz w:val="21"/>
              </w:rPr>
              <w:t>1、至少每月一次的上门巡查，指定专人负责上门调试、维护、检测，确保网络顺畅，及时解决网络方面的任何故障；</w:t>
            </w:r>
          </w:p>
          <w:p>
            <w:pPr>
              <w:pStyle w:val="null3"/>
              <w:jc w:val="left"/>
            </w:pPr>
            <w:r>
              <w:rPr>
                <w:sz w:val="21"/>
              </w:rPr>
              <w:t>2、至少每月一次排查监控设备和机箱外观、视频图像质量及人脸、卡口等抓拍数据情况</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0.5分/次</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89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设备更换规格要求</w:t>
            </w:r>
            <w:r>
              <w:rPr>
                <w:sz w:val="21"/>
              </w:rPr>
              <w:t>: 设备损坏（含交通事故、人为损坏）或被盗的，</w:t>
            </w:r>
            <w:r>
              <w:rPr>
                <w:sz w:val="21"/>
              </w:rPr>
              <w:t>乙方</w:t>
            </w:r>
            <w:r>
              <w:rPr>
                <w:sz w:val="21"/>
              </w:rPr>
              <w:t>必须采用与原设备相同规格和款式的全新设备材质进行更换</w:t>
            </w:r>
          </w:p>
        </w:tc>
        <w:tc>
          <w:tcPr>
            <w:tcW w:type="dxa" w:w="2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未使用合同规定品牌及型号</w:t>
            </w:r>
          </w:p>
        </w:tc>
        <w:tc>
          <w:tcPr>
            <w:tcW w:type="dxa" w:w="68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0.5分/次</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894"/>
            <w:vMerge/>
            <w:tcBorders>
              <w:top w:val="none" w:color="000000" w:sz="4"/>
              <w:left w:val="none" w:color="000000" w:sz="4"/>
              <w:bottom w:val="single" w:color="000000" w:sz="4"/>
              <w:right w:val="single" w:color="000000" w:sz="4"/>
            </w:tcBorders>
          </w:tcPr>
          <w:p/>
        </w:tc>
        <w:tc>
          <w:tcPr>
            <w:tcW w:type="dxa" w:w="2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使用未经确认品牌及型号</w:t>
            </w:r>
          </w:p>
        </w:tc>
        <w:tc>
          <w:tcPr>
            <w:tcW w:type="dxa" w:w="683"/>
            <w:vMerge/>
            <w:tcBorders>
              <w:top w:val="none" w:color="000000" w:sz="4"/>
              <w:left w:val="none" w:color="000000" w:sz="4"/>
              <w:bottom w:val="single" w:color="000000" w:sz="4"/>
              <w:right w:val="single" w:color="000000" w:sz="4"/>
            </w:tcBorders>
          </w:tc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0.5分/次</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要求故障及时响应</w:t>
            </w:r>
          </w:p>
        </w:tc>
        <w:tc>
          <w:tcPr>
            <w:tcW w:type="dxa" w:w="2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响应时间：每周</w:t>
            </w:r>
            <w:r>
              <w:rPr>
                <w:sz w:val="21"/>
              </w:rPr>
              <w:t>7天×24小时服务专线技术支持，须保证在接到故障通知后2小时内响应，3小时内到达故障现场，48小时内解决故障</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0.5分/次</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设备迁移要求：提供</w:t>
            </w:r>
            <w:r>
              <w:rPr>
                <w:sz w:val="21"/>
              </w:rPr>
              <w:t>10点位视频设备迁移，迁移完成时间为不超过7个工作日</w:t>
            </w:r>
          </w:p>
        </w:tc>
        <w:tc>
          <w:tcPr>
            <w:tcW w:type="dxa" w:w="218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21"/>
              </w:rPr>
              <w:t>按</w:t>
            </w:r>
            <w:r>
              <w:rPr>
                <w:sz w:val="21"/>
              </w:rPr>
              <w:t>甲方</w:t>
            </w:r>
            <w:r>
              <w:rPr>
                <w:sz w:val="21"/>
              </w:rPr>
              <w:t>要求，</w:t>
            </w:r>
            <w:r>
              <w:rPr>
                <w:sz w:val="21"/>
              </w:rPr>
              <w:t>10个点位视频设备迁移。</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未完成，</w:t>
            </w:r>
            <w:r>
              <w:rPr>
                <w:sz w:val="21"/>
              </w:rPr>
              <w:t>1分/次</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89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保密要求：养护单位必须对项目信息进行保密，定期进行保密教育工作，杜绝保密信息泄漏。</w:t>
            </w:r>
          </w:p>
        </w:tc>
        <w:tc>
          <w:tcPr>
            <w:tcW w:type="dxa" w:w="21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未进行保密培训</w:t>
            </w:r>
          </w:p>
        </w:tc>
        <w:tc>
          <w:tcPr>
            <w:tcW w:type="dxa" w:w="68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0.5分/次</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894"/>
            <w:vMerge/>
            <w:tcBorders>
              <w:top w:val="none" w:color="000000" w:sz="4"/>
              <w:left w:val="none" w:color="000000" w:sz="4"/>
              <w:bottom w:val="single" w:color="000000" w:sz="4"/>
              <w:right w:val="single" w:color="000000" w:sz="4"/>
            </w:tcBorders>
          </w:tcPr>
          <w:p/>
        </w:tc>
        <w:tc>
          <w:tcPr>
            <w:tcW w:type="dxa" w:w="2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出现信息泄漏事件，注：平台及运营商网络安全事件不做考核</w:t>
            </w:r>
          </w:p>
        </w:tc>
        <w:tc>
          <w:tcPr>
            <w:tcW w:type="dxa" w:w="683"/>
            <w:vMerge/>
            <w:tcBorders>
              <w:top w:val="none" w:color="000000" w:sz="4"/>
              <w:left w:val="none" w:color="000000" w:sz="4"/>
              <w:bottom w:val="single" w:color="000000" w:sz="4"/>
              <w:right w:val="single" w:color="000000" w:sz="4"/>
            </w:tcBorders>
          </w:tc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2分/次</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网络安全要求：养护单位必须做好网络安全防护措施，防止发生网络安全事件。</w:t>
            </w:r>
          </w:p>
        </w:tc>
        <w:tc>
          <w:tcPr>
            <w:tcW w:type="dxa" w:w="2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前端设备发生网络安全事件被上级部门通报的。注：平台及运营商网络安全事件不做考核</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2分/次</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05"/>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存在问题描述：</w:t>
            </w:r>
          </w:p>
        </w:tc>
      </w:tr>
    </w:tbl>
    <w:p>
      <w:pPr>
        <w:pStyle w:val="null3"/>
        <w:ind w:firstLine="420"/>
        <w:jc w:val="both"/>
        <w:outlineLvl w:val="1"/>
      </w:pPr>
      <w:r>
        <w:rPr>
          <w:sz w:val="21"/>
          <w:b/>
        </w:rPr>
        <w:t>4</w:t>
      </w:r>
      <w:r>
        <w:rPr>
          <w:sz w:val="21"/>
          <w:b/>
        </w:rPr>
        <w:t>．</w:t>
      </w:r>
      <w:r>
        <w:rPr>
          <w:sz w:val="21"/>
          <w:b/>
        </w:rPr>
        <w:t>电子警察系统运行考核</w:t>
      </w:r>
    </w:p>
    <w:p>
      <w:pPr>
        <w:pStyle w:val="null3"/>
        <w:ind w:firstLine="420"/>
        <w:jc w:val="both"/>
      </w:pPr>
      <w:r>
        <w:rPr>
          <w:sz w:val="21"/>
        </w:rPr>
        <w:t>电子警察考核分为定期考核和不定期考核二种。</w:t>
      </w:r>
    </w:p>
    <w:p>
      <w:pPr>
        <w:pStyle w:val="null3"/>
        <w:ind w:firstLine="420"/>
        <w:jc w:val="both"/>
      </w:pPr>
      <w:r>
        <w:rPr>
          <w:sz w:val="21"/>
        </w:rPr>
        <w:t>（</w:t>
      </w:r>
      <w:r>
        <w:rPr>
          <w:sz w:val="21"/>
        </w:rPr>
        <w:t>1</w:t>
      </w:r>
      <w:r>
        <w:rPr>
          <w:sz w:val="21"/>
        </w:rPr>
        <w:t>）不定期考核：对</w:t>
      </w:r>
      <w:r>
        <w:rPr>
          <w:sz w:val="21"/>
        </w:rPr>
        <w:t>乙方</w:t>
      </w:r>
      <w:r>
        <w:rPr>
          <w:sz w:val="21"/>
        </w:rPr>
        <w:t>在本项目的服务进行日常检查，对不符合规定要求的，立即发出书面警告，责令限期整改，发出整改通知五天后，仍达不到规定要求的，</w:t>
      </w:r>
      <w:r>
        <w:rPr>
          <w:sz w:val="21"/>
        </w:rPr>
        <w:t>甲方</w:t>
      </w:r>
      <w:r>
        <w:rPr>
          <w:sz w:val="21"/>
        </w:rPr>
        <w:t>将按照考核标准在当季度考核评分中进行扣分；</w:t>
      </w:r>
    </w:p>
    <w:p>
      <w:pPr>
        <w:pStyle w:val="null3"/>
        <w:ind w:firstLine="420"/>
        <w:jc w:val="both"/>
      </w:pPr>
      <w:r>
        <w:rPr>
          <w:sz w:val="21"/>
        </w:rPr>
        <w:t>（</w:t>
      </w:r>
      <w:r>
        <w:rPr>
          <w:sz w:val="21"/>
        </w:rPr>
        <w:t>2</w:t>
      </w:r>
      <w:r>
        <w:rPr>
          <w:sz w:val="21"/>
        </w:rPr>
        <w:t>）定期考核：本项目每三个月（一个季度）对</w:t>
      </w:r>
      <w:r>
        <w:rPr>
          <w:sz w:val="21"/>
        </w:rPr>
        <w:t>乙方</w:t>
      </w:r>
      <w:r>
        <w:rPr>
          <w:sz w:val="21"/>
        </w:rPr>
        <w:t>进行一次定期考核，</w:t>
      </w:r>
      <w:r>
        <w:rPr>
          <w:sz w:val="21"/>
        </w:rPr>
        <w:t>甲方</w:t>
      </w:r>
      <w:r>
        <w:rPr>
          <w:sz w:val="21"/>
        </w:rPr>
        <w:t>于每季度结束后，对</w:t>
      </w:r>
      <w:r>
        <w:rPr>
          <w:sz w:val="21"/>
        </w:rPr>
        <w:t>乙方</w:t>
      </w:r>
      <w:r>
        <w:rPr>
          <w:sz w:val="21"/>
        </w:rPr>
        <w:t>维保情况进行考核：</w:t>
      </w:r>
    </w:p>
    <w:p>
      <w:pPr>
        <w:pStyle w:val="null3"/>
        <w:ind w:firstLine="420"/>
        <w:jc w:val="both"/>
      </w:pPr>
      <w:r>
        <w:rPr>
          <w:sz w:val="21"/>
        </w:rPr>
        <w:t>表四：电子警察系统运行考核评分表</w:t>
      </w:r>
    </w:p>
    <w:tbl>
      <w:tblPr>
        <w:tblW w:w="0" w:type="auto"/>
        <w:tblBorders>
          <w:top w:val="none" w:color="000000" w:sz="4"/>
          <w:left w:val="none" w:color="000000" w:sz="4"/>
          <w:bottom w:val="none" w:color="000000" w:sz="4"/>
          <w:right w:val="none" w:color="000000" w:sz="4"/>
          <w:insideH w:val="none"/>
          <w:insideV w:val="none"/>
        </w:tblBorders>
      </w:tblPr>
      <w:tblGrid>
        <w:gridCol w:w="897"/>
        <w:gridCol w:w="1812"/>
        <w:gridCol w:w="2111"/>
        <w:gridCol w:w="792"/>
        <w:gridCol w:w="897"/>
        <w:gridCol w:w="897"/>
        <w:gridCol w:w="899"/>
      </w:tblGrid>
      <w:tr>
        <w:tc>
          <w:tcPr>
            <w:tcW w:type="dxa" w:w="2709"/>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项目时间：</w:t>
            </w:r>
          </w:p>
        </w:tc>
        <w:tc>
          <w:tcPr>
            <w:tcW w:type="dxa" w:w="5596"/>
            <w:gridSpan w:val="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考核总得分：</w:t>
            </w:r>
            <w:r>
              <w:rPr>
                <w:sz w:val="21"/>
              </w:rPr>
              <w:t xml:space="preserve">      </w:t>
            </w:r>
            <w:r>
              <w:rPr>
                <w:sz w:val="21"/>
              </w:rPr>
              <w:t>（总分值：</w:t>
            </w:r>
            <w:r>
              <w:rPr>
                <w:sz w:val="21"/>
              </w:rPr>
              <w:t>100分）</w:t>
            </w:r>
          </w:p>
        </w:tc>
      </w:tr>
      <w:tr>
        <w:tc>
          <w:tcPr>
            <w:tcW w:type="dxa" w:w="27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项目名称：</w:t>
            </w:r>
          </w:p>
        </w:tc>
        <w:tc>
          <w:tcPr>
            <w:tcW w:type="dxa" w:w="5596"/>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维护单位</w:t>
            </w:r>
            <w:r>
              <w:rPr>
                <w:sz w:val="21"/>
              </w:rPr>
              <w:t>:</w:t>
            </w:r>
          </w:p>
        </w:tc>
      </w:tr>
      <w:tr>
        <w:tc>
          <w:tcPr>
            <w:tcW w:type="dxa" w:w="27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维护单位经办人</w:t>
            </w:r>
            <w:r>
              <w:rPr>
                <w:sz w:val="21"/>
              </w:rPr>
              <w:t>:</w:t>
            </w:r>
          </w:p>
        </w:tc>
        <w:tc>
          <w:tcPr>
            <w:tcW w:type="dxa" w:w="5596"/>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维护单位负责人：</w:t>
            </w:r>
          </w:p>
        </w:tc>
      </w:tr>
      <w:tr>
        <w:tc>
          <w:tcPr>
            <w:tcW w:type="dxa" w:w="8305"/>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考核人员</w:t>
            </w:r>
            <w:r>
              <w:rPr>
                <w:sz w:val="21"/>
              </w:rPr>
              <w:t>:</w:t>
            </w:r>
          </w:p>
        </w:tc>
      </w:tr>
      <w:tr>
        <w:tc>
          <w:tcPr>
            <w:tcW w:type="dxa" w:w="89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7408"/>
            <w:gridSpan w:val="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电子警察系统现场养护</w:t>
            </w:r>
            <w:r>
              <w:rPr>
                <w:sz w:val="21"/>
                <w:b/>
              </w:rPr>
              <w:t>(总分100分)</w:t>
            </w:r>
          </w:p>
        </w:tc>
      </w:tr>
      <w:tr>
        <w:tc>
          <w:tcPr>
            <w:tcW w:type="dxa" w:w="897"/>
            <w:vMerge/>
            <w:tcBorders>
              <w:top w:val="none" w:color="000000" w:sz="4"/>
              <w:left w:val="single" w:color="000000" w:sz="4"/>
              <w:bottom w:val="single" w:color="000000" w:sz="4"/>
              <w:right w:val="single" w:color="000000" w:sz="4"/>
            </w:tcBorders>
          </w:tcP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考核标准</w:t>
            </w:r>
          </w:p>
        </w:tc>
        <w:tc>
          <w:tcPr>
            <w:tcW w:type="dxa" w:w="21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考核内容</w:t>
            </w:r>
          </w:p>
        </w:tc>
        <w:tc>
          <w:tcPr>
            <w:tcW w:type="dxa" w:w="7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分值</w:t>
            </w:r>
          </w:p>
        </w:tc>
        <w:tc>
          <w:tcPr>
            <w:tcW w:type="dxa" w:w="8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扣分标准</w:t>
            </w:r>
          </w:p>
        </w:tc>
        <w:tc>
          <w:tcPr>
            <w:tcW w:type="dxa" w:w="8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扣分</w:t>
            </w:r>
          </w:p>
        </w:tc>
        <w:tc>
          <w:tcPr>
            <w:tcW w:type="dxa" w:w="8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得分</w:t>
            </w:r>
          </w:p>
        </w:tc>
      </w:tr>
      <w:tr>
        <w:tc>
          <w:tcPr>
            <w:tcW w:type="dxa" w:w="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根据《公共安全视频监控建设联网应用</w:t>
            </w:r>
            <w:r>
              <w:rPr>
                <w:sz w:val="21"/>
              </w:rPr>
              <w:t>“十三五”规划方案》规定了重点公共区域视频监控覆盖率达到100%，新增视频监控联网率达到95%（参考公安部门公布的考核数据）</w:t>
            </w:r>
          </w:p>
        </w:tc>
        <w:tc>
          <w:tcPr>
            <w:tcW w:type="dxa" w:w="2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平台在线率：</w:t>
            </w:r>
          </w:p>
          <w:p>
            <w:pPr>
              <w:pStyle w:val="null3"/>
              <w:jc w:val="left"/>
            </w:pPr>
            <w:r>
              <w:rPr>
                <w:sz w:val="21"/>
              </w:rPr>
              <w:t>1、在线率低于95%；</w:t>
            </w:r>
          </w:p>
          <w:p>
            <w:pPr>
              <w:pStyle w:val="null3"/>
              <w:jc w:val="left"/>
            </w:pPr>
            <w:r>
              <w:rPr>
                <w:sz w:val="21"/>
              </w:rPr>
              <w:t>2、注：由于运营商网络不通、平台故障、统一停电等问题引起不计入考核。</w:t>
            </w:r>
          </w:p>
        </w:tc>
        <w:tc>
          <w:tcPr>
            <w:tcW w:type="dxa" w:w="7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每低</w:t>
            </w:r>
            <w:r>
              <w:rPr>
                <w:sz w:val="21"/>
              </w:rPr>
              <w:t>0.1%扣0.2分</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要求每月检查完成率不低于</w:t>
            </w:r>
            <w:r>
              <w:rPr>
                <w:sz w:val="21"/>
              </w:rPr>
              <w:t>90%</w:t>
            </w:r>
          </w:p>
        </w:tc>
        <w:tc>
          <w:tcPr>
            <w:tcW w:type="dxa" w:w="2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设备维护管理：按养护计划要求完成巡查工作。每月检查完成率不低于</w:t>
            </w:r>
            <w:r>
              <w:rPr>
                <w:sz w:val="21"/>
              </w:rPr>
              <w:t>90%。</w:t>
            </w:r>
          </w:p>
        </w:tc>
        <w:tc>
          <w:tcPr>
            <w:tcW w:type="dxa" w:w="7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每低于</w:t>
            </w:r>
            <w:r>
              <w:rPr>
                <w:sz w:val="21"/>
              </w:rPr>
              <w:t>10%扣1分</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要求季度巡查任务完成率不低于</w:t>
            </w:r>
            <w:r>
              <w:rPr>
                <w:sz w:val="21"/>
              </w:rPr>
              <w:t>90%</w:t>
            </w:r>
          </w:p>
        </w:tc>
        <w:tc>
          <w:tcPr>
            <w:tcW w:type="dxa" w:w="2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设备维护管理：按养护计划要求完成巡查工作。季度检查完成率不低于</w:t>
            </w:r>
            <w:r>
              <w:rPr>
                <w:sz w:val="21"/>
              </w:rPr>
              <w:t>90%。</w:t>
            </w:r>
          </w:p>
        </w:tc>
        <w:tc>
          <w:tcPr>
            <w:tcW w:type="dxa" w:w="7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每低于</w:t>
            </w:r>
            <w:r>
              <w:rPr>
                <w:sz w:val="21"/>
              </w:rPr>
              <w:t>10%扣1</w:t>
            </w:r>
          </w:p>
          <w:p>
            <w:pPr>
              <w:pStyle w:val="null3"/>
              <w:jc w:val="left"/>
            </w:pPr>
            <w:r>
              <w:rPr>
                <w:sz w:val="21"/>
              </w:rPr>
              <w:t>分</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要求故障设备及时送修</w:t>
            </w:r>
          </w:p>
        </w:tc>
        <w:tc>
          <w:tcPr>
            <w:tcW w:type="dxa" w:w="2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设备维护管理：</w:t>
            </w:r>
          </w:p>
          <w:p>
            <w:pPr>
              <w:pStyle w:val="null3"/>
              <w:jc w:val="left"/>
            </w:pPr>
            <w:r>
              <w:rPr>
                <w:sz w:val="21"/>
              </w:rPr>
              <w:t>1.送、返修设备时，按要求填写相关表格并在规定时限内完成。</w:t>
            </w:r>
          </w:p>
          <w:p>
            <w:pPr>
              <w:pStyle w:val="null3"/>
              <w:jc w:val="left"/>
            </w:pPr>
            <w:r>
              <w:rPr>
                <w:sz w:val="21"/>
              </w:rPr>
              <w:t>2.按要求送、返修设备。</w:t>
            </w:r>
          </w:p>
          <w:p>
            <w:pPr>
              <w:pStyle w:val="null3"/>
              <w:jc w:val="left"/>
            </w:pPr>
            <w:r>
              <w:rPr>
                <w:sz w:val="21"/>
              </w:rPr>
              <w:t>3.不存在人为原因损坏设备、丟失设备。4.故障设备送修后有替换设备，在备件到达之日起1个日历日内完成安装。</w:t>
            </w:r>
          </w:p>
          <w:p>
            <w:pPr>
              <w:pStyle w:val="null3"/>
              <w:jc w:val="left"/>
            </w:pPr>
            <w:r>
              <w:rPr>
                <w:sz w:val="21"/>
              </w:rPr>
              <w:t>5.</w:t>
            </w:r>
            <w:r>
              <w:rPr>
                <w:sz w:val="21"/>
              </w:rPr>
              <w:t>乙方</w:t>
            </w:r>
            <w:r>
              <w:rPr>
                <w:sz w:val="21"/>
              </w:rPr>
              <w:t>必须针对在用设备的使用情况，准备充足的备用零件，以应对故障发生时的应急使用。</w:t>
            </w:r>
          </w:p>
        </w:tc>
        <w:tc>
          <w:tcPr>
            <w:tcW w:type="dxa" w:w="7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每违反一次，扣</w:t>
            </w:r>
            <w:r>
              <w:rPr>
                <w:sz w:val="21"/>
              </w:rPr>
              <w:t>1</w:t>
            </w:r>
          </w:p>
          <w:p>
            <w:pPr>
              <w:pStyle w:val="null3"/>
              <w:jc w:val="center"/>
            </w:pPr>
            <w:r>
              <w:rPr>
                <w:sz w:val="21"/>
              </w:rPr>
              <w:t>分</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要求故障及时响应</w:t>
            </w:r>
          </w:p>
        </w:tc>
        <w:tc>
          <w:tcPr>
            <w:tcW w:type="dxa" w:w="2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故障响应处理</w:t>
            </w:r>
            <w:r>
              <w:rPr>
                <w:sz w:val="21"/>
              </w:rPr>
              <w:t>:</w:t>
            </w:r>
          </w:p>
          <w:p>
            <w:pPr>
              <w:pStyle w:val="null3"/>
              <w:jc w:val="left"/>
            </w:pPr>
            <w:r>
              <w:rPr>
                <w:sz w:val="21"/>
              </w:rPr>
              <w:t>1、在事件发生后，10分钟内响应，30分钟内到达现场;</w:t>
            </w:r>
          </w:p>
          <w:p>
            <w:pPr>
              <w:pStyle w:val="null3"/>
              <w:jc w:val="left"/>
            </w:pPr>
            <w:r>
              <w:rPr>
                <w:sz w:val="21"/>
              </w:rPr>
              <w:t>2、每周7天×24小时服务专线技术支持</w:t>
            </w:r>
          </w:p>
        </w:tc>
        <w:tc>
          <w:tcPr>
            <w:tcW w:type="dxa" w:w="7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超过约定的响应及到达现场时间上限，每超过</w:t>
            </w:r>
            <w:r>
              <w:rPr>
                <w:sz w:val="21"/>
              </w:rPr>
              <w:t>1小时扣0.5</w:t>
            </w:r>
          </w:p>
          <w:p>
            <w:pPr>
              <w:pStyle w:val="null3"/>
              <w:jc w:val="left"/>
            </w:pPr>
            <w:r>
              <w:rPr>
                <w:sz w:val="21"/>
              </w:rPr>
              <w:t>分</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要求故障及时修复</w:t>
            </w:r>
          </w:p>
        </w:tc>
        <w:tc>
          <w:tcPr>
            <w:tcW w:type="dxa" w:w="2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故障响应处理</w:t>
            </w:r>
            <w:r>
              <w:rPr>
                <w:sz w:val="21"/>
              </w:rPr>
              <w:t>:</w:t>
            </w:r>
          </w:p>
          <w:p>
            <w:pPr>
              <w:pStyle w:val="null3"/>
              <w:jc w:val="left"/>
            </w:pPr>
            <w:r>
              <w:rPr>
                <w:sz w:val="21"/>
              </w:rPr>
              <w:t>1、一般故障：无需更换或采用更换零配件的方式维修后可保证现场设备正常运行的须在2小时内恢复正常;</w:t>
            </w:r>
          </w:p>
          <w:p>
            <w:pPr>
              <w:pStyle w:val="null3"/>
              <w:jc w:val="left"/>
            </w:pPr>
            <w:r>
              <w:rPr>
                <w:sz w:val="21"/>
              </w:rPr>
              <w:t>2、特殊故障：如隐蔽线路故障、须管道开挖、破路、拆装、围蔽车道施工等，2小时内无法修复的，及时上报相关单位，重新制定修复方案经批准后进行</w:t>
            </w:r>
          </w:p>
        </w:tc>
        <w:tc>
          <w:tcPr>
            <w:tcW w:type="dxa" w:w="7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超过约定的恢复时间上限，每超过</w:t>
            </w:r>
            <w:r>
              <w:rPr>
                <w:sz w:val="21"/>
              </w:rPr>
              <w:t>1小时扣0.5分</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要求及时应急响应处理</w:t>
            </w:r>
          </w:p>
        </w:tc>
        <w:tc>
          <w:tcPr>
            <w:tcW w:type="dxa" w:w="2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故障响应处理</w:t>
            </w:r>
            <w:r>
              <w:rPr>
                <w:sz w:val="21"/>
              </w:rPr>
              <w:t>:1、由于人为、自然灾害等非可控原因造成不能及时处理的故障，积极收集并提供相关音像、书面文件、通告等证明，并及时报告使用单位。</w:t>
            </w:r>
          </w:p>
          <w:p>
            <w:pPr>
              <w:pStyle w:val="null3"/>
              <w:jc w:val="left"/>
            </w:pPr>
            <w:r>
              <w:rPr>
                <w:sz w:val="21"/>
              </w:rPr>
              <w:t>2、对暂时无法处理的故障(如厂家无法提供备件等)，及时跟踪处理、通报，并报告使用单位，经批准后延长修复时间。</w:t>
            </w:r>
          </w:p>
          <w:p>
            <w:pPr>
              <w:pStyle w:val="null3"/>
              <w:jc w:val="left"/>
            </w:pPr>
            <w:r>
              <w:rPr>
                <w:sz w:val="21"/>
              </w:rPr>
              <w:t>3、应急通信保障：按不同时期的相关工作要求进行，在启动各类自然灾害或重大节日活动交通保卫等通讯保障预案后，在规定时间内完成交办相关工作。</w:t>
            </w:r>
          </w:p>
        </w:tc>
        <w:tc>
          <w:tcPr>
            <w:tcW w:type="dxa" w:w="7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每违反一次，扣</w:t>
            </w:r>
            <w:r>
              <w:rPr>
                <w:sz w:val="21"/>
              </w:rPr>
              <w:t>1分。如超出处理时限的故障属于客观原因，经使用单位确认后可剔除该宗派单的考核</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加分工作要求是在当次考核、检查中开展或完成的项目</w:t>
            </w:r>
          </w:p>
        </w:tc>
        <w:tc>
          <w:tcPr>
            <w:tcW w:type="dxa" w:w="2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加分项目：加分工作内容。</w:t>
            </w:r>
          </w:p>
          <w:p>
            <w:pPr>
              <w:pStyle w:val="null3"/>
              <w:jc w:val="left"/>
            </w:pPr>
            <w:r>
              <w:rPr>
                <w:sz w:val="21"/>
              </w:rPr>
              <w:t>1、提出可行性建议和有建设性意见并被采纳使用;</w:t>
            </w:r>
          </w:p>
          <w:p>
            <w:pPr>
              <w:pStyle w:val="null3"/>
              <w:jc w:val="left"/>
            </w:pPr>
            <w:r>
              <w:rPr>
                <w:sz w:val="21"/>
              </w:rPr>
              <w:t>2、重大事件中表现突出，获得领导肯定和表扬;</w:t>
            </w:r>
          </w:p>
          <w:p>
            <w:pPr>
              <w:pStyle w:val="null3"/>
              <w:jc w:val="left"/>
            </w:pPr>
            <w:r>
              <w:rPr>
                <w:sz w:val="21"/>
              </w:rPr>
              <w:t>3、按要求提供服务范围外的服务;</w:t>
            </w:r>
          </w:p>
          <w:p>
            <w:pPr>
              <w:pStyle w:val="null3"/>
              <w:jc w:val="left"/>
            </w:pPr>
            <w:r>
              <w:rPr>
                <w:sz w:val="21"/>
              </w:rPr>
              <w:t>4、各项工作积极主动，制定有效工作计划</w:t>
            </w:r>
          </w:p>
        </w:tc>
        <w:tc>
          <w:tcPr>
            <w:tcW w:type="dxa" w:w="7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根据项目开展或完成情况，每项最高加</w:t>
            </w:r>
            <w:r>
              <w:rPr>
                <w:sz w:val="21"/>
              </w:rPr>
              <w:t>2分</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05"/>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存在问题描述：</w:t>
            </w:r>
          </w:p>
        </w:tc>
      </w:tr>
    </w:tbl>
    <w:p>
      <w:pPr>
        <w:pStyle w:val="null3"/>
        <w:ind w:firstLine="420"/>
        <w:jc w:val="both"/>
        <w:outlineLvl w:val="1"/>
      </w:pPr>
      <w:r>
        <w:rPr>
          <w:sz w:val="21"/>
          <w:b/>
        </w:rPr>
        <w:t>5</w:t>
      </w:r>
      <w:r>
        <w:rPr>
          <w:sz w:val="21"/>
          <w:b/>
        </w:rPr>
        <w:t>．</w:t>
      </w:r>
      <w:r>
        <w:rPr>
          <w:sz w:val="21"/>
          <w:b/>
        </w:rPr>
        <w:t>交通信号控制系统运行考核</w:t>
      </w:r>
    </w:p>
    <w:p>
      <w:pPr>
        <w:pStyle w:val="null3"/>
        <w:ind w:firstLine="420"/>
        <w:jc w:val="both"/>
      </w:pPr>
      <w:r>
        <w:rPr>
          <w:sz w:val="21"/>
        </w:rPr>
        <w:t>表五：交通信号控制系统运行考核评分表</w:t>
      </w:r>
    </w:p>
    <w:tbl>
      <w:tblPr>
        <w:tblW w:w="0" w:type="auto"/>
        <w:tblBorders>
          <w:top w:val="none" w:color="000000" w:sz="4"/>
          <w:left w:val="none" w:color="000000" w:sz="4"/>
          <w:bottom w:val="none" w:color="000000" w:sz="4"/>
          <w:right w:val="none" w:color="000000" w:sz="4"/>
          <w:insideH w:val="none"/>
          <w:insideV w:val="none"/>
        </w:tblBorders>
      </w:tblPr>
      <w:tblGrid>
        <w:gridCol w:w="859"/>
        <w:gridCol w:w="1682"/>
        <w:gridCol w:w="1986"/>
        <w:gridCol w:w="863"/>
        <w:gridCol w:w="1188"/>
        <w:gridCol w:w="866"/>
        <w:gridCol w:w="863"/>
      </w:tblGrid>
      <w:tr>
        <w:tc>
          <w:tcPr>
            <w:tcW w:type="dxa" w:w="2541"/>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项目时间：</w:t>
            </w:r>
          </w:p>
        </w:tc>
        <w:tc>
          <w:tcPr>
            <w:tcW w:type="dxa" w:w="5766"/>
            <w:gridSpan w:val="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考核总得分：</w:t>
            </w:r>
            <w:r>
              <w:rPr>
                <w:sz w:val="21"/>
              </w:rPr>
              <w:t xml:space="preserve">      </w:t>
            </w:r>
            <w:r>
              <w:rPr>
                <w:sz w:val="21"/>
              </w:rPr>
              <w:t>（总分值：</w:t>
            </w:r>
            <w:r>
              <w:rPr>
                <w:sz w:val="21"/>
              </w:rPr>
              <w:t>100分）</w:t>
            </w:r>
          </w:p>
        </w:tc>
      </w:tr>
      <w:tr>
        <w:tc>
          <w:tcPr>
            <w:tcW w:type="dxa" w:w="254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项目名称：</w:t>
            </w:r>
          </w:p>
        </w:tc>
        <w:tc>
          <w:tcPr>
            <w:tcW w:type="dxa" w:w="5766"/>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维护单位</w:t>
            </w:r>
            <w:r>
              <w:rPr>
                <w:sz w:val="21"/>
              </w:rPr>
              <w:t>:</w:t>
            </w:r>
          </w:p>
        </w:tc>
      </w:tr>
      <w:tr>
        <w:tc>
          <w:tcPr>
            <w:tcW w:type="dxa" w:w="254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维护单位经办人</w:t>
            </w:r>
            <w:r>
              <w:rPr>
                <w:sz w:val="21"/>
              </w:rPr>
              <w:t>:</w:t>
            </w:r>
          </w:p>
        </w:tc>
        <w:tc>
          <w:tcPr>
            <w:tcW w:type="dxa" w:w="5766"/>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维护单位负责人：</w:t>
            </w:r>
          </w:p>
        </w:tc>
      </w:tr>
      <w:tr>
        <w:tc>
          <w:tcPr>
            <w:tcW w:type="dxa" w:w="8307"/>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考核人员</w:t>
            </w:r>
            <w:r>
              <w:rPr>
                <w:sz w:val="21"/>
              </w:rPr>
              <w:t>:</w:t>
            </w:r>
          </w:p>
        </w:tc>
      </w:tr>
      <w:tr>
        <w:tc>
          <w:tcPr>
            <w:tcW w:type="dxa" w:w="8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7448"/>
            <w:gridSpan w:val="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一、平台在线率</w:t>
            </w:r>
            <w:r>
              <w:rPr>
                <w:sz w:val="21"/>
                <w:b/>
              </w:rPr>
              <w:t>(总分15分)</w:t>
            </w:r>
          </w:p>
        </w:tc>
      </w:tr>
      <w:tr>
        <w:tc>
          <w:tcPr>
            <w:tcW w:type="dxa" w:w="859"/>
            <w:vMerge/>
            <w:tcBorders>
              <w:top w:val="none" w:color="000000" w:sz="4"/>
              <w:left w:val="single" w:color="000000" w:sz="4"/>
              <w:bottom w:val="single" w:color="000000" w:sz="4"/>
              <w:right w:val="single" w:color="000000" w:sz="4"/>
            </w:tcBorders>
          </w:tcPr>
          <w:p/>
        </w:tc>
        <w:tc>
          <w:tcPr>
            <w:tcW w:type="dxa" w:w="1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考核标准</w:t>
            </w:r>
          </w:p>
        </w:tc>
        <w:tc>
          <w:tcPr>
            <w:tcW w:type="dxa" w:w="19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考核内容</w:t>
            </w:r>
          </w:p>
        </w:tc>
        <w:tc>
          <w:tcPr>
            <w:tcW w:type="dxa" w:w="8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分值</w:t>
            </w:r>
          </w:p>
        </w:tc>
        <w:tc>
          <w:tcPr>
            <w:tcW w:type="dxa" w:w="11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扣分标准</w:t>
            </w:r>
          </w:p>
        </w:tc>
        <w:tc>
          <w:tcPr>
            <w:tcW w:type="dxa" w:w="8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扣分</w:t>
            </w:r>
          </w:p>
        </w:tc>
        <w:tc>
          <w:tcPr>
            <w:tcW w:type="dxa" w:w="8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得分</w:t>
            </w:r>
          </w:p>
        </w:tc>
      </w:tr>
      <w:tr>
        <w:tc>
          <w:tcPr>
            <w:tcW w:type="dxa" w:w="8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设备正常运行率不能＜</w:t>
            </w:r>
            <w:r>
              <w:rPr>
                <w:sz w:val="21"/>
              </w:rPr>
              <w:t>90%</w:t>
            </w: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平台在线率：</w:t>
            </w:r>
            <w:r>
              <w:rPr>
                <w:sz w:val="21"/>
              </w:rPr>
              <w:t>1、设备正常运行率不能＜90%；</w:t>
            </w:r>
          </w:p>
          <w:p>
            <w:pPr>
              <w:pStyle w:val="null3"/>
              <w:jc w:val="left"/>
            </w:pPr>
            <w:r>
              <w:rPr>
                <w:sz w:val="21"/>
              </w:rPr>
              <w:t>注：由于运营商网络不通、平台故障、统一停电等问题引起不计入考核</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每低</w:t>
            </w:r>
            <w:r>
              <w:rPr>
                <w:sz w:val="21"/>
              </w:rPr>
              <w:t>0.1%扣0.2分</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二</w:t>
            </w:r>
          </w:p>
        </w:tc>
        <w:tc>
          <w:tcPr>
            <w:tcW w:type="dxa" w:w="658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养护维护质量</w:t>
            </w:r>
            <w:r>
              <w:rPr>
                <w:sz w:val="21"/>
                <w:b/>
              </w:rPr>
              <w:t>(总分45分)</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8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168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信号灯要求清晰明亮、指引正确</w:t>
            </w:r>
            <w:r>
              <w:rPr>
                <w:sz w:val="21"/>
              </w:rPr>
              <w:t>,根据《道路交通信号灯设置与安装规范》</w:t>
            </w: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机动信号灯</w:t>
            </w:r>
            <w:r>
              <w:rPr>
                <w:sz w:val="21"/>
              </w:rPr>
              <w:t>,清晰明亮、指引正确、运行正常</w:t>
            </w:r>
          </w:p>
        </w:tc>
        <w:tc>
          <w:tcPr>
            <w:tcW w:type="dxa" w:w="863"/>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1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每灭一灯，未在</w:t>
            </w:r>
            <w:r>
              <w:rPr>
                <w:sz w:val="21"/>
              </w:rPr>
              <w:t>甲方</w:t>
            </w:r>
            <w:r>
              <w:rPr>
                <w:sz w:val="21"/>
              </w:rPr>
              <w:t>规定时间修理好，扣</w:t>
            </w:r>
            <w:r>
              <w:rPr>
                <w:sz w:val="21"/>
              </w:rPr>
              <w:t>0.5</w:t>
            </w:r>
          </w:p>
          <w:p>
            <w:pPr>
              <w:pStyle w:val="null3"/>
              <w:jc w:val="both"/>
            </w:pPr>
            <w:r>
              <w:rPr>
                <w:sz w:val="21"/>
              </w:rPr>
              <w:t>分</w:t>
            </w:r>
          </w:p>
        </w:tc>
        <w:tc>
          <w:tcPr>
            <w:tcW w:type="dxa" w:w="8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8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1682"/>
            <w:vMerge/>
            <w:tcBorders>
              <w:top w:val="none" w:color="000000" w:sz="4"/>
              <w:left w:val="none" w:color="000000" w:sz="4"/>
              <w:bottom w:val="single" w:color="000000" w:sz="4"/>
              <w:right w:val="single" w:color="000000" w:sz="4"/>
            </w:tcBorders>
          </w:tcP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非机动灯具及行人灯具</w:t>
            </w:r>
            <w:r>
              <w:rPr>
                <w:sz w:val="21"/>
              </w:rPr>
              <w:t>,清晰明亮、运行正常</w:t>
            </w:r>
          </w:p>
        </w:tc>
        <w:tc>
          <w:tcPr>
            <w:tcW w:type="dxa" w:w="863"/>
            <w:vMerge/>
            <w:tcBorders>
              <w:top w:val="single" w:color="000000" w:sz="4"/>
              <w:left w:val="none" w:color="000000" w:sz="4"/>
              <w:bottom w:val="single" w:color="000000" w:sz="4"/>
              <w:right w:val="single" w:color="000000" w:sz="4"/>
            </w:tcBorders>
          </w:tcP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每灭一灯，未在</w:t>
            </w:r>
            <w:r>
              <w:rPr>
                <w:sz w:val="21"/>
              </w:rPr>
              <w:t>甲方</w:t>
            </w:r>
            <w:r>
              <w:rPr>
                <w:sz w:val="21"/>
              </w:rPr>
              <w:t>规定时间内修理好，扣</w:t>
            </w:r>
            <w:r>
              <w:rPr>
                <w:sz w:val="21"/>
              </w:rPr>
              <w:t>0.5分</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1682"/>
            <w:vMerge/>
            <w:tcBorders>
              <w:top w:val="none" w:color="000000" w:sz="4"/>
              <w:left w:val="none" w:color="000000" w:sz="4"/>
              <w:bottom w:val="single" w:color="000000" w:sz="4"/>
              <w:right w:val="single" w:color="000000" w:sz="4"/>
            </w:tcBorders>
          </w:tcP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缺失灯具</w:t>
            </w:r>
            <w:r>
              <w:rPr>
                <w:sz w:val="21"/>
              </w:rPr>
              <w:t>,设施完整</w:t>
            </w:r>
          </w:p>
        </w:tc>
        <w:tc>
          <w:tcPr>
            <w:tcW w:type="dxa" w:w="863"/>
            <w:vMerge/>
            <w:tcBorders>
              <w:top w:val="single" w:color="000000" w:sz="4"/>
              <w:left w:val="none" w:color="000000" w:sz="4"/>
              <w:bottom w:val="single" w:color="000000" w:sz="4"/>
              <w:right w:val="single" w:color="000000" w:sz="4"/>
            </w:tcBorders>
          </w:tcP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机动灯缺失未在</w:t>
            </w:r>
            <w:r>
              <w:rPr>
                <w:sz w:val="21"/>
              </w:rPr>
              <w:t>甲方</w:t>
            </w:r>
            <w:r>
              <w:rPr>
                <w:sz w:val="21"/>
              </w:rPr>
              <w:t>规定时间内修理好，扣</w:t>
            </w:r>
            <w:r>
              <w:rPr>
                <w:sz w:val="21"/>
              </w:rPr>
              <w:t>2分、行人灯缺失扣0.5分</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1682"/>
            <w:vMerge/>
            <w:tcBorders>
              <w:top w:val="none" w:color="000000" w:sz="4"/>
              <w:left w:val="none" w:color="000000" w:sz="4"/>
              <w:bottom w:val="single" w:color="000000" w:sz="4"/>
              <w:right w:val="single" w:color="000000" w:sz="4"/>
            </w:tcBorders>
          </w:tcP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行人过街一体机显示屏</w:t>
            </w:r>
            <w:r>
              <w:rPr>
                <w:sz w:val="21"/>
              </w:rPr>
              <w:t>,清晰明亮、指引正确、运行正常</w:t>
            </w:r>
          </w:p>
        </w:tc>
        <w:tc>
          <w:tcPr>
            <w:tcW w:type="dxa" w:w="863"/>
            <w:vMerge/>
            <w:tcBorders>
              <w:top w:val="single" w:color="000000" w:sz="4"/>
              <w:left w:val="none" w:color="000000" w:sz="4"/>
              <w:bottom w:val="single" w:color="000000" w:sz="4"/>
              <w:right w:val="single" w:color="000000" w:sz="4"/>
            </w:tcBorders>
          </w:tcP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每灭一组、每缺失一组，未在</w:t>
            </w:r>
            <w:r>
              <w:rPr>
                <w:sz w:val="21"/>
              </w:rPr>
              <w:t>甲方</w:t>
            </w:r>
            <w:r>
              <w:rPr>
                <w:sz w:val="21"/>
              </w:rPr>
              <w:t>规定时间内处理好，扣</w:t>
            </w:r>
            <w:r>
              <w:rPr>
                <w:sz w:val="21"/>
              </w:rPr>
              <w:t>1分；轮廓不清扣0.5分</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168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要求交通控制设施表面干净整洁完好</w:t>
            </w:r>
            <w:r>
              <w:rPr>
                <w:sz w:val="21"/>
              </w:rPr>
              <w:t>(如：防水,防尘,除锈等)</w:t>
            </w: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综合设备箱及信号控制机</w:t>
            </w:r>
            <w:r>
              <w:rPr>
                <w:sz w:val="21"/>
              </w:rPr>
              <w:t>,防水、防尘、防鼠，控制柜损坏，控制机损坏，控制柜与绿化地面要有5—10CM高度，并留有排水口</w:t>
            </w:r>
          </w:p>
        </w:tc>
        <w:tc>
          <w:tcPr>
            <w:tcW w:type="dxa" w:w="8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损坏，未在</w:t>
            </w:r>
            <w:r>
              <w:rPr>
                <w:sz w:val="21"/>
              </w:rPr>
              <w:t>甲方</w:t>
            </w:r>
            <w:r>
              <w:rPr>
                <w:sz w:val="21"/>
              </w:rPr>
              <w:t>规定时间内处理好，每次扣</w:t>
            </w:r>
            <w:r>
              <w:rPr>
                <w:sz w:val="21"/>
              </w:rPr>
              <w:t>0.5分</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1682"/>
            <w:vMerge/>
            <w:tcBorders>
              <w:top w:val="none" w:color="000000" w:sz="4"/>
              <w:left w:val="none" w:color="000000" w:sz="4"/>
              <w:bottom w:val="single" w:color="000000" w:sz="4"/>
              <w:right w:val="single" w:color="000000" w:sz="4"/>
            </w:tcBorders>
          </w:tcP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电源缆及控制缆</w:t>
            </w:r>
            <w:r>
              <w:rPr>
                <w:sz w:val="21"/>
              </w:rPr>
              <w:t>,规范用电安全</w:t>
            </w:r>
          </w:p>
        </w:tc>
        <w:tc>
          <w:tcPr>
            <w:tcW w:type="dxa" w:w="863"/>
            <w:vMerge/>
            <w:tcBorders>
              <w:top w:val="none" w:color="000000" w:sz="4"/>
              <w:left w:val="none" w:color="000000" w:sz="4"/>
              <w:bottom w:val="single" w:color="000000" w:sz="4"/>
              <w:right w:val="single" w:color="000000" w:sz="4"/>
            </w:tcBorders>
          </w:tcP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由于维护不到位，造成损坏及被盗，未在</w:t>
            </w:r>
            <w:r>
              <w:rPr>
                <w:sz w:val="21"/>
              </w:rPr>
              <w:t>甲方</w:t>
            </w:r>
            <w:r>
              <w:rPr>
                <w:sz w:val="21"/>
              </w:rPr>
              <w:t>规定时间内处理好，扣</w:t>
            </w:r>
            <w:r>
              <w:rPr>
                <w:sz w:val="21"/>
              </w:rPr>
              <w:t>0.5分</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1682"/>
            <w:vMerge/>
            <w:tcBorders>
              <w:top w:val="none" w:color="000000" w:sz="4"/>
              <w:left w:val="none" w:color="000000" w:sz="4"/>
              <w:bottom w:val="single" w:color="000000" w:sz="4"/>
              <w:right w:val="single" w:color="000000" w:sz="4"/>
            </w:tcBorders>
          </w:tcP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过路管</w:t>
            </w:r>
            <w:r>
              <w:rPr>
                <w:sz w:val="21"/>
              </w:rPr>
              <w:t>,保证设施完好</w:t>
            </w:r>
          </w:p>
        </w:tc>
        <w:tc>
          <w:tcPr>
            <w:tcW w:type="dxa" w:w="863"/>
            <w:vMerge/>
            <w:tcBorders>
              <w:top w:val="none" w:color="000000" w:sz="4"/>
              <w:left w:val="none" w:color="000000" w:sz="4"/>
              <w:bottom w:val="single" w:color="000000" w:sz="4"/>
              <w:right w:val="single" w:color="000000" w:sz="4"/>
            </w:tcBorders>
          </w:tcP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损坏及造成管道不通，未在</w:t>
            </w:r>
            <w:r>
              <w:rPr>
                <w:sz w:val="21"/>
              </w:rPr>
              <w:t>甲方</w:t>
            </w:r>
            <w:r>
              <w:rPr>
                <w:sz w:val="21"/>
              </w:rPr>
              <w:t>规定时间内处理好，每次扣</w:t>
            </w:r>
            <w:r>
              <w:rPr>
                <w:sz w:val="21"/>
              </w:rPr>
              <w:t>0.5分</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1682"/>
            <w:vMerge/>
            <w:tcBorders>
              <w:top w:val="none" w:color="000000" w:sz="4"/>
              <w:left w:val="none" w:color="000000" w:sz="4"/>
              <w:bottom w:val="single" w:color="000000" w:sz="4"/>
              <w:right w:val="single" w:color="000000" w:sz="4"/>
            </w:tcBorders>
          </w:tcP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倒计时器</w:t>
            </w:r>
            <w:r>
              <w:rPr>
                <w:sz w:val="21"/>
              </w:rPr>
              <w:t>,清晰明亮、运行正常</w:t>
            </w:r>
          </w:p>
        </w:tc>
        <w:tc>
          <w:tcPr>
            <w:tcW w:type="dxa" w:w="863"/>
            <w:vMerge/>
            <w:tcBorders>
              <w:top w:val="none" w:color="000000" w:sz="4"/>
              <w:left w:val="none" w:color="000000" w:sz="4"/>
              <w:bottom w:val="single" w:color="000000" w:sz="4"/>
              <w:right w:val="single" w:color="000000" w:sz="4"/>
            </w:tcBorders>
          </w:tcP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倒计时不亮，未在</w:t>
            </w:r>
            <w:r>
              <w:rPr>
                <w:sz w:val="21"/>
              </w:rPr>
              <w:t>甲方</w:t>
            </w:r>
            <w:r>
              <w:rPr>
                <w:sz w:val="21"/>
              </w:rPr>
              <w:t>规定时间内处理好，扣</w:t>
            </w:r>
            <w:r>
              <w:rPr>
                <w:sz w:val="21"/>
              </w:rPr>
              <w:t>1分；倒计时未按要求运行，未在</w:t>
            </w:r>
            <w:r>
              <w:rPr>
                <w:sz w:val="21"/>
              </w:rPr>
              <w:t>甲方</w:t>
            </w:r>
            <w:r>
              <w:rPr>
                <w:sz w:val="21"/>
              </w:rPr>
              <w:t>规定时间内处理好，扣</w:t>
            </w:r>
            <w:r>
              <w:rPr>
                <w:sz w:val="21"/>
              </w:rPr>
              <w:t>0.5分</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1682"/>
            <w:vMerge/>
            <w:tcBorders>
              <w:top w:val="none" w:color="000000" w:sz="4"/>
              <w:left w:val="none" w:color="000000" w:sz="4"/>
              <w:bottom w:val="single" w:color="000000" w:sz="4"/>
              <w:right w:val="single" w:color="000000" w:sz="4"/>
            </w:tcBorders>
          </w:tcP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行人过街一体机、控制机柜、灯具、支架、遮阳罩、装饰板</w:t>
            </w:r>
            <w:r>
              <w:rPr>
                <w:sz w:val="21"/>
              </w:rPr>
              <w:t>,保证设施完好</w:t>
            </w:r>
          </w:p>
        </w:tc>
        <w:tc>
          <w:tcPr>
            <w:tcW w:type="dxa" w:w="863"/>
            <w:vMerge/>
            <w:tcBorders>
              <w:top w:val="none" w:color="000000" w:sz="4"/>
              <w:left w:val="none" w:color="000000" w:sz="4"/>
              <w:bottom w:val="single" w:color="000000" w:sz="4"/>
              <w:right w:val="single" w:color="000000" w:sz="4"/>
            </w:tcBorders>
          </w:tcP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倾斜、损坏，或若造成车辆、行人无法辨认信号，未在</w:t>
            </w:r>
            <w:r>
              <w:rPr>
                <w:sz w:val="21"/>
              </w:rPr>
              <w:t>甲方</w:t>
            </w:r>
            <w:r>
              <w:rPr>
                <w:sz w:val="21"/>
              </w:rPr>
              <w:t>规定时间内处理好，每次扣</w:t>
            </w:r>
            <w:r>
              <w:rPr>
                <w:sz w:val="21"/>
              </w:rPr>
              <w:t>0.5分</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2.10</w:t>
            </w:r>
          </w:p>
        </w:tc>
        <w:tc>
          <w:tcPr>
            <w:tcW w:type="dxa" w:w="1682"/>
            <w:vMerge/>
            <w:tcBorders>
              <w:top w:val="none" w:color="000000" w:sz="4"/>
              <w:left w:val="none" w:color="000000" w:sz="4"/>
              <w:bottom w:val="single" w:color="000000" w:sz="4"/>
              <w:right w:val="single" w:color="000000" w:sz="4"/>
            </w:tcBorders>
          </w:tcP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交通信号控制系统相关配件锈蚀</w:t>
            </w:r>
            <w:r>
              <w:rPr>
                <w:sz w:val="21"/>
              </w:rPr>
              <w:t>,除锈、上报中心备案</w:t>
            </w:r>
          </w:p>
        </w:tc>
        <w:tc>
          <w:tcPr>
            <w:tcW w:type="dxa" w:w="863"/>
            <w:vMerge/>
            <w:tcBorders>
              <w:top w:val="none" w:color="000000" w:sz="4"/>
              <w:left w:val="none" w:color="000000" w:sz="4"/>
              <w:bottom w:val="single" w:color="000000" w:sz="4"/>
              <w:right w:val="single" w:color="000000" w:sz="4"/>
            </w:tcBorders>
          </w:tcP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每一处扣</w:t>
            </w:r>
            <w:r>
              <w:rPr>
                <w:sz w:val="21"/>
              </w:rPr>
              <w:t>1分，每一处脱粉扣0.2分</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2.11</w:t>
            </w:r>
          </w:p>
        </w:tc>
        <w:tc>
          <w:tcPr>
            <w:tcW w:type="dxa" w:w="1682"/>
            <w:vMerge/>
            <w:tcBorders>
              <w:top w:val="none" w:color="000000" w:sz="4"/>
              <w:left w:val="none" w:color="000000" w:sz="4"/>
              <w:bottom w:val="single" w:color="000000" w:sz="4"/>
              <w:right w:val="single" w:color="000000" w:sz="4"/>
            </w:tcBorders>
          </w:tcP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控制缆及管道</w:t>
            </w:r>
            <w:r>
              <w:rPr>
                <w:sz w:val="21"/>
              </w:rPr>
              <w:t>,保证设施完好</w:t>
            </w:r>
          </w:p>
        </w:tc>
        <w:tc>
          <w:tcPr>
            <w:tcW w:type="dxa" w:w="863"/>
            <w:vMerge/>
            <w:tcBorders>
              <w:top w:val="none" w:color="000000" w:sz="4"/>
              <w:left w:val="none" w:color="000000" w:sz="4"/>
              <w:bottom w:val="single" w:color="000000" w:sz="4"/>
              <w:right w:val="single" w:color="000000" w:sz="4"/>
            </w:tcBorders>
          </w:tcP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控制缆及管道外露地表扣</w:t>
            </w:r>
            <w:r>
              <w:rPr>
                <w:sz w:val="21"/>
              </w:rPr>
              <w:t>0.2分</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2.12</w:t>
            </w:r>
          </w:p>
        </w:tc>
        <w:tc>
          <w:tcPr>
            <w:tcW w:type="dxa" w:w="1682"/>
            <w:vMerge/>
            <w:tcBorders>
              <w:top w:val="none" w:color="000000" w:sz="4"/>
              <w:left w:val="none" w:color="000000" w:sz="4"/>
              <w:bottom w:val="single" w:color="000000" w:sz="4"/>
              <w:right w:val="single" w:color="000000" w:sz="4"/>
            </w:tcBorders>
          </w:tcP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综合设备箱小广告</w:t>
            </w:r>
            <w:r>
              <w:rPr>
                <w:sz w:val="21"/>
              </w:rPr>
              <w:t>,整洁</w:t>
            </w:r>
          </w:p>
        </w:tc>
        <w:tc>
          <w:tcPr>
            <w:tcW w:type="dxa" w:w="863"/>
            <w:vMerge/>
            <w:tcBorders>
              <w:top w:val="none" w:color="000000" w:sz="4"/>
              <w:left w:val="none" w:color="000000" w:sz="4"/>
              <w:bottom w:val="single" w:color="000000" w:sz="4"/>
              <w:right w:val="single" w:color="000000" w:sz="4"/>
            </w:tcBorders>
          </w:tcP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小广告发现</w:t>
            </w:r>
            <w:r>
              <w:rPr>
                <w:sz w:val="21"/>
              </w:rPr>
              <w:t>24小时内无人清理的扣0.2分</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2.13</w:t>
            </w:r>
          </w:p>
        </w:tc>
        <w:tc>
          <w:tcPr>
            <w:tcW w:type="dxa" w:w="1682"/>
            <w:vMerge/>
            <w:tcBorders>
              <w:top w:val="none" w:color="000000" w:sz="4"/>
              <w:left w:val="none" w:color="000000" w:sz="4"/>
              <w:bottom w:val="single" w:color="000000" w:sz="4"/>
              <w:right w:val="single" w:color="000000" w:sz="4"/>
            </w:tcBorders>
          </w:tcP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控制机、控制柜保养</w:t>
            </w:r>
            <w:r>
              <w:rPr>
                <w:sz w:val="21"/>
              </w:rPr>
              <w:t>,保证设施完好</w:t>
            </w:r>
          </w:p>
        </w:tc>
        <w:tc>
          <w:tcPr>
            <w:tcW w:type="dxa" w:w="863"/>
            <w:vMerge/>
            <w:tcBorders>
              <w:top w:val="none" w:color="000000" w:sz="4"/>
              <w:left w:val="none" w:color="000000" w:sz="4"/>
              <w:bottom w:val="single" w:color="000000" w:sz="4"/>
              <w:right w:val="single" w:color="000000" w:sz="4"/>
            </w:tcBorders>
          </w:tcP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控制柜内脏乱、布线杂乱，未在</w:t>
            </w:r>
            <w:r>
              <w:rPr>
                <w:sz w:val="21"/>
              </w:rPr>
              <w:t>甲方</w:t>
            </w:r>
            <w:r>
              <w:rPr>
                <w:sz w:val="21"/>
              </w:rPr>
              <w:t>规定时间内处理好，每次扣</w:t>
            </w:r>
            <w:r>
              <w:rPr>
                <w:sz w:val="21"/>
              </w:rPr>
              <w:t>0.5分</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2.14</w:t>
            </w:r>
          </w:p>
        </w:tc>
        <w:tc>
          <w:tcPr>
            <w:tcW w:type="dxa" w:w="1682"/>
            <w:vMerge/>
            <w:tcBorders>
              <w:top w:val="none" w:color="000000" w:sz="4"/>
              <w:left w:val="none" w:color="000000" w:sz="4"/>
              <w:bottom w:val="single" w:color="000000" w:sz="4"/>
              <w:right w:val="single" w:color="000000" w:sz="4"/>
            </w:tcBorders>
          </w:tcP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灯具应保证在明亮</w:t>
            </w:r>
            <w:r>
              <w:rPr>
                <w:sz w:val="21"/>
              </w:rPr>
              <w:t>,保证设施完好</w:t>
            </w:r>
          </w:p>
        </w:tc>
        <w:tc>
          <w:tcPr>
            <w:tcW w:type="dxa" w:w="863"/>
            <w:vMerge/>
            <w:tcBorders>
              <w:top w:val="none" w:color="000000" w:sz="4"/>
              <w:left w:val="none" w:color="000000" w:sz="4"/>
              <w:bottom w:val="single" w:color="000000" w:sz="4"/>
              <w:right w:val="single" w:color="000000" w:sz="4"/>
            </w:tcBorders>
          </w:tcP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信号指向轮廓清晰</w:t>
            </w:r>
            <w:r>
              <w:rPr>
                <w:sz w:val="21"/>
              </w:rPr>
              <w:t>,轮廓不清晰，未在</w:t>
            </w:r>
            <w:r>
              <w:rPr>
                <w:sz w:val="21"/>
              </w:rPr>
              <w:t>甲方</w:t>
            </w:r>
            <w:r>
              <w:rPr>
                <w:sz w:val="21"/>
              </w:rPr>
              <w:t>规定时间内处理好，每次扣</w:t>
            </w:r>
            <w:r>
              <w:rPr>
                <w:sz w:val="21"/>
              </w:rPr>
              <w:t>0.5分</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2.15</w:t>
            </w:r>
          </w:p>
        </w:tc>
        <w:tc>
          <w:tcPr>
            <w:tcW w:type="dxa" w:w="1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要求对保障线路分布合理</w:t>
            </w: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在维护过程保证电源线及控制线走线合理，符合规范要求。</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若因此造成信号灯不正常运行，未在</w:t>
            </w:r>
            <w:r>
              <w:rPr>
                <w:sz w:val="21"/>
              </w:rPr>
              <w:t>甲方</w:t>
            </w:r>
            <w:r>
              <w:rPr>
                <w:sz w:val="21"/>
              </w:rPr>
              <w:t>规定时间内处理好，每次扣</w:t>
            </w:r>
            <w:r>
              <w:rPr>
                <w:sz w:val="21"/>
              </w:rPr>
              <w:t>0.5分</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2.16</w:t>
            </w:r>
          </w:p>
        </w:tc>
        <w:tc>
          <w:tcPr>
            <w:tcW w:type="dxa" w:w="168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要求信号灯资料完整及准确</w:t>
            </w: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运行方案登记不准确、不及时更新。注：按平台或交警及时实施方案。</w:t>
            </w:r>
          </w:p>
        </w:tc>
        <w:tc>
          <w:tcPr>
            <w:tcW w:type="dxa" w:w="8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未在</w:t>
            </w:r>
            <w:r>
              <w:rPr>
                <w:sz w:val="21"/>
              </w:rPr>
              <w:t>甲方</w:t>
            </w:r>
            <w:r>
              <w:rPr>
                <w:sz w:val="21"/>
              </w:rPr>
              <w:t>规定时间内处理好，，每次扣</w:t>
            </w:r>
            <w:r>
              <w:rPr>
                <w:sz w:val="21"/>
              </w:rPr>
              <w:t>0.2分</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2.17</w:t>
            </w:r>
          </w:p>
        </w:tc>
        <w:tc>
          <w:tcPr>
            <w:tcW w:type="dxa" w:w="1682"/>
            <w:vMerge/>
            <w:tcBorders>
              <w:top w:val="none" w:color="000000" w:sz="4"/>
              <w:left w:val="none" w:color="000000" w:sz="4"/>
              <w:bottom w:val="single" w:color="000000" w:sz="4"/>
              <w:right w:val="single" w:color="000000" w:sz="4"/>
            </w:tcBorders>
          </w:tcP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未按要求时间提交或更新信号灯资料册、用电安全排查资料册、绿化遮挡排查资料册等</w:t>
            </w:r>
            <w:r>
              <w:rPr>
                <w:sz w:val="21"/>
              </w:rPr>
              <w:t>甲方</w:t>
            </w:r>
            <w:r>
              <w:rPr>
                <w:sz w:val="21"/>
              </w:rPr>
              <w:t>安排的任务</w:t>
            </w:r>
          </w:p>
        </w:tc>
        <w:tc>
          <w:tcPr>
            <w:tcW w:type="dxa" w:w="863"/>
            <w:vMerge/>
            <w:tcBorders>
              <w:top w:val="none" w:color="000000" w:sz="4"/>
              <w:left w:val="none" w:color="000000" w:sz="4"/>
              <w:bottom w:val="single" w:color="000000" w:sz="4"/>
              <w:right w:val="single" w:color="000000" w:sz="4"/>
            </w:tcBorders>
          </w:tcP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未在</w:t>
            </w:r>
            <w:r>
              <w:rPr>
                <w:sz w:val="21"/>
              </w:rPr>
              <w:t>甲方</w:t>
            </w:r>
            <w:r>
              <w:rPr>
                <w:sz w:val="21"/>
              </w:rPr>
              <w:t>规定时间内处理好，每次扣</w:t>
            </w:r>
            <w:r>
              <w:rPr>
                <w:sz w:val="21"/>
              </w:rPr>
              <w:t>0.2分</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2.18</w:t>
            </w:r>
          </w:p>
        </w:tc>
        <w:tc>
          <w:tcPr>
            <w:tcW w:type="dxa" w:w="1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每个季度至少对每个前端设备进行一次巡检</w:t>
            </w: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巡视记录</w:t>
            </w:r>
            <w:r>
              <w:rPr>
                <w:sz w:val="21"/>
              </w:rPr>
              <w:t>,保证巡视记录准确、详细及归档</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记录不准确，每次扣</w:t>
            </w:r>
            <w:r>
              <w:rPr>
                <w:sz w:val="21"/>
              </w:rPr>
              <w:t>0.1分</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2.19</w:t>
            </w:r>
          </w:p>
        </w:tc>
        <w:tc>
          <w:tcPr>
            <w:tcW w:type="dxa" w:w="1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必须使用合同规定的材料品牌及型号；未规定的，需与</w:t>
            </w:r>
            <w:r>
              <w:rPr>
                <w:sz w:val="21"/>
              </w:rPr>
              <w:t>甲方</w:t>
            </w:r>
            <w:r>
              <w:rPr>
                <w:sz w:val="21"/>
              </w:rPr>
              <w:t>书面确认后，方可使用</w:t>
            </w: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设备更换</w:t>
            </w:r>
            <w:r>
              <w:rPr>
                <w:sz w:val="21"/>
              </w:rPr>
              <w:t>,使用优于或等同原设备型号产品</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更换低于原设备质量产品，每次扣</w:t>
            </w:r>
            <w:r>
              <w:rPr>
                <w:sz w:val="21"/>
              </w:rPr>
              <w:t>0.2分</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2.20</w:t>
            </w:r>
          </w:p>
        </w:tc>
        <w:tc>
          <w:tcPr>
            <w:tcW w:type="dxa" w:w="1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养护单位需要安全规范用电，确保用电安全</w:t>
            </w: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供电线路采用二级保护，即取电源处和控制柜各加装空气额定开关，杆件和综合设备箱安全可靠接地，接地电阻不大于</w:t>
            </w:r>
            <w:r>
              <w:rPr>
                <w:sz w:val="21"/>
              </w:rPr>
              <w:t>10欧姆</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接地不合格，每处扣</w:t>
            </w:r>
            <w:r>
              <w:rPr>
                <w:sz w:val="21"/>
              </w:rPr>
              <w:t>0.5</w:t>
            </w:r>
          </w:p>
          <w:p>
            <w:pPr>
              <w:pStyle w:val="null3"/>
              <w:jc w:val="both"/>
            </w:pPr>
            <w:r>
              <w:rPr>
                <w:sz w:val="21"/>
              </w:rPr>
              <w:t>分</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三</w:t>
            </w:r>
          </w:p>
        </w:tc>
        <w:tc>
          <w:tcPr>
            <w:tcW w:type="dxa" w:w="7448"/>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故障修复及时率</w:t>
            </w:r>
            <w:r>
              <w:rPr>
                <w:sz w:val="21"/>
                <w:b/>
              </w:rPr>
              <w:t>(总分30分)</w:t>
            </w:r>
          </w:p>
        </w:tc>
      </w:tr>
      <w:tr>
        <w:tc>
          <w:tcPr>
            <w:tcW w:type="dxa" w:w="8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168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要求及时故障抢修</w:t>
            </w:r>
          </w:p>
        </w:tc>
        <w:tc>
          <w:tcPr>
            <w:tcW w:type="dxa" w:w="19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超过</w:t>
            </w:r>
            <w:r>
              <w:rPr>
                <w:sz w:val="21"/>
              </w:rPr>
              <w:t>30分钟未能有效及时组织维护人员到达现场抢修。</w:t>
            </w:r>
          </w:p>
        </w:tc>
        <w:tc>
          <w:tcPr>
            <w:tcW w:type="dxa" w:w="863"/>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1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每次扣</w:t>
            </w:r>
            <w:r>
              <w:rPr>
                <w:sz w:val="21"/>
              </w:rPr>
              <w:t>0.5分</w:t>
            </w:r>
          </w:p>
        </w:tc>
        <w:tc>
          <w:tcPr>
            <w:tcW w:type="dxa" w:w="8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8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c>
          <w:tcPr>
            <w:tcW w:type="dxa" w:w="1682"/>
            <w:vMerge/>
            <w:tcBorders>
              <w:top w:val="none" w:color="000000" w:sz="4"/>
              <w:left w:val="none" w:color="000000" w:sz="4"/>
              <w:bottom w:val="single" w:color="000000" w:sz="4"/>
              <w:right w:val="single" w:color="000000" w:sz="4"/>
            </w:tcBorders>
          </w:tcP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超过</w:t>
            </w:r>
            <w:r>
              <w:rPr>
                <w:sz w:val="21"/>
              </w:rPr>
              <w:t>60分钟未能有效及时组织维护人员到达现场抢修。</w:t>
            </w:r>
          </w:p>
        </w:tc>
        <w:tc>
          <w:tcPr>
            <w:tcW w:type="dxa" w:w="863"/>
            <w:vMerge/>
            <w:tcBorders>
              <w:top w:val="single" w:color="000000" w:sz="4"/>
              <w:left w:val="none" w:color="000000" w:sz="4"/>
              <w:bottom w:val="single" w:color="000000" w:sz="4"/>
              <w:right w:val="single" w:color="000000" w:sz="4"/>
            </w:tcBorders>
          </w:tcP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每次扣</w:t>
            </w:r>
            <w:r>
              <w:rPr>
                <w:sz w:val="21"/>
              </w:rPr>
              <w:t>0.5分，并给与通报</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c>
          <w:tcPr>
            <w:tcW w:type="dxa" w:w="1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因遇道路施工等问题，造成故障</w:t>
            </w:r>
            <w:r>
              <w:rPr>
                <w:sz w:val="21"/>
              </w:rPr>
              <w:t>,要求按存档图纸规定即时恢复</w:t>
            </w: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维护单位向道路施工单位进行信号灯管线交底，提供图纸，并明确施工单位及时恢复，并报告</w:t>
            </w:r>
            <w:r>
              <w:rPr>
                <w:sz w:val="21"/>
              </w:rPr>
              <w:t>甲方</w:t>
            </w:r>
          </w:p>
        </w:tc>
        <w:tc>
          <w:tcPr>
            <w:tcW w:type="dxa" w:w="863"/>
            <w:vMerge/>
            <w:tcBorders>
              <w:top w:val="single" w:color="000000" w:sz="4"/>
              <w:left w:val="none" w:color="000000" w:sz="4"/>
              <w:bottom w:val="single" w:color="000000" w:sz="4"/>
              <w:right w:val="single" w:color="000000" w:sz="4"/>
            </w:tcBorders>
          </w:tcP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若因没有提供管线交底，造成损坏，每次扣</w:t>
            </w:r>
            <w:r>
              <w:rPr>
                <w:sz w:val="21"/>
              </w:rPr>
              <w:t>0.5分</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c>
          <w:tcPr>
            <w:tcW w:type="dxa" w:w="1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维护单位应备足够信号灯配件</w:t>
            </w:r>
            <w:r>
              <w:rPr>
                <w:sz w:val="21"/>
              </w:rPr>
              <w:t>,按招标文件配件内容</w:t>
            </w: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因配件不足造成不能及时修复</w:t>
            </w:r>
          </w:p>
        </w:tc>
        <w:tc>
          <w:tcPr>
            <w:tcW w:type="dxa" w:w="863"/>
            <w:vMerge/>
            <w:tcBorders>
              <w:top w:val="single" w:color="000000" w:sz="4"/>
              <w:left w:val="none" w:color="000000" w:sz="4"/>
              <w:bottom w:val="single" w:color="000000" w:sz="4"/>
              <w:right w:val="single" w:color="000000" w:sz="4"/>
            </w:tcBorders>
          </w:tcP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每次扣</w:t>
            </w:r>
            <w:r>
              <w:rPr>
                <w:sz w:val="21"/>
              </w:rPr>
              <w:t>0.5分</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1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提供临时信号灯应急措施保障</w:t>
            </w: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因突发事故造成信号灯无法正常运行，维护单位应配备临时信号灯，临时信号灯在运行过程中应按固定信号灯管理模式进行</w:t>
            </w:r>
          </w:p>
        </w:tc>
        <w:tc>
          <w:tcPr>
            <w:tcW w:type="dxa" w:w="863"/>
            <w:vMerge/>
            <w:tcBorders>
              <w:top w:val="single" w:color="000000" w:sz="4"/>
              <w:left w:val="none" w:color="000000" w:sz="4"/>
              <w:bottom w:val="single" w:color="000000" w:sz="4"/>
              <w:right w:val="single" w:color="000000" w:sz="4"/>
            </w:tcBorders>
          </w:tcP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未按要求配备或不能保证运行，每次扣</w:t>
            </w:r>
            <w:r>
              <w:rPr>
                <w:sz w:val="21"/>
              </w:rPr>
              <w:t>0.5分</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如发生交通事故对本项目养护范围内的信号灯设施造成损坏的，必须在接到事故报告后半小时内到达现场进行处理清除隐患，并在接到事故报告后</w:t>
            </w:r>
            <w:r>
              <w:rPr>
                <w:sz w:val="21"/>
              </w:rPr>
              <w:t>10天内按原标准进行修复或更换</w:t>
            </w: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参照补充</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四</w:t>
            </w:r>
          </w:p>
        </w:tc>
        <w:tc>
          <w:tcPr>
            <w:tcW w:type="dxa" w:w="7448"/>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安全文明措施</w:t>
            </w:r>
            <w:r>
              <w:rPr>
                <w:sz w:val="21"/>
                <w:b/>
              </w:rPr>
              <w:t>(总分10分)</w:t>
            </w:r>
          </w:p>
        </w:tc>
      </w:tr>
      <w:tr>
        <w:tc>
          <w:tcPr>
            <w:tcW w:type="dxa" w:w="8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w:t>
            </w:r>
          </w:p>
        </w:tc>
        <w:tc>
          <w:tcPr>
            <w:tcW w:type="dxa" w:w="1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要求现场设置安全警示</w:t>
            </w:r>
          </w:p>
        </w:tc>
        <w:tc>
          <w:tcPr>
            <w:tcW w:type="dxa" w:w="19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维护人员在现场维护时，应放置警示牌和警示桶</w:t>
            </w:r>
          </w:p>
        </w:tc>
        <w:tc>
          <w:tcPr>
            <w:tcW w:type="dxa" w:w="863"/>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1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不按规定放置，每次扣</w:t>
            </w:r>
            <w:r>
              <w:rPr>
                <w:sz w:val="21"/>
              </w:rPr>
              <w:t>0.5分</w:t>
            </w:r>
          </w:p>
        </w:tc>
        <w:tc>
          <w:tcPr>
            <w:tcW w:type="dxa" w:w="8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8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c>
          <w:tcPr>
            <w:tcW w:type="dxa" w:w="1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要求统一着装反光衣及安全帽</w:t>
            </w: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维修人员应将维修人员配安全帽，着绝缘鞋，统一工作服或带反光标志服</w:t>
            </w:r>
          </w:p>
        </w:tc>
        <w:tc>
          <w:tcPr>
            <w:tcW w:type="dxa" w:w="863"/>
            <w:vMerge/>
            <w:tcBorders>
              <w:top w:val="single" w:color="000000" w:sz="4"/>
              <w:left w:val="none" w:color="000000" w:sz="4"/>
              <w:bottom w:val="single" w:color="000000" w:sz="4"/>
              <w:right w:val="single" w:color="000000" w:sz="4"/>
            </w:tcBorders>
          </w:tcP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上岗不按规定着装，每次扣</w:t>
            </w:r>
            <w:r>
              <w:rPr>
                <w:sz w:val="21"/>
              </w:rPr>
              <w:t>0.5分/人</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w:t>
            </w:r>
          </w:p>
        </w:tc>
        <w:tc>
          <w:tcPr>
            <w:tcW w:type="dxa" w:w="1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要求做好安全防护措施</w:t>
            </w: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按安全文明施工要求作业</w:t>
            </w:r>
          </w:p>
        </w:tc>
        <w:tc>
          <w:tcPr>
            <w:tcW w:type="dxa" w:w="863"/>
            <w:vMerge/>
            <w:tcBorders>
              <w:top w:val="single" w:color="000000" w:sz="4"/>
              <w:left w:val="none" w:color="000000" w:sz="4"/>
              <w:bottom w:val="single" w:color="000000" w:sz="4"/>
              <w:right w:val="single" w:color="000000" w:sz="4"/>
            </w:tcBorders>
          </w:tcP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违反一次扣</w:t>
            </w:r>
            <w:r>
              <w:rPr>
                <w:sz w:val="21"/>
              </w:rPr>
              <w:t>0.5分</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w:t>
            </w:r>
          </w:p>
        </w:tc>
        <w:tc>
          <w:tcPr>
            <w:tcW w:type="dxa" w:w="1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要求配置备件仓库及械具</w:t>
            </w: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维修单位需在相应的维护区域设置办公场所和配件仓库</w:t>
            </w:r>
            <w:r>
              <w:rPr>
                <w:sz w:val="21"/>
              </w:rPr>
              <w:t>;</w:t>
            </w:r>
          </w:p>
          <w:p>
            <w:pPr>
              <w:pStyle w:val="null3"/>
              <w:jc w:val="left"/>
            </w:pPr>
            <w:r>
              <w:rPr>
                <w:sz w:val="21"/>
              </w:rPr>
              <w:t>2、配备高空或升降车以及临时信号灯各一台,并能保障正常运行</w:t>
            </w:r>
          </w:p>
        </w:tc>
        <w:tc>
          <w:tcPr>
            <w:tcW w:type="dxa" w:w="863"/>
            <w:vMerge/>
            <w:tcBorders>
              <w:top w:val="single" w:color="000000" w:sz="4"/>
              <w:left w:val="none" w:color="000000" w:sz="4"/>
              <w:bottom w:val="single" w:color="000000" w:sz="4"/>
              <w:right w:val="single" w:color="000000" w:sz="4"/>
            </w:tcBorders>
          </w:tcP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缺失一项扣</w:t>
            </w:r>
          </w:p>
          <w:p>
            <w:pPr>
              <w:pStyle w:val="null3"/>
              <w:jc w:val="left"/>
            </w:pPr>
            <w:r>
              <w:rPr>
                <w:sz w:val="21"/>
              </w:rPr>
              <w:t>0.5分/每次</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07"/>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存在问题描述：</w:t>
            </w:r>
          </w:p>
        </w:tc>
      </w:tr>
    </w:tbl>
    <w:p>
      <w:pPr>
        <w:pStyle w:val="null3"/>
        <w:ind w:firstLine="420"/>
        <w:jc w:val="both"/>
        <w:outlineLvl w:val="1"/>
      </w:pPr>
      <w:r>
        <w:rPr>
          <w:sz w:val="21"/>
          <w:b/>
        </w:rPr>
        <w:t>6</w:t>
      </w:r>
      <w:r>
        <w:rPr>
          <w:sz w:val="21"/>
          <w:b/>
        </w:rPr>
        <w:t>．</w:t>
      </w:r>
      <w:r>
        <w:rPr>
          <w:sz w:val="21"/>
          <w:b/>
        </w:rPr>
        <w:t>公交站台运行考核</w:t>
      </w:r>
    </w:p>
    <w:p>
      <w:pPr>
        <w:pStyle w:val="null3"/>
        <w:ind w:firstLine="420"/>
        <w:jc w:val="both"/>
      </w:pPr>
      <w:r>
        <w:rPr>
          <w:sz w:val="21"/>
        </w:rPr>
        <w:t>表六：公交站台运行考核评分表</w:t>
      </w:r>
    </w:p>
    <w:tbl>
      <w:tblPr>
        <w:tblW w:w="0" w:type="auto"/>
        <w:tblBorders>
          <w:top w:val="none" w:color="000000" w:sz="4"/>
          <w:left w:val="none" w:color="000000" w:sz="4"/>
          <w:bottom w:val="none" w:color="000000" w:sz="4"/>
          <w:right w:val="none" w:color="000000" w:sz="4"/>
          <w:insideH w:val="none"/>
          <w:insideV w:val="none"/>
        </w:tblBorders>
      </w:tblPr>
      <w:tblGrid>
        <w:gridCol w:w="1041"/>
        <w:gridCol w:w="1699"/>
        <w:gridCol w:w="1820"/>
        <w:gridCol w:w="637"/>
        <w:gridCol w:w="1042"/>
        <w:gridCol w:w="1042"/>
        <w:gridCol w:w="1026"/>
      </w:tblGrid>
      <w:tr>
        <w:tc>
          <w:tcPr>
            <w:tcW w:type="dxa" w:w="2740"/>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项目时间：</w:t>
            </w:r>
          </w:p>
        </w:tc>
        <w:tc>
          <w:tcPr>
            <w:tcW w:type="dxa" w:w="5567"/>
            <w:gridSpan w:val="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考核总得分：</w:t>
            </w:r>
            <w:r>
              <w:rPr>
                <w:sz w:val="21"/>
              </w:rPr>
              <w:t xml:space="preserve">      </w:t>
            </w:r>
            <w:r>
              <w:rPr>
                <w:sz w:val="21"/>
              </w:rPr>
              <w:t>（总分值：</w:t>
            </w:r>
            <w:r>
              <w:rPr>
                <w:sz w:val="21"/>
              </w:rPr>
              <w:t>100分）</w:t>
            </w:r>
          </w:p>
        </w:tc>
      </w:tr>
      <w:tr>
        <w:tc>
          <w:tcPr>
            <w:tcW w:type="dxa" w:w="27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项目名称：</w:t>
            </w:r>
          </w:p>
        </w:tc>
        <w:tc>
          <w:tcPr>
            <w:tcW w:type="dxa" w:w="5567"/>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维护单位</w:t>
            </w:r>
            <w:r>
              <w:rPr>
                <w:sz w:val="21"/>
              </w:rPr>
              <w:t>:</w:t>
            </w:r>
          </w:p>
        </w:tc>
      </w:tr>
      <w:tr>
        <w:tc>
          <w:tcPr>
            <w:tcW w:type="dxa" w:w="27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维护单位经办人</w:t>
            </w:r>
            <w:r>
              <w:rPr>
                <w:sz w:val="21"/>
              </w:rPr>
              <w:t>:</w:t>
            </w:r>
          </w:p>
        </w:tc>
        <w:tc>
          <w:tcPr>
            <w:tcW w:type="dxa" w:w="5567"/>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维护单位负责人：</w:t>
            </w:r>
          </w:p>
        </w:tc>
      </w:tr>
      <w:tr>
        <w:tc>
          <w:tcPr>
            <w:tcW w:type="dxa" w:w="8307"/>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考核人员</w:t>
            </w:r>
            <w:r>
              <w:rPr>
                <w:sz w:val="21"/>
              </w:rPr>
              <w:t>:</w:t>
            </w:r>
          </w:p>
        </w:tc>
      </w:tr>
      <w:tr>
        <w:tc>
          <w:tcPr>
            <w:tcW w:type="dxa" w:w="104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7266"/>
            <w:gridSpan w:val="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公交站台现场养护</w:t>
            </w:r>
            <w:r>
              <w:rPr>
                <w:sz w:val="21"/>
                <w:b/>
              </w:rPr>
              <w:t>(总分100分)</w:t>
            </w:r>
          </w:p>
        </w:tc>
      </w:tr>
      <w:tr>
        <w:tc>
          <w:tcPr>
            <w:tcW w:type="dxa" w:w="1041"/>
            <w:vMerge/>
            <w:tcBorders>
              <w:top w:val="none" w:color="000000" w:sz="4"/>
              <w:left w:val="single" w:color="000000" w:sz="4"/>
              <w:bottom w:val="single" w:color="000000" w:sz="4"/>
              <w:right w:val="single" w:color="000000" w:sz="4"/>
            </w:tcBorders>
          </w:tcPr>
          <w:p/>
        </w:tc>
        <w:tc>
          <w:tcPr>
            <w:tcW w:type="dxa" w:w="1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考核标准</w:t>
            </w:r>
          </w:p>
        </w:tc>
        <w:tc>
          <w:tcPr>
            <w:tcW w:type="dxa" w:w="18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考核内容</w:t>
            </w:r>
          </w:p>
        </w:tc>
        <w:tc>
          <w:tcPr>
            <w:tcW w:type="dxa" w:w="6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分值</w:t>
            </w:r>
          </w:p>
        </w:tc>
        <w:tc>
          <w:tcPr>
            <w:tcW w:type="dxa" w:w="10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扣分标准</w:t>
            </w:r>
          </w:p>
        </w:tc>
        <w:tc>
          <w:tcPr>
            <w:tcW w:type="dxa" w:w="10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扣分</w:t>
            </w:r>
          </w:p>
        </w:tc>
        <w:tc>
          <w:tcPr>
            <w:tcW w:type="dxa" w:w="10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得分</w:t>
            </w:r>
          </w:p>
        </w:tc>
      </w:tr>
      <w:tr>
        <w:tc>
          <w:tcPr>
            <w:tcW w:type="dxa" w:w="10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设备正常运行率不能＜</w:t>
            </w:r>
            <w:r>
              <w:rPr>
                <w:sz w:val="21"/>
              </w:rPr>
              <w:t>90%</w:t>
            </w:r>
          </w:p>
        </w:tc>
        <w:tc>
          <w:tcPr>
            <w:tcW w:type="dxa" w:w="1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平台在线率：</w:t>
            </w:r>
            <w:r>
              <w:rPr>
                <w:sz w:val="21"/>
              </w:rPr>
              <w:t>1、设备正常运行率不能＜90%（设备包括:LCD屏、LED屏、应急广播、视频监控等智能化设备）；</w:t>
            </w:r>
          </w:p>
          <w:p>
            <w:pPr>
              <w:pStyle w:val="null3"/>
              <w:jc w:val="left"/>
            </w:pPr>
            <w:r>
              <w:rPr>
                <w:sz w:val="21"/>
              </w:rPr>
              <w:t>2、注：由于运营商网络不通、平台故障、统一停电等问题引起不计入考核</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r>
              <w:rPr>
                <w:sz w:val="21"/>
              </w:rPr>
              <w:t>0</w:t>
            </w:r>
          </w:p>
        </w:tc>
        <w:tc>
          <w:tcPr>
            <w:tcW w:type="dxa" w:w="10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每低</w:t>
            </w:r>
            <w:r>
              <w:rPr>
                <w:sz w:val="21"/>
              </w:rPr>
              <w:t>0.1%扣0.5分</w:t>
            </w:r>
          </w:p>
        </w:tc>
        <w:tc>
          <w:tcPr>
            <w:tcW w:type="dxa" w:w="10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要求故障设备及时送修</w:t>
            </w:r>
          </w:p>
        </w:tc>
        <w:tc>
          <w:tcPr>
            <w:tcW w:type="dxa" w:w="1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LCD屏，LED屏、照明设施、电子站牌、广播系统、视频监控、广告牌、玻璃等设备故障维修：</w:t>
            </w:r>
          </w:p>
          <w:p>
            <w:pPr>
              <w:pStyle w:val="null3"/>
              <w:jc w:val="left"/>
            </w:pPr>
            <w:r>
              <w:rPr>
                <w:sz w:val="21"/>
              </w:rPr>
              <w:t>1.送、返修设备时，按要求填写相关表格并在规定时限内完成;</w:t>
            </w:r>
          </w:p>
          <w:p>
            <w:pPr>
              <w:pStyle w:val="null3"/>
              <w:jc w:val="left"/>
            </w:pPr>
            <w:r>
              <w:rPr>
                <w:sz w:val="21"/>
              </w:rPr>
              <w:t>2.按要求送、返修设备;</w:t>
            </w:r>
          </w:p>
          <w:p>
            <w:pPr>
              <w:pStyle w:val="null3"/>
              <w:jc w:val="left"/>
            </w:pPr>
            <w:r>
              <w:rPr>
                <w:sz w:val="21"/>
              </w:rPr>
              <w:t>3.不存在人为原因损坏设备、丟失设备;</w:t>
            </w:r>
          </w:p>
          <w:p>
            <w:pPr>
              <w:pStyle w:val="null3"/>
              <w:jc w:val="left"/>
            </w:pPr>
            <w:r>
              <w:rPr>
                <w:sz w:val="21"/>
              </w:rPr>
              <w:t>4.故障设备送修后有替换设备，在备件到达之日起1个日历日内完成安装</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10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每违反一次，扣</w:t>
            </w:r>
            <w:r>
              <w:rPr>
                <w:sz w:val="21"/>
              </w:rPr>
              <w:t>0.5分</w:t>
            </w:r>
          </w:p>
        </w:tc>
        <w:tc>
          <w:tcPr>
            <w:tcW w:type="dxa" w:w="10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要求至少不低一个月一次巡查</w:t>
            </w:r>
          </w:p>
        </w:tc>
        <w:tc>
          <w:tcPr>
            <w:tcW w:type="dxa" w:w="1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巡查内容包括：</w:t>
            </w:r>
          </w:p>
          <w:p>
            <w:pPr>
              <w:pStyle w:val="null3"/>
              <w:jc w:val="left"/>
            </w:pPr>
            <w:r>
              <w:rPr>
                <w:sz w:val="21"/>
              </w:rPr>
              <w:t>1、站台主体、椅子、独立站牌等结构是否稳固；</w:t>
            </w:r>
          </w:p>
          <w:p>
            <w:pPr>
              <w:pStyle w:val="null3"/>
              <w:jc w:val="left"/>
            </w:pPr>
            <w:r>
              <w:rPr>
                <w:sz w:val="21"/>
              </w:rPr>
              <w:t>2、智能化设备（LCD屏、LED屏、应急广播、视频监控等）设备是否正常运行;</w:t>
            </w:r>
          </w:p>
          <w:p>
            <w:pPr>
              <w:pStyle w:val="null3"/>
              <w:jc w:val="left"/>
            </w:pPr>
            <w:r>
              <w:rPr>
                <w:sz w:val="21"/>
              </w:rPr>
              <w:t>3、巡视记录,保证巡视记录准确、详细及归档</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10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巡查记录不清晰每次扣</w:t>
            </w:r>
            <w:r>
              <w:rPr>
                <w:sz w:val="21"/>
              </w:rPr>
              <w:t>0.2分；未巡查扣0.5分</w:t>
            </w:r>
          </w:p>
        </w:tc>
        <w:tc>
          <w:tcPr>
            <w:tcW w:type="dxa" w:w="10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6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要求故障及时响应</w:t>
            </w:r>
          </w:p>
        </w:tc>
        <w:tc>
          <w:tcPr>
            <w:tcW w:type="dxa" w:w="1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30分钟响应，2小时内处理故障</w:t>
            </w:r>
          </w:p>
        </w:tc>
        <w:tc>
          <w:tcPr>
            <w:tcW w:type="dxa" w:w="63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0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超出时限每次扣</w:t>
            </w:r>
            <w:r>
              <w:rPr>
                <w:sz w:val="21"/>
              </w:rPr>
              <w:t>0.5分</w:t>
            </w:r>
          </w:p>
        </w:tc>
        <w:tc>
          <w:tcPr>
            <w:tcW w:type="dxa" w:w="10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699"/>
            <w:vMerge/>
            <w:tcBorders>
              <w:top w:val="none" w:color="000000" w:sz="4"/>
              <w:left w:val="none" w:color="000000" w:sz="4"/>
              <w:bottom w:val="single" w:color="000000" w:sz="4"/>
              <w:right w:val="single" w:color="000000" w:sz="4"/>
            </w:tcBorders>
          </w:tcPr>
          <w:p/>
        </w:tc>
        <w:tc>
          <w:tcPr>
            <w:tcW w:type="dxa" w:w="1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甲方</w:t>
            </w:r>
            <w:r>
              <w:rPr>
                <w:sz w:val="21"/>
              </w:rPr>
              <w:t>临时安排的任务要及时响应</w:t>
            </w:r>
          </w:p>
        </w:tc>
        <w:tc>
          <w:tcPr>
            <w:tcW w:type="dxa" w:w="637"/>
            <w:vMerge/>
            <w:tcBorders>
              <w:top w:val="none" w:color="000000" w:sz="4"/>
              <w:left w:val="none" w:color="000000" w:sz="4"/>
              <w:bottom w:val="single" w:color="000000" w:sz="4"/>
              <w:right w:val="single" w:color="000000" w:sz="4"/>
            </w:tcBorders>
          </w:tcPr>
          <w:p/>
        </w:tc>
        <w:tc>
          <w:tcPr>
            <w:tcW w:type="dxa" w:w="10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未响应扣</w:t>
            </w:r>
            <w:r>
              <w:rPr>
                <w:sz w:val="21"/>
              </w:rPr>
              <w:t>1分</w:t>
            </w:r>
          </w:p>
        </w:tc>
        <w:tc>
          <w:tcPr>
            <w:tcW w:type="dxa" w:w="10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699"/>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21"/>
              </w:rPr>
              <w:t>根据中标要求对公交站台各类设施进行清洁养护设备表面每季度清洗一次，分别在季度结束前完成。</w:t>
            </w:r>
          </w:p>
        </w:tc>
        <w:tc>
          <w:tcPr>
            <w:tcW w:type="dxa" w:w="1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设施未保持干净清洁</w:t>
            </w:r>
          </w:p>
        </w:tc>
        <w:tc>
          <w:tcPr>
            <w:tcW w:type="dxa" w:w="63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21"/>
              </w:rPr>
              <w:t>5</w:t>
            </w:r>
          </w:p>
        </w:tc>
        <w:tc>
          <w:tcPr>
            <w:tcW w:type="dxa" w:w="10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w:t>
            </w:r>
          </w:p>
          <w:p>
            <w:pPr>
              <w:pStyle w:val="null3"/>
              <w:jc w:val="center"/>
            </w:pPr>
            <w:r>
              <w:rPr>
                <w:sz w:val="21"/>
              </w:rPr>
              <w:t>分</w:t>
            </w:r>
            <w:r>
              <w:rPr>
                <w:sz w:val="21"/>
              </w:rPr>
              <w:t>/处</w:t>
            </w:r>
          </w:p>
        </w:tc>
        <w:tc>
          <w:tcPr>
            <w:tcW w:type="dxa" w:w="10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699"/>
            <w:vMerge/>
            <w:tcBorders>
              <w:top w:val="none" w:color="000000" w:sz="4"/>
              <w:left w:val="none" w:color="000000" w:sz="4"/>
              <w:bottom w:val="none" w:color="000000" w:sz="4"/>
              <w:right w:val="single" w:color="000000" w:sz="4"/>
            </w:tcBorders>
          </w:tcPr>
          <w:p/>
        </w:tc>
        <w:tc>
          <w:tcPr>
            <w:tcW w:type="dxa" w:w="1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未进行清洗</w:t>
            </w:r>
          </w:p>
        </w:tc>
        <w:tc>
          <w:tcPr>
            <w:tcW w:type="dxa" w:w="637"/>
            <w:vMerge/>
            <w:tcBorders>
              <w:top w:val="none" w:color="000000" w:sz="4"/>
              <w:left w:val="none" w:color="000000" w:sz="4"/>
              <w:bottom w:val="none" w:color="000000" w:sz="4"/>
              <w:right w:val="single" w:color="000000" w:sz="4"/>
            </w:tcBorders>
          </w:tcPr>
          <w:p/>
        </w:tc>
        <w:tc>
          <w:tcPr>
            <w:tcW w:type="dxa" w:w="10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5分/次</w:t>
            </w:r>
          </w:p>
        </w:tc>
        <w:tc>
          <w:tcPr>
            <w:tcW w:type="dxa" w:w="10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站台及其他影响观瞻的设备表面每年喷漆翻新一次，必须在每年</w:t>
            </w:r>
            <w:r>
              <w:rPr>
                <w:sz w:val="21"/>
              </w:rPr>
              <w:t>12月31日前完成</w:t>
            </w:r>
          </w:p>
        </w:tc>
        <w:tc>
          <w:tcPr>
            <w:tcW w:type="dxa" w:w="1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脱落、锈蚀，且未处理</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5</w:t>
            </w:r>
          </w:p>
        </w:tc>
        <w:tc>
          <w:tcPr>
            <w:tcW w:type="dxa" w:w="10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0.1分/处</w:t>
            </w:r>
          </w:p>
        </w:tc>
        <w:tc>
          <w:tcPr>
            <w:tcW w:type="dxa" w:w="10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07"/>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存在问题描述：</w:t>
            </w:r>
          </w:p>
        </w:tc>
      </w:tr>
    </w:tbl>
    <w:p>
      <w:pPr>
        <w:pStyle w:val="null3"/>
        <w:ind w:firstLine="420"/>
        <w:jc w:val="both"/>
        <w:outlineLvl w:val="1"/>
      </w:pPr>
      <w:r>
        <w:rPr>
          <w:sz w:val="21"/>
          <w:b/>
        </w:rPr>
        <w:t>7</w:t>
      </w:r>
      <w:r>
        <w:rPr>
          <w:sz w:val="21"/>
          <w:b/>
        </w:rPr>
        <w:t>．</w:t>
      </w:r>
      <w:r>
        <w:rPr>
          <w:sz w:val="21"/>
          <w:b/>
        </w:rPr>
        <w:t>智能交通标志牌运行考核</w:t>
      </w:r>
    </w:p>
    <w:p>
      <w:pPr>
        <w:pStyle w:val="null3"/>
        <w:ind w:firstLine="420"/>
        <w:jc w:val="both"/>
      </w:pPr>
      <w:r>
        <w:rPr>
          <w:sz w:val="21"/>
        </w:rPr>
        <w:t>表七：智能交通标志牌考核评分表</w:t>
      </w:r>
    </w:p>
    <w:tbl>
      <w:tblPr>
        <w:tblW w:w="0" w:type="auto"/>
        <w:tblBorders>
          <w:top w:val="none" w:color="000000" w:sz="4"/>
          <w:left w:val="none" w:color="000000" w:sz="4"/>
          <w:bottom w:val="none" w:color="000000" w:sz="4"/>
          <w:right w:val="none" w:color="000000" w:sz="4"/>
          <w:insideH w:val="none"/>
          <w:insideV w:val="none"/>
        </w:tblBorders>
      </w:tblPr>
      <w:tblGrid>
        <w:gridCol w:w="684"/>
        <w:gridCol w:w="1080"/>
        <w:gridCol w:w="1930"/>
        <w:gridCol w:w="1153"/>
        <w:gridCol w:w="1153"/>
        <w:gridCol w:w="1153"/>
        <w:gridCol w:w="1153"/>
      </w:tblGrid>
      <w:tr>
        <w:tc>
          <w:tcPr>
            <w:tcW w:type="dxa" w:w="176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项目时间：</w:t>
            </w:r>
          </w:p>
        </w:tc>
        <w:tc>
          <w:tcPr>
            <w:tcW w:type="dxa" w:w="6542"/>
            <w:gridSpan w:val="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考核总得分：</w:t>
            </w:r>
            <w:r>
              <w:rPr>
                <w:sz w:val="21"/>
              </w:rPr>
              <w:t xml:space="preserve">      </w:t>
            </w:r>
            <w:r>
              <w:rPr>
                <w:sz w:val="21"/>
              </w:rPr>
              <w:t>（总分值：</w:t>
            </w:r>
            <w:r>
              <w:rPr>
                <w:sz w:val="21"/>
              </w:rPr>
              <w:t>100分）</w:t>
            </w:r>
          </w:p>
        </w:tc>
      </w:tr>
      <w:tr>
        <w:tc>
          <w:tcPr>
            <w:tcW w:type="dxa" w:w="176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项目名称：</w:t>
            </w:r>
          </w:p>
        </w:tc>
        <w:tc>
          <w:tcPr>
            <w:tcW w:type="dxa" w:w="6542"/>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维护单位</w:t>
            </w:r>
            <w:r>
              <w:rPr>
                <w:sz w:val="21"/>
              </w:rPr>
              <w:t>:</w:t>
            </w:r>
          </w:p>
        </w:tc>
      </w:tr>
      <w:tr>
        <w:tc>
          <w:tcPr>
            <w:tcW w:type="dxa" w:w="176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维护单位经办人</w:t>
            </w:r>
            <w:r>
              <w:rPr>
                <w:sz w:val="21"/>
              </w:rPr>
              <w:t>:</w:t>
            </w:r>
          </w:p>
        </w:tc>
        <w:tc>
          <w:tcPr>
            <w:tcW w:type="dxa" w:w="6542"/>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维护单位负责人：</w:t>
            </w:r>
          </w:p>
        </w:tc>
      </w:tr>
      <w:tr>
        <w:tc>
          <w:tcPr>
            <w:tcW w:type="dxa" w:w="8306"/>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考核人员</w:t>
            </w:r>
            <w:r>
              <w:rPr>
                <w:sz w:val="21"/>
              </w:rPr>
              <w:t>:</w:t>
            </w:r>
          </w:p>
        </w:tc>
      </w:tr>
      <w:tr>
        <w:tc>
          <w:tcPr>
            <w:tcW w:type="dxa" w:w="6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7622"/>
            <w:gridSpan w:val="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智能交通标志牌现场养护</w:t>
            </w:r>
            <w:r>
              <w:rPr>
                <w:sz w:val="21"/>
                <w:b/>
              </w:rPr>
              <w:t>(总分100分)</w:t>
            </w:r>
          </w:p>
        </w:tc>
      </w:tr>
      <w:tr>
        <w:tc>
          <w:tcPr>
            <w:tcW w:type="dxa" w:w="684"/>
            <w:vMerge/>
            <w:tcBorders>
              <w:top w:val="none" w:color="000000" w:sz="4"/>
              <w:left w:val="single" w:color="000000" w:sz="4"/>
              <w:bottom w:val="single" w:color="000000" w:sz="4"/>
              <w:right w:val="single" w:color="000000" w:sz="4"/>
            </w:tcBorders>
          </w:tcP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考核标准</w:t>
            </w:r>
          </w:p>
        </w:tc>
        <w:tc>
          <w:tcPr>
            <w:tcW w:type="dxa" w:w="19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考核内容</w:t>
            </w:r>
          </w:p>
        </w:tc>
        <w:tc>
          <w:tcPr>
            <w:tcW w:type="dxa" w:w="11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分值</w:t>
            </w:r>
          </w:p>
        </w:tc>
        <w:tc>
          <w:tcPr>
            <w:tcW w:type="dxa" w:w="11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扣分标准</w:t>
            </w:r>
          </w:p>
        </w:tc>
        <w:tc>
          <w:tcPr>
            <w:tcW w:type="dxa" w:w="11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扣分</w:t>
            </w:r>
          </w:p>
        </w:tc>
        <w:tc>
          <w:tcPr>
            <w:tcW w:type="dxa" w:w="11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得分</w:t>
            </w:r>
          </w:p>
        </w:tc>
      </w:tr>
      <w:tr>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0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要求故障及时响应及处理</w:t>
            </w:r>
          </w:p>
        </w:tc>
        <w:tc>
          <w:tcPr>
            <w:tcW w:type="dxa" w:w="1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一般故障处理：是否在</w:t>
            </w:r>
            <w:r>
              <w:rPr>
                <w:sz w:val="21"/>
              </w:rPr>
              <w:t>2小时内响应，12小时内到达现场维修，按故障处理单要求时间完成，如：更换小标志牌，更换控制器，修剪树枝等</w:t>
            </w:r>
          </w:p>
        </w:tc>
        <w:tc>
          <w:tcPr>
            <w:tcW w:type="dxa" w:w="1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超出时限每次</w:t>
            </w:r>
            <w:r>
              <w:rPr>
                <w:sz w:val="21"/>
              </w:rPr>
              <w:t>0.5分/次</w:t>
            </w:r>
          </w:p>
        </w:tc>
        <w:tc>
          <w:tcPr>
            <w:tcW w:type="dxa" w:w="1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080"/>
            <w:vMerge/>
            <w:tcBorders>
              <w:top w:val="none" w:color="000000" w:sz="4"/>
              <w:left w:val="none" w:color="000000" w:sz="4"/>
              <w:bottom w:val="single" w:color="000000" w:sz="4"/>
              <w:right w:val="single" w:color="000000" w:sz="4"/>
            </w:tcBorders>
          </w:tcPr>
          <w:p/>
        </w:tc>
        <w:tc>
          <w:tcPr>
            <w:tcW w:type="dxa" w:w="1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紧急故障处理：是否在</w:t>
            </w:r>
            <w:r>
              <w:rPr>
                <w:sz w:val="21"/>
              </w:rPr>
              <w:t>1小时内响应，10小时内到达现场维修如：车辆撞击、自然灾害等非可控原因</w:t>
            </w:r>
          </w:p>
        </w:tc>
        <w:tc>
          <w:tcPr>
            <w:tcW w:type="dxa" w:w="1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未在</w:t>
            </w:r>
            <w:r>
              <w:rPr>
                <w:sz w:val="21"/>
              </w:rPr>
              <w:t>甲方</w:t>
            </w:r>
            <w:r>
              <w:rPr>
                <w:sz w:val="21"/>
              </w:rPr>
              <w:t>规定时间内处理好，每次</w:t>
            </w:r>
            <w:r>
              <w:rPr>
                <w:sz w:val="21"/>
              </w:rPr>
              <w:t>0.5分/次</w:t>
            </w:r>
          </w:p>
        </w:tc>
        <w:tc>
          <w:tcPr>
            <w:tcW w:type="dxa" w:w="1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080"/>
            <w:vMerge/>
            <w:tcBorders>
              <w:top w:val="none" w:color="000000" w:sz="4"/>
              <w:left w:val="none" w:color="000000" w:sz="4"/>
              <w:bottom w:val="single" w:color="000000" w:sz="4"/>
              <w:right w:val="single" w:color="000000" w:sz="4"/>
            </w:tcBorders>
          </w:tcPr>
          <w:p/>
        </w:tc>
        <w:tc>
          <w:tcPr>
            <w:tcW w:type="dxa" w:w="1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要求每次故障处理完之后都需要填故障回单</w:t>
            </w:r>
          </w:p>
        </w:tc>
        <w:tc>
          <w:tcPr>
            <w:tcW w:type="dxa" w:w="1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0.5分/次</w:t>
            </w:r>
          </w:p>
        </w:tc>
        <w:tc>
          <w:tcPr>
            <w:tcW w:type="dxa" w:w="1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0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要求交通标志版面清洁</w:t>
            </w:r>
          </w:p>
        </w:tc>
        <w:tc>
          <w:tcPr>
            <w:tcW w:type="dxa" w:w="1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大型交通标志版面干净整洁</w:t>
            </w:r>
          </w:p>
        </w:tc>
        <w:tc>
          <w:tcPr>
            <w:tcW w:type="dxa" w:w="115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每一块扣</w:t>
            </w:r>
            <w:r>
              <w:rPr>
                <w:sz w:val="21"/>
              </w:rPr>
              <w:t>0.5分</w:t>
            </w:r>
          </w:p>
        </w:tc>
        <w:tc>
          <w:tcPr>
            <w:tcW w:type="dxa" w:w="1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080"/>
            <w:vMerge/>
            <w:tcBorders>
              <w:top w:val="none" w:color="000000" w:sz="4"/>
              <w:left w:val="none" w:color="000000" w:sz="4"/>
              <w:bottom w:val="single" w:color="000000" w:sz="4"/>
              <w:right w:val="single" w:color="000000" w:sz="4"/>
            </w:tcBorders>
          </w:tcPr>
          <w:p/>
        </w:tc>
        <w:tc>
          <w:tcPr>
            <w:tcW w:type="dxa" w:w="1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小型交通标志版面干净整洁</w:t>
            </w:r>
          </w:p>
        </w:tc>
        <w:tc>
          <w:tcPr>
            <w:tcW w:type="dxa" w:w="1153"/>
            <w:vMerge/>
            <w:tcBorders>
              <w:top w:val="none" w:color="000000" w:sz="4"/>
              <w:left w:val="none" w:color="000000" w:sz="4"/>
              <w:bottom w:val="single" w:color="000000" w:sz="4"/>
              <w:right w:val="single" w:color="000000" w:sz="4"/>
            </w:tcBorders>
          </w:tcPr>
          <w:p/>
        </w:tc>
        <w:tc>
          <w:tcPr>
            <w:tcW w:type="dxa" w:w="1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每一块扣</w:t>
            </w:r>
            <w:r>
              <w:rPr>
                <w:sz w:val="21"/>
              </w:rPr>
              <w:t>0.5分</w:t>
            </w:r>
          </w:p>
        </w:tc>
        <w:tc>
          <w:tcPr>
            <w:tcW w:type="dxa" w:w="1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080"/>
            <w:vMerge/>
            <w:tcBorders>
              <w:top w:val="none" w:color="000000" w:sz="4"/>
              <w:left w:val="none" w:color="000000" w:sz="4"/>
              <w:bottom w:val="single" w:color="000000" w:sz="4"/>
              <w:right w:val="single" w:color="000000" w:sz="4"/>
            </w:tcBorders>
          </w:tcPr>
          <w:p/>
        </w:tc>
        <w:tc>
          <w:tcPr>
            <w:tcW w:type="dxa" w:w="1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未能按要求提交《日常维护和清洁表》</w:t>
            </w:r>
          </w:p>
        </w:tc>
        <w:tc>
          <w:tcPr>
            <w:tcW w:type="dxa" w:w="1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每次扣</w:t>
            </w:r>
            <w:r>
              <w:rPr>
                <w:sz w:val="21"/>
              </w:rPr>
              <w:t>0.5分</w:t>
            </w:r>
          </w:p>
        </w:tc>
        <w:tc>
          <w:tcPr>
            <w:tcW w:type="dxa" w:w="1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要求对保障线路分布合理</w:t>
            </w:r>
          </w:p>
        </w:tc>
        <w:tc>
          <w:tcPr>
            <w:tcW w:type="dxa" w:w="1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在维护过程保证电源线及控制线走线合理，符合规范要求。</w:t>
            </w:r>
          </w:p>
        </w:tc>
        <w:tc>
          <w:tcPr>
            <w:tcW w:type="dxa" w:w="1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若因此造成智能标志牌不正常运行，每次扣</w:t>
            </w:r>
            <w:r>
              <w:rPr>
                <w:sz w:val="21"/>
              </w:rPr>
              <w:t>0.5分</w:t>
            </w:r>
          </w:p>
        </w:tc>
        <w:tc>
          <w:tcPr>
            <w:tcW w:type="dxa" w:w="1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0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要求巡查不低于三天</w:t>
            </w:r>
            <w:r>
              <w:rPr>
                <w:sz w:val="21"/>
              </w:rPr>
              <w:t>/次</w:t>
            </w:r>
          </w:p>
        </w:tc>
        <w:tc>
          <w:tcPr>
            <w:tcW w:type="dxa" w:w="1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巡查内容包括</w:t>
            </w:r>
            <w:r>
              <w:rPr>
                <w:sz w:val="21"/>
              </w:rPr>
              <w:t>:</w:t>
            </w:r>
          </w:p>
          <w:p>
            <w:pPr>
              <w:pStyle w:val="null3"/>
              <w:jc w:val="left"/>
            </w:pPr>
            <w:r>
              <w:rPr>
                <w:sz w:val="21"/>
              </w:rPr>
              <w:t>1、标志有无遮挡;</w:t>
            </w:r>
          </w:p>
          <w:p>
            <w:pPr>
              <w:pStyle w:val="null3"/>
              <w:jc w:val="left"/>
            </w:pPr>
            <w:r>
              <w:rPr>
                <w:sz w:val="21"/>
              </w:rPr>
              <w:t>2、标志外观是否清洁，是否有明显锈蚀;</w:t>
            </w:r>
          </w:p>
          <w:p>
            <w:pPr>
              <w:pStyle w:val="null3"/>
              <w:jc w:val="left"/>
            </w:pPr>
            <w:r>
              <w:rPr>
                <w:sz w:val="21"/>
              </w:rPr>
              <w:t>3、标志外观是否完整;</w:t>
            </w:r>
          </w:p>
          <w:p>
            <w:pPr>
              <w:pStyle w:val="null3"/>
              <w:jc w:val="left"/>
            </w:pPr>
            <w:r>
              <w:rPr>
                <w:sz w:val="21"/>
              </w:rPr>
              <w:t>4、标志上是否附着有非交通标志;</w:t>
            </w:r>
          </w:p>
          <w:p>
            <w:pPr>
              <w:pStyle w:val="null3"/>
              <w:jc w:val="left"/>
            </w:pPr>
            <w:r>
              <w:rPr>
                <w:sz w:val="21"/>
              </w:rPr>
              <w:t>5、标志版面内容是否清晰、信息是否准确、是否存在与其他设施信息冲突；</w:t>
            </w:r>
          </w:p>
          <w:p>
            <w:pPr>
              <w:pStyle w:val="null3"/>
              <w:jc w:val="left"/>
            </w:pPr>
            <w:r>
              <w:rPr>
                <w:sz w:val="21"/>
              </w:rPr>
              <w:t>6、标志立柱、横梁、标志板有无明显破损、变形；</w:t>
            </w:r>
          </w:p>
          <w:p>
            <w:pPr>
              <w:pStyle w:val="null3"/>
              <w:jc w:val="left"/>
            </w:pPr>
            <w:r>
              <w:rPr>
                <w:sz w:val="21"/>
              </w:rPr>
              <w:t>7、标志配电和网络设施运行是否正常；</w:t>
            </w:r>
          </w:p>
          <w:p>
            <w:pPr>
              <w:pStyle w:val="null3"/>
              <w:jc w:val="left"/>
            </w:pPr>
            <w:r>
              <w:rPr>
                <w:sz w:val="21"/>
              </w:rPr>
              <w:t>8、标志LED信息是否正确显示</w:t>
            </w:r>
          </w:p>
        </w:tc>
        <w:tc>
          <w:tcPr>
            <w:tcW w:type="dxa" w:w="115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15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巡查记录不清晰每次扣</w:t>
            </w:r>
            <w:r>
              <w:rPr>
                <w:sz w:val="21"/>
              </w:rPr>
              <w:t>0.2</w:t>
            </w:r>
          </w:p>
          <w:p>
            <w:pPr>
              <w:pStyle w:val="null3"/>
              <w:jc w:val="center"/>
            </w:pPr>
            <w:r>
              <w:rPr>
                <w:sz w:val="21"/>
              </w:rPr>
              <w:t>分；未巡查扣</w:t>
            </w:r>
            <w:r>
              <w:rPr>
                <w:sz w:val="21"/>
              </w:rPr>
              <w:t>0.5分</w:t>
            </w:r>
          </w:p>
        </w:tc>
        <w:tc>
          <w:tcPr>
            <w:tcW w:type="dxa" w:w="1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080"/>
            <w:vMerge/>
            <w:tcBorders>
              <w:top w:val="none" w:color="000000" w:sz="4"/>
              <w:left w:val="none" w:color="000000" w:sz="4"/>
              <w:bottom w:val="single" w:color="000000" w:sz="4"/>
              <w:right w:val="single" w:color="000000" w:sz="4"/>
            </w:tcBorders>
          </w:tcPr>
          <w:p/>
        </w:tc>
        <w:tc>
          <w:tcPr>
            <w:tcW w:type="dxa" w:w="1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巡视记录</w:t>
            </w:r>
            <w:r>
              <w:rPr>
                <w:sz w:val="21"/>
              </w:rPr>
              <w:t>,保证巡视记录准确、详细及归档</w:t>
            </w:r>
          </w:p>
        </w:tc>
        <w:tc>
          <w:tcPr>
            <w:tcW w:type="dxa" w:w="1153"/>
            <w:vMerge/>
            <w:tcBorders>
              <w:top w:val="none" w:color="000000" w:sz="4"/>
              <w:left w:val="non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1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要求现场设置安全警示</w:t>
            </w:r>
          </w:p>
        </w:tc>
        <w:tc>
          <w:tcPr>
            <w:tcW w:type="dxa" w:w="1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维护人员在现场维护时，应放置警示牌和警示桶</w:t>
            </w:r>
          </w:p>
        </w:tc>
        <w:tc>
          <w:tcPr>
            <w:tcW w:type="dxa" w:w="115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不按规定放置，每次扣</w:t>
            </w:r>
            <w:r>
              <w:rPr>
                <w:sz w:val="21"/>
              </w:rPr>
              <w:t>0.5分。</w:t>
            </w:r>
          </w:p>
        </w:tc>
        <w:tc>
          <w:tcPr>
            <w:tcW w:type="dxa" w:w="1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要求统一着装反光衣及安全帽</w:t>
            </w:r>
          </w:p>
        </w:tc>
        <w:tc>
          <w:tcPr>
            <w:tcW w:type="dxa" w:w="1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维修人员应将维修人员配安全帽，着绝缘鞋，统一工作服或带反光标志服</w:t>
            </w:r>
          </w:p>
        </w:tc>
        <w:tc>
          <w:tcPr>
            <w:tcW w:type="dxa" w:w="1153"/>
            <w:vMerge/>
            <w:tcBorders>
              <w:top w:val="none" w:color="000000" w:sz="4"/>
              <w:left w:val="none" w:color="000000" w:sz="4"/>
              <w:bottom w:val="single" w:color="000000" w:sz="4"/>
              <w:right w:val="single" w:color="000000" w:sz="4"/>
            </w:tcBorders>
          </w:tcPr>
          <w:p/>
        </w:tc>
        <w:tc>
          <w:tcPr>
            <w:tcW w:type="dxa" w:w="1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上岗不按规定着装，每次扣</w:t>
            </w:r>
            <w:r>
              <w:rPr>
                <w:sz w:val="21"/>
              </w:rPr>
              <w:t>0.5分/人</w:t>
            </w:r>
          </w:p>
        </w:tc>
        <w:tc>
          <w:tcPr>
            <w:tcW w:type="dxa" w:w="1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要求做好安全防护措施</w:t>
            </w:r>
          </w:p>
        </w:tc>
        <w:tc>
          <w:tcPr>
            <w:tcW w:type="dxa" w:w="1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按安全文明施工要求作业</w:t>
            </w:r>
          </w:p>
        </w:tc>
        <w:tc>
          <w:tcPr>
            <w:tcW w:type="dxa" w:w="1153"/>
            <w:vMerge/>
            <w:tcBorders>
              <w:top w:val="none" w:color="000000" w:sz="4"/>
              <w:left w:val="none" w:color="000000" w:sz="4"/>
              <w:bottom w:val="single" w:color="000000" w:sz="4"/>
              <w:right w:val="single" w:color="000000" w:sz="4"/>
            </w:tcBorders>
          </w:tcPr>
          <w:p/>
        </w:tc>
        <w:tc>
          <w:tcPr>
            <w:tcW w:type="dxa" w:w="1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违反一次扣</w:t>
            </w:r>
            <w:r>
              <w:rPr>
                <w:sz w:val="21"/>
              </w:rPr>
              <w:t>0.5分</w:t>
            </w:r>
          </w:p>
        </w:tc>
        <w:tc>
          <w:tcPr>
            <w:tcW w:type="dxa" w:w="1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要求配置备件仓库及械具</w:t>
            </w:r>
          </w:p>
        </w:tc>
        <w:tc>
          <w:tcPr>
            <w:tcW w:type="dxa" w:w="1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维修单位需在相应的维护区域设置办公场所和配件仓库</w:t>
            </w:r>
            <w:r>
              <w:rPr>
                <w:sz w:val="21"/>
              </w:rPr>
              <w:t>;</w:t>
            </w:r>
          </w:p>
          <w:p>
            <w:pPr>
              <w:pStyle w:val="null3"/>
              <w:jc w:val="left"/>
            </w:pPr>
            <w:r>
              <w:rPr>
                <w:sz w:val="21"/>
              </w:rPr>
              <w:t>2、配备高空或升降车，并能保障正常运行</w:t>
            </w:r>
          </w:p>
        </w:tc>
        <w:tc>
          <w:tcPr>
            <w:tcW w:type="dxa" w:w="1153"/>
            <w:vMerge/>
            <w:tcBorders>
              <w:top w:val="none" w:color="000000" w:sz="4"/>
              <w:left w:val="none" w:color="000000" w:sz="4"/>
              <w:bottom w:val="single" w:color="000000" w:sz="4"/>
              <w:right w:val="single" w:color="000000" w:sz="4"/>
            </w:tcBorders>
          </w:tcPr>
          <w:p/>
        </w:tc>
        <w:tc>
          <w:tcPr>
            <w:tcW w:type="dxa" w:w="1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缺失一项扣</w:t>
            </w:r>
            <w:r>
              <w:rPr>
                <w:sz w:val="21"/>
              </w:rPr>
              <w:t>0.5分/每次</w:t>
            </w:r>
          </w:p>
        </w:tc>
        <w:tc>
          <w:tcPr>
            <w:tcW w:type="dxa" w:w="1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06"/>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存在问题描述：</w:t>
            </w:r>
          </w:p>
        </w:tc>
      </w:tr>
    </w:tbl>
    <w:p>
      <w:pPr>
        <w:pStyle w:val="null3"/>
        <w:jc w:val="center"/>
        <w:outlineLvl w:val="1"/>
      </w:pPr>
      <w:r>
        <w:rPr>
          <w:sz w:val="21"/>
          <w:b/>
        </w:rPr>
        <w:t>8</w:t>
      </w:r>
      <w:r>
        <w:rPr>
          <w:sz w:val="21"/>
          <w:b/>
        </w:rPr>
        <w:t>．</w:t>
      </w:r>
      <w:r>
        <w:rPr>
          <w:sz w:val="21"/>
          <w:b/>
        </w:rPr>
        <w:t>其它设备运行考核</w:t>
      </w:r>
    </w:p>
    <w:p>
      <w:pPr>
        <w:pStyle w:val="null3"/>
        <w:ind w:firstLine="420"/>
        <w:jc w:val="both"/>
      </w:pPr>
      <w:r>
        <w:rPr>
          <w:sz w:val="21"/>
        </w:rPr>
        <w:t>表九：其它设备运行考核评分表</w:t>
      </w:r>
    </w:p>
    <w:tbl>
      <w:tblPr>
        <w:tblW w:w="0" w:type="auto"/>
        <w:tblBorders>
          <w:top w:val="none" w:color="000000" w:sz="4"/>
          <w:left w:val="none" w:color="000000" w:sz="4"/>
          <w:bottom w:val="none" w:color="000000" w:sz="4"/>
          <w:right w:val="none" w:color="000000" w:sz="4"/>
          <w:insideH w:val="none"/>
          <w:insideV w:val="none"/>
        </w:tblBorders>
      </w:tblPr>
      <w:tblGrid>
        <w:gridCol w:w="590"/>
        <w:gridCol w:w="2087"/>
        <w:gridCol w:w="1662"/>
        <w:gridCol w:w="992"/>
        <w:gridCol w:w="992"/>
        <w:gridCol w:w="992"/>
        <w:gridCol w:w="992"/>
      </w:tblGrid>
      <w:tr>
        <w:tc>
          <w:tcPr>
            <w:tcW w:type="dxa" w:w="2677"/>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项目时间：</w:t>
            </w:r>
          </w:p>
        </w:tc>
        <w:tc>
          <w:tcPr>
            <w:tcW w:type="dxa" w:w="5630"/>
            <w:gridSpan w:val="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考核总得分：</w:t>
            </w:r>
            <w:r>
              <w:rPr>
                <w:sz w:val="21"/>
              </w:rPr>
              <w:t xml:space="preserve">      </w:t>
            </w:r>
            <w:r>
              <w:rPr>
                <w:sz w:val="21"/>
              </w:rPr>
              <w:t>（总分值：</w:t>
            </w:r>
            <w:r>
              <w:rPr>
                <w:sz w:val="21"/>
              </w:rPr>
              <w:t>100分）</w:t>
            </w:r>
          </w:p>
        </w:tc>
      </w:tr>
      <w:tr>
        <w:tc>
          <w:tcPr>
            <w:tcW w:type="dxa" w:w="267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项目名称：</w:t>
            </w:r>
          </w:p>
        </w:tc>
        <w:tc>
          <w:tcPr>
            <w:tcW w:type="dxa" w:w="563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维护单位</w:t>
            </w:r>
            <w:r>
              <w:rPr>
                <w:sz w:val="21"/>
              </w:rPr>
              <w:t>:</w:t>
            </w:r>
          </w:p>
        </w:tc>
      </w:tr>
      <w:tr>
        <w:tc>
          <w:tcPr>
            <w:tcW w:type="dxa" w:w="267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维护单位经办人</w:t>
            </w:r>
            <w:r>
              <w:rPr>
                <w:sz w:val="21"/>
              </w:rPr>
              <w:t>:</w:t>
            </w:r>
          </w:p>
        </w:tc>
        <w:tc>
          <w:tcPr>
            <w:tcW w:type="dxa" w:w="563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维护单位负责人：</w:t>
            </w:r>
          </w:p>
        </w:tc>
      </w:tr>
      <w:tr>
        <w:tc>
          <w:tcPr>
            <w:tcW w:type="dxa" w:w="8307"/>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考核人员</w:t>
            </w:r>
            <w:r>
              <w:rPr>
                <w:sz w:val="21"/>
              </w:rPr>
              <w:t>:</w:t>
            </w:r>
          </w:p>
        </w:tc>
      </w:tr>
      <w:tr>
        <w:tc>
          <w:tcPr>
            <w:tcW w:type="dxa" w:w="5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7717"/>
            <w:gridSpan w:val="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其它设备运行现场养护</w:t>
            </w:r>
            <w:r>
              <w:rPr>
                <w:sz w:val="21"/>
                <w:b/>
              </w:rPr>
              <w:t>(总分100分)</w:t>
            </w:r>
          </w:p>
        </w:tc>
      </w:tr>
      <w:tr>
        <w:tc>
          <w:tcPr>
            <w:tcW w:type="dxa" w:w="590"/>
            <w:vMerge/>
            <w:tcBorders>
              <w:top w:val="none" w:color="000000" w:sz="4"/>
              <w:left w:val="single" w:color="000000" w:sz="4"/>
              <w:bottom w:val="single" w:color="000000" w:sz="4"/>
              <w:right w:val="single" w:color="000000" w:sz="4"/>
            </w:tcBorders>
          </w:tcPr>
          <w:p/>
        </w:tc>
        <w:tc>
          <w:tcPr>
            <w:tcW w:type="dxa" w:w="2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考核标准</w:t>
            </w:r>
          </w:p>
        </w:tc>
        <w:tc>
          <w:tcPr>
            <w:tcW w:type="dxa" w:w="16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考核内容</w:t>
            </w:r>
          </w:p>
        </w:tc>
        <w:tc>
          <w:tcPr>
            <w:tcW w:type="dxa" w:w="9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分值</w:t>
            </w:r>
          </w:p>
        </w:tc>
        <w:tc>
          <w:tcPr>
            <w:tcW w:type="dxa" w:w="9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扣分标准</w:t>
            </w:r>
          </w:p>
        </w:tc>
        <w:tc>
          <w:tcPr>
            <w:tcW w:type="dxa" w:w="9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扣分</w:t>
            </w:r>
          </w:p>
        </w:tc>
        <w:tc>
          <w:tcPr>
            <w:tcW w:type="dxa" w:w="9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得分</w:t>
            </w:r>
          </w:p>
        </w:tc>
      </w:tr>
      <w:tr>
        <w:tc>
          <w:tcPr>
            <w:tcW w:type="dxa" w:w="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设备正常运行率不能＜</w:t>
            </w:r>
            <w:r>
              <w:rPr>
                <w:sz w:val="21"/>
              </w:rPr>
              <w:t>90%，</w:t>
            </w:r>
          </w:p>
        </w:tc>
        <w:tc>
          <w:tcPr>
            <w:tcW w:type="dxa" w:w="16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平台在线率：</w:t>
            </w:r>
            <w:r>
              <w:rPr>
                <w:sz w:val="21"/>
              </w:rPr>
              <w:t>1、设备正常运行率不能＜90%(包括紧急呼叫、公共广播、环境传感、气象传感、水位传感、停车道闸等设备)；</w:t>
            </w:r>
          </w:p>
          <w:p>
            <w:pPr>
              <w:pStyle w:val="null3"/>
              <w:jc w:val="left"/>
            </w:pPr>
            <w:r>
              <w:rPr>
                <w:sz w:val="21"/>
              </w:rPr>
              <w:t>2、注：由于运营商网络不通、平台故障、统一停电等问题引起不计入考核</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每低</w:t>
            </w:r>
            <w:r>
              <w:rPr>
                <w:sz w:val="21"/>
              </w:rPr>
              <w:t>0.1%扣0.5分</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要求每季度对传感设备、公共广播、停车道闸等设备进行检查。</w:t>
            </w:r>
          </w:p>
          <w:p>
            <w:pPr>
              <w:pStyle w:val="null3"/>
              <w:jc w:val="left"/>
            </w:pPr>
            <w:r>
              <w:rPr>
                <w:sz w:val="21"/>
              </w:rPr>
              <w:t>要求每年至少对井盖传感器进行检查一次。</w:t>
            </w:r>
          </w:p>
          <w:p>
            <w:pPr>
              <w:pStyle w:val="null3"/>
            </w:pPr>
          </w:p>
        </w:tc>
        <w:tc>
          <w:tcPr>
            <w:tcW w:type="dxa" w:w="16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1、按养护计划要求完成巡查工作。每月检查完成率不低于90%；</w:t>
            </w:r>
          </w:p>
          <w:p>
            <w:pPr>
              <w:pStyle w:val="null3"/>
              <w:jc w:val="left"/>
            </w:pPr>
            <w:r>
              <w:rPr>
                <w:sz w:val="21"/>
              </w:rPr>
              <w:t>2、巡查设备包括：井盖传感器、紧急呼叫、公共广播、环境传感、气象传感、水位传感、停车道闸等设备；</w:t>
            </w:r>
          </w:p>
          <w:p>
            <w:pPr>
              <w:pStyle w:val="null3"/>
              <w:jc w:val="left"/>
            </w:pPr>
            <w:r>
              <w:rPr>
                <w:sz w:val="21"/>
              </w:rPr>
              <w:t>3、巡视记录,保证巡视记录准确、详细及归档</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巡查记录不清晰每次扣</w:t>
            </w:r>
            <w:r>
              <w:rPr>
                <w:sz w:val="21"/>
              </w:rPr>
              <w:t>0.5分；未巡查扣1分</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208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要求故障及时响应与处理</w:t>
            </w:r>
          </w:p>
        </w:tc>
        <w:tc>
          <w:tcPr>
            <w:tcW w:type="dxa" w:w="16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响应时间</w:t>
            </w:r>
            <w:r>
              <w:rPr>
                <w:sz w:val="21"/>
              </w:rPr>
              <w:t>:要求事件发生后，10分钟内响应，60</w:t>
            </w:r>
          </w:p>
          <w:p>
            <w:pPr>
              <w:pStyle w:val="null3"/>
              <w:jc w:val="left"/>
            </w:pPr>
            <w:r>
              <w:rPr>
                <w:sz w:val="21"/>
              </w:rPr>
              <w:t>分钟内到达现场。</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每超过</w:t>
            </w:r>
            <w:r>
              <w:rPr>
                <w:sz w:val="21"/>
              </w:rPr>
              <w:t>1小时扣0.5分。</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087"/>
            <w:vMerge/>
            <w:tcBorders>
              <w:top w:val="none" w:color="000000" w:sz="4"/>
              <w:left w:val="none" w:color="000000" w:sz="4"/>
              <w:bottom w:val="single" w:color="000000" w:sz="4"/>
              <w:right w:val="single" w:color="000000" w:sz="4"/>
            </w:tcBorders>
          </w:tcPr>
          <w:p/>
        </w:tc>
        <w:tc>
          <w:tcPr>
            <w:tcW w:type="dxa" w:w="16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恢复时间</w:t>
            </w:r>
            <w:r>
              <w:rPr>
                <w:sz w:val="21"/>
              </w:rPr>
              <w:t>:一般故障：无需更换或采用更换零配件的方式维修后可保证现场设备正常运行的须在2小时内恢复正常。特殊故障：如隐蔽线路故障、须管道开挖、破路、杆件拆装、围蔽车道施工等，2小时内无法修复的，及时上报相关单位，重新制定修复方案经批准后进行</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未在</w:t>
            </w:r>
            <w:r>
              <w:rPr>
                <w:sz w:val="21"/>
              </w:rPr>
              <w:t>甲方</w:t>
            </w:r>
            <w:r>
              <w:rPr>
                <w:sz w:val="21"/>
              </w:rPr>
              <w:t>规定时间内处理好，扣</w:t>
            </w:r>
            <w:r>
              <w:rPr>
                <w:sz w:val="21"/>
              </w:rPr>
              <w:t>0.5分。</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2087"/>
            <w:vMerge/>
            <w:tcBorders>
              <w:top w:val="none" w:color="000000" w:sz="4"/>
              <w:left w:val="none" w:color="000000" w:sz="4"/>
              <w:bottom w:val="single" w:color="000000" w:sz="4"/>
              <w:right w:val="single" w:color="000000" w:sz="4"/>
            </w:tcBorders>
          </w:tcPr>
          <w:p/>
        </w:tc>
        <w:tc>
          <w:tcPr>
            <w:tcW w:type="dxa" w:w="16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应急故障处理</w:t>
            </w:r>
            <w:r>
              <w:rPr>
                <w:sz w:val="21"/>
              </w:rPr>
              <w:t>:</w:t>
            </w:r>
          </w:p>
          <w:p>
            <w:pPr>
              <w:pStyle w:val="null3"/>
              <w:jc w:val="left"/>
            </w:pPr>
            <w:r>
              <w:rPr>
                <w:sz w:val="21"/>
              </w:rPr>
              <w:t>1、由于人为、自然灾害等非可控原因造成不能及时处理的故障，积极收集并提供相关音像、书面文件、通告等证明，并及时报告使用单位；</w:t>
            </w:r>
          </w:p>
          <w:p>
            <w:pPr>
              <w:pStyle w:val="null3"/>
              <w:jc w:val="left"/>
            </w:pPr>
            <w:r>
              <w:rPr>
                <w:sz w:val="21"/>
              </w:rPr>
              <w:t>2、对暂时无法处理的故障(如厂家无法提供备件等)，及时跟踪处理、通报，并报告使用单位，经批准后延长修复时间；</w:t>
            </w:r>
          </w:p>
          <w:p>
            <w:pPr>
              <w:pStyle w:val="null3"/>
              <w:jc w:val="left"/>
            </w:pPr>
            <w:r>
              <w:rPr>
                <w:sz w:val="21"/>
              </w:rPr>
              <w:t>3、应急通信保障：按不同时期的相关工作要求进行，在启动各类自然灾害或重大节日活动交通保卫等通讯保障预案后，在规定时间内完成交办相关工作</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每违反一次，扣</w:t>
            </w:r>
            <w:r>
              <w:rPr>
                <w:sz w:val="21"/>
              </w:rPr>
              <w:t>0.2</w:t>
            </w:r>
          </w:p>
          <w:p>
            <w:pPr>
              <w:pStyle w:val="null3"/>
              <w:jc w:val="center"/>
            </w:pPr>
            <w:r>
              <w:rPr>
                <w:sz w:val="21"/>
              </w:rPr>
              <w:t>分</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208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必须使用合同规定的材料品牌及型号；未规定的，需与</w:t>
            </w:r>
            <w:r>
              <w:rPr>
                <w:sz w:val="21"/>
              </w:rPr>
              <w:t>甲方</w:t>
            </w:r>
            <w:r>
              <w:rPr>
                <w:sz w:val="21"/>
              </w:rPr>
              <w:t>书面确认后，方可使用</w:t>
            </w:r>
          </w:p>
        </w:tc>
        <w:tc>
          <w:tcPr>
            <w:tcW w:type="dxa" w:w="16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未使用合同规定品牌及型号</w:t>
            </w:r>
          </w:p>
        </w:tc>
        <w:tc>
          <w:tcPr>
            <w:tcW w:type="dxa" w:w="9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0.5分/例</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2087"/>
            <w:vMerge/>
            <w:tcBorders>
              <w:top w:val="none" w:color="000000" w:sz="4"/>
              <w:left w:val="none" w:color="000000" w:sz="4"/>
              <w:bottom w:val="single" w:color="000000" w:sz="4"/>
              <w:right w:val="single" w:color="000000" w:sz="4"/>
            </w:tcBorders>
          </w:tcPr>
          <w:p/>
        </w:tc>
        <w:tc>
          <w:tcPr>
            <w:tcW w:type="dxa" w:w="16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使用未经确认品牌及型号</w:t>
            </w:r>
          </w:p>
        </w:tc>
        <w:tc>
          <w:tcPr>
            <w:tcW w:type="dxa" w:w="992"/>
            <w:vMerge/>
            <w:tcBorders>
              <w:top w:val="none" w:color="000000" w:sz="4"/>
              <w:left w:val="none" w:color="000000" w:sz="4"/>
              <w:bottom w:val="single" w:color="000000" w:sz="4"/>
              <w:right w:val="single" w:color="000000" w:sz="4"/>
            </w:tcBorders>
          </w:tcP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0.5分/例</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07"/>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存在问题描述：</w:t>
            </w:r>
          </w:p>
        </w:tc>
      </w:tr>
    </w:tbl>
    <w:p>
      <w:pPr>
        <w:pStyle w:val="null3"/>
        <w:jc w:val="both"/>
      </w:pPr>
      <w:r>
        <w:rPr>
          <w:sz w:val="21"/>
          <w:b/>
        </w:rPr>
        <w:t>三、甲方乙方的权利和义务</w:t>
      </w:r>
    </w:p>
    <w:p>
      <w:pPr>
        <w:pStyle w:val="null3"/>
        <w:ind w:firstLine="420"/>
        <w:jc w:val="both"/>
      </w:pPr>
      <w:r>
        <w:rPr>
          <w:sz w:val="21"/>
        </w:rPr>
        <w:t>1.甲方的权利和义务</w:t>
      </w:r>
    </w:p>
    <w:p>
      <w:pPr>
        <w:pStyle w:val="null3"/>
        <w:ind w:firstLine="420"/>
        <w:jc w:val="both"/>
      </w:pPr>
      <w:r>
        <w:rPr>
          <w:sz w:val="21"/>
        </w:rPr>
        <w:t>（</w:t>
      </w:r>
      <w:r>
        <w:rPr>
          <w:sz w:val="21"/>
        </w:rPr>
        <w:t>1）甲方应协助乙方开展本项目的相关工作，并提供相关资料。</w:t>
      </w:r>
    </w:p>
    <w:p>
      <w:pPr>
        <w:pStyle w:val="null3"/>
        <w:ind w:firstLine="420"/>
        <w:jc w:val="both"/>
      </w:pPr>
      <w:r>
        <w:rPr>
          <w:sz w:val="21"/>
        </w:rPr>
        <w:t>（</w:t>
      </w:r>
      <w:r>
        <w:rPr>
          <w:sz w:val="21"/>
        </w:rPr>
        <w:t>2）甲方应按本合同有关规定及时支付相关费用。</w:t>
      </w:r>
    </w:p>
    <w:p>
      <w:pPr>
        <w:pStyle w:val="null3"/>
        <w:ind w:firstLine="420"/>
        <w:jc w:val="both"/>
      </w:pPr>
      <w:r>
        <w:rPr>
          <w:sz w:val="21"/>
        </w:rPr>
        <w:t>（</w:t>
      </w:r>
      <w:r>
        <w:rPr>
          <w:sz w:val="21"/>
        </w:rPr>
        <w:t>3）甲方有权对乙方履行本合同情况进行监督，就乙方工作不足之处，甲方有权提出整改意见，乙方应当按甲方要求完成整改。</w:t>
      </w:r>
    </w:p>
    <w:p>
      <w:pPr>
        <w:pStyle w:val="null3"/>
        <w:ind w:firstLine="420"/>
        <w:jc w:val="both"/>
      </w:pPr>
      <w:r>
        <w:rPr>
          <w:sz w:val="21"/>
        </w:rPr>
        <w:t>2.乙方的权利和义务</w:t>
      </w:r>
    </w:p>
    <w:p>
      <w:pPr>
        <w:pStyle w:val="null3"/>
        <w:ind w:firstLine="420"/>
        <w:jc w:val="both"/>
      </w:pPr>
      <w:r>
        <w:rPr>
          <w:sz w:val="21"/>
        </w:rPr>
        <w:t>（</w:t>
      </w:r>
      <w:r>
        <w:rPr>
          <w:sz w:val="21"/>
        </w:rPr>
        <w:t>1）乙方必须根据采购文件及有关的技术要求、国家现行有关设计标准、技术规范、规程、甲方要求完成合同约定范围内的全部任务，并按规定向甲方交付合格服务，确保服务质量与进度。</w:t>
      </w:r>
    </w:p>
    <w:p>
      <w:pPr>
        <w:pStyle w:val="null3"/>
        <w:ind w:firstLine="420"/>
        <w:jc w:val="both"/>
      </w:pPr>
      <w:r>
        <w:rPr>
          <w:sz w:val="21"/>
        </w:rPr>
        <w:t>（</w:t>
      </w:r>
      <w:r>
        <w:rPr>
          <w:sz w:val="21"/>
        </w:rPr>
        <w:t>2）乙方应按时召开内部沟通会议，跟进项目进度，并及时向甲方汇报项目进展情况，及时参加甲方召开的项目会议。</w:t>
      </w:r>
    </w:p>
    <w:p>
      <w:pPr>
        <w:pStyle w:val="null3"/>
        <w:ind w:firstLine="420"/>
        <w:jc w:val="both"/>
      </w:pPr>
      <w:r>
        <w:rPr>
          <w:sz w:val="21"/>
        </w:rPr>
        <w:t>（</w:t>
      </w:r>
      <w:r>
        <w:rPr>
          <w:sz w:val="21"/>
        </w:rPr>
        <w:t>3）乙方应保证服务质量，因乙方自身原因出现错误或遗漏或甲方不满意之处，必须按甲方意见进行修改完善。</w:t>
      </w:r>
    </w:p>
    <w:p>
      <w:pPr>
        <w:pStyle w:val="null3"/>
        <w:ind w:firstLine="420"/>
        <w:jc w:val="both"/>
      </w:pPr>
      <w:r>
        <w:rPr>
          <w:sz w:val="21"/>
        </w:rPr>
        <w:t>（</w:t>
      </w:r>
      <w:r>
        <w:rPr>
          <w:sz w:val="21"/>
        </w:rPr>
        <w:t>4）乙方人员在委托服务期间造成甲方、第三方人身损害或财产损失的，由乙方承担民事赔偿责任。</w:t>
      </w:r>
    </w:p>
    <w:p>
      <w:pPr>
        <w:pStyle w:val="null3"/>
        <w:ind w:firstLine="420"/>
        <w:jc w:val="both"/>
      </w:pPr>
      <w:r>
        <w:rPr>
          <w:sz w:val="21"/>
        </w:rPr>
        <w:t>（</w:t>
      </w:r>
      <w:r>
        <w:rPr>
          <w:sz w:val="21"/>
        </w:rPr>
        <w:t>5）乙方人员在委托服务期间发生工伤事故及其他一切事故造成的损害均由乙方全部承担，与甲方无关。</w:t>
      </w:r>
    </w:p>
    <w:p>
      <w:pPr>
        <w:pStyle w:val="null3"/>
        <w:ind w:firstLine="420"/>
        <w:jc w:val="both"/>
      </w:pPr>
      <w:r>
        <w:rPr>
          <w:sz w:val="21"/>
        </w:rPr>
        <w:t>（</w:t>
      </w:r>
      <w:r>
        <w:rPr>
          <w:sz w:val="21"/>
        </w:rPr>
        <w:t>6）乙方严禁转包，未经甲方书面同意不得分包。</w:t>
      </w:r>
    </w:p>
    <w:p>
      <w:pPr>
        <w:pStyle w:val="null3"/>
        <w:jc w:val="both"/>
      </w:pPr>
      <w:r>
        <w:rPr>
          <w:sz w:val="21"/>
          <w:b/>
        </w:rPr>
        <w:t>四、服务期间及服务地点（项目完成期限）</w:t>
      </w:r>
    </w:p>
    <w:p>
      <w:pPr>
        <w:pStyle w:val="null3"/>
        <w:ind w:firstLine="420"/>
        <w:jc w:val="both"/>
      </w:pPr>
      <w:r>
        <w:rPr>
          <w:sz w:val="21"/>
        </w:rPr>
        <w:t>1.服务期限：自合同签订之日起1年</w:t>
      </w:r>
      <w:r>
        <w:rPr>
          <w:sz w:val="21"/>
        </w:rPr>
        <w:t>。</w:t>
      </w:r>
    </w:p>
    <w:p>
      <w:pPr>
        <w:pStyle w:val="null3"/>
        <w:ind w:firstLine="420"/>
        <w:jc w:val="both"/>
      </w:pPr>
      <w:r>
        <w:rPr>
          <w:sz w:val="21"/>
        </w:rPr>
        <w:t>2.服务地点：甲方指定位置。</w:t>
      </w:r>
    </w:p>
    <w:p>
      <w:pPr>
        <w:pStyle w:val="null3"/>
        <w:ind w:firstLine="420"/>
        <w:jc w:val="both"/>
      </w:pPr>
      <w:r>
        <w:rPr>
          <w:sz w:val="21"/>
        </w:rPr>
        <w:t>3.委托服务期间自______年______月______日至______年______月______日止。</w:t>
      </w:r>
    </w:p>
    <w:p>
      <w:pPr>
        <w:pStyle w:val="null3"/>
        <w:jc w:val="both"/>
      </w:pPr>
      <w:r>
        <w:rPr>
          <w:sz w:val="21"/>
          <w:b/>
        </w:rPr>
        <w:t>五、</w:t>
      </w:r>
      <w:r>
        <w:rPr>
          <w:sz w:val="21"/>
          <w:b/>
        </w:rPr>
        <w:t>验收要求</w:t>
      </w:r>
    </w:p>
    <w:p>
      <w:pPr>
        <w:pStyle w:val="null3"/>
        <w:ind w:firstLine="420"/>
        <w:jc w:val="both"/>
      </w:pPr>
      <w:r>
        <w:rPr>
          <w:sz w:val="21"/>
        </w:rPr>
        <w:t>服务期结束后，按国家及相关行业标准进行验收。</w:t>
      </w:r>
    </w:p>
    <w:p>
      <w:pPr>
        <w:pStyle w:val="null3"/>
        <w:jc w:val="both"/>
      </w:pPr>
      <w:r>
        <w:rPr>
          <w:sz w:val="21"/>
          <w:b/>
        </w:rPr>
        <w:t>六、</w:t>
      </w:r>
      <w:r>
        <w:rPr>
          <w:sz w:val="21"/>
          <w:b/>
        </w:rPr>
        <w:t>履约保证金</w:t>
      </w:r>
    </w:p>
    <w:p>
      <w:pPr>
        <w:pStyle w:val="null3"/>
        <w:ind w:firstLine="420"/>
        <w:jc w:val="both"/>
      </w:pPr>
      <w:r>
        <w:rPr>
          <w:sz w:val="21"/>
        </w:rPr>
        <w:t>乙方应在领取中标通知书之后签订合同之前递交履约保证金，履约保证金金额为合同金额的</w:t>
      </w:r>
      <w:r>
        <w:rPr>
          <w:sz w:val="21"/>
        </w:rPr>
        <w:t>5%，履约保证金可采用保证金（银行转账、电汇）方式，或采用银行出具的履约担保函方式。①以银行转账形式提供履约担保的，履约保证金在最终验收合格后，乙方向甲方提交退回履约保证金的申请、履约保证金汇款凭证复印件、采购合同、采购项目验收报告原件、中标通知书复印件，前往甲方办理履约保证金退还手续。在本项目合同执行期间，如因乙方的过失或工作不配合的原因造成甲方经济损失的，甲方有权根据损失的数额直接在履约保证金中扣除并书面通知乙方。发生下列情况之一的，履约保证金不予退还：（1）乙方将本项目转让给他人，或者在投标文件中未说明，且未经甲方同意，将中标项目分包给他人的，甲方可依法不予退还其履约保证金；（2）乙方在履行采购合同期间，违反有关法律法规的规定及合同约定的条款，损害了甲方的利益，甲方可依法不予退还其履约保证金。②以履约保函形式提供履约担保的，乙方履行完毕合同义务后，及履约保证函到期时，甲方将履约保函退回给乙方。在本项目合同执行期间，如因乙方的过失或工作不配合的原因造成甲方经济损失的，甲方有权按照履约保函中的条款执行并书面通知乙方。</w:t>
      </w:r>
    </w:p>
    <w:p>
      <w:pPr>
        <w:pStyle w:val="null3"/>
        <w:jc w:val="both"/>
      </w:pPr>
      <w:r>
        <w:rPr>
          <w:sz w:val="21"/>
          <w:b/>
        </w:rPr>
        <w:t>七、付款方式</w:t>
      </w:r>
    </w:p>
    <w:p>
      <w:pPr>
        <w:pStyle w:val="null3"/>
        <w:ind w:firstLine="420"/>
        <w:jc w:val="both"/>
      </w:pPr>
      <w:r>
        <w:rPr>
          <w:sz w:val="21"/>
        </w:rPr>
        <w:t>1、签订合同后，甲方收到乙方开具有效的相应发票等请款资料后30个工作日内支付合同金额的10%给乙方。</w:t>
      </w:r>
    </w:p>
    <w:p>
      <w:pPr>
        <w:pStyle w:val="null3"/>
        <w:ind w:firstLine="420"/>
        <w:jc w:val="both"/>
      </w:pPr>
      <w:r>
        <w:rPr>
          <w:sz w:val="21"/>
        </w:rPr>
        <w:t>2、</w:t>
      </w:r>
      <w:r>
        <w:rPr>
          <w:sz w:val="21"/>
        </w:rPr>
        <w:t>合同服务期满</w:t>
      </w:r>
      <w:r>
        <w:rPr>
          <w:sz w:val="21"/>
        </w:rPr>
        <w:t>3个月</w:t>
      </w:r>
      <w:r>
        <w:rPr>
          <w:sz w:val="21"/>
        </w:rPr>
        <w:t>，甲方收到乙方开具有效的相应发票等请款资料的</w:t>
      </w:r>
      <w:r>
        <w:rPr>
          <w:sz w:val="21"/>
        </w:rPr>
        <w:t>30个工作日内支付合同金额的15%给乙方。</w:t>
      </w:r>
    </w:p>
    <w:p>
      <w:pPr>
        <w:pStyle w:val="null3"/>
        <w:ind w:firstLine="420"/>
        <w:jc w:val="both"/>
      </w:pPr>
      <w:r>
        <w:rPr>
          <w:sz w:val="21"/>
        </w:rPr>
        <w:t>3、</w:t>
      </w:r>
      <w:r>
        <w:rPr>
          <w:sz w:val="21"/>
        </w:rPr>
        <w:t>合同服务期满</w:t>
      </w:r>
      <w:r>
        <w:rPr>
          <w:sz w:val="21"/>
        </w:rPr>
        <w:t>6个月</w:t>
      </w:r>
      <w:r>
        <w:rPr>
          <w:sz w:val="21"/>
        </w:rPr>
        <w:t>，甲方收到乙方开具有效的相应发票等请款资料的</w:t>
      </w:r>
      <w:r>
        <w:rPr>
          <w:sz w:val="21"/>
        </w:rPr>
        <w:t>30个工作日内支付合同金额的25%给乙方。</w:t>
      </w:r>
    </w:p>
    <w:p>
      <w:pPr>
        <w:pStyle w:val="null3"/>
        <w:ind w:firstLine="420"/>
        <w:jc w:val="both"/>
      </w:pPr>
      <w:r>
        <w:rPr>
          <w:sz w:val="21"/>
        </w:rPr>
        <w:t>4、</w:t>
      </w:r>
      <w:r>
        <w:rPr>
          <w:sz w:val="21"/>
        </w:rPr>
        <w:t>合同服务期满</w:t>
      </w:r>
      <w:r>
        <w:rPr>
          <w:sz w:val="21"/>
        </w:rPr>
        <w:t>9个月</w:t>
      </w:r>
      <w:r>
        <w:rPr>
          <w:sz w:val="21"/>
        </w:rPr>
        <w:t>，甲方收到乙方开具有效的相应发票等请款资料的</w:t>
      </w:r>
      <w:r>
        <w:rPr>
          <w:sz w:val="21"/>
        </w:rPr>
        <w:t>30个工作日内支付合同金额的25%给乙方。</w:t>
      </w:r>
    </w:p>
    <w:p>
      <w:pPr>
        <w:pStyle w:val="null3"/>
        <w:ind w:firstLine="420"/>
        <w:jc w:val="both"/>
      </w:pPr>
      <w:r>
        <w:rPr>
          <w:sz w:val="21"/>
        </w:rPr>
        <w:t>5、</w:t>
      </w:r>
      <w:r>
        <w:rPr>
          <w:sz w:val="21"/>
        </w:rPr>
        <w:t>合同服务期满</w:t>
      </w:r>
      <w:r>
        <w:rPr>
          <w:sz w:val="21"/>
        </w:rPr>
        <w:t>12个月</w:t>
      </w:r>
      <w:r>
        <w:rPr>
          <w:sz w:val="21"/>
        </w:rPr>
        <w:t>并且通过甲方验收后，甲方收到乙方开具有效的相应发票等请款资料的</w:t>
      </w:r>
      <w:r>
        <w:rPr>
          <w:sz w:val="21"/>
        </w:rPr>
        <w:t>30个工作日内支付合同金额的25%给乙方。</w:t>
      </w:r>
    </w:p>
    <w:p>
      <w:pPr>
        <w:pStyle w:val="null3"/>
        <w:ind w:firstLine="420"/>
        <w:jc w:val="both"/>
      </w:pPr>
      <w:r>
        <w:rPr>
          <w:sz w:val="21"/>
        </w:rPr>
        <w:t>注：如每个</w:t>
      </w:r>
      <w:r>
        <w:rPr>
          <w:sz w:val="21"/>
        </w:rPr>
        <w:t>支付期</w:t>
      </w:r>
      <w:r>
        <w:rPr>
          <w:sz w:val="21"/>
        </w:rPr>
        <w:t>考核发生相应的扣款，则支付金额按扣款后的实际结算金额支付（即实际结算金额</w:t>
      </w:r>
      <w:r>
        <w:rPr>
          <w:sz w:val="21"/>
        </w:rPr>
        <w:t>=季度服务费金额-相应扣款金额）。</w:t>
      </w:r>
    </w:p>
    <w:p>
      <w:pPr>
        <w:pStyle w:val="null3"/>
        <w:jc w:val="both"/>
      </w:pPr>
      <w:r>
        <w:rPr>
          <w:sz w:val="21"/>
          <w:b/>
        </w:rPr>
        <w:t>八、保密</w:t>
      </w:r>
    </w:p>
    <w:p>
      <w:pPr>
        <w:pStyle w:val="null3"/>
        <w:ind w:firstLine="420"/>
        <w:jc w:val="both"/>
      </w:pPr>
      <w:r>
        <w:rPr>
          <w:sz w:val="21"/>
        </w:rPr>
        <w:t>未经甲方事先书面同意，乙方不得将在签订、履行本合同过程中所获悉的属于甲方及其关联方的且无法自公开渠道获得的文件及资料提供给与本合同无关的任何第三方，不得将其用于履行本合同之外的其它用途。即使向与履行本合同有关的人员提供，也应注意保密并限于履行合同所必需的范围。本合同终止后，乙方仍须履行该保密义务，并须将甲方提供的所有资料予以归还，不得自行复制、留存。</w:t>
      </w:r>
    </w:p>
    <w:p>
      <w:pPr>
        <w:pStyle w:val="null3"/>
        <w:numPr>
          <w:ilvl w:val="0"/>
          <w:numId w:val="1"/>
        </w:numPr>
        <w:jc w:val="both"/>
      </w:pPr>
      <w:r>
        <w:rPr>
          <w:sz w:val="21"/>
          <w:b/>
        </w:rPr>
        <w:t>知识产权和所有权</w:t>
      </w:r>
    </w:p>
    <w:p>
      <w:pPr>
        <w:pStyle w:val="null3"/>
        <w:ind w:firstLine="420"/>
        <w:jc w:val="both"/>
      </w:pPr>
      <w:r>
        <w:rPr>
          <w:sz w:val="21"/>
        </w:rPr>
        <w:t>本合同项下所有服务成果</w:t>
      </w:r>
      <w:r>
        <w:rPr>
          <w:sz w:val="21"/>
        </w:rPr>
        <w:t>(包括乙方在合同履行过程中形成的阶段性服务成果及最终交付的服务成果)的知识产权和所有权全部归属于甲方。未经甲方书面同意，乙方不得擅自将前述服务成果以及与之相关的任何资料用于本合同之外的任何场合或者向任何第三方转让、泄露;否则，由乙方承担全部的赔偿责任。</w:t>
      </w:r>
    </w:p>
    <w:p>
      <w:pPr>
        <w:pStyle w:val="null3"/>
        <w:jc w:val="both"/>
      </w:pPr>
      <w:r>
        <w:rPr>
          <w:sz w:val="21"/>
          <w:b/>
        </w:rPr>
        <w:t>十、违约责任与赔偿损失</w:t>
      </w:r>
    </w:p>
    <w:p>
      <w:pPr>
        <w:pStyle w:val="null3"/>
        <w:ind w:firstLine="420"/>
        <w:jc w:val="both"/>
      </w:pPr>
      <w:r>
        <w:rPr>
          <w:sz w:val="21"/>
        </w:rPr>
        <w:t>1.乙方提供的服务不符合本合同规定的，甲方有权拒收，并且乙方须向甲方方支付本合同总价5%的违约金。</w:t>
      </w:r>
    </w:p>
    <w:p>
      <w:pPr>
        <w:pStyle w:val="null3"/>
        <w:ind w:firstLine="420"/>
        <w:jc w:val="both"/>
      </w:pPr>
      <w:r>
        <w:rPr>
          <w:sz w:val="21"/>
        </w:rPr>
        <w:t>2.乙方未能按本合同规定的交货时间提供服务，从逾期之日起每日按本合同总价3‰的数额向甲方支付违约金；逾期半个月以上的，甲方有权终止合同，由此造成的甲方经济损失由乙方承担。</w:t>
      </w:r>
    </w:p>
    <w:p>
      <w:pPr>
        <w:pStyle w:val="null3"/>
        <w:ind w:firstLine="420"/>
        <w:jc w:val="both"/>
      </w:pPr>
      <w:r>
        <w:rPr>
          <w:sz w:val="21"/>
        </w:rPr>
        <w:t>3.乙方因自身原因要求终止或解除合同，乙方应向甲方支付合同总价款20%的违约金，并应向甲方退还已支付的费用。</w:t>
      </w:r>
    </w:p>
    <w:p>
      <w:pPr>
        <w:pStyle w:val="null3"/>
        <w:ind w:firstLine="420"/>
        <w:jc w:val="both"/>
      </w:pPr>
      <w:r>
        <w:rPr>
          <w:sz w:val="21"/>
        </w:rPr>
        <w:t>4.甲方无正当理由拒收接受服务，到期拒付服务款项的，甲方向乙方偿付本合同总的5%的违约金。甲方逾期付款，则每日按本合同总价的3‰向乙方偿付违约金。</w:t>
      </w:r>
    </w:p>
    <w:p>
      <w:pPr>
        <w:pStyle w:val="null3"/>
        <w:ind w:firstLine="420"/>
        <w:jc w:val="both"/>
      </w:pPr>
      <w:r>
        <w:rPr>
          <w:sz w:val="21"/>
        </w:rPr>
        <w:t>5.对于因甲方原因导致变更、中止或者终止政府采购合同的，甲方应当依照以下合同约定对供应商受到的损失予以赔偿或者补偿。</w:t>
      </w:r>
    </w:p>
    <w:p>
      <w:pPr>
        <w:pStyle w:val="null3"/>
        <w:ind w:firstLine="420"/>
        <w:jc w:val="both"/>
      </w:pPr>
      <w:r>
        <w:rPr>
          <w:sz w:val="21"/>
        </w:rPr>
        <w:t>6.其它违约责任按《中华人民共和国民法典(合同编)》处理。</w:t>
      </w:r>
    </w:p>
    <w:p>
      <w:pPr>
        <w:pStyle w:val="null3"/>
        <w:jc w:val="both"/>
      </w:pPr>
      <w:r>
        <w:rPr>
          <w:sz w:val="21"/>
          <w:b/>
        </w:rPr>
        <w:t>十一、争议的解决</w:t>
      </w:r>
    </w:p>
    <w:p>
      <w:pPr>
        <w:pStyle w:val="null3"/>
        <w:ind w:firstLine="420"/>
        <w:jc w:val="both"/>
      </w:pPr>
      <w:r>
        <w:rPr>
          <w:sz w:val="21"/>
        </w:rPr>
        <w:t>合同执行过程中发生的任何争议，如双方不能通过友好协商解决，任何一方可以向甲方所在地人民法院提起诉讼。</w:t>
      </w:r>
    </w:p>
    <w:p>
      <w:pPr>
        <w:pStyle w:val="null3"/>
        <w:jc w:val="both"/>
      </w:pPr>
      <w:r>
        <w:rPr>
          <w:sz w:val="21"/>
          <w:b/>
        </w:rPr>
        <w:t>十二、不可抗力</w:t>
      </w:r>
    </w:p>
    <w:p>
      <w:pPr>
        <w:pStyle w:val="null3"/>
        <w:ind w:firstLine="420"/>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1"/>
          <w:b/>
        </w:rPr>
        <w:t>十三、税费</w:t>
      </w:r>
    </w:p>
    <w:p>
      <w:pPr>
        <w:pStyle w:val="null3"/>
        <w:ind w:firstLine="420"/>
        <w:jc w:val="both"/>
      </w:pPr>
      <w:r>
        <w:rPr>
          <w:sz w:val="21"/>
        </w:rPr>
        <w:t>在中国境内、外发生的与本合同执行有关的一切税费均由乙方负担。</w:t>
      </w:r>
    </w:p>
    <w:p>
      <w:pPr>
        <w:pStyle w:val="null3"/>
        <w:jc w:val="both"/>
      </w:pPr>
      <w:r>
        <w:rPr>
          <w:sz w:val="21"/>
          <w:b/>
        </w:rPr>
        <w:t>十四、其它</w:t>
      </w:r>
    </w:p>
    <w:p>
      <w:pPr>
        <w:pStyle w:val="null3"/>
        <w:ind w:firstLine="420"/>
        <w:jc w:val="both"/>
      </w:pPr>
      <w:r>
        <w:rPr>
          <w:sz w:val="21"/>
        </w:rPr>
        <w:t>1.本合同所有附件、招标文件、投标文件、中标通知书均为合同的有效组成部分，与本合同具有同等法律效力。</w:t>
      </w:r>
    </w:p>
    <w:p>
      <w:pPr>
        <w:pStyle w:val="null3"/>
        <w:ind w:firstLine="420"/>
        <w:jc w:val="both"/>
      </w:pPr>
      <w:r>
        <w:rPr>
          <w:sz w:val="21"/>
        </w:rPr>
        <w:t>2.在执行本合同的过程中，所有经双方签署确认的文件（包括会议纪要、补充协议、往来信函）即成为本合同的有效组成部分。</w:t>
      </w:r>
    </w:p>
    <w:p>
      <w:pPr>
        <w:pStyle w:val="null3"/>
        <w:ind w:firstLine="420"/>
        <w:jc w:val="both"/>
      </w:pPr>
      <w:r>
        <w:rPr>
          <w:sz w:val="21"/>
        </w:rPr>
        <w:t>3.如一方地址、电话、传真号码有变更，应在变更当日内书面通知对方，否则，应承担相应责任。</w:t>
      </w:r>
    </w:p>
    <w:p>
      <w:pPr>
        <w:pStyle w:val="null3"/>
        <w:ind w:firstLine="420"/>
        <w:jc w:val="both"/>
      </w:pPr>
      <w:r>
        <w:rPr>
          <w:sz w:val="21"/>
        </w:rPr>
        <w:t>4.除甲方事先书面同意外，乙方不得部分或全部转让其应履行的合同项下的义务。</w:t>
      </w:r>
    </w:p>
    <w:p>
      <w:pPr>
        <w:pStyle w:val="null3"/>
        <w:jc w:val="both"/>
      </w:pPr>
      <w:r>
        <w:rPr>
          <w:sz w:val="21"/>
          <w:b/>
        </w:rPr>
        <w:t>十五、合同生效</w:t>
      </w:r>
    </w:p>
    <w:p>
      <w:pPr>
        <w:pStyle w:val="null3"/>
        <w:ind w:firstLine="420"/>
        <w:jc w:val="both"/>
      </w:pPr>
      <w:r>
        <w:rPr>
          <w:sz w:val="21"/>
        </w:rPr>
        <w:t>1.本合同在甲乙双方法人代表或其授权代表签字盖章后生效。</w:t>
      </w:r>
    </w:p>
    <w:p>
      <w:pPr>
        <w:pStyle w:val="null3"/>
        <w:ind w:firstLine="420"/>
        <w:jc w:val="both"/>
      </w:pPr>
      <w:r>
        <w:rPr>
          <w:sz w:val="21"/>
        </w:rPr>
        <w:t>2.合同一式    份。</w:t>
      </w:r>
    </w:p>
    <w:tbl>
      <w:tblPr>
        <w:tblW w:w="0" w:type="auto"/>
        <w:tblBorders>
          <w:top w:val="none" w:color="000000" w:sz="4"/>
          <w:left w:val="none" w:color="000000" w:sz="4"/>
          <w:bottom w:val="none" w:color="000000" w:sz="4"/>
          <w:right w:val="none" w:color="000000" w:sz="4"/>
          <w:insideH w:val="none"/>
          <w:insideV w:val="none"/>
        </w:tblBorders>
      </w:tblPr>
      <w:tblGrid>
        <w:gridCol w:w="4153"/>
        <w:gridCol w:w="4153"/>
      </w:tblGrid>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rPr>
              <w:t>甲方（盖章）：</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rPr>
              <w:t>乙方（盖章）：</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rPr>
              <w:t>代表：</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rPr>
              <w:t>代表：</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rPr>
              <w:t>签定地点：</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rPr>
              <w:t>签定日期：　　年　月　日</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rPr>
              <w:t>签定日期：　　年　月　日</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rPr>
              <w:t>开户名称：</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rPr>
              <w:t>银行帐号：</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rPr>
              <w:t>开户行：</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r>
    </w:tbl>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441900011-2024-00093</w:t>
      </w:r>
    </w:p>
    <w:p>
      <w:pPr>
        <w:pStyle w:val="null3"/>
        <w:jc w:val="center"/>
        <w:outlineLvl w:val="3"/>
      </w:pPr>
      <w:r>
        <w:rPr>
          <w:sz w:val="24"/>
          <w:b/>
        </w:rPr>
        <w:t>采购项目编号：</w:t>
      </w:r>
      <w:r>
        <w:rPr>
          <w:sz w:val="24"/>
          <w:b/>
        </w:rPr>
        <w:t>441900011-2024-00093</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广东政通招标有限公司</w:t>
      </w:r>
    </w:p>
    <w:p>
      <w:pPr>
        <w:pStyle w:val="null3"/>
        <w:ind w:firstLine="480"/>
      </w:pPr>
      <w:r>
        <w:rPr/>
        <w:t xml:space="preserve"> 你方组织的</w:t>
      </w:r>
      <w:r>
        <w:rPr>
          <w:u w:val="single"/>
        </w:rPr>
        <w:t>“</w:t>
      </w:r>
      <w:r>
        <w:rPr>
          <w:u w:val="single"/>
        </w:rPr>
        <w:t>东莞滨海湾新区智慧道路前端设备运维服务项目</w:t>
      </w:r>
      <w:r>
        <w:rPr>
          <w:u w:val="single"/>
        </w:rPr>
        <w:t>”</w:t>
      </w:r>
      <w:r>
        <w:rPr/>
        <w:t>项目的招标[采购项目编号为：</w:t>
      </w:r>
      <w:r>
        <w:rPr>
          <w:u w:val="single"/>
        </w:rPr>
        <w:t>441900011-2024-00093</w:t>
      </w:r>
      <w:r>
        <w:rPr/>
        <w:t>]，我方愿参与投标。</w:t>
      </w:r>
    </w:p>
    <w:p>
      <w:pPr>
        <w:pStyle w:val="null3"/>
        <w:ind w:firstLine="480"/>
      </w:pPr>
      <w:r>
        <w:rPr/>
        <w:t>我方确认收到贵方提供的</w:t>
      </w:r>
      <w:r>
        <w:rPr>
          <w:u w:val="single"/>
        </w:rPr>
        <w:t>“</w:t>
      </w:r>
      <w:r>
        <w:rPr>
          <w:u w:val="single"/>
        </w:rPr>
        <w:t>东莞滨海湾新区智慧道路前端设备运维服务项目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（十三）我方承诺遵守《中华人民共和国劳动合同法》有关规定和《中华人民共和国妇女权益保障法》中关于“劳动和社会保障权益”的有关要求。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广东政通招标有限公司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东莞滨海湾新区智慧道路前端设备运维服务项目</w:t>
      </w:r>
      <w:r>
        <w:rPr/>
        <w:t>”项目采购[采购项目编号为</w:t>
      </w:r>
      <w:r>
        <w:rPr/>
        <w:t>441900011-2024-00093</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东莞滨海湾新区管理委员会</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广东政通招标有限公司</w:t>
      </w:r>
    </w:p>
    <w:p>
      <w:pPr>
        <w:pStyle w:val="null3"/>
        <w:ind w:firstLine="480"/>
      </w:pPr>
      <w:r>
        <w:rPr/>
        <w:t xml:space="preserve"> 如果我方在贵采购代理机构组织的</w:t>
      </w:r>
      <w:r>
        <w:rPr/>
        <w:t>东莞滨海湾新区智慧道路前端设备运维服务项目</w:t>
      </w:r>
      <w:r>
        <w:rPr/>
        <w:t>招标中获中标（采购项目编号：</w:t>
      </w:r>
      <w:r>
        <w:rPr/>
        <w:t>441900011-2024-00093</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广东政通招标有限公司</w:t>
      </w:r>
    </w:p>
    <w:p>
      <w:pPr>
        <w:pStyle w:val="null3"/>
        <w:ind w:firstLine="480"/>
      </w:pPr>
      <w:r>
        <w:rPr/>
        <w:t>我单位已登记并准备参与“</w:t>
      </w:r>
      <w:r>
        <w:rPr/>
        <w:t>东莞滨海湾新区智慧道路前端设备运维服务项目</w:t>
      </w:r>
      <w:r>
        <w:rPr/>
        <w:t>”项目（采购项目编号：</w:t>
      </w:r>
      <w:r>
        <w:rPr/>
        <w:t>441900011-2024-00093</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