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441900011-2024-00090</w:t>
      </w:r>
    </w:p>
    <w:p>
      <w:pPr>
        <w:pStyle w:val="null3"/>
        <w:jc w:val="center"/>
        <w:outlineLvl w:val="3"/>
      </w:pPr>
      <w:r>
        <w:rPr>
          <w:sz w:val="24"/>
          <w:b/>
        </w:rPr>
        <w:t>采购项目编号：</w:t>
      </w:r>
      <w:r>
        <w:rPr>
          <w:sz w:val="24"/>
          <w:b/>
        </w:rPr>
        <w:t>441900011-2024-00090</w:t>
      </w:r>
    </w:p>
    <w:p>
      <w:pPr>
        <w:pStyle w:val="null3"/>
        <w:jc w:val="center"/>
        <w:outlineLvl w:val="3"/>
      </w:pPr>
      <w:r>
        <w:rPr>
          <w:sz w:val="24"/>
          <w:b/>
        </w:rPr>
        <w:t>项目名称：</w:t>
      </w:r>
      <w:r>
        <w:rPr>
          <w:sz w:val="24"/>
          <w:b/>
        </w:rPr>
        <w:t>东莞滨海湾未来学校开办校园智联信息化建设项目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东莞滨海湾未来学校开办校园智联信息化建设项目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东莞滨海湾未来学校开办校园智联信息化建设项目</w:t>
      </w:r>
    </w:p>
    <w:p>
      <w:pPr>
        <w:pStyle w:val="null3"/>
        <w:ind w:firstLine="480"/>
      </w:pPr>
      <w:r>
        <w:rPr/>
        <w:t>采购计划编号：</w:t>
      </w:r>
      <w:r>
        <w:rPr/>
        <w:t>441900011-2024-00090</w:t>
      </w:r>
    </w:p>
    <w:p>
      <w:pPr>
        <w:pStyle w:val="null3"/>
        <w:ind w:firstLine="480"/>
      </w:pPr>
      <w:r>
        <w:rPr/>
        <w:t>采购项目编号：</w:t>
      </w:r>
      <w:r>
        <w:rPr/>
        <w:t>441900011-2024-00090</w:t>
      </w:r>
    </w:p>
    <w:p>
      <w:pPr>
        <w:pStyle w:val="null3"/>
        <w:ind w:firstLine="480"/>
      </w:pPr>
      <w:r>
        <w:rPr/>
        <w:t>采购方式：</w:t>
      </w:r>
      <w:r>
        <w:rPr/>
        <w:t>公开招标</w:t>
      </w:r>
    </w:p>
    <w:p>
      <w:pPr>
        <w:pStyle w:val="null3"/>
        <w:ind w:firstLine="480"/>
      </w:pPr>
      <w:r>
        <w:rPr/>
        <w:t>预算金额：</w:t>
      </w:r>
      <w:r>
        <w:rPr/>
        <w:t>17,153,257.93</w:t>
      </w:r>
      <w:r>
        <w:rPr/>
        <w:t>元</w:t>
      </w:r>
    </w:p>
    <w:p>
      <w:pPr>
        <w:pStyle w:val="null3"/>
        <w:outlineLvl w:val="3"/>
      </w:pPr>
      <w:r>
        <w:rPr>
          <w:sz w:val="24"/>
          <w:b/>
        </w:rPr>
        <w:t>2.项目内容及需求情况（采购项目技术规格、参数及要求）</w:t>
      </w:r>
    </w:p>
    <w:p>
      <w:pPr>
        <w:pStyle w:val="null3"/>
      </w:pPr>
      <w:r>
        <w:rPr/>
        <w:t>采购包1(东莞滨海湾未来学校开办校园智联信息化建设项目):</w:t>
      </w:r>
    </w:p>
    <w:p>
      <w:pPr>
        <w:pStyle w:val="null3"/>
      </w:pPr>
      <w:r>
        <w:rPr/>
        <w:t>采购包预算金额：17,153,257.93元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其他信息化设备</w:t>
            </w:r>
          </w:p>
        </w:tc>
        <w:tc>
          <w:tcPr>
            <w:tcW w:type="dxa" w:w="2052"/>
          </w:tcPr>
          <w:p>
            <w:pPr>
              <w:pStyle w:val="null3"/>
            </w:pPr>
            <w:r>
              <w:rPr/>
              <w:t>东莞滨海湾未来学校开办校园智联信息化建设项目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17,153,257.93</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合同履行期限：合同签定之日起40日内完成项目供货、安装调试。</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采购包1（东莞滨海湾未来学校开办校园智联信息化建设项目）：</w:t>
      </w:r>
      <w:r>
        <w:rPr/>
        <w:t>本项目不属于专门面向中小企业采购项目。</w:t>
      </w:r>
    </w:p>
    <w:p>
      <w:pPr>
        <w:pStyle w:val="null3"/>
        <w:outlineLvl w:val="3"/>
      </w:pPr>
      <w:r>
        <w:rPr>
          <w:sz w:val="24"/>
          <w:b/>
        </w:rPr>
        <w:t>3.本项目特定的资格要求：</w:t>
      </w:r>
    </w:p>
    <w:p>
      <w:pPr>
        <w:pStyle w:val="null3"/>
      </w:pPr>
      <w:r>
        <w:rPr/>
        <w:t>采购包1（东莞滨海湾未来学校开办校园智联信息化建设项目）：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t>东莞滨海湾未来学校开办校园智联信息化建设项目</w:t>
      </w:r>
    </w:p>
    <w:p>
      <w:pPr>
        <w:pStyle w:val="null3"/>
      </w:pPr>
      <w:r>
        <w:rPr/>
        <w:t>采购包1（东莞滨海湾未来学校开办校园智联信息化建设项目）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合同签定之日起40日内完成项目供货、安装调试。</w:t>
            </w:r>
          </w:p>
        </w:tc>
      </w:tr>
      <w:tr>
        <w:tc>
          <w:tcPr>
            <w:tcW w:type="dxa" w:w="4153"/>
          </w:tcPr>
          <w:p>
            <w:pPr>
              <w:pStyle w:val="null3"/>
            </w:pPr>
            <w:r>
              <w:rPr/>
              <w:t>标的提供的地点</w:t>
            </w:r>
          </w:p>
        </w:tc>
        <w:tc>
          <w:tcPr>
            <w:tcW w:type="dxa" w:w="4153"/>
          </w:tcPr>
          <w:p>
            <w:pPr>
              <w:pStyle w:val="null3"/>
            </w:pPr>
            <w:r>
              <w:rPr/>
              <w:t>东莞滨海湾未来学校 (采购人指定地点)</w:t>
            </w:r>
          </w:p>
        </w:tc>
      </w:tr>
      <w:tr>
        <w:tc>
          <w:tcPr>
            <w:tcW w:type="dxa" w:w="4153"/>
          </w:tcPr>
          <w:p>
            <w:pPr>
              <w:pStyle w:val="null3"/>
            </w:pPr>
            <w:r>
              <w:rPr/>
              <w:t>付款方式</w:t>
            </w:r>
          </w:p>
        </w:tc>
        <w:tc>
          <w:tcPr>
            <w:tcW w:type="dxa" w:w="4153"/>
          </w:tcPr>
          <w:p>
            <w:pPr>
              <w:pStyle w:val="null3"/>
            </w:pPr>
            <w:r>
              <w:rPr/>
              <w:t>1期：支付比例20%,签订合同后中标人向采购人提供等额发票等付款资料后，采购人在30个工作日内支付合同总价的20%；</w:t>
            </w:r>
          </w:p>
          <w:p>
            <w:pPr>
              <w:pStyle w:val="null3"/>
            </w:pPr>
            <w:r>
              <w:rPr/>
              <w:t>2期：支付比例30%,主要设备到场，经采购人验收确认并且中标人向采购人提供等额发票及相关付款资料后30个工作日内，采购人支付合同总金额的30%</w:t>
            </w:r>
          </w:p>
          <w:p>
            <w:pPr>
              <w:pStyle w:val="null3"/>
            </w:pPr>
            <w:r>
              <w:rPr/>
              <w:t>3期：支付比例30%,所有货物到场全部安装调试完毕并完成初验，中标人向采购人提供等额发票等付款资料后，采购人在30个工作日内支付合同总金额的30%；</w:t>
            </w:r>
          </w:p>
          <w:p>
            <w:pPr>
              <w:pStyle w:val="null3"/>
            </w:pPr>
            <w:r>
              <w:rPr/>
              <w:t>4期：支付比例20%,项目竣工，经采购人最终验收合格、进行项目实际结算后，中标人向采购人提供等额发票等付款资料后，采购人在30个工作日内支付至最终实际结算价的100%；说明：最终结算价以新区财政部门审定为准，最终实际结算时参照《关于印发东莞市财政性资金投资基本建设项目工程价款管理办法的通知（东财〔2021〕20号）》的规定执行。</w:t>
            </w:r>
          </w:p>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1期：初验，经采购人现场初步验收合格达到使用需求（采购人按国家有关规定、规范组织项目验收，必要时邀请相关的专业人员或机构参与验收）。</w:t>
            </w:r>
          </w:p>
          <w:p>
            <w:pPr>
              <w:pStyle w:val="null3"/>
            </w:pPr>
            <w:r>
              <w:rPr/>
              <w:t>2期：终验，初验通过后试运行3个月以上，且所有货物正常使用且实现项目目标要求，并经采购人与使用方共同确认（采购人按国家有关规定、规范组织项目验收，必要时邀请相关的专业人员或机构参与验收）。</w:t>
            </w:r>
          </w:p>
        </w:tc>
      </w:tr>
      <w:tr>
        <w:tc>
          <w:tcPr>
            <w:tcW w:type="dxa" w:w="4153"/>
          </w:tcPr>
          <w:p>
            <w:pPr>
              <w:pStyle w:val="null3"/>
            </w:pPr>
            <w:r>
              <w:rPr/>
              <w:t>履约保证金</w:t>
            </w:r>
          </w:p>
        </w:tc>
        <w:tc>
          <w:tcPr>
            <w:tcW w:type="dxa" w:w="4153"/>
          </w:tcPr>
          <w:p>
            <w:pPr>
              <w:pStyle w:val="null3"/>
            </w:pPr>
            <w:r>
              <w:rPr/>
              <w:t>收取比例：5%,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一、报价要求，投标报价采取打包报价的方式，投标报价包括材料、工具、人工、管理费、利润、税金、风险、招标代理费用等一切因素所有应该和可能发生的费用因素。</w:t>
            </w:r>
          </w:p>
          <w:p>
            <w:pPr>
              <w:pStyle w:val="null3"/>
            </w:pPr>
            <w:r>
              <w:rPr/>
              <w:t>二、质量保证及售后服务要求，1、需在投标文件中详细列明货物的质量保证措施及售后服务承诺，包括货物免费保修期、故障处理、出现质量问题责任归属、质量事故赔偿方案等。 2、★项目维保期：整体项目提供不少于一年的免费维保期，维保期自竣工验收之日起计算。维保期内免费提供维护、保修、技术支持等服务。维保期 内，货物质量出现问题，负责提供三包 (包修、包换、包退) 服务。维保期内，若需要上门服务，由此产生的费用均不再收取。 3、须具有相应的售后服务能力，包括拥有相应的替代产品和人员。在保修期内，投标人须有可随时上门进行维修及检测的维修技术人员。 4、维保期内货物各部件发生非人为故障的，中标人应免费上门更换同种品牌规格型号的新部件；货物发生人为故障的，中标人应上门更换同种品牌规格型号的新部件，只收零配件成本，不得加收其它任何费用，提供软件的免费维护和升级服务。 5、免费提供货物安装、调试、使用培训；免费提供24小时技术支持；永久性免费提供电话技术指导和咨询服务；提供长期上门维修服务；定期进行货物免费检修。 6、免费维保期内，货物故障报修响应时间为：故障响应时间不超过半小时，到达现场时间不超过24小时；当天无法修复的，需提供同等规格的产品代用，直至故障设备修复，中标人负责所有因设备质量问题而产生的费用。</w:t>
            </w:r>
          </w:p>
          <w:p>
            <w:pPr>
              <w:pStyle w:val="null3"/>
            </w:pPr>
            <w:r>
              <w:rPr/>
              <w:t>三、其他要求，投标人应充分结合本招标文件上下文了解项目招标需求、采购文件未尽事宜，将在合同签订或项目执行过程中双方协商确定，供应商须无条件满足采购单位的合理要求。</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 xml:space="preserve"> 核心产品要求（“△”）</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center"/>
            </w:pPr>
            <w:r>
              <w:rPr/>
              <w:t>△</w:t>
            </w:r>
          </w:p>
        </w:tc>
        <w:tc>
          <w:tcPr>
            <w:tcW w:type="dxa" w:w="831"/>
          </w:tcPr>
          <w:p>
            <w:pPr>
              <w:pStyle w:val="null3"/>
              <w:jc w:val="left"/>
            </w:pPr>
            <w:r>
              <w:rPr/>
              <w:t>其他信息化设备</w:t>
            </w:r>
          </w:p>
        </w:tc>
        <w:tc>
          <w:tcPr>
            <w:tcW w:type="dxa" w:w="831"/>
          </w:tcPr>
          <w:p>
            <w:pPr>
              <w:pStyle w:val="null3"/>
              <w:jc w:val="left"/>
            </w:pPr>
            <w:r>
              <w:rPr/>
              <w:t>东莞滨海湾未来学校开办校园智联信息化建设项目</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17,153,257.93</w:t>
            </w:r>
          </w:p>
        </w:tc>
        <w:tc>
          <w:tcPr>
            <w:tcW w:type="dxa" w:w="831"/>
          </w:tcPr>
          <w:p>
            <w:pPr>
              <w:pStyle w:val="null3"/>
              <w:jc w:val="right"/>
            </w:pPr>
            <w:r>
              <w:rPr/>
              <w:t>17,153,257.93</w:t>
            </w:r>
          </w:p>
        </w:tc>
        <w:tc>
          <w:tcPr>
            <w:tcW w:type="dxa" w:w="831"/>
          </w:tcPr>
          <w:p>
            <w:pPr>
              <w:pStyle w:val="null3"/>
            </w:pPr>
            <w:r>
              <w:rPr/>
              <w:t>工业</w:t>
            </w:r>
          </w:p>
        </w:tc>
        <w:tc>
          <w:tcPr>
            <w:tcW w:type="dxa" w:w="831"/>
          </w:tcPr>
          <w:p>
            <w:pPr>
              <w:pStyle w:val="null3"/>
            </w:pPr>
            <w:r>
              <w:rPr/>
              <w:t>详见附表一</w:t>
            </w:r>
          </w:p>
        </w:tc>
      </w:tr>
    </w:tbl>
    <w:p>
      <w:pPr>
        <w:pStyle w:val="null3"/>
      </w:pPr>
      <w:r>
        <w:rPr>
          <w:b/>
        </w:rPr>
        <w:t>附表</w:t>
      </w:r>
      <w:r>
        <w:rPr>
          <w:b/>
        </w:rPr>
        <w:t>一</w:t>
      </w:r>
      <w:r>
        <w:rPr>
          <w:b/>
        </w:rPr>
        <w:t>：</w:t>
      </w:r>
      <w:r>
        <w:rPr>
          <w:b/>
        </w:rPr>
        <w:t>东莞滨海湾未来学校开办校园智联信息化建设项目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outlineLvl w:val="3"/>
            </w:pPr>
            <w:r>
              <w:rPr>
                <w:sz w:val="24"/>
                <w:b/>
              </w:rPr>
              <w:t>一、项目概况</w:t>
            </w:r>
          </w:p>
          <w:p>
            <w:pPr>
              <w:pStyle w:val="null3"/>
              <w:ind w:firstLine="420"/>
              <w:jc w:val="both"/>
            </w:pPr>
            <w:r>
              <w:rPr>
                <w:sz w:val="21"/>
              </w:rPr>
              <w:t>东莞滨海湾</w:t>
            </w:r>
            <w:r>
              <w:rPr>
                <w:sz w:val="21"/>
              </w:rPr>
              <w:t>未来</w:t>
            </w:r>
            <w:r>
              <w:rPr>
                <w:sz w:val="21"/>
              </w:rPr>
              <w:t>学校位于中国</w:t>
            </w:r>
            <w:r>
              <w:rPr>
                <w:sz w:val="21"/>
              </w:rPr>
              <w:t>广东省</w:t>
            </w:r>
            <w:r>
              <w:rPr>
                <w:sz w:val="21"/>
              </w:rPr>
              <w:t>东莞市</w:t>
            </w:r>
            <w:r>
              <w:rPr>
                <w:sz w:val="21"/>
              </w:rPr>
              <w:t>，地处滨海湾新区交椅湾板块中海路西侧，是一所九年一贯制公办学校。</w:t>
            </w:r>
          </w:p>
          <w:p>
            <w:pPr>
              <w:pStyle w:val="null3"/>
              <w:ind w:firstLine="420"/>
              <w:jc w:val="both"/>
            </w:pPr>
            <w:r>
              <w:rPr>
                <w:sz w:val="21"/>
              </w:rPr>
              <w:t>学校</w:t>
            </w:r>
            <w:r>
              <w:rPr>
                <w:sz w:val="21"/>
              </w:rPr>
              <w:t>规划用地面积</w:t>
            </w:r>
            <w:r>
              <w:rPr>
                <w:sz w:val="21"/>
              </w:rPr>
              <w:t>73244.68 平方米，总建筑面积 152185 平方米，其中地上建筑面积 121188 平方米，地下建筑面积 30997 平方米。建设内容主要包括教学及辅助用房、办公用房、生活服务用房、教职 工服务用房、创客教室、室内游泳池、设备用房、地下车库、架空层、室外运动场和其他室外工程。</w:t>
            </w:r>
          </w:p>
          <w:p>
            <w:pPr>
              <w:pStyle w:val="null3"/>
              <w:ind w:firstLine="420"/>
              <w:jc w:val="both"/>
            </w:pPr>
            <w:r>
              <w:rPr>
                <w:sz w:val="21"/>
              </w:rPr>
              <w:t>建设</w:t>
            </w:r>
            <w:r>
              <w:rPr>
                <w:sz w:val="21"/>
              </w:rPr>
              <w:t>96</w:t>
            </w:r>
            <w:r>
              <w:rPr>
                <w:sz w:val="21"/>
              </w:rPr>
              <w:t>个</w:t>
            </w:r>
            <w:r>
              <w:rPr>
                <w:sz w:val="21"/>
              </w:rPr>
              <w:t xml:space="preserve"> </w:t>
            </w:r>
            <w:r>
              <w:rPr>
                <w:sz w:val="21"/>
              </w:rPr>
              <w:t>班，其中小学</w:t>
            </w:r>
            <w:r>
              <w:rPr>
                <w:sz w:val="21"/>
              </w:rPr>
              <w:t>48 个班，每班45 人，初中 48 个班，每班 50 人，共设学位数 4560 个。</w:t>
            </w:r>
          </w:p>
          <w:p>
            <w:pPr>
              <w:pStyle w:val="null3"/>
              <w:ind w:firstLine="420"/>
              <w:jc w:val="both"/>
            </w:pPr>
            <w:r>
              <w:rPr>
                <w:sz w:val="21"/>
              </w:rPr>
              <w:t>本期信息化项目建设包括信息化基础设施（含综合布线、计算机网络系统、</w:t>
            </w:r>
            <w:r>
              <w:rPr>
                <w:sz w:val="21"/>
              </w:rPr>
              <w:t>无线</w:t>
            </w:r>
            <w:r>
              <w:rPr>
                <w:sz w:val="21"/>
              </w:rPr>
              <w:t>Wifi系统、无线对讲系统、办公电话系统、网络汇聚机房等）、校园智联系统（含视频监控系统、</w:t>
            </w:r>
            <w:r>
              <w:rPr>
                <w:sz w:val="21"/>
              </w:rPr>
              <w:t>电子围栏系统、高空抛物系统、明厨亮灶系统、</w:t>
            </w:r>
            <w:r>
              <w:rPr>
                <w:sz w:val="21"/>
              </w:rPr>
              <w:t>公共广播系统、</w:t>
            </w:r>
            <w:r>
              <w:rPr>
                <w:sz w:val="21"/>
              </w:rPr>
              <w:t>教学广播系统、应急广播系统、人行道闸系统、车行道闸系统、</w:t>
            </w:r>
            <w:r>
              <w:rPr>
                <w:sz w:val="21"/>
              </w:rPr>
              <w:t>应急报警系统、门禁系统、校园一卡通系统、</w:t>
            </w:r>
            <w:r>
              <w:rPr>
                <w:sz w:val="21"/>
              </w:rPr>
              <w:t>电子巡更系统、</w:t>
            </w:r>
            <w:r>
              <w:rPr>
                <w:sz w:val="21"/>
              </w:rPr>
              <w:t>信息发布系统、</w:t>
            </w:r>
            <w:r>
              <w:rPr>
                <w:sz w:val="21"/>
              </w:rPr>
              <w:t>LED大屏</w:t>
            </w:r>
            <w:r>
              <w:rPr>
                <w:sz w:val="21"/>
              </w:rPr>
              <w:t>系统、智能照明</w:t>
            </w:r>
            <w:r>
              <w:rPr>
                <w:sz w:val="21"/>
              </w:rPr>
              <w:t>系统、空调</w:t>
            </w:r>
            <w:r>
              <w:rPr>
                <w:sz w:val="21"/>
              </w:rPr>
              <w:t>智控系统、</w:t>
            </w:r>
            <w:r>
              <w:rPr>
                <w:sz w:val="21"/>
              </w:rPr>
              <w:t>时钟授时系统、宿舍考勤系统</w:t>
            </w:r>
            <w:r>
              <w:rPr>
                <w:sz w:val="21"/>
              </w:rPr>
              <w:t>等）</w:t>
            </w:r>
            <w:r>
              <w:rPr>
                <w:sz w:val="21"/>
              </w:rPr>
              <w:t>。</w:t>
            </w:r>
          </w:p>
          <w:p>
            <w:pPr>
              <w:pStyle w:val="null3"/>
              <w:jc w:val="both"/>
              <w:outlineLvl w:val="3"/>
            </w:pPr>
            <w:r>
              <w:rPr>
                <w:sz w:val="24"/>
                <w:b/>
              </w:rPr>
              <w:t>二、</w:t>
            </w:r>
            <w:r>
              <w:rPr>
                <w:sz w:val="24"/>
                <w:b/>
              </w:rPr>
              <w:t>项目清单</w:t>
            </w:r>
          </w:p>
          <w:p>
            <w:pPr>
              <w:pStyle w:val="null3"/>
              <w:spacing w:before="120"/>
              <w:ind w:firstLine="420"/>
            </w:pPr>
            <w:r>
              <w:rPr>
                <w:sz w:val="21"/>
              </w:rPr>
              <w:t>详见公告附件。</w:t>
            </w:r>
          </w:p>
          <w:p>
            <w:pPr>
              <w:pStyle w:val="null3"/>
              <w:jc w:val="both"/>
              <w:outlineLvl w:val="3"/>
            </w:pPr>
            <w:r>
              <w:rPr>
                <w:sz w:val="24"/>
                <w:b/>
              </w:rPr>
              <w:t>三、其他要求</w:t>
            </w:r>
          </w:p>
          <w:p>
            <w:pPr>
              <w:pStyle w:val="null3"/>
              <w:spacing w:before="120"/>
              <w:ind w:firstLine="420"/>
            </w:pPr>
            <w:r>
              <w:rPr>
                <w:sz w:val="21"/>
              </w:rPr>
              <w:t>1、本项目《项目清单》中产品技术参数及功能要求仅供投标人参考，涉及具体品牌、型号、产地的产品，仅作为项目质量水平与配置的参考，在不低于此基准的前提下，投标人可以选用同一档次或更优的同类产品替代。</w:t>
            </w:r>
          </w:p>
          <w:p>
            <w:pPr>
              <w:pStyle w:val="null3"/>
              <w:spacing w:before="120"/>
              <w:ind w:firstLine="420"/>
            </w:pPr>
            <w:r>
              <w:rPr>
                <w:sz w:val="21"/>
              </w:rPr>
              <w:t>2、项目供货期间，中标人如不具备项目实施过程中的施工类资质，可与采购人协商进行专业分包，经采购人同意后委托符合资质的企业承接本项目的非主体、非关键性工作，费用由中标人自行解决。</w:t>
            </w:r>
          </w:p>
          <w:p>
            <w:pPr>
              <w:pStyle w:val="null3"/>
              <w:spacing w:before="120"/>
              <w:ind w:firstLine="420"/>
            </w:pPr>
            <w:r>
              <w:rPr>
                <w:sz w:val="21"/>
              </w:rPr>
              <w:t>3、投标人应根据本项目的作业要求，在投标文件中提供切实可行的技术方案、实施方案及组织措施、项目质量控制方案、售后服务方案等。</w:t>
            </w:r>
          </w:p>
          <w:p>
            <w:pPr>
              <w:pStyle w:val="null3"/>
              <w:jc w:val="both"/>
            </w:pPr>
            <w:r>
              <w:rPr>
                <w:sz w:val="21"/>
              </w:rPr>
              <w:t>4、若采购人根据实际需求购买与本项目相关的设备，中标人应负责完成安装及调试。</w:t>
            </w:r>
          </w:p>
          <w:p>
            <w:pPr>
              <w:pStyle w:val="null3"/>
              <w:jc w:val="both"/>
            </w:pP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国家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采购包1：保证金人民币：0.00元整。</w:t>
            </w:r>
          </w:p>
          <w:p>
            <w:pPr>
              <w:pStyle w:val="null3"/>
            </w:pPr>
            <w:r>
              <w:rPr/>
              <w:t xml:space="preserve">开户单位： </w:t>
            </w:r>
            <w:r>
              <w:rPr/>
              <w:t>无</w:t>
            </w:r>
          </w:p>
          <w:p>
            <w:pPr>
              <w:pStyle w:val="null3"/>
            </w:pPr>
            <w:r>
              <w:rPr/>
              <w:t xml:space="preserve">开户账号： </w:t>
            </w:r>
            <w:r>
              <w:rPr/>
              <w:t>无</w:t>
            </w:r>
          </w:p>
          <w:p>
            <w:pPr>
              <w:pStyle w:val="null3"/>
            </w:pPr>
            <w:r>
              <w:rPr/>
              <w:t xml:space="preserve">开户银行： </w:t>
            </w:r>
            <w:r>
              <w:rPr/>
              <w:t>无</w:t>
            </w:r>
          </w:p>
          <w:p>
            <w:pPr>
              <w:pStyle w:val="null3"/>
            </w:pPr>
            <w:r>
              <w:rPr/>
              <w:t xml:space="preserve">支票提交方式： </w:t>
            </w:r>
            <w:r>
              <w:rPr/>
              <w:t>无</w:t>
            </w:r>
          </w:p>
          <w:p>
            <w:pPr>
              <w:pStyle w:val="null3"/>
            </w:pPr>
            <w:r>
              <w:rPr/>
              <w:t xml:space="preserve">汇票、本票提交方式： </w:t>
            </w:r>
            <w:r>
              <w:rPr/>
              <w:t>无</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0</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0份，纸质投标文件副本0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1.3合同条款中应规定，乙方完全遵守《中华人民共和国劳动合同法》有关规定和《中华人民共和国妇女权益保障法》中关于“劳动和社会保障权益”的有关要求。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政府采购合同需要变更的，采购人应将有关合同变更内容，以书面形式报政府采购监督管理机关备案；因特殊情况需要中止或终止合同的，采购人应将中止或终止合同的理由以及相应措施，以书面形式报政府采购监督管理机关备案。</w:t>
      </w:r>
    </w:p>
    <w:p>
      <w:pPr>
        <w:pStyle w:val="null3"/>
        <w:ind w:firstLine="480"/>
      </w:pPr>
      <w:r>
        <w:rPr/>
        <w:t xml:space="preserve"> 2.2政府采购合同履行中，采购人需追加与合同标的相同的货物、工程或者服务的，在不改变合同其他条款的前提下，可以与中标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东莞滨海湾未来学校开办校园智联信息化建设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采购包1（东莞滨海湾未来学校开办校园智联信息化建设项目）：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货物由小微企业制造</w:t>
            </w:r>
          </w:p>
        </w:tc>
        <w:tc>
          <w:tcPr>
            <w:tcW w:type="dxa" w:w="1246"/>
          </w:tcPr>
          <w:p>
            <w:pPr>
              <w:pStyle w:val="null3"/>
            </w:pPr>
            <w:r>
              <w:rPr/>
              <w:t>10%</w:t>
            </w:r>
          </w:p>
        </w:tc>
        <w:tc>
          <w:tcPr>
            <w:tcW w:type="dxa" w:w="2160"/>
          </w:tcPr>
          <w:p>
            <w:pPr>
              <w:pStyle w:val="null3"/>
              <w:jc w:val="left"/>
            </w:pPr>
            <w:r>
              <w:rPr/>
              <w:t>货物由小微企业制造，即货物由小微企业生产且使用该小微企业商号或者注册商标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节能、环保产品</w:t>
            </w:r>
          </w:p>
        </w:tc>
        <w:tc>
          <w:tcPr>
            <w:tcW w:type="dxa" w:w="2160"/>
          </w:tcPr>
          <w:p>
            <w:pPr>
              <w:pStyle w:val="null3"/>
            </w:pPr>
            <w:r>
              <w:rPr/>
              <w:t xml:space="preserve"> ——</w:t>
            </w:r>
          </w:p>
        </w:tc>
        <w:tc>
          <w:tcPr>
            <w:tcW w:type="dxa" w:w="1246"/>
          </w:tcPr>
          <w:p>
            <w:pPr>
              <w:pStyle w:val="null3"/>
            </w:pPr>
            <w:r>
              <w:rPr/>
              <w:t>3%</w:t>
            </w:r>
          </w:p>
        </w:tc>
        <w:tc>
          <w:tcPr>
            <w:tcW w:type="dxa" w:w="2160"/>
          </w:tcPr>
          <w:p>
            <w:pPr>
              <w:pStyle w:val="null3"/>
              <w:jc w:val="left"/>
            </w:pPr>
            <w:r>
              <w:rPr/>
              <w:t>对获得节能产品认证证书或环境标志产品认证证书的产品给予1%-5%的价格扣除，具体扣除比例根据节能产品或环境标志产品在采购项目中的重要性、所占比重等因素确定。</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采购包1（东莞滨海湾未来学校开办校园智联信息化建设项目）：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本项目不属于专门面向中小企业采购项目。</w:t>
            </w:r>
          </w:p>
        </w:tc>
      </w:tr>
    </w:tbl>
    <w:p>
      <w:pPr>
        <w:pStyle w:val="null3"/>
        <w:ind w:firstLine="480"/>
      </w:pPr>
      <w:r>
        <w:rPr/>
        <w:t>表二符合性审查表：</w:t>
      </w:r>
    </w:p>
    <w:p>
      <w:pPr>
        <w:pStyle w:val="null3"/>
      </w:pPr>
      <w:r>
        <w:rPr/>
        <w:t>采购包1（东莞滨海湾未来学校开办校园智联信息化建设项目）：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采购包1(东莞滨海湾未来学校开办校园智联信息化建设项目):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商务部分25.0分</w:t>
            </w:r>
          </w:p>
          <w:p>
            <w:pPr>
              <w:pStyle w:val="null3"/>
            </w:pPr>
            <w:r>
              <w:rPr/>
              <w:t>技术部分45.0分</w:t>
            </w:r>
          </w:p>
          <w:p>
            <w:pPr>
              <w:pStyle w:val="null3"/>
            </w:pPr>
            <w:r>
              <w:rPr/>
              <w:t>报价得分30.0分</w:t>
            </w:r>
          </w:p>
        </w:tc>
      </w:tr>
      <w:tr>
        <w:tc>
          <w:tcPr>
            <w:tcW w:type="dxa" w:w="922"/>
            <w:gridSpan w:val="2"/>
            <w:vMerge w:val="restart"/>
          </w:tcPr>
          <w:p>
            <w:pPr>
              <w:pStyle w:val="null3"/>
              <w:jc w:val="center"/>
            </w:pPr>
            <w:r>
              <w:rPr/>
              <w:t>技术部分</w:t>
            </w:r>
          </w:p>
        </w:tc>
        <w:tc>
          <w:tcPr>
            <w:tcW w:type="dxa" w:w="2307"/>
          </w:tcPr>
          <w:p>
            <w:pPr>
              <w:pStyle w:val="null3"/>
              <w:jc w:val="left"/>
            </w:pPr>
            <w:r>
              <w:rPr/>
              <w:t>重要技术参数响应情况 (10.0分)</w:t>
            </w:r>
          </w:p>
        </w:tc>
        <w:tc>
          <w:tcPr>
            <w:tcW w:type="dxa" w:w="5076"/>
          </w:tcPr>
          <w:p>
            <w:pPr>
              <w:pStyle w:val="null3"/>
              <w:jc w:val="left"/>
            </w:pPr>
            <w:r>
              <w:rPr/>
              <w:t>根据投标人对用户需求书带“▲”号条款响应情况进行评分，每有一项负偏离/无响应扣除1分，扣完为止。 注： （1）如用户需求书要求提供检测报告等证明资料的，则投标文件中须提供对应产品参数的证明资料，加盖投标人公章，投标人对所提供资料的真实性负责。 （2）如用户需求书未要求提供证明资料的，则投标文件中须提供所投产品彩页原件或原厂商的官方技术白皮书或原厂商针对本项目所作的技术参数说明等详细技术资料加盖投标人公章。投标人对所提供资料的真实性负责。 （3）投标人需在《技术和服务要求响应表》中列出实际响应的具体页码，并在响应文件的对应处做明显标记，如提供页码不详细或未做标记，导致评审过程中无法找到响应内容，视为不响应扣分。（提供材料范围含其总公司或总公司的分支机构。）</w:t>
            </w:r>
          </w:p>
        </w:tc>
      </w:tr>
      <w:tr>
        <w:tc>
          <w:tcPr>
            <w:tcW w:type="dxa" w:w="922"/>
            <w:gridSpan w:val="2"/>
            <w:vMerge/>
          </w:tcPr>
          <w:p/>
        </w:tc>
        <w:tc>
          <w:tcPr>
            <w:tcW w:type="dxa" w:w="2307"/>
          </w:tcPr>
          <w:p>
            <w:pPr>
              <w:pStyle w:val="null3"/>
              <w:jc w:val="left"/>
            </w:pPr>
            <w:r>
              <w:rPr/>
              <w:t>技术方案 (8.0分)</w:t>
            </w:r>
            <w:r>
              <w:rPr/>
              <w:t>，（等次分值选择：</w:t>
            </w:r>
            <w:r>
              <w:rPr/>
              <w:t>0.0;</w:t>
            </w:r>
            <w:r>
              <w:rPr/>
              <w:t>1.0;</w:t>
            </w:r>
            <w:r>
              <w:rPr/>
              <w:t>3.0;</w:t>
            </w:r>
            <w:r>
              <w:rPr/>
              <w:t>5.0;</w:t>
            </w:r>
            <w:r>
              <w:rPr/>
              <w:t>8.0;</w:t>
            </w:r>
            <w:r>
              <w:rPr/>
              <w:t>）</w:t>
            </w:r>
          </w:p>
        </w:tc>
        <w:tc>
          <w:tcPr>
            <w:tcW w:type="dxa" w:w="5076"/>
          </w:tcPr>
          <w:p>
            <w:pPr>
              <w:pStyle w:val="null3"/>
              <w:jc w:val="left"/>
            </w:pPr>
            <w:r>
              <w:rPr/>
              <w:t>按照对投标人提供的需求的理解情况、技术方案的完整性，可行性，扩展性、项目的难点分析等方面进行综合评价： 投标人对需求非常理解，技术方案非常完整，扩展性强，项目的难点分析到位的，得8分； 投标人对需求较为理解，技术方案较为完整，扩展性较好，能够分析出项目的难点，得5分； 投标人对需求理解程度一般，技术方案完整性一般，扩展性一般，难点分析把握不足，得3分； 投标人对需求理解不到位，技术方案不完整，扩展性差，未能分析出项目的难点，得1分。 无提供的得0分。</w:t>
            </w:r>
          </w:p>
        </w:tc>
      </w:tr>
      <w:tr>
        <w:tc>
          <w:tcPr>
            <w:tcW w:type="dxa" w:w="922"/>
            <w:gridSpan w:val="2"/>
            <w:vMerge/>
          </w:tcPr>
          <w:p/>
        </w:tc>
        <w:tc>
          <w:tcPr>
            <w:tcW w:type="dxa" w:w="2307"/>
          </w:tcPr>
          <w:p>
            <w:pPr>
              <w:pStyle w:val="null3"/>
              <w:jc w:val="left"/>
            </w:pPr>
            <w:r>
              <w:rPr/>
              <w:t>实施方案及组织措施 (11.0分)</w:t>
            </w:r>
            <w:r>
              <w:rPr/>
              <w:t>，（等次分值选择：</w:t>
            </w:r>
            <w:r>
              <w:rPr/>
              <w:t>0.0;</w:t>
            </w:r>
            <w:r>
              <w:rPr/>
              <w:t>1.0;</w:t>
            </w:r>
            <w:r>
              <w:rPr/>
              <w:t>4.0;</w:t>
            </w:r>
            <w:r>
              <w:rPr/>
              <w:t>7.0;</w:t>
            </w:r>
            <w:r>
              <w:rPr/>
              <w:t>11.0;</w:t>
            </w:r>
            <w:r>
              <w:rPr/>
              <w:t>）</w:t>
            </w:r>
          </w:p>
        </w:tc>
        <w:tc>
          <w:tcPr>
            <w:tcW w:type="dxa" w:w="5076"/>
          </w:tcPr>
          <w:p>
            <w:pPr>
              <w:pStyle w:val="null3"/>
              <w:jc w:val="left"/>
            </w:pPr>
            <w:r>
              <w:rPr/>
              <w:t>对投标人整体实施方案的科学合理性、可行性，以及整体服务的组织管理进行综合评分： 整体实施完整合理、可行性强，整体服务的组织管理完善具体、针对性强、可行性强，得11分； 整体实施方案完整、可行性一般，服务的组织管理比较完善、针对性较强、可行性一般，得7分； 整体实施方案可行性一般，服务的组织管理不够具体、针对性一般、可行性一般，得4分； 整体实施方案可行性差，服务的组织管理针对性差，可行性差，得1分； 无提供的得0分。</w:t>
            </w:r>
          </w:p>
        </w:tc>
      </w:tr>
      <w:tr>
        <w:tc>
          <w:tcPr>
            <w:tcW w:type="dxa" w:w="922"/>
            <w:gridSpan w:val="2"/>
            <w:vMerge/>
          </w:tcPr>
          <w:p/>
        </w:tc>
        <w:tc>
          <w:tcPr>
            <w:tcW w:type="dxa" w:w="2307"/>
          </w:tcPr>
          <w:p>
            <w:pPr>
              <w:pStyle w:val="null3"/>
              <w:jc w:val="left"/>
            </w:pPr>
            <w:r>
              <w:rPr/>
              <w:t>项目质量控制方案 (8.0分)</w:t>
            </w:r>
            <w:r>
              <w:rPr/>
              <w:t>，（等次分值选择：</w:t>
            </w:r>
            <w:r>
              <w:rPr/>
              <w:t>0.0;</w:t>
            </w:r>
            <w:r>
              <w:rPr/>
              <w:t>1.0;</w:t>
            </w:r>
            <w:r>
              <w:rPr/>
              <w:t>3.0;</w:t>
            </w:r>
            <w:r>
              <w:rPr/>
              <w:t>5.0;</w:t>
            </w:r>
            <w:r>
              <w:rPr/>
              <w:t>8.0;</w:t>
            </w:r>
            <w:r>
              <w:rPr/>
              <w:t>）</w:t>
            </w:r>
          </w:p>
        </w:tc>
        <w:tc>
          <w:tcPr>
            <w:tcW w:type="dxa" w:w="5076"/>
          </w:tcPr>
          <w:p>
            <w:pPr>
              <w:pStyle w:val="null3"/>
              <w:jc w:val="left"/>
            </w:pPr>
            <w:r>
              <w:rPr/>
              <w:t>根据投标人制定的项目质量控制方案（包括但不限于质量承诺、质量保证体系、质量控制措施等方面）进行综合评分： 质量控制方案非常完整、清晰明确、设计合理、具有前瞻性，完全满足或优于采购需求，得8分； 质量控制方案比较详细、完善、有针对性、基本满足采购需求的，得5分； 质量控制方案存在细微缺陷，但基本完整的，得3分； 质量控制方案完整性、准确性低，存在明显不合理之处的，得1分； 未提供项目质量控制方案的，得0分。</w:t>
            </w:r>
          </w:p>
        </w:tc>
      </w:tr>
      <w:tr>
        <w:tc>
          <w:tcPr>
            <w:tcW w:type="dxa" w:w="922"/>
            <w:gridSpan w:val="2"/>
            <w:vMerge/>
          </w:tcPr>
          <w:p/>
        </w:tc>
        <w:tc>
          <w:tcPr>
            <w:tcW w:type="dxa" w:w="2307"/>
          </w:tcPr>
          <w:p>
            <w:pPr>
              <w:pStyle w:val="null3"/>
              <w:jc w:val="left"/>
            </w:pPr>
            <w:r>
              <w:rPr/>
              <w:t>售后服务方案 (8.0分)</w:t>
            </w:r>
            <w:r>
              <w:rPr/>
              <w:t>，（等次分值选择：</w:t>
            </w:r>
            <w:r>
              <w:rPr/>
              <w:t>0.0;</w:t>
            </w:r>
            <w:r>
              <w:rPr/>
              <w:t>1.0;</w:t>
            </w:r>
            <w:r>
              <w:rPr/>
              <w:t>3.0;</w:t>
            </w:r>
            <w:r>
              <w:rPr/>
              <w:t>5.0;</w:t>
            </w:r>
            <w:r>
              <w:rPr/>
              <w:t>8.0;</w:t>
            </w:r>
            <w:r>
              <w:rPr/>
              <w:t>）</w:t>
            </w:r>
          </w:p>
        </w:tc>
        <w:tc>
          <w:tcPr>
            <w:tcW w:type="dxa" w:w="5076"/>
          </w:tcPr>
          <w:p>
            <w:pPr>
              <w:pStyle w:val="null3"/>
              <w:jc w:val="left"/>
            </w:pPr>
            <w:r>
              <w:rPr/>
              <w:t>根据投标人制定的售后服务方案（包括但不限于维保期内的维修服务、维保期外的维修服务、维修服务流程、应急处置方案、其它服务承诺等方面）进行综合评分： 售后服务方案完全满足采购需求，全面完善、清晰合理，可行性和可操作性强的，得8分； 售后服务方案符合采购需求，较完善、较清晰合理，可行性和可操作性较强的，得5分； 售后服务方案存在细微缺陷，但基本完整的，得3分； 售后服务方案完整性、准确性低，存在明显不合理之处的，得1分； 未提供售后服务方案的，得0分。</w:t>
            </w:r>
          </w:p>
        </w:tc>
      </w:tr>
      <w:tr>
        <w:tc>
          <w:tcPr>
            <w:tcW w:type="dxa" w:w="922"/>
            <w:gridSpan w:val="2"/>
            <w:vMerge w:val="restart"/>
          </w:tcPr>
          <w:p>
            <w:pPr>
              <w:pStyle w:val="null3"/>
              <w:jc w:val="center"/>
            </w:pPr>
            <w:r>
              <w:rPr/>
              <w:t>商务部分</w:t>
            </w:r>
          </w:p>
        </w:tc>
        <w:tc>
          <w:tcPr>
            <w:tcW w:type="dxa" w:w="2307"/>
          </w:tcPr>
          <w:p>
            <w:pPr>
              <w:pStyle w:val="null3"/>
              <w:jc w:val="left"/>
            </w:pPr>
            <w:r>
              <w:rPr/>
              <w:t>投标人实力 (5.0分)</w:t>
            </w:r>
            <w:r>
              <w:rPr/>
              <w:t>，（等次分值选择：</w:t>
            </w:r>
            <w:r>
              <w:rPr/>
              <w:t>0.0;</w:t>
            </w:r>
            <w:r>
              <w:rPr/>
              <w:t>1.0;</w:t>
            </w:r>
            <w:r>
              <w:rPr/>
              <w:t>2.0;</w:t>
            </w:r>
            <w:r>
              <w:rPr/>
              <w:t>3.0;</w:t>
            </w:r>
            <w:r>
              <w:rPr/>
              <w:t>4.0;</w:t>
            </w:r>
            <w:r>
              <w:rPr/>
              <w:t>5.0;</w:t>
            </w:r>
            <w:r>
              <w:rPr/>
              <w:t>）</w:t>
            </w:r>
          </w:p>
        </w:tc>
        <w:tc>
          <w:tcPr>
            <w:tcW w:type="dxa" w:w="5076"/>
          </w:tcPr>
          <w:p>
            <w:pPr>
              <w:pStyle w:val="null3"/>
              <w:jc w:val="left"/>
            </w:pPr>
            <w:r>
              <w:rPr/>
              <w:t>投标人具有国家认证认可监督管理部门批准设立的认证机构颁发并在有效期内的以下认证证书： （1）数据存储安全管理体系认证证书； （2）质量管理体系认证证书； （3）应急预案管理能力评价认证证书； （4）履约能力评价服务体系认证证书； （5）售后服务完善程度认证证书； 以上证书每提供一个得1分，最高得5分。 注：须提供在有效期内的认证证书复印件加盖投标人公章，否则不得分。（提供材料范围含其总公司或总公司的分支机构。）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业绩 (5.0分)</w:t>
            </w:r>
            <w:r>
              <w:rPr/>
              <w:t>，（等次分值选择：</w:t>
            </w:r>
            <w:r>
              <w:rPr/>
              <w:t>0.0;</w:t>
            </w:r>
            <w:r>
              <w:rPr/>
              <w:t>1.0;</w:t>
            </w:r>
            <w:r>
              <w:rPr/>
              <w:t>2.0;</w:t>
            </w:r>
            <w:r>
              <w:rPr/>
              <w:t>3.0;</w:t>
            </w:r>
            <w:r>
              <w:rPr/>
              <w:t>4.0;</w:t>
            </w:r>
            <w:r>
              <w:rPr/>
              <w:t>5.0;</w:t>
            </w:r>
            <w:r>
              <w:rPr/>
              <w:t>）</w:t>
            </w:r>
          </w:p>
        </w:tc>
        <w:tc>
          <w:tcPr>
            <w:tcW w:type="dxa" w:w="5076"/>
          </w:tcPr>
          <w:p>
            <w:pPr>
              <w:pStyle w:val="null3"/>
              <w:jc w:val="left"/>
            </w:pPr>
            <w:r>
              <w:rPr/>
              <w:t>投标人具有信息化类项目业绩的，每提供一个业绩合同得1分，最高5分。 注：须提供合同复印件加盖投标人公章，否则不得分。（提供材料范围含其总公司或总公司的分支机构。）</w:t>
            </w:r>
          </w:p>
        </w:tc>
      </w:tr>
      <w:tr>
        <w:tc>
          <w:tcPr>
            <w:tcW w:type="dxa" w:w="922"/>
            <w:gridSpan w:val="2"/>
            <w:vMerge/>
          </w:tcPr>
          <w:p/>
        </w:tc>
        <w:tc>
          <w:tcPr>
            <w:tcW w:type="dxa" w:w="2307"/>
          </w:tcPr>
          <w:p>
            <w:pPr>
              <w:pStyle w:val="null3"/>
              <w:jc w:val="left"/>
            </w:pPr>
            <w:r>
              <w:rPr/>
              <w:t>团队力量 (15.0分)</w:t>
            </w:r>
          </w:p>
        </w:tc>
        <w:tc>
          <w:tcPr>
            <w:tcW w:type="dxa" w:w="5076"/>
          </w:tcPr>
          <w:p>
            <w:pPr>
              <w:pStyle w:val="null3"/>
              <w:jc w:val="left"/>
            </w:pPr>
            <w:r>
              <w:rPr/>
              <w:t>一、拟投入的项目经理（仅1人）具有： ①人力资源和社会保障部门或工业和信息化部门颁发的高级项目经理证书； ②人力资源和社会保障部门或工业和信息化部门颁发的高级技师证书（通信类或网络类或电子类）； ③人力资源和社会保障部门或工业和信息化部门颁发的高级工程师证书（通信类或网络类或电子类）； ④工业和信息化部门颁发的高级网络与信息安全管理师证书； ⑤工业和信息化部门颁发的数据安全师证书； 以上证书每个得1分，最高5分，无不得分。 注：须提供有效人员证书复印件及投标人为其缴纳的距开标前6个月内任意1个月（不含开标当月）社会保险的有效凭证的复印件并加盖投标人公章。（提供材料范围含其总公司或总公司的分支机构。） 二、拟投入技术负责人（仅1人，除项目经理）具有： ①人力资源和社会保障部门或工业和信息化部门颁发的信息系统项目管理师证书； ②人力资源和社会保障部门或工业和信息化部门颁发的高级技师证书（通信类或网络类或电子类）； ③中国信息安全测评中心颁发的注册信息安全工程师； ④中国网络安全审查技术与认证中心颁发的信息安全保障人员认证证书； ⑤工业和信息化部门颁发的大数据技术（高级）证书； 以上证书每个得1分，最高5分，无不得分。 注：须提供有效人员证书复印件及投标人为其缴纳的距开标前6个月内任意1个月（不含开标当月）社会保险的有效凭证的复印件并加盖投标人公章。（提供材料范围含其总公司或总公司的分支机构。） 三、拟投入其他人员（除项目经理和技术负责人）： 具有人力资源和社会保障部门或工业和信息化部门颁发的中级或以上工程师证书（通信类或网络类或电子类）的，每一名得1分，最高得5分。 注：同一人员具有多项证书的不重复得分，须提供有效人员证书复印件及投标人为其缴纳的距开标前6个月内任意1个月（不含开标当月）社会保险的有效凭证的复印件并加盖投标人公章。（提供材料范围含其总公司或总公司的分支机构。）</w:t>
            </w:r>
          </w:p>
        </w:tc>
      </w:tr>
      <w:tr>
        <w:tc>
          <w:tcPr>
            <w:tcW w:type="dxa" w:w="922"/>
            <w:gridSpan w:val="2"/>
          </w:tcPr>
          <w:p>
            <w:pPr>
              <w:pStyle w:val="null3"/>
              <w:jc w:val="center"/>
            </w:pPr>
            <w:r>
              <w:rPr/>
              <w:t>投标报价</w:t>
            </w:r>
          </w:p>
        </w:tc>
        <w:tc>
          <w:tcPr>
            <w:tcW w:type="dxa" w:w="2307"/>
          </w:tcPr>
          <w:p>
            <w:pPr>
              <w:pStyle w:val="null3"/>
              <w:jc w:val="left"/>
            </w:pPr>
            <w:r>
              <w:rPr/>
              <w:t>投标报价得分 (30.0分)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48"/>
          <w:b/>
        </w:rPr>
        <w:t>广东省政府采购</w:t>
      </w:r>
    </w:p>
    <w:p>
      <w:pPr>
        <w:pStyle w:val="null3"/>
        <w:jc w:val="center"/>
      </w:pPr>
      <w:r>
        <w:rPr>
          <w:sz w:val="48"/>
          <w:b/>
        </w:rPr>
        <w:t>合同书</w:t>
      </w:r>
    </w:p>
    <w:p>
      <w:pPr>
        <w:pStyle w:val="null3"/>
        <w:jc w:val="center"/>
      </w:pPr>
      <w:r>
        <w:rPr>
          <w:sz w:val="28"/>
          <w:shd w:fill="FFFFFF" w:val="clear"/>
        </w:rPr>
        <w:t>采购计划编号：</w:t>
      </w:r>
    </w:p>
    <w:p>
      <w:pPr>
        <w:pStyle w:val="null3"/>
        <w:jc w:val="center"/>
      </w:pPr>
      <w:r>
        <w:rPr>
          <w:sz w:val="28"/>
          <w:shd w:fill="FFFFFF" w:val="clear"/>
        </w:rPr>
        <w:t>项目编号：</w:t>
      </w:r>
    </w:p>
    <w:p>
      <w:pPr>
        <w:pStyle w:val="null3"/>
        <w:jc w:val="center"/>
      </w:pPr>
      <w:r>
        <w:rPr>
          <w:sz w:val="28"/>
          <w:shd w:fill="FFFFFF" w:val="clear"/>
        </w:rPr>
        <w:t>项目名称：</w:t>
      </w:r>
    </w:p>
    <w:p>
      <w:pPr>
        <w:pStyle w:val="null3"/>
        <w:jc w:val="both"/>
      </w:pPr>
      <w:r>
        <w:rPr/>
        <w:t xml:space="preserve"> </w:t>
      </w:r>
    </w:p>
    <w:p>
      <w:pPr>
        <w:pStyle w:val="null3"/>
        <w:jc w:val="both"/>
      </w:pPr>
      <w:r>
        <w:rPr>
          <w:sz w:val="21"/>
        </w:rPr>
        <w:t>甲方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jc w:val="both"/>
      </w:pPr>
      <w:r>
        <w:rPr>
          <w:sz w:val="21"/>
        </w:rPr>
        <w:t>乙方</w:t>
      </w:r>
      <w:r>
        <w:rPr>
          <w:sz w:val="21"/>
        </w:rPr>
        <w:t>：</w:t>
      </w:r>
      <w:r>
        <w:rPr>
          <w:sz w:val="21"/>
          <w:u w:val="single"/>
        </w:rPr>
        <w:t xml:space="preserve">               </w:t>
      </w:r>
    </w:p>
    <w:p>
      <w:pPr>
        <w:pStyle w:val="null3"/>
        <w:jc w:val="both"/>
      </w:pPr>
      <w:r>
        <w:rPr>
          <w:sz w:val="21"/>
        </w:rPr>
        <w:t>电话</w:t>
      </w:r>
      <w:r>
        <w:rPr>
          <w:sz w:val="21"/>
        </w:rPr>
        <w:t>：</w:t>
      </w:r>
      <w:r>
        <w:rPr>
          <w:sz w:val="21"/>
          <w:u w:val="single"/>
        </w:rPr>
        <w:t xml:space="preserve">               </w:t>
      </w:r>
      <w:r>
        <w:rPr>
          <w:sz w:val="21"/>
        </w:rPr>
        <w:t>传真</w:t>
      </w:r>
      <w:r>
        <w:rPr>
          <w:sz w:val="21"/>
        </w:rPr>
        <w:t>：</w:t>
      </w:r>
      <w:r>
        <w:rPr>
          <w:sz w:val="21"/>
          <w:u w:val="single"/>
        </w:rPr>
        <w:t xml:space="preserve">               </w:t>
      </w:r>
      <w:r>
        <w:rPr>
          <w:sz w:val="21"/>
        </w:rPr>
        <w:t>地址</w:t>
      </w:r>
      <w:r>
        <w:rPr>
          <w:sz w:val="21"/>
        </w:rPr>
        <w:t>：</w:t>
      </w:r>
      <w:r>
        <w:rPr>
          <w:sz w:val="21"/>
          <w:u w:val="single"/>
        </w:rPr>
        <w:t xml:space="preserve">               </w:t>
      </w:r>
    </w:p>
    <w:p>
      <w:pPr>
        <w:pStyle w:val="null3"/>
        <w:ind w:firstLine="420"/>
        <w:jc w:val="both"/>
      </w:pPr>
      <w:r>
        <w:rPr>
          <w:sz w:val="21"/>
        </w:rPr>
        <w:t>根据</w:t>
      </w:r>
      <w:r>
        <w:rPr>
          <w:sz w:val="21"/>
          <w:u w:val="single"/>
        </w:rPr>
        <w:t xml:space="preserve">             </w:t>
      </w:r>
      <w:r>
        <w:rPr>
          <w:sz w:val="21"/>
          <w:u w:val="single"/>
        </w:rPr>
        <w:t>项目</w:t>
      </w:r>
      <w:r>
        <w:rPr>
          <w:sz w:val="21"/>
        </w:rPr>
        <w:t>的采购结果，按照</w:t>
      </w:r>
      <w:r>
        <w:rPr>
          <w:sz w:val="21"/>
        </w:rPr>
        <w:t>《</w:t>
      </w:r>
      <w:r>
        <w:rPr>
          <w:sz w:val="21"/>
        </w:rPr>
        <w:t>中</w:t>
      </w:r>
      <w:r>
        <w:rPr>
          <w:sz w:val="21"/>
        </w:rPr>
        <w:t>华人民共和国政府采购法》</w:t>
      </w:r>
      <w:r>
        <w:rPr>
          <w:sz w:val="21"/>
        </w:rPr>
        <w:t>、</w:t>
      </w:r>
      <w:r>
        <w:rPr>
          <w:sz w:val="21"/>
        </w:rPr>
        <w:t>《中华人民共和国民法典</w:t>
      </w:r>
      <w:r>
        <w:rPr>
          <w:sz w:val="21"/>
        </w:rPr>
        <w:t>（</w:t>
      </w:r>
      <w:r>
        <w:rPr>
          <w:sz w:val="21"/>
        </w:rPr>
        <w:t>合同编</w:t>
      </w:r>
      <w:r>
        <w:rPr>
          <w:sz w:val="21"/>
        </w:rPr>
        <w:t>）</w:t>
      </w:r>
      <w:r>
        <w:rPr>
          <w:sz w:val="21"/>
        </w:rPr>
        <w:t>》的规定，经双方协商，本着平等互利和诚实信用的原则，一致同意</w:t>
      </w:r>
      <w:r>
        <w:rPr>
          <w:sz w:val="21"/>
        </w:rPr>
        <w:t>签订</w:t>
      </w:r>
      <w:r>
        <w:rPr>
          <w:sz w:val="21"/>
        </w:rPr>
        <w:t>本合</w:t>
      </w:r>
      <w:r>
        <w:rPr>
          <w:sz w:val="21"/>
        </w:rPr>
        <w:t>同</w:t>
      </w:r>
      <w:r>
        <w:rPr>
          <w:sz w:val="21"/>
        </w:rPr>
        <w:t>如下。</w:t>
      </w:r>
    </w:p>
    <w:p>
      <w:pPr>
        <w:pStyle w:val="null3"/>
        <w:jc w:val="both"/>
      </w:pPr>
      <w:r>
        <w:rPr>
          <w:sz w:val="21"/>
          <w:b/>
        </w:rPr>
        <w:t>一</w:t>
      </w:r>
      <w:r>
        <w:rPr>
          <w:sz w:val="21"/>
          <w:b/>
        </w:rPr>
        <w:t>、</w:t>
      </w:r>
      <w:r>
        <w:rPr>
          <w:sz w:val="21"/>
          <w:b/>
        </w:rPr>
        <w:t>货物内容</w:t>
      </w:r>
    </w:p>
    <w:tbl>
      <w:tblPr>
        <w:tblW w:w="0" w:type="auto"/>
        <w:tblBorders>
          <w:top w:val="none" w:color="000000" w:sz="4"/>
          <w:left w:val="none" w:color="000000" w:sz="4"/>
          <w:bottom w:val="none" w:color="000000" w:sz="4"/>
          <w:right w:val="none" w:color="000000" w:sz="4"/>
          <w:insideH w:val="none"/>
          <w:insideV w:val="none"/>
        </w:tblBorders>
      </w:tblPr>
      <w:tblGrid>
        <w:gridCol w:w="838"/>
        <w:gridCol w:w="2883"/>
        <w:gridCol w:w="927"/>
        <w:gridCol w:w="724"/>
        <w:gridCol w:w="851"/>
        <w:gridCol w:w="1092"/>
        <w:gridCol w:w="991"/>
      </w:tblGrid>
      <w:tr>
        <w:tc>
          <w:tcPr>
            <w:tcW w:type="dxa" w:w="83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名称</w:t>
            </w:r>
          </w:p>
        </w:tc>
        <w:tc>
          <w:tcPr>
            <w:tcW w:type="dxa" w:w="28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品牌、规格、标准</w:t>
            </w:r>
            <w:r>
              <w:rPr>
                <w:sz w:val="21"/>
              </w:rPr>
              <w:t>/主要服务内容</w:t>
            </w:r>
          </w:p>
        </w:tc>
        <w:tc>
          <w:tcPr>
            <w:tcW w:type="dxa" w:w="9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产地</w:t>
            </w:r>
          </w:p>
        </w:tc>
        <w:tc>
          <w:tcPr>
            <w:tcW w:type="dxa" w:w="724"/>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数量</w:t>
            </w:r>
          </w:p>
        </w:tc>
        <w:tc>
          <w:tcPr>
            <w:tcW w:type="dxa" w:w="85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单位</w:t>
            </w:r>
          </w:p>
        </w:tc>
        <w:tc>
          <w:tcPr>
            <w:tcW w:type="dxa" w:w="10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单价</w:t>
            </w:r>
          </w:p>
          <w:p>
            <w:pPr>
              <w:pStyle w:val="null3"/>
              <w:jc w:val="center"/>
            </w:pPr>
            <w:r>
              <w:rPr>
                <w:sz w:val="21"/>
              </w:rPr>
              <w:t>（元）</w:t>
            </w:r>
          </w:p>
        </w:tc>
        <w:tc>
          <w:tcPr>
            <w:tcW w:type="dxa" w:w="99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金额</w:t>
            </w:r>
          </w:p>
          <w:p>
            <w:pPr>
              <w:pStyle w:val="null3"/>
              <w:jc w:val="center"/>
            </w:pPr>
            <w:r>
              <w:rPr>
                <w:sz w:val="21"/>
              </w:rPr>
              <w:t>（元）</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83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28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724"/>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85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109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tc>
      </w:tr>
      <w:tr>
        <w:tc>
          <w:tcPr>
            <w:tcW w:type="dxa" w:w="7315"/>
            <w:gridSpan w:val="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合计：人民币大写：</w:t>
            </w:r>
            <w:r>
              <w:rPr>
                <w:sz w:val="21"/>
              </w:rPr>
              <w:t>**元整</w:t>
            </w:r>
          </w:p>
        </w:tc>
        <w:tc>
          <w:tcPr>
            <w:tcW w:type="dxa" w:w="99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r>
              <w:rPr>
                <w:sz w:val="21"/>
              </w:rPr>
              <w:t>**</w:t>
            </w:r>
          </w:p>
        </w:tc>
      </w:tr>
    </w:tbl>
    <w:p>
      <w:pPr>
        <w:pStyle w:val="null3"/>
        <w:jc w:val="both"/>
      </w:pPr>
      <w:r>
        <w:rPr>
          <w:sz w:val="21"/>
        </w:rPr>
        <w:t>合同总额包括材料、工具、人工、管理费、利润、税金、风险、招标代理费用等一切因素所有应该和可能发生的费用因素。</w:t>
      </w:r>
    </w:p>
    <w:p>
      <w:pPr>
        <w:pStyle w:val="null3"/>
        <w:ind w:firstLine="420"/>
        <w:jc w:val="both"/>
      </w:pPr>
      <w:r>
        <w:rPr>
          <w:sz w:val="21"/>
        </w:rPr>
        <w:t>注：货物名称内容必须与投标文件中货物名称内容一致。</w:t>
      </w:r>
    </w:p>
    <w:p>
      <w:pPr>
        <w:pStyle w:val="null3"/>
        <w:numPr>
          <w:ilvl w:val="0"/>
          <w:numId w:val="1"/>
        </w:numPr>
        <w:jc w:val="both"/>
      </w:pPr>
      <w:r>
        <w:rPr>
          <w:sz w:val="21"/>
          <w:b/>
        </w:rPr>
        <w:t>合同金额</w:t>
      </w:r>
    </w:p>
    <w:p>
      <w:pPr>
        <w:pStyle w:val="null3"/>
        <w:ind w:firstLine="420"/>
        <w:jc w:val="both"/>
      </w:pPr>
      <w:r>
        <w:rPr>
          <w:sz w:val="21"/>
        </w:rPr>
        <w:t>合同金额为</w:t>
      </w:r>
      <w:r>
        <w:rPr>
          <w:sz w:val="21"/>
        </w:rPr>
        <w:t>(大写)：</w:t>
      </w:r>
      <w:r>
        <w:rPr>
          <w:sz w:val="21"/>
          <w:u w:val="single"/>
        </w:rPr>
        <w:t xml:space="preserve">             </w:t>
      </w:r>
      <w:r>
        <w:rPr>
          <w:sz w:val="21"/>
        </w:rPr>
        <w:t>元</w:t>
      </w:r>
      <w:r>
        <w:rPr>
          <w:sz w:val="21"/>
        </w:rPr>
        <w:t>(￥</w:t>
      </w:r>
      <w:r>
        <w:rPr>
          <w:sz w:val="21"/>
          <w:u w:val="single"/>
        </w:rPr>
        <w:t xml:space="preserve">             </w:t>
      </w:r>
      <w:r>
        <w:rPr>
          <w:sz w:val="21"/>
        </w:rPr>
        <w:t>元）人民币。</w:t>
      </w:r>
    </w:p>
    <w:p>
      <w:pPr>
        <w:pStyle w:val="null3"/>
        <w:jc w:val="both"/>
      </w:pPr>
      <w:r>
        <w:rPr>
          <w:sz w:val="21"/>
          <w:b/>
        </w:rPr>
        <w:t>三、设备要求</w:t>
      </w:r>
    </w:p>
    <w:p>
      <w:pPr>
        <w:pStyle w:val="null3"/>
        <w:jc w:val="both"/>
        <w:outlineLvl w:val="3"/>
      </w:pPr>
      <w:r>
        <w:rPr>
          <w:sz w:val="21"/>
          <w:b/>
        </w:rPr>
        <w:t>（</w:t>
      </w:r>
      <w:r>
        <w:rPr>
          <w:sz w:val="21"/>
          <w:b/>
        </w:rPr>
        <w:t>一</w:t>
      </w:r>
      <w:r>
        <w:rPr>
          <w:sz w:val="21"/>
          <w:b/>
        </w:rPr>
        <w:t>）项目概况</w:t>
      </w:r>
    </w:p>
    <w:p>
      <w:pPr>
        <w:pStyle w:val="null3"/>
        <w:ind w:firstLine="420"/>
        <w:jc w:val="both"/>
      </w:pPr>
      <w:r>
        <w:rPr>
          <w:sz w:val="21"/>
        </w:rPr>
        <w:t>东莞滨海湾</w:t>
      </w:r>
      <w:r>
        <w:rPr>
          <w:sz w:val="21"/>
        </w:rPr>
        <w:t>未来</w:t>
      </w:r>
      <w:r>
        <w:rPr>
          <w:sz w:val="21"/>
        </w:rPr>
        <w:t>学校位于中国</w:t>
      </w:r>
      <w:r>
        <w:rPr>
          <w:sz w:val="21"/>
        </w:rPr>
        <w:t>广东省</w:t>
      </w:r>
      <w:r>
        <w:rPr>
          <w:sz w:val="21"/>
        </w:rPr>
        <w:t>东莞市</w:t>
      </w:r>
      <w:r>
        <w:rPr>
          <w:sz w:val="21"/>
        </w:rPr>
        <w:t>，地处滨海湾新区交椅湾板块中海路西侧，是一所九年一贯制公办学校。</w:t>
      </w:r>
    </w:p>
    <w:p>
      <w:pPr>
        <w:pStyle w:val="null3"/>
        <w:ind w:firstLine="420"/>
        <w:jc w:val="both"/>
      </w:pPr>
      <w:r>
        <w:rPr>
          <w:sz w:val="21"/>
        </w:rPr>
        <w:t>学校</w:t>
      </w:r>
      <w:r>
        <w:rPr>
          <w:sz w:val="21"/>
        </w:rPr>
        <w:t>规划用地面积</w:t>
      </w:r>
      <w:r>
        <w:rPr>
          <w:sz w:val="21"/>
        </w:rPr>
        <w:t>73244.68 平方米，总建筑面积 152185 平方米，其中地上建筑面积 121188 平方米，地下建筑面积 30997 平方米。建设内容主要包括教学及辅助用房、办公用房、生活服务用房、教职 工服务用房、创客教室、室内游泳池、设备用房、地下车库、架空层、室外运动场和其他室外工程。</w:t>
      </w:r>
    </w:p>
    <w:p>
      <w:pPr>
        <w:pStyle w:val="null3"/>
        <w:ind w:firstLine="420"/>
        <w:jc w:val="both"/>
      </w:pPr>
      <w:r>
        <w:rPr>
          <w:sz w:val="21"/>
        </w:rPr>
        <w:t>建设</w:t>
      </w:r>
      <w:r>
        <w:rPr>
          <w:sz w:val="21"/>
        </w:rPr>
        <w:t>96</w:t>
      </w:r>
      <w:r>
        <w:rPr>
          <w:sz w:val="21"/>
        </w:rPr>
        <w:t>个</w:t>
      </w:r>
      <w:r>
        <w:rPr>
          <w:sz w:val="21"/>
        </w:rPr>
        <w:t xml:space="preserve"> </w:t>
      </w:r>
      <w:r>
        <w:rPr>
          <w:sz w:val="21"/>
        </w:rPr>
        <w:t>班，其中小学</w:t>
      </w:r>
      <w:r>
        <w:rPr>
          <w:sz w:val="21"/>
        </w:rPr>
        <w:t>48 个班，每班45 人，初中 48 个班，每班 50 人，共设学位数 4560 个。</w:t>
      </w:r>
    </w:p>
    <w:p>
      <w:pPr>
        <w:pStyle w:val="null3"/>
        <w:ind w:firstLine="420"/>
        <w:jc w:val="both"/>
      </w:pPr>
      <w:r>
        <w:rPr>
          <w:sz w:val="21"/>
        </w:rPr>
        <w:t>本期信息化项目建设包括信息化基础设施（含综合布线、计算机网络系统、</w:t>
      </w:r>
      <w:r>
        <w:rPr>
          <w:sz w:val="21"/>
        </w:rPr>
        <w:t>无线</w:t>
      </w:r>
      <w:r>
        <w:rPr>
          <w:sz w:val="21"/>
        </w:rPr>
        <w:t>Wifi系统、无线对讲系统、办公电话系统、网络汇聚机房等）、校园智联系统（含视频监控系统、</w:t>
      </w:r>
      <w:r>
        <w:rPr>
          <w:sz w:val="21"/>
        </w:rPr>
        <w:t>电子围栏系统、高空抛物系统、明厨亮灶系统、</w:t>
      </w:r>
      <w:r>
        <w:rPr>
          <w:sz w:val="21"/>
        </w:rPr>
        <w:t>公共广播系统、</w:t>
      </w:r>
      <w:r>
        <w:rPr>
          <w:sz w:val="21"/>
        </w:rPr>
        <w:t>教学广播系统、应急广播系统、人行道闸系统、车行道闸系统、</w:t>
      </w:r>
      <w:r>
        <w:rPr>
          <w:sz w:val="21"/>
        </w:rPr>
        <w:t>应急报警系统、门禁系统、校园一卡通系统、</w:t>
      </w:r>
      <w:r>
        <w:rPr>
          <w:sz w:val="21"/>
        </w:rPr>
        <w:t>电子巡更系统、</w:t>
      </w:r>
      <w:r>
        <w:rPr>
          <w:sz w:val="21"/>
        </w:rPr>
        <w:t>信息发布系统、</w:t>
      </w:r>
      <w:r>
        <w:rPr>
          <w:sz w:val="21"/>
        </w:rPr>
        <w:t>LED大屏</w:t>
      </w:r>
      <w:r>
        <w:rPr>
          <w:sz w:val="21"/>
        </w:rPr>
        <w:t>系统、智能照明</w:t>
      </w:r>
      <w:r>
        <w:rPr>
          <w:sz w:val="21"/>
        </w:rPr>
        <w:t>系统、空调</w:t>
      </w:r>
      <w:r>
        <w:rPr>
          <w:sz w:val="21"/>
        </w:rPr>
        <w:t>智控系统、</w:t>
      </w:r>
      <w:r>
        <w:rPr>
          <w:sz w:val="21"/>
        </w:rPr>
        <w:t>时钟授时系统、宿舍考勤系统</w:t>
      </w:r>
      <w:r>
        <w:rPr>
          <w:sz w:val="21"/>
        </w:rPr>
        <w:t>等）</w:t>
      </w:r>
      <w:r>
        <w:rPr>
          <w:sz w:val="21"/>
        </w:rPr>
        <w:t>。</w:t>
      </w:r>
    </w:p>
    <w:p>
      <w:pPr>
        <w:pStyle w:val="null3"/>
        <w:jc w:val="both"/>
        <w:outlineLvl w:val="3"/>
      </w:pPr>
      <w:r>
        <w:rPr>
          <w:sz w:val="21"/>
          <w:b/>
        </w:rPr>
        <w:t>（</w:t>
      </w:r>
      <w:r>
        <w:rPr>
          <w:sz w:val="21"/>
          <w:b/>
        </w:rPr>
        <w:t>二</w:t>
      </w:r>
      <w:r>
        <w:rPr>
          <w:sz w:val="21"/>
          <w:b/>
        </w:rPr>
        <w:t>）</w:t>
      </w:r>
      <w:r>
        <w:rPr>
          <w:sz w:val="21"/>
          <w:b/>
        </w:rPr>
        <w:t>项目清单</w:t>
      </w:r>
    </w:p>
    <w:p>
      <w:pPr>
        <w:pStyle w:val="null3"/>
        <w:ind w:firstLine="420"/>
      </w:pPr>
      <w:r>
        <w:rPr>
          <w:sz w:val="21"/>
        </w:rPr>
        <w:t>详见公告附件。</w:t>
      </w:r>
    </w:p>
    <w:p>
      <w:pPr>
        <w:pStyle w:val="null3"/>
        <w:jc w:val="both"/>
        <w:outlineLvl w:val="3"/>
      </w:pPr>
      <w:r>
        <w:rPr>
          <w:sz w:val="21"/>
          <w:b/>
        </w:rPr>
        <w:t>（</w:t>
      </w:r>
      <w:r>
        <w:rPr>
          <w:sz w:val="21"/>
          <w:b/>
        </w:rPr>
        <w:t>三</w:t>
      </w:r>
      <w:r>
        <w:rPr>
          <w:sz w:val="21"/>
          <w:b/>
        </w:rPr>
        <w:t>）</w:t>
      </w:r>
      <w:r>
        <w:rPr>
          <w:sz w:val="21"/>
          <w:b/>
        </w:rPr>
        <w:t>其他要求</w:t>
      </w:r>
    </w:p>
    <w:p>
      <w:pPr>
        <w:pStyle w:val="null3"/>
        <w:ind w:firstLine="420"/>
      </w:pPr>
      <w:r>
        <w:rPr>
          <w:sz w:val="21"/>
        </w:rPr>
        <w:t>1、项目供货期间，乙方如不具备项目实施过程中的施工类资质，可与甲方协商进行专业分包，经甲方同意后委托符合资质的企业承接本项目的非主体、非关键性工作，费用由乙方自行解决。</w:t>
      </w:r>
    </w:p>
    <w:p>
      <w:pPr>
        <w:pStyle w:val="null3"/>
        <w:ind w:firstLine="420"/>
      </w:pPr>
      <w:r>
        <w:rPr>
          <w:sz w:val="21"/>
        </w:rPr>
        <w:t>2、乙方应根据本项目的作业要求，在投标文件中提供切实可行的技术方案、实施方案及组织措施、项目质量控制方案、售后服务方案等。</w:t>
      </w:r>
    </w:p>
    <w:p>
      <w:pPr>
        <w:pStyle w:val="null3"/>
        <w:ind w:firstLine="420"/>
        <w:jc w:val="both"/>
      </w:pPr>
      <w:r>
        <w:rPr>
          <w:sz w:val="21"/>
        </w:rPr>
        <w:t>3、若甲方根据实际需求购买与本项目相关的设备，乙方应负责完成安装及调试。</w:t>
      </w:r>
    </w:p>
    <w:p>
      <w:pPr>
        <w:pStyle w:val="null3"/>
        <w:jc w:val="both"/>
      </w:pPr>
      <w:r>
        <w:rPr>
          <w:sz w:val="21"/>
          <w:b/>
        </w:rPr>
        <w:t>四、交货期、交货方式及交货地点</w:t>
      </w:r>
    </w:p>
    <w:p>
      <w:pPr>
        <w:pStyle w:val="null3"/>
        <w:ind w:firstLine="420"/>
        <w:jc w:val="both"/>
      </w:pPr>
      <w:r>
        <w:rPr>
          <w:sz w:val="21"/>
        </w:rPr>
        <w:t>1.交货期：合同签定之日起40日内完成项目供货、安装调试。</w:t>
      </w:r>
    </w:p>
    <w:p>
      <w:pPr>
        <w:pStyle w:val="null3"/>
        <w:ind w:firstLine="420"/>
        <w:jc w:val="both"/>
      </w:pPr>
      <w:r>
        <w:rPr>
          <w:sz w:val="21"/>
        </w:rPr>
        <w:t>2.交货方式：</w:t>
      </w:r>
      <w:r>
        <w:rPr>
          <w:sz w:val="22"/>
        </w:rPr>
        <w:t>上门交货</w:t>
      </w:r>
    </w:p>
    <w:p>
      <w:pPr>
        <w:pStyle w:val="null3"/>
        <w:ind w:firstLine="420"/>
        <w:jc w:val="both"/>
      </w:pPr>
      <w:r>
        <w:rPr>
          <w:sz w:val="21"/>
        </w:rPr>
        <w:t>3.交货地点：东莞滨海湾未来学校 (甲方指定地点)</w:t>
      </w:r>
    </w:p>
    <w:p>
      <w:pPr>
        <w:pStyle w:val="null3"/>
        <w:jc w:val="both"/>
      </w:pPr>
      <w:r>
        <w:rPr>
          <w:sz w:val="21"/>
          <w:b/>
        </w:rPr>
        <w:t>五、付款方式</w:t>
      </w:r>
    </w:p>
    <w:p>
      <w:pPr>
        <w:pStyle w:val="null3"/>
        <w:ind w:firstLine="420"/>
        <w:jc w:val="both"/>
      </w:pPr>
      <w:r>
        <w:rPr>
          <w:sz w:val="21"/>
        </w:rPr>
        <w:t>第</w:t>
      </w:r>
      <w:r>
        <w:rPr>
          <w:sz w:val="21"/>
        </w:rPr>
        <w:t>1期：支付比例20%,,签订合同后乙方向甲方提供等额发票等付款资料后，甲方在30个工作日内支付合同总价的20%；</w:t>
      </w:r>
    </w:p>
    <w:p>
      <w:pPr>
        <w:pStyle w:val="null3"/>
        <w:ind w:firstLine="420"/>
        <w:jc w:val="both"/>
      </w:pPr>
      <w:r>
        <w:rPr>
          <w:sz w:val="21"/>
        </w:rPr>
        <w:t>第</w:t>
      </w:r>
      <w:r>
        <w:rPr>
          <w:sz w:val="21"/>
        </w:rPr>
        <w:t>2期：支付比例30%,主要设备到场，经甲方验收确认并且乙方向甲方提供等额发票及相关付款资料后30个工作日内，甲方支付合同总金额的30%；</w:t>
      </w:r>
    </w:p>
    <w:p>
      <w:pPr>
        <w:pStyle w:val="null3"/>
        <w:ind w:firstLine="420"/>
        <w:jc w:val="both"/>
      </w:pPr>
      <w:r>
        <w:rPr>
          <w:sz w:val="21"/>
        </w:rPr>
        <w:t>第</w:t>
      </w:r>
      <w:r>
        <w:rPr>
          <w:sz w:val="21"/>
        </w:rPr>
        <w:t>3期：支付比例30%,所有货物到场全部安装调试完毕并完成初验，乙方向甲方提供等额发票等付款资料后，甲方在30个工作日内支付合同总金额的30%；</w:t>
      </w:r>
    </w:p>
    <w:p>
      <w:pPr>
        <w:pStyle w:val="null3"/>
        <w:ind w:firstLine="420"/>
        <w:jc w:val="both"/>
      </w:pPr>
      <w:r>
        <w:rPr>
          <w:sz w:val="21"/>
        </w:rPr>
        <w:t>第</w:t>
      </w:r>
      <w:r>
        <w:rPr>
          <w:sz w:val="21"/>
        </w:rPr>
        <w:t>4期：支付比例20%,项目竣工，经甲方最终验收合格、进行项目实际结算后，乙方向甲方提供等额发票等付款资料后，甲方在30个工作日内支付至最终实际结算价的100%；说明：最终结算价以新区财政部门审定为准，最终实际结算时参照《关于印发东莞市财政性资金投资基本建设项目工程价款管理办法的通知（东财〔2021〕20号）》的规定执行。</w:t>
      </w:r>
    </w:p>
    <w:p>
      <w:pPr>
        <w:pStyle w:val="null3"/>
        <w:jc w:val="both"/>
      </w:pPr>
      <w:r>
        <w:rPr>
          <w:sz w:val="21"/>
          <w:b/>
        </w:rPr>
        <w:t>六、维保期及售后服务要求</w:t>
      </w:r>
    </w:p>
    <w:p>
      <w:pPr>
        <w:pStyle w:val="null3"/>
        <w:ind w:firstLine="420"/>
        <w:jc w:val="both"/>
      </w:pPr>
      <w:r>
        <w:rPr>
          <w:sz w:val="21"/>
        </w:rPr>
        <w:t>1、需在投标文件中详细列明货物的质量保证措施及售后服务承诺，包括货物免费保修期、故障处理、出现质量问题责任归属、质量事故赔偿方案等。</w:t>
      </w:r>
    </w:p>
    <w:p>
      <w:pPr>
        <w:pStyle w:val="null3"/>
        <w:ind w:firstLine="420"/>
        <w:jc w:val="both"/>
      </w:pPr>
      <w:r>
        <w:rPr>
          <w:sz w:val="21"/>
        </w:rPr>
        <w:t>2、项目维保期：整体项目提供不少于一年的免费维保期，维保期自竣工验收之日起计算。维保期内免费提供维护、保修、技术支持等服务。维保期内，货物质量出现问题，负责提供三包 (包修、包换、包退) 服务。维保期内，若需要上门服务，由此产生的费用均不再收取。</w:t>
      </w:r>
    </w:p>
    <w:p>
      <w:pPr>
        <w:pStyle w:val="null3"/>
        <w:ind w:firstLine="420"/>
        <w:jc w:val="both"/>
      </w:pPr>
      <w:r>
        <w:rPr>
          <w:sz w:val="21"/>
        </w:rPr>
        <w:t>3、须具有相应的售后服务能力，包括拥有相应的替代产品和人员。在保修期内，投标人须有可随时上门进行维修及检测的维修技术人员。</w:t>
      </w:r>
    </w:p>
    <w:p>
      <w:pPr>
        <w:pStyle w:val="null3"/>
        <w:ind w:firstLine="420"/>
        <w:jc w:val="both"/>
      </w:pPr>
      <w:r>
        <w:rPr>
          <w:sz w:val="21"/>
        </w:rPr>
        <w:t>4、维保期内货物各部件发生非人为故障的，乙方应免费上门更换同种品牌规格型号的新部件；货物发生人为故障的，乙方应上门更换同种品牌规格型号的新部件，只收零配件成本，不得加收其它任何费用，提供软件的免费维护和升级服务。</w:t>
      </w:r>
    </w:p>
    <w:p>
      <w:pPr>
        <w:pStyle w:val="null3"/>
        <w:ind w:firstLine="420"/>
        <w:jc w:val="both"/>
      </w:pPr>
      <w:r>
        <w:rPr>
          <w:sz w:val="21"/>
        </w:rPr>
        <w:t>5、免费提供货物安装、调试、使用培训；免费提供24小时技术支持；永久性免费提供电话技术指导和咨询服务；提供长期上门维修服务；定期进行货物免费检修。</w:t>
      </w:r>
    </w:p>
    <w:p>
      <w:pPr>
        <w:pStyle w:val="null3"/>
        <w:ind w:firstLine="420"/>
        <w:jc w:val="both"/>
      </w:pPr>
      <w:r>
        <w:rPr>
          <w:sz w:val="21"/>
        </w:rPr>
        <w:t>6、免费维保期内，货物故障报修响应时间为：故障响应时间不超过半小时，到达现场时间不超过24小时；当天无法修复的，需提供同等规格的产品代用，直至故障设备修复，乙方负责所有因设备质量问题而产生的费用。</w:t>
      </w:r>
    </w:p>
    <w:p>
      <w:pPr>
        <w:pStyle w:val="null3"/>
        <w:jc w:val="both"/>
      </w:pPr>
      <w:r>
        <w:rPr>
          <w:sz w:val="21"/>
          <w:b/>
        </w:rPr>
        <w:t>七、安装与调试</w:t>
      </w:r>
    </w:p>
    <w:p>
      <w:pPr>
        <w:pStyle w:val="null3"/>
        <w:ind w:firstLine="420"/>
        <w:jc w:val="both"/>
      </w:pPr>
      <w:r>
        <w:rPr>
          <w:sz w:val="21"/>
        </w:rPr>
        <w:t>1.乙方必须依照招标文件的要求和报价文件的承诺，将设备、系统安装并调试至正常运行的最佳状态。</w:t>
      </w:r>
    </w:p>
    <w:p>
      <w:pPr>
        <w:pStyle w:val="null3"/>
        <w:jc w:val="both"/>
      </w:pPr>
      <w:r>
        <w:rPr>
          <w:sz w:val="21"/>
          <w:b/>
        </w:rPr>
        <w:t>八、验收：</w:t>
      </w:r>
    </w:p>
    <w:p>
      <w:pPr>
        <w:pStyle w:val="null3"/>
        <w:ind w:firstLine="420"/>
        <w:jc w:val="both"/>
      </w:pPr>
      <w:r>
        <w:rPr>
          <w:sz w:val="21"/>
        </w:rPr>
        <w:t>1期：初验，经甲方现场初步验收合格达到使用需求（甲方按国家有关规定、规范组织项目验收，必要时邀请相关的专业人员或机构参与验收）。</w:t>
      </w:r>
    </w:p>
    <w:p>
      <w:pPr>
        <w:pStyle w:val="null3"/>
        <w:ind w:firstLine="420"/>
        <w:jc w:val="both"/>
      </w:pPr>
      <w:r>
        <w:rPr>
          <w:sz w:val="21"/>
        </w:rPr>
        <w:t>2期：终验，初验通过后试运行3个月以上，且所有货物正常使用且实现项目目标要求，并经甲方与使用方共同确认（甲方按国家有关规定、规范组织项目验收，必要时邀请相关的专业人员或机构参与验收）。</w:t>
      </w:r>
    </w:p>
    <w:p>
      <w:pPr>
        <w:pStyle w:val="null3"/>
        <w:ind w:firstLine="422"/>
        <w:jc w:val="both"/>
      </w:pPr>
      <w:r>
        <w:rPr>
          <w:sz w:val="21"/>
          <w:b/>
        </w:rPr>
        <w:t>九、违约责任与赔偿损失</w:t>
      </w:r>
    </w:p>
    <w:p>
      <w:pPr>
        <w:pStyle w:val="null3"/>
        <w:ind w:firstLine="420"/>
        <w:jc w:val="both"/>
      </w:pPr>
      <w:r>
        <w:rPr>
          <w:sz w:val="21"/>
        </w:rPr>
        <w:t>1.乙方交付的货物、提供的服务不符合本合同规定的，甲方有权拒收，并且乙方须向甲方支付本合同总价5%的违约金。</w:t>
      </w:r>
    </w:p>
    <w:p>
      <w:pPr>
        <w:pStyle w:val="null3"/>
        <w:ind w:firstLine="420"/>
        <w:jc w:val="both"/>
      </w:pPr>
      <w:r>
        <w:rPr>
          <w:sz w:val="21"/>
        </w:rPr>
        <w:t>2.乙方未能按本合同规定的交货时间交付货物的/提供服务，从逾期之日起每日按本合同总价3‰的数额向甲方支付违约金；逾期半个月以上的，甲方有权终止合同，由此造成的甲方经济损失由乙方承担。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3.甲方无正当理由拒收货物/接受服务，到期拒付货物/服务款项的，甲方向乙方偿付本合同总价的5%的违约金。甲方人逾期付款，则每日按本合同总价的3‰向乙方偿付违约金。</w:t>
      </w:r>
    </w:p>
    <w:p>
      <w:pPr>
        <w:pStyle w:val="null3"/>
        <w:ind w:firstLine="420"/>
        <w:jc w:val="both"/>
      </w:pPr>
      <w:r>
        <w:rPr>
          <w:sz w:val="21"/>
        </w:rPr>
        <w:t>4.乙方因自身原因要求终止或解除合同，乙方应向甲方支付合同总价的20%的违约金，并应向甲方退还已支付的费用。乙方因此而遭受的损失，将由乙方独立承担，甲方对此不负任何责任，也不作任何赔偿。</w:t>
      </w:r>
    </w:p>
    <w:p>
      <w:pPr>
        <w:pStyle w:val="null3"/>
        <w:ind w:firstLine="420"/>
        <w:jc w:val="both"/>
      </w:pPr>
      <w:r>
        <w:rPr>
          <w:sz w:val="21"/>
        </w:rPr>
        <w:t>5.合同履约期内，如国家政策原因而导致项目提前终止，甲方和乙方双方互不追究责任。</w:t>
      </w:r>
    </w:p>
    <w:p>
      <w:pPr>
        <w:pStyle w:val="null3"/>
        <w:ind w:firstLine="420"/>
        <w:jc w:val="both"/>
      </w:pPr>
      <w:r>
        <w:rPr>
          <w:sz w:val="21"/>
        </w:rPr>
        <w:t>6.其它违约责任按《中华人民共和国民法典（合同编）》处理。</w:t>
      </w:r>
    </w:p>
    <w:p>
      <w:pPr>
        <w:pStyle w:val="null3"/>
        <w:ind w:firstLine="420"/>
        <w:jc w:val="both"/>
      </w:pPr>
      <w:r>
        <w:rPr>
          <w:sz w:val="21"/>
        </w:rPr>
        <w:t>7.保密义务：乙方保证对其在讨论、签订、履行本合同过程中所获悉的属于甲方的且无法从公开渠道获得的文件资料及信息，甲方在讨论、签订、履行本合同过程中向乙方提供的文件资料及信息，以及乙方向甲方提交的各项服务成果（如有）等，予以严格保密并应采取相应的保密措施，保证其自身及工作人员不私自使用或向任何第三方泄露；否则，乙方应按合同总价的5 %向甲方支付违约金，并承担由此给甲方造成的一切损失。无论本合同是否被撤销、变更、解除或终止，无论本合同是否生效，本合同之保密条款不受其限制而继续有效。</w:t>
      </w:r>
    </w:p>
    <w:p>
      <w:pPr>
        <w:pStyle w:val="null3"/>
        <w:jc w:val="both"/>
      </w:pPr>
      <w:r>
        <w:rPr>
          <w:sz w:val="21"/>
          <w:b/>
        </w:rPr>
        <w:t>十</w:t>
      </w:r>
      <w:r>
        <w:rPr>
          <w:sz w:val="21"/>
          <w:b/>
        </w:rPr>
        <w:t>、</w:t>
      </w:r>
      <w:r>
        <w:rPr>
          <w:sz w:val="21"/>
          <w:b/>
        </w:rPr>
        <w:t>争议的解决</w:t>
      </w:r>
    </w:p>
    <w:p>
      <w:pPr>
        <w:pStyle w:val="null3"/>
        <w:ind w:firstLine="420"/>
        <w:jc w:val="both"/>
      </w:pPr>
      <w:r>
        <w:rPr>
          <w:sz w:val="21"/>
        </w:rPr>
        <w:t>合</w:t>
      </w:r>
      <w:r>
        <w:rPr>
          <w:sz w:val="21"/>
        </w:rPr>
        <w:t>同</w:t>
      </w:r>
      <w:r>
        <w:rPr>
          <w:sz w:val="21"/>
        </w:rPr>
        <w:t>执行过程中发生的任何争议，如双方不能通过友好</w:t>
      </w:r>
      <w:r>
        <w:rPr>
          <w:sz w:val="21"/>
        </w:rPr>
        <w:t>协商</w:t>
      </w:r>
      <w:r>
        <w:rPr>
          <w:sz w:val="21"/>
        </w:rPr>
        <w:t>解决，按相关法律法规处理。</w:t>
      </w:r>
    </w:p>
    <w:p>
      <w:pPr>
        <w:pStyle w:val="null3"/>
        <w:jc w:val="both"/>
      </w:pPr>
      <w:r>
        <w:rPr>
          <w:sz w:val="21"/>
          <w:b/>
        </w:rPr>
        <w:t>十一、</w:t>
      </w:r>
      <w:r>
        <w:rPr>
          <w:sz w:val="21"/>
          <w:b/>
        </w:rPr>
        <w:t>不可抗力</w:t>
      </w:r>
    </w:p>
    <w:p>
      <w:pPr>
        <w:pStyle w:val="null3"/>
        <w:ind w:firstLine="420"/>
        <w:jc w:val="both"/>
      </w:pPr>
      <w:r>
        <w:rPr>
          <w:sz w:val="21"/>
        </w:rPr>
        <w:t>1.</w:t>
      </w:r>
      <w:r>
        <w:rPr>
          <w:sz w:val="21"/>
        </w:rPr>
        <w:t>任何一方由于不可抗力原因不能履行合</w:t>
      </w:r>
      <w:r>
        <w:rPr>
          <w:sz w:val="21"/>
        </w:rPr>
        <w:t>同</w:t>
      </w:r>
      <w:r>
        <w:rPr>
          <w:sz w:val="21"/>
        </w:rPr>
        <w:t>时，</w:t>
      </w:r>
      <w:r>
        <w:rPr>
          <w:sz w:val="21"/>
        </w:rPr>
        <w:t>应</w:t>
      </w:r>
      <w:r>
        <w:rPr>
          <w:sz w:val="21"/>
        </w:rPr>
        <w:t>在不可抗力事件结束后</w:t>
      </w:r>
      <w:r>
        <w:rPr>
          <w:sz w:val="21"/>
        </w:rPr>
        <w:t>1日内向</w:t>
      </w:r>
      <w:r>
        <w:rPr>
          <w:sz w:val="21"/>
        </w:rPr>
        <w:t>对</w:t>
      </w:r>
      <w:r>
        <w:rPr>
          <w:sz w:val="21"/>
        </w:rPr>
        <w:t>方通报，以</w:t>
      </w:r>
      <w:r>
        <w:rPr>
          <w:sz w:val="21"/>
        </w:rPr>
        <w:t>减</w:t>
      </w:r>
      <w:r>
        <w:rPr>
          <w:sz w:val="21"/>
        </w:rPr>
        <w:t>轻可能给对方造成的损失，在取得有关机构的不可抗</w:t>
      </w:r>
      <w:r>
        <w:rPr>
          <w:sz w:val="21"/>
        </w:rPr>
        <w:t>力</w:t>
      </w:r>
      <w:r>
        <w:rPr>
          <w:sz w:val="21"/>
        </w:rPr>
        <w:t>证明或双方谅解确认后，允许延期履行或修订合</w:t>
      </w:r>
      <w:r>
        <w:rPr>
          <w:sz w:val="21"/>
        </w:rPr>
        <w:t>同</w:t>
      </w:r>
      <w:r>
        <w:rPr>
          <w:sz w:val="21"/>
        </w:rPr>
        <w:t>，并根据情况可</w:t>
      </w:r>
      <w:r>
        <w:rPr>
          <w:sz w:val="21"/>
        </w:rPr>
        <w:t>部分</w:t>
      </w:r>
      <w:r>
        <w:rPr>
          <w:sz w:val="21"/>
        </w:rPr>
        <w:t>或全</w:t>
      </w:r>
      <w:r>
        <w:rPr>
          <w:sz w:val="21"/>
        </w:rPr>
        <w:t>部</w:t>
      </w:r>
      <w:r>
        <w:rPr>
          <w:sz w:val="21"/>
        </w:rPr>
        <w:t>免于承担</w:t>
      </w:r>
      <w:r>
        <w:rPr>
          <w:sz w:val="21"/>
        </w:rPr>
        <w:t>违约</w:t>
      </w:r>
      <w:r>
        <w:rPr>
          <w:sz w:val="21"/>
        </w:rPr>
        <w:t>责任。</w:t>
      </w:r>
    </w:p>
    <w:p>
      <w:pPr>
        <w:pStyle w:val="null3"/>
        <w:jc w:val="both"/>
      </w:pPr>
      <w:r>
        <w:rPr>
          <w:sz w:val="21"/>
          <w:b/>
        </w:rPr>
        <w:t>十二、</w:t>
      </w:r>
      <w:r>
        <w:rPr>
          <w:sz w:val="21"/>
          <w:b/>
        </w:rPr>
        <w:t>税费</w:t>
      </w:r>
    </w:p>
    <w:p>
      <w:pPr>
        <w:pStyle w:val="null3"/>
        <w:ind w:firstLine="420"/>
        <w:jc w:val="both"/>
      </w:pPr>
      <w:r>
        <w:rPr>
          <w:sz w:val="21"/>
        </w:rPr>
        <w:t>在中国境内</w:t>
      </w:r>
      <w:r>
        <w:rPr>
          <w:sz w:val="21"/>
        </w:rPr>
        <w:t>、</w:t>
      </w:r>
      <w:r>
        <w:rPr>
          <w:sz w:val="21"/>
        </w:rPr>
        <w:t>外发生的与本合</w:t>
      </w:r>
      <w:r>
        <w:rPr>
          <w:sz w:val="21"/>
        </w:rPr>
        <w:t>同</w:t>
      </w:r>
      <w:r>
        <w:rPr>
          <w:sz w:val="21"/>
        </w:rPr>
        <w:t>执行有关的一切</w:t>
      </w:r>
      <w:r>
        <w:rPr>
          <w:sz w:val="21"/>
        </w:rPr>
        <w:t>税</w:t>
      </w:r>
      <w:r>
        <w:rPr>
          <w:sz w:val="21"/>
        </w:rPr>
        <w:t>费均由乙方</w:t>
      </w:r>
      <w:r>
        <w:rPr>
          <w:sz w:val="21"/>
        </w:rPr>
        <w:t>负担</w:t>
      </w:r>
      <w:r>
        <w:rPr>
          <w:sz w:val="21"/>
        </w:rPr>
        <w:t>。</w:t>
      </w:r>
    </w:p>
    <w:p>
      <w:pPr>
        <w:pStyle w:val="null3"/>
        <w:jc w:val="both"/>
      </w:pPr>
      <w:r>
        <w:rPr>
          <w:sz w:val="21"/>
          <w:b/>
        </w:rPr>
        <w:t>十</w:t>
      </w:r>
      <w:r>
        <w:rPr>
          <w:sz w:val="21"/>
          <w:b/>
        </w:rPr>
        <w:t>三</w:t>
      </w:r>
      <w:r>
        <w:rPr>
          <w:sz w:val="21"/>
          <w:b/>
        </w:rPr>
        <w:t>、其它</w:t>
      </w:r>
    </w:p>
    <w:p>
      <w:pPr>
        <w:pStyle w:val="null3"/>
        <w:ind w:firstLine="420"/>
        <w:jc w:val="both"/>
      </w:pPr>
      <w:r>
        <w:rPr>
          <w:sz w:val="21"/>
        </w:rPr>
        <w:t>1.本合同所有</w:t>
      </w:r>
      <w:r>
        <w:rPr>
          <w:sz w:val="21"/>
        </w:rPr>
        <w:t>附</w:t>
      </w:r>
      <w:r>
        <w:rPr>
          <w:sz w:val="21"/>
        </w:rPr>
        <w:t>件</w:t>
      </w:r>
      <w:r>
        <w:rPr>
          <w:sz w:val="21"/>
        </w:rPr>
        <w:t>、</w:t>
      </w:r>
      <w:r>
        <w:rPr>
          <w:sz w:val="21"/>
        </w:rPr>
        <w:t>招标文件</w:t>
      </w:r>
      <w:r>
        <w:rPr>
          <w:sz w:val="21"/>
        </w:rPr>
        <w:t>、</w:t>
      </w:r>
      <w:r>
        <w:rPr>
          <w:sz w:val="21"/>
        </w:rPr>
        <w:t>投标文件</w:t>
      </w:r>
      <w:r>
        <w:rPr>
          <w:sz w:val="21"/>
        </w:rPr>
        <w:t>、</w:t>
      </w:r>
      <w:r>
        <w:rPr>
          <w:sz w:val="21"/>
        </w:rPr>
        <w:t>中标通知书均为合</w:t>
      </w:r>
      <w:r>
        <w:rPr>
          <w:sz w:val="21"/>
        </w:rPr>
        <w:t>同</w:t>
      </w:r>
      <w:r>
        <w:rPr>
          <w:sz w:val="21"/>
        </w:rPr>
        <w:t>的有效组成部分，与本合具有同等法律效力。</w:t>
      </w:r>
    </w:p>
    <w:p>
      <w:pPr>
        <w:pStyle w:val="null3"/>
        <w:ind w:firstLine="420"/>
        <w:jc w:val="both"/>
      </w:pPr>
      <w:r>
        <w:rPr>
          <w:sz w:val="21"/>
        </w:rPr>
        <w:t>2.在执行本合同的过程中，所有</w:t>
      </w:r>
      <w:r>
        <w:rPr>
          <w:sz w:val="21"/>
        </w:rPr>
        <w:t>经</w:t>
      </w:r>
      <w:r>
        <w:rPr>
          <w:sz w:val="21"/>
        </w:rPr>
        <w:t>双方签署确认的文件</w:t>
      </w:r>
      <w:r>
        <w:rPr>
          <w:sz w:val="21"/>
        </w:rPr>
        <w:t>（</w:t>
      </w:r>
      <w:r>
        <w:rPr>
          <w:sz w:val="21"/>
        </w:rPr>
        <w:t>包括会议</w:t>
      </w:r>
      <w:r>
        <w:rPr>
          <w:sz w:val="21"/>
        </w:rPr>
        <w:t>纪</w:t>
      </w:r>
      <w:r>
        <w:rPr>
          <w:sz w:val="21"/>
        </w:rPr>
        <w:t>要</w:t>
      </w:r>
      <w:r>
        <w:rPr>
          <w:sz w:val="21"/>
        </w:rPr>
        <w:t>、</w:t>
      </w:r>
      <w:r>
        <w:rPr>
          <w:sz w:val="21"/>
        </w:rPr>
        <w:t>补充协议</w:t>
      </w:r>
      <w:r>
        <w:rPr>
          <w:sz w:val="21"/>
        </w:rPr>
        <w:t>、</w:t>
      </w:r>
      <w:r>
        <w:rPr>
          <w:sz w:val="21"/>
        </w:rPr>
        <w:t>往来信函</w:t>
      </w:r>
      <w:r>
        <w:rPr>
          <w:sz w:val="21"/>
        </w:rPr>
        <w:t>）</w:t>
      </w:r>
      <w:r>
        <w:rPr>
          <w:sz w:val="21"/>
        </w:rPr>
        <w:t>即成为本合同的有效</w:t>
      </w:r>
      <w:r>
        <w:rPr>
          <w:sz w:val="21"/>
        </w:rPr>
        <w:t>组成部分。</w:t>
      </w:r>
    </w:p>
    <w:p>
      <w:pPr>
        <w:pStyle w:val="null3"/>
        <w:ind w:firstLine="420"/>
        <w:jc w:val="both"/>
      </w:pPr>
      <w:r>
        <w:rPr>
          <w:sz w:val="21"/>
        </w:rPr>
        <w:t>3.如一方地址、电话</w:t>
      </w:r>
      <w:r>
        <w:rPr>
          <w:sz w:val="21"/>
        </w:rPr>
        <w:t>、</w:t>
      </w:r>
      <w:r>
        <w:rPr>
          <w:sz w:val="21"/>
        </w:rPr>
        <w:t>传真号码有变更，应在</w:t>
      </w:r>
      <w:r>
        <w:rPr>
          <w:sz w:val="21"/>
        </w:rPr>
        <w:t>变</w:t>
      </w:r>
      <w:r>
        <w:rPr>
          <w:sz w:val="21"/>
        </w:rPr>
        <w:t>更当日内书面通知对方，否则，应承担相应</w:t>
      </w:r>
      <w:r>
        <w:rPr>
          <w:sz w:val="21"/>
        </w:rPr>
        <w:t>责</w:t>
      </w:r>
      <w:r>
        <w:rPr>
          <w:sz w:val="21"/>
        </w:rPr>
        <w:t>任。</w:t>
      </w:r>
    </w:p>
    <w:p>
      <w:pPr>
        <w:pStyle w:val="null3"/>
        <w:ind w:firstLine="420"/>
        <w:jc w:val="both"/>
      </w:pPr>
      <w:r>
        <w:rPr>
          <w:sz w:val="21"/>
        </w:rPr>
        <w:t>4.除甲方事先书面同意外，乙方不得部分成全部转让</w:t>
      </w:r>
      <w:r>
        <w:rPr>
          <w:sz w:val="21"/>
        </w:rPr>
        <w:t>其</w:t>
      </w:r>
      <w:r>
        <w:rPr>
          <w:sz w:val="21"/>
        </w:rPr>
        <w:t>应履行的合</w:t>
      </w:r>
      <w:r>
        <w:rPr>
          <w:sz w:val="21"/>
        </w:rPr>
        <w:t>同项</w:t>
      </w:r>
      <w:r>
        <w:rPr>
          <w:sz w:val="21"/>
        </w:rPr>
        <w:t>下的义务。</w:t>
      </w:r>
    </w:p>
    <w:p>
      <w:pPr>
        <w:pStyle w:val="null3"/>
        <w:jc w:val="both"/>
      </w:pPr>
      <w:r>
        <w:rPr>
          <w:sz w:val="21"/>
          <w:b/>
        </w:rPr>
        <w:t>十四</w:t>
      </w:r>
      <w:r>
        <w:rPr>
          <w:sz w:val="21"/>
          <w:b/>
        </w:rPr>
        <w:t>、合同</w:t>
      </w:r>
      <w:r>
        <w:rPr>
          <w:sz w:val="21"/>
          <w:b/>
        </w:rPr>
        <w:t>生</w:t>
      </w:r>
      <w:r>
        <w:rPr>
          <w:sz w:val="21"/>
          <w:b/>
        </w:rPr>
        <w:t>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w:t>
      </w:r>
    </w:p>
    <w:p>
      <w:pPr>
        <w:pStyle w:val="null3"/>
        <w:jc w:val="both"/>
      </w:pPr>
      <w:r>
        <w:rPr>
          <w:sz w:val="21"/>
          <w:b/>
        </w:rPr>
        <w:t>甲方</w:t>
      </w:r>
      <w:r>
        <w:rPr>
          <w:sz w:val="21"/>
          <w:b/>
        </w:rPr>
        <w:t>（</w:t>
      </w:r>
      <w:r>
        <w:rPr>
          <w:sz w:val="21"/>
          <w:b/>
        </w:rPr>
        <w:t>盖章</w:t>
      </w:r>
      <w:r>
        <w:rPr>
          <w:sz w:val="21"/>
          <w:b/>
        </w:rPr>
        <w:t>）：</w:t>
      </w:r>
      <w:r>
        <w:rPr>
          <w:sz w:val="21"/>
          <w:b/>
        </w:rPr>
        <w:t xml:space="preserve">                     </w:t>
      </w:r>
      <w:r>
        <w:rPr>
          <w:sz w:val="21"/>
          <w:b/>
        </w:rPr>
        <w:t>乙方</w:t>
      </w:r>
      <w:r>
        <w:rPr>
          <w:sz w:val="21"/>
          <w:b/>
        </w:rPr>
        <w:t>（</w:t>
      </w:r>
      <w:r>
        <w:rPr>
          <w:sz w:val="21"/>
          <w:b/>
        </w:rPr>
        <w:t>盖章</w:t>
      </w:r>
      <w:r>
        <w:rPr>
          <w:sz w:val="21"/>
          <w:b/>
        </w:rPr>
        <w:t>）：</w:t>
      </w:r>
    </w:p>
    <w:p>
      <w:pPr>
        <w:pStyle w:val="null3"/>
        <w:jc w:val="both"/>
      </w:pPr>
      <w:r>
        <w:rPr>
          <w:sz w:val="21"/>
          <w:b/>
        </w:rPr>
        <w:t>代表</w:t>
      </w:r>
      <w:r>
        <w:rPr>
          <w:sz w:val="21"/>
          <w:b/>
        </w:rPr>
        <w:t>：</w:t>
      </w:r>
      <w:r>
        <w:rPr>
          <w:sz w:val="21"/>
          <w:b/>
        </w:rPr>
        <w:t xml:space="preserve">                            </w:t>
      </w:r>
      <w:r>
        <w:rPr>
          <w:sz w:val="21"/>
          <w:b/>
        </w:rPr>
        <w:t>代表</w:t>
      </w:r>
      <w:r>
        <w:rPr>
          <w:sz w:val="21"/>
          <w:b/>
        </w:rPr>
        <w:t>：</w:t>
      </w:r>
      <w:r>
        <w:rPr>
          <w:sz w:val="21"/>
          <w:b/>
        </w:rPr>
        <w:t xml:space="preserve">  </w:t>
      </w:r>
      <w:r>
        <w:rPr>
          <w:sz w:val="21"/>
        </w:rPr>
        <w:t xml:space="preserve">    </w:t>
      </w:r>
    </w:p>
    <w:p>
      <w:pPr>
        <w:pStyle w:val="null3"/>
        <w:jc w:val="both"/>
      </w:pPr>
      <w:r>
        <w:rPr>
          <w:sz w:val="21"/>
        </w:rPr>
        <w:t>签定地点</w:t>
      </w:r>
      <w:r>
        <w:rPr>
          <w:sz w:val="21"/>
        </w:rPr>
        <w:t>：</w:t>
      </w:r>
    </w:p>
    <w:p>
      <w:pPr>
        <w:pStyle w:val="null3"/>
        <w:jc w:val="both"/>
      </w:pPr>
      <w:r>
        <w:rPr>
          <w:sz w:val="21"/>
        </w:rPr>
        <w:t>签定</w:t>
      </w:r>
      <w:r>
        <w:rPr>
          <w:sz w:val="21"/>
        </w:rPr>
        <w:t>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r>
        <w:rPr>
          <w:sz w:val="21"/>
        </w:rPr>
        <w:t xml:space="preserve">        </w:t>
      </w:r>
      <w:r>
        <w:rPr>
          <w:sz w:val="21"/>
        </w:rPr>
        <w:t>签定日期</w:t>
      </w:r>
      <w:r>
        <w:rPr>
          <w:sz w:val="21"/>
        </w:rPr>
        <w:t>：</w:t>
      </w:r>
      <w:r>
        <w:rPr>
          <w:sz w:val="21"/>
        </w:rPr>
        <w:t xml:space="preserve">    </w:t>
      </w:r>
      <w:r>
        <w:rPr>
          <w:sz w:val="21"/>
        </w:rPr>
        <w:t>年</w:t>
      </w:r>
      <w:r>
        <w:rPr>
          <w:sz w:val="21"/>
        </w:rPr>
        <w:t xml:space="preserve">   </w:t>
      </w:r>
      <w:r>
        <w:rPr>
          <w:sz w:val="21"/>
        </w:rPr>
        <w:t>月</w:t>
      </w:r>
      <w:r>
        <w:rPr>
          <w:sz w:val="21"/>
        </w:rPr>
        <w:t xml:space="preserve">   </w:t>
      </w:r>
      <w:r>
        <w:rPr>
          <w:sz w:val="21"/>
        </w:rPr>
        <w:t>日</w:t>
      </w:r>
    </w:p>
    <w:p>
      <w:pPr>
        <w:pStyle w:val="null3"/>
        <w:ind w:firstLine="3570"/>
        <w:jc w:val="both"/>
      </w:pPr>
      <w:r>
        <w:rPr>
          <w:sz w:val="21"/>
        </w:rPr>
        <w:t>开</w:t>
      </w:r>
      <w:r>
        <w:rPr>
          <w:sz w:val="21"/>
        </w:rPr>
        <w:t>户名称</w:t>
      </w:r>
      <w:r>
        <w:rPr>
          <w:sz w:val="21"/>
        </w:rPr>
        <w:t>：</w:t>
      </w:r>
    </w:p>
    <w:p>
      <w:pPr>
        <w:pStyle w:val="null3"/>
        <w:ind w:firstLine="3570"/>
        <w:jc w:val="both"/>
      </w:pPr>
      <w:r>
        <w:rPr>
          <w:sz w:val="21"/>
        </w:rPr>
        <w:t>银行帐号</w:t>
      </w:r>
      <w:r>
        <w:rPr>
          <w:sz w:val="21"/>
        </w:rPr>
        <w:t>：</w:t>
      </w:r>
    </w:p>
    <w:p>
      <w:pPr>
        <w:pStyle w:val="null3"/>
        <w:jc w:val="both"/>
      </w:pPr>
      <w:r>
        <w:rPr>
          <w:sz w:val="21"/>
        </w:rPr>
        <w:t xml:space="preserve">                                                         开</w:t>
      </w:r>
      <w:r>
        <w:rPr>
          <w:sz w:val="21"/>
        </w:rPr>
        <w:t xml:space="preserve"> </w:t>
      </w:r>
      <w:r>
        <w:rPr>
          <w:sz w:val="21"/>
        </w:rPr>
        <w:t>户</w:t>
      </w:r>
      <w:r>
        <w:rPr>
          <w:sz w:val="21"/>
        </w:rPr>
        <w:t xml:space="preserve"> </w:t>
      </w:r>
      <w:r>
        <w:rPr>
          <w:sz w:val="21"/>
        </w:rPr>
        <w:t>标</w:t>
      </w:r>
      <w:r>
        <w:rPr>
          <w:sz w:val="21"/>
        </w:rPr>
        <w:t>：</w:t>
      </w:r>
    </w:p>
    <w:p>
      <w:pPr>
        <w:pStyle w:val="null3"/>
        <w:spacing w:before="0" w:after="0" w:lineRule="auto" w:line="36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3.具有履行合同所必须的设备和专业技术能力的声明。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441900011-2024-00090</w:t>
      </w:r>
    </w:p>
    <w:p>
      <w:pPr>
        <w:pStyle w:val="null3"/>
        <w:jc w:val="center"/>
        <w:outlineLvl w:val="3"/>
      </w:pPr>
      <w:r>
        <w:rPr>
          <w:sz w:val="24"/>
          <w:b/>
        </w:rPr>
        <w:t>采购项目编号：</w:t>
      </w:r>
      <w:r>
        <w:rPr>
          <w:sz w:val="24"/>
          <w:b/>
        </w:rPr>
        <w:t>441900011-2024-00090</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东莞滨海湾未来学校开办校园智联信息化建设项目</w:t>
      </w:r>
      <w:r>
        <w:rPr>
          <w:u w:val="single"/>
        </w:rPr>
        <w:t>”</w:t>
      </w:r>
      <w:r>
        <w:rPr/>
        <w:t>项目的招标[采购项目编号为：</w:t>
      </w:r>
      <w:r>
        <w:rPr>
          <w:u w:val="single"/>
        </w:rPr>
        <w:t>441900011-2024-00090</w:t>
      </w:r>
      <w:r>
        <w:rPr/>
        <w:t>]，我方愿参与投标。</w:t>
      </w:r>
    </w:p>
    <w:p>
      <w:pPr>
        <w:pStyle w:val="null3"/>
        <w:ind w:firstLine="480"/>
      </w:pPr>
      <w:r>
        <w:rPr/>
        <w:t>我方确认收到贵方提供的</w:t>
      </w:r>
      <w:r>
        <w:rPr>
          <w:u w:val="single"/>
        </w:rPr>
        <w:t>“</w:t>
      </w:r>
      <w:r>
        <w:rPr>
          <w:u w:val="single"/>
        </w:rPr>
        <w:t>东莞滨海湾未来学校开办校园智联信息化建设项目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力。</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（十三）我方承诺遵守《中华人民共和国劳动合同法》有关规定和《中华人民共和国妇女权益保障法》中关于“劳动和社会保障权益”的有关要求。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服务期限</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东莞滨海湾未来学校开办校园智联信息化建设项目</w:t>
      </w:r>
      <w:r>
        <w:rPr/>
        <w:t>”项目采购[采购项目编号为</w:t>
      </w:r>
      <w:r>
        <w:rPr/>
        <w:t>441900011-2024-00090</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东莞滨海湾未来学校开办校园智联信息化建设项目</w:t>
      </w:r>
      <w:r>
        <w:rPr/>
        <w:t>招标中获中标（采购项目编号：</w:t>
      </w:r>
      <w:r>
        <w:rPr/>
        <w:t>441900011-2024-00090</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东莞滨海湾未来学校开办校园智联信息化建设项目</w:t>
      </w:r>
      <w:r>
        <w:rPr/>
        <w:t>”项目（采购项目编号：</w:t>
      </w:r>
      <w:r>
        <w:rPr/>
        <w:t>441900011-2024-00090</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