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441900011-2024-00089</w:t>
      </w:r>
    </w:p>
    <w:p>
      <w:pPr>
        <w:pStyle w:val="null3"/>
        <w:jc w:val="center"/>
        <w:outlineLvl w:val="3"/>
      </w:pPr>
      <w:r>
        <w:rPr>
          <w:sz w:val="24"/>
          <w:b/>
        </w:rPr>
        <w:t>采购项目编号：</w:t>
      </w:r>
      <w:r>
        <w:rPr>
          <w:sz w:val="24"/>
          <w:b/>
        </w:rPr>
        <w:t>441900011-2024-00089</w:t>
      </w:r>
    </w:p>
    <w:p>
      <w:pPr>
        <w:pStyle w:val="null3"/>
        <w:jc w:val="center"/>
        <w:outlineLvl w:val="3"/>
      </w:pPr>
      <w:r>
        <w:rPr>
          <w:sz w:val="24"/>
          <w:b/>
        </w:rPr>
        <w:t>项目名称：</w:t>
      </w:r>
      <w:r>
        <w:rPr>
          <w:sz w:val="24"/>
          <w:b/>
        </w:rPr>
        <w:t>东莞滨海湾未来学校开办教学管理信息化建设项目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东莞滨海湾未来学校开办教学管理信息化建设项目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东莞滨海湾未来学校开办教学管理信息化建设项目</w:t>
      </w:r>
    </w:p>
    <w:p>
      <w:pPr>
        <w:pStyle w:val="null3"/>
        <w:ind w:firstLine="480"/>
      </w:pPr>
      <w:r>
        <w:rPr/>
        <w:t>采购计划编号：</w:t>
      </w:r>
      <w:r>
        <w:rPr/>
        <w:t>441900011-2024-00089</w:t>
      </w:r>
    </w:p>
    <w:p>
      <w:pPr>
        <w:pStyle w:val="null3"/>
        <w:ind w:firstLine="480"/>
      </w:pPr>
      <w:r>
        <w:rPr/>
        <w:t>采购项目编号：</w:t>
      </w:r>
      <w:r>
        <w:rPr/>
        <w:t>441900011-2024-00089</w:t>
      </w:r>
    </w:p>
    <w:p>
      <w:pPr>
        <w:pStyle w:val="null3"/>
        <w:ind w:firstLine="480"/>
      </w:pPr>
      <w:r>
        <w:rPr/>
        <w:t>采购方式：</w:t>
      </w:r>
      <w:r>
        <w:rPr/>
        <w:t>公开招标</w:t>
      </w:r>
    </w:p>
    <w:p>
      <w:pPr>
        <w:pStyle w:val="null3"/>
        <w:ind w:firstLine="480"/>
      </w:pPr>
      <w:r>
        <w:rPr/>
        <w:t>预算金额：</w:t>
      </w:r>
      <w:r>
        <w:rPr/>
        <w:t>8,275,066.14</w:t>
      </w:r>
      <w:r>
        <w:rPr/>
        <w:t>元</w:t>
      </w:r>
    </w:p>
    <w:p>
      <w:pPr>
        <w:pStyle w:val="null3"/>
        <w:outlineLvl w:val="3"/>
      </w:pPr>
      <w:r>
        <w:rPr>
          <w:sz w:val="24"/>
          <w:b/>
        </w:rPr>
        <w:t>2.项目内容及需求情况（采购项目技术规格、参数及要求）</w:t>
      </w:r>
    </w:p>
    <w:p>
      <w:pPr>
        <w:pStyle w:val="null3"/>
      </w:pPr>
      <w:r>
        <w:rPr/>
        <w:t>采购包1(东莞滨海湾未来学校开办教学管理信息化建设项目):</w:t>
      </w:r>
    </w:p>
    <w:p>
      <w:pPr>
        <w:pStyle w:val="null3"/>
      </w:pPr>
      <w:r>
        <w:rPr/>
        <w:t>采购包预算金额：8,275,066.14元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其他信息化设备</w:t>
            </w:r>
          </w:p>
        </w:tc>
        <w:tc>
          <w:tcPr>
            <w:tcW w:type="dxa" w:w="2052"/>
          </w:tcPr>
          <w:p>
            <w:pPr>
              <w:pStyle w:val="null3"/>
            </w:pPr>
            <w:r>
              <w:rPr/>
              <w:t>东莞滨海湾未来学校开办教学管理信息化建设项目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8,275,066.14</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合同履行期限：合同签定之日起40日内完成项目供货、安装调试。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采购包1（东莞滨海湾未来学校开办教学管理信息化建设项目）：</w:t>
      </w:r>
      <w:r>
        <w:rPr/>
        <w:t>本项目不属于专门面向中小企业采购项目。</w:t>
      </w:r>
    </w:p>
    <w:p>
      <w:pPr>
        <w:pStyle w:val="null3"/>
        <w:outlineLvl w:val="3"/>
      </w:pPr>
      <w:r>
        <w:rPr>
          <w:sz w:val="24"/>
          <w:b/>
        </w:rPr>
        <w:t>3.本项目特定的资格要求：</w:t>
      </w:r>
    </w:p>
    <w:p>
      <w:pPr>
        <w:pStyle w:val="null3"/>
      </w:pPr>
      <w:r>
        <w:rPr/>
        <w:t>采购包1（东莞滨海湾未来学校开办教学管理信息化建设项目）：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东莞滨海湾未来学校开办教学管理信息化建设项目</w:t>
      </w:r>
    </w:p>
    <w:p>
      <w:pPr>
        <w:pStyle w:val="null3"/>
      </w:pPr>
      <w:r>
        <w:rPr/>
        <w:t>采购包1（东莞滨海湾未来学校开办教学管理信息化建设项目）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合同签定之日起40日内完成项目供货、安装调试。</w:t>
            </w:r>
          </w:p>
        </w:tc>
      </w:tr>
      <w:tr>
        <w:tc>
          <w:tcPr>
            <w:tcW w:type="dxa" w:w="4153"/>
          </w:tcPr>
          <w:p>
            <w:pPr>
              <w:pStyle w:val="null3"/>
            </w:pPr>
            <w:r>
              <w:rPr/>
              <w:t>标的提供的地点</w:t>
            </w:r>
          </w:p>
        </w:tc>
        <w:tc>
          <w:tcPr>
            <w:tcW w:type="dxa" w:w="4153"/>
          </w:tcPr>
          <w:p>
            <w:pPr>
              <w:pStyle w:val="null3"/>
            </w:pPr>
            <w:r>
              <w:rPr/>
              <w:t>东莞滨海湾未来学校 (采购人指定地点)</w:t>
            </w:r>
          </w:p>
        </w:tc>
      </w:tr>
      <w:tr>
        <w:tc>
          <w:tcPr>
            <w:tcW w:type="dxa" w:w="4153"/>
          </w:tcPr>
          <w:p>
            <w:pPr>
              <w:pStyle w:val="null3"/>
            </w:pPr>
            <w:r>
              <w:rPr/>
              <w:t>付款方式</w:t>
            </w:r>
          </w:p>
        </w:tc>
        <w:tc>
          <w:tcPr>
            <w:tcW w:type="dxa" w:w="4153"/>
          </w:tcPr>
          <w:p>
            <w:pPr>
              <w:pStyle w:val="null3"/>
            </w:pPr>
            <w:r>
              <w:rPr/>
              <w:t>1期：支付比例20%,签订合同后中标人向采购人提供等额发票等付款资料后，采购人在30个工作日内支付合同总价的20%；</w:t>
            </w:r>
          </w:p>
          <w:p>
            <w:pPr>
              <w:pStyle w:val="null3"/>
            </w:pPr>
            <w:r>
              <w:rPr/>
              <w:t>2期：支付比例30%,主要设备到场，经采购人验收确认并且中标人向采购人提供等额发票及相关付款资料后30个工作日内，采购人支付合同总金额的30%；</w:t>
            </w:r>
          </w:p>
          <w:p>
            <w:pPr>
              <w:pStyle w:val="null3"/>
            </w:pPr>
            <w:r>
              <w:rPr/>
              <w:t>3期：支付比例30%,所有货物到场全部安装调试完毕并完成初验，中标人向采购人提供等额发票等付款资料后，采购人在30个工作日内支付合同总金额的30%；</w:t>
            </w:r>
          </w:p>
          <w:p>
            <w:pPr>
              <w:pStyle w:val="null3"/>
            </w:pPr>
            <w:r>
              <w:rPr/>
              <w:t>4期：支付比例20%,项目竣工，经采购人最终验收合格、进行项目实际结算后，中标人向采购人提供等额发票等付款资料后，采购人在30个工作日内支付至最终实际结算价的100% ；说明：最终结算价以新区财政部门审定为准，最终实际结算时参照《关于印发东莞市财政性资金投资基本建设项目工程价款管理办法的通知（东财〔2021〕20号）》的规定执行。</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1期：初验，经采购人现场初步验收合格达到使用需求（采购人按国家有关规定、规范组织项目验收，必要时邀请相关的专业人员或机构参与验收）。</w:t>
            </w:r>
          </w:p>
          <w:p>
            <w:pPr>
              <w:pStyle w:val="null3"/>
            </w:pPr>
            <w:r>
              <w:rPr/>
              <w:t>2期：终验，初验通过后试运行3个月以上，且所有货物正常使用且实现项目目标要求，并经采购人与使用方共同确认（采购人按国家有关规定、规范组织项目验收，必要时邀请相关的专业人员或机构参与验收）。</w:t>
            </w:r>
          </w:p>
        </w:tc>
      </w:tr>
      <w:tr>
        <w:tc>
          <w:tcPr>
            <w:tcW w:type="dxa" w:w="4153"/>
          </w:tcPr>
          <w:p>
            <w:pPr>
              <w:pStyle w:val="null3"/>
            </w:pPr>
            <w:r>
              <w:rPr/>
              <w:t>履约保证金</w:t>
            </w:r>
          </w:p>
        </w:tc>
        <w:tc>
          <w:tcPr>
            <w:tcW w:type="dxa" w:w="4153"/>
          </w:tcPr>
          <w:p>
            <w:pPr>
              <w:pStyle w:val="null3"/>
            </w:pPr>
            <w:r>
              <w:rPr/>
              <w:t>收取比例：5%,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合同期满后或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一、报价要求，投标报价采取打包报价的方式，投标报价包括材料、工具、人工、管理费、利润、税金、风险、招标代理费用等一切因素所有应该和可能发生的费用因素。</w:t>
            </w:r>
          </w:p>
          <w:p>
            <w:pPr>
              <w:pStyle w:val="null3"/>
            </w:pPr>
            <w:r>
              <w:rPr/>
              <w:t>二、质量保证及售后服务要求，1、需在投标文件中详细列明货物的质量保证措施及售后服务承诺，包括货物免费保修期、故障处理、出现质量问题责任归属、质量事故赔偿方案等。 2、★项目维保期：整体项目提供不少于一年的免费维保期，维保期自竣工验收之日起计算。维保期内免费提供维护、保修、技术支持等服务。维保期内，货物质量出现问题，负责提供三包 (包修、包换、包退) 服务。维保期内，若需要上门服务，由此产生的费用均不再收取。 3、须具有相应的售后服务能力，包括拥有相应的替代产品和人员。在保修期内，投标人须有可随时上门进行维修及检测的维修技术人员。 4、维保期内货物各部件发生非人为故障的，中标人应免费上门更换同种品牌规格型号的新部件；货物发生人为故障的，中标人应上门更换同种品牌规格型号的新部件，只收零配件成本，不得加收其它任何费用，提供软件的免费维护和升级服务。 5、免费提供货物安装、调试、使用培训；免费提供24小时技术支持；永久性免费提供电话技术指导和咨询服务；提供长期上门维修服务；定期进行货物免费检修。 6、免费维保期内，货物故障报修响应时间为：故障响应时间不超过半小时，到达现场时间不超过24小时；当天无法修复的，需提供同等规格的产品代用，直至故障设备修复，中标人负责所有因设备质量问题而产生的费用。</w:t>
            </w:r>
          </w:p>
          <w:p>
            <w:pPr>
              <w:pStyle w:val="null3"/>
            </w:pPr>
            <w:r>
              <w:rPr/>
              <w:t>三、其他要求，投标人应充分结合本招标文件上下文了解项目招标需求、采购文件未尽事宜，将在合同签订或项目执行过程中双方协商确定，供应商须无条件满足采购单位的合理要求。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东莞滨海湾未来学校开办教学管理信息化建设项目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8,275,066.14</w:t>
            </w:r>
          </w:p>
        </w:tc>
        <w:tc>
          <w:tcPr>
            <w:tcW w:type="dxa" w:w="831"/>
          </w:tcPr>
          <w:p>
            <w:pPr>
              <w:pStyle w:val="null3"/>
              <w:jc w:val="right"/>
            </w:pPr>
            <w:r>
              <w:rPr/>
              <w:t>8,275,066.14</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东莞滨海湾未来学校开办教学管理信息化建设项目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一、项目概述</w:t>
            </w:r>
          </w:p>
          <w:p>
            <w:pPr>
              <w:pStyle w:val="null3"/>
              <w:ind w:left="570"/>
              <w:jc w:val="both"/>
              <w:outlineLvl w:val="1"/>
            </w:pPr>
            <w:r>
              <w:rPr>
                <w:sz w:val="21"/>
                <w:b/>
              </w:rPr>
              <w:t>1.1.</w:t>
            </w:r>
            <w:r>
              <w:rPr>
                <w:sz w:val="21"/>
                <w:b/>
              </w:rPr>
              <w:t>项目概况</w:t>
            </w:r>
          </w:p>
          <w:p>
            <w:pPr>
              <w:pStyle w:val="null3"/>
              <w:ind w:firstLine="420"/>
              <w:jc w:val="both"/>
            </w:pPr>
            <w:r>
              <w:rPr>
                <w:sz w:val="21"/>
              </w:rPr>
              <w:t>东莞滨海湾未来学校位于广深沿江高速北侧、海芯大道西侧、湾区大道东侧。规划用地面积</w:t>
            </w:r>
            <w:r>
              <w:rPr>
                <w:sz w:val="21"/>
              </w:rPr>
              <w:t>73,244.68平方米，总建筑面积约152,185.00平方米，其中地上建筑面积约121,188.00平方米，地下建筑面积约30,997.00平方米。</w:t>
            </w:r>
          </w:p>
          <w:p>
            <w:pPr>
              <w:pStyle w:val="null3"/>
              <w:ind w:firstLine="420"/>
              <w:jc w:val="both"/>
            </w:pPr>
            <w:r>
              <w:rPr>
                <w:sz w:val="21"/>
              </w:rPr>
              <w:t>新建</w:t>
            </w:r>
            <w:r>
              <w:rPr>
                <w:sz w:val="21"/>
              </w:rPr>
              <w:t xml:space="preserve">1号风雨操场及地下室，2号中学教学楼，3号宿舍楼及中学食堂，4号开闭所，5号小学教学楼及游泳馆、图书馆，6号行政楼及小学食堂，7号主入口校门，8号次入口校门。东莞滨海湾外国语学校是一所九年一贯制公办学校，办学规模为小学48个班、每班45人，共设学位数2160个，初中48个班、每班50人，共设学位数2400个，中小学合计共计96个班、4560个学位。       </w:t>
            </w:r>
          </w:p>
          <w:p>
            <w:pPr>
              <w:pStyle w:val="null3"/>
              <w:ind w:firstLine="420"/>
              <w:jc w:val="both"/>
            </w:pPr>
            <w:r>
              <w:rPr>
                <w:sz w:val="21"/>
              </w:rPr>
              <w:t>学校以素质教育、未来发展作为办学方向，努力创建东莞具有示范性、于湾区具有影响力的基础教育名校，为东莞教育事业高质量发展增添新动力。</w:t>
            </w:r>
          </w:p>
          <w:p>
            <w:pPr>
              <w:pStyle w:val="null3"/>
              <w:ind w:left="570"/>
              <w:jc w:val="both"/>
              <w:outlineLvl w:val="1"/>
            </w:pPr>
            <w:r>
              <w:rPr>
                <w:sz w:val="21"/>
                <w:b/>
              </w:rPr>
              <w:t>1.2.</w:t>
            </w:r>
            <w:r>
              <w:rPr>
                <w:sz w:val="21"/>
                <w:b/>
              </w:rPr>
              <w:t>建设目标</w:t>
            </w:r>
          </w:p>
          <w:p>
            <w:pPr>
              <w:pStyle w:val="null3"/>
              <w:ind w:firstLine="420"/>
              <w:jc w:val="both"/>
            </w:pPr>
            <w:r>
              <w:rPr>
                <w:sz w:val="21"/>
              </w:rPr>
              <w:t>利用先进成熟的信息技术，通过科学合理的管理规范与完备通用的技术规范，基于统一的信息标准整合、集成各种信息资源，实现安全、可靠、可扩展、易维护的通用系统平台，提高学校各项管理工作的信息化，为广大师生提供简便、快捷的信息服务。</w:t>
            </w:r>
          </w:p>
          <w:p>
            <w:pPr>
              <w:pStyle w:val="null3"/>
              <w:ind w:left="570"/>
              <w:jc w:val="both"/>
              <w:outlineLvl w:val="1"/>
            </w:pPr>
            <w:r>
              <w:rPr>
                <w:sz w:val="21"/>
                <w:b/>
              </w:rPr>
              <w:t>1.3.</w:t>
            </w:r>
            <w:r>
              <w:rPr>
                <w:sz w:val="21"/>
                <w:b/>
              </w:rPr>
              <w:t>建设原则</w:t>
            </w:r>
          </w:p>
          <w:p>
            <w:pPr>
              <w:pStyle w:val="null3"/>
              <w:ind w:firstLine="420"/>
              <w:jc w:val="both"/>
            </w:pPr>
            <w:r>
              <w:rPr>
                <w:sz w:val="21"/>
              </w:rPr>
              <w:t>随着现代教育理论研究和教育改革的不断深入，以网络技术和多媒体技术为核心的现代教育技术，已在校园的教学变革中发挥着积极的作用，</w:t>
            </w:r>
            <w:r>
              <w:rPr>
                <w:sz w:val="21"/>
              </w:rPr>
              <w:t>“数字化&amp;智能化时代”的到来，为现代教育发展提出了更高的目标。在建设时应考虑系统“</w:t>
            </w:r>
            <w:r>
              <w:rPr>
                <w:sz w:val="21"/>
              </w:rPr>
              <w:t>前瞻性</w:t>
            </w:r>
            <w:r>
              <w:rPr>
                <w:sz w:val="21"/>
              </w:rPr>
              <w:t>、实用性、易用性、可靠性、安全性、开放性</w:t>
            </w:r>
            <w:r>
              <w:rPr>
                <w:sz w:val="21"/>
              </w:rPr>
              <w:t>”的系统平台，实现系统可扩展、可持续地发展原则。</w:t>
            </w:r>
          </w:p>
          <w:p>
            <w:pPr>
              <w:pStyle w:val="null3"/>
              <w:ind w:firstLine="422"/>
              <w:jc w:val="both"/>
            </w:pPr>
            <w:r>
              <w:rPr>
                <w:sz w:val="21"/>
                <w:b/>
              </w:rPr>
              <w:t>前瞻性</w:t>
            </w:r>
          </w:p>
          <w:p>
            <w:pPr>
              <w:pStyle w:val="null3"/>
              <w:ind w:firstLine="420"/>
              <w:jc w:val="both"/>
            </w:pPr>
            <w:r>
              <w:rPr>
                <w:sz w:val="21"/>
              </w:rPr>
              <w:t>系统遵循国际、国家标准规范，采用先进、成熟的技术和施工工艺，以便跟上信息技术的发展。技术的先进并能够兼容技术发展趋势，在充分体现该项目的整体特性的同时注意系统设置的经济效益。</w:t>
            </w:r>
          </w:p>
          <w:p>
            <w:pPr>
              <w:pStyle w:val="null3"/>
              <w:ind w:firstLine="420"/>
              <w:jc w:val="both"/>
            </w:pPr>
            <w:r>
              <w:rPr>
                <w:sz w:val="21"/>
              </w:rPr>
              <w:t>系统设置注重数字校园使用功能的专业特点，同时满足其</w:t>
            </w:r>
            <w:r>
              <w:rPr>
                <w:sz w:val="21"/>
              </w:rPr>
              <w:t>前瞻性</w:t>
            </w:r>
            <w:r>
              <w:rPr>
                <w:sz w:val="21"/>
              </w:rPr>
              <w:t>、超前性要求，采用与技术发展潮流相吻合的产品，建立一个可扩展的平台，保证前期工程和后续先进技术的衔接。</w:t>
            </w:r>
          </w:p>
          <w:p>
            <w:pPr>
              <w:pStyle w:val="null3"/>
              <w:ind w:firstLine="420"/>
              <w:jc w:val="both"/>
            </w:pPr>
            <w:r>
              <w:rPr>
                <w:sz w:val="21"/>
              </w:rPr>
              <w:t>系统设置综合平衡，主要系统达到国内先进水准，除考虑建设时的一次性投资外，还充分考虑系统的运行成本，使之达到最小化。</w:t>
            </w:r>
          </w:p>
          <w:p>
            <w:pPr>
              <w:pStyle w:val="null3"/>
              <w:ind w:firstLine="422"/>
              <w:jc w:val="both"/>
            </w:pPr>
            <w:r>
              <w:rPr>
                <w:sz w:val="21"/>
                <w:b/>
              </w:rPr>
              <w:t>实用性</w:t>
            </w:r>
          </w:p>
          <w:p>
            <w:pPr>
              <w:pStyle w:val="null3"/>
              <w:ind w:firstLine="420"/>
              <w:jc w:val="both"/>
            </w:pPr>
            <w:r>
              <w:rPr>
                <w:sz w:val="21"/>
              </w:rPr>
              <w:t>系统建设的核心目的就是</w:t>
            </w:r>
            <w:r>
              <w:rPr>
                <w:sz w:val="21"/>
              </w:rPr>
              <w:t>“应用”，须坚持实用的设计原则，紧紧围绕学校的实际需求。系统应遵循全面规划和分步实施原则，设计全面、周到，注意预留、预埋到位并有充分余量，以适应未来发展的需要。</w:t>
            </w:r>
          </w:p>
          <w:p>
            <w:pPr>
              <w:pStyle w:val="null3"/>
              <w:ind w:firstLine="422"/>
              <w:jc w:val="both"/>
            </w:pPr>
            <w:r>
              <w:rPr>
                <w:sz w:val="21"/>
                <w:b/>
              </w:rPr>
              <w:t>易用性</w:t>
            </w:r>
          </w:p>
          <w:p>
            <w:pPr>
              <w:pStyle w:val="null3"/>
              <w:ind w:firstLine="420"/>
              <w:jc w:val="both"/>
            </w:pPr>
            <w:r>
              <w:rPr>
                <w:sz w:val="21"/>
              </w:rPr>
              <w:t>系统采用统一管理模式，确保结构清晰，简单易用、操作灵活、维护方便、管理简便。</w:t>
            </w:r>
          </w:p>
          <w:p>
            <w:pPr>
              <w:pStyle w:val="null3"/>
              <w:ind w:firstLine="422"/>
              <w:jc w:val="both"/>
            </w:pPr>
            <w:r>
              <w:rPr>
                <w:sz w:val="21"/>
                <w:b/>
              </w:rPr>
              <w:t>可靠性</w:t>
            </w:r>
          </w:p>
          <w:p>
            <w:pPr>
              <w:pStyle w:val="null3"/>
              <w:ind w:firstLine="420"/>
              <w:jc w:val="both"/>
            </w:pPr>
            <w:r>
              <w:rPr>
                <w:sz w:val="21"/>
              </w:rPr>
              <w:t>系统支撑着整个学校的日常管理，必须具有高可靠性、高容错性和强大的数据处理能力。因此，使用成熟的热备份技术和集群技术，以确保不间断运行、确保局部出错不影响整体、确保快速响应。</w:t>
            </w:r>
          </w:p>
          <w:p>
            <w:pPr>
              <w:pStyle w:val="null3"/>
              <w:ind w:firstLine="422"/>
              <w:jc w:val="both"/>
            </w:pPr>
            <w:r>
              <w:rPr>
                <w:sz w:val="21"/>
                <w:b/>
              </w:rPr>
              <w:t>安全性</w:t>
            </w:r>
          </w:p>
          <w:p>
            <w:pPr>
              <w:pStyle w:val="null3"/>
              <w:ind w:firstLine="420"/>
              <w:jc w:val="both"/>
            </w:pPr>
            <w:r>
              <w:rPr>
                <w:sz w:val="21"/>
              </w:rPr>
              <w:t>系统涉及到学校相关敏感数据，安全运行至关重要。因此，必须构建全方位、多层次、完善的安全保障体系，通过安全制度建设和安全教育培训，在保证物理安全和网络安全的基础上，保证数据安全。</w:t>
            </w:r>
          </w:p>
          <w:p>
            <w:pPr>
              <w:pStyle w:val="null3"/>
              <w:ind w:firstLine="422"/>
              <w:jc w:val="both"/>
            </w:pPr>
            <w:r>
              <w:rPr>
                <w:sz w:val="21"/>
                <w:b/>
              </w:rPr>
              <w:t>开放性</w:t>
            </w:r>
          </w:p>
          <w:p>
            <w:pPr>
              <w:pStyle w:val="null3"/>
              <w:ind w:firstLine="420"/>
              <w:jc w:val="both"/>
            </w:pPr>
            <w:r>
              <w:rPr>
                <w:sz w:val="21"/>
              </w:rPr>
              <w:t>系统须具有良好的开放性和兼容性。整合、集成各类应用系统和各种信息资源，以满足现状、适应发展。系统提供符合国际标准的软件、硬件、通信、网络操作系统和数据库管理系统等诸方面的接口与工具，使系统具备良好的兼容性、扩展性和可移植性。</w:t>
            </w:r>
          </w:p>
          <w:p>
            <w:pPr>
              <w:pStyle w:val="null3"/>
              <w:ind w:left="570"/>
              <w:jc w:val="both"/>
              <w:outlineLvl w:val="1"/>
            </w:pPr>
            <w:r>
              <w:rPr>
                <w:sz w:val="21"/>
                <w:b/>
              </w:rPr>
              <w:t>1.4.</w:t>
            </w:r>
            <w:r>
              <w:rPr>
                <w:sz w:val="21"/>
                <w:b/>
              </w:rPr>
              <w:t>标准规范</w:t>
            </w:r>
          </w:p>
          <w:p>
            <w:pPr>
              <w:pStyle w:val="null3"/>
              <w:ind w:firstLine="420"/>
              <w:jc w:val="both"/>
            </w:pPr>
            <w:r>
              <w:rPr>
                <w:sz w:val="21"/>
              </w:rPr>
              <w:t>东莞市中小学（幼儿园）、中等职业学校智慧校园建设指引</w:t>
            </w:r>
          </w:p>
          <w:p>
            <w:pPr>
              <w:pStyle w:val="null3"/>
              <w:ind w:firstLine="420"/>
              <w:jc w:val="both"/>
            </w:pPr>
            <w:r>
              <w:rPr>
                <w:sz w:val="21"/>
              </w:rPr>
              <w:t>东莞市普通中小学校设施设备配备标准指引</w:t>
            </w:r>
          </w:p>
          <w:p>
            <w:pPr>
              <w:pStyle w:val="null3"/>
              <w:ind w:firstLine="420"/>
              <w:jc w:val="both"/>
            </w:pPr>
            <w:r>
              <w:rPr>
                <w:sz w:val="21"/>
              </w:rPr>
              <w:t>教育部有关规定、办法、制度要求及其它相关标准</w:t>
            </w:r>
          </w:p>
          <w:p>
            <w:pPr>
              <w:pStyle w:val="null3"/>
              <w:ind w:firstLine="420"/>
              <w:jc w:val="both"/>
            </w:pPr>
            <w:r>
              <w:rPr>
                <w:sz w:val="21"/>
              </w:rPr>
              <w:t>《供配电系统设计规范》</w:t>
            </w:r>
            <w:r>
              <w:rPr>
                <w:sz w:val="21"/>
              </w:rPr>
              <w:t>GB50052</w:t>
            </w:r>
          </w:p>
          <w:p>
            <w:pPr>
              <w:pStyle w:val="null3"/>
              <w:ind w:firstLine="420"/>
              <w:jc w:val="both"/>
            </w:pPr>
            <w:r>
              <w:rPr>
                <w:sz w:val="21"/>
              </w:rPr>
              <w:t>《综合布线工程设计规范》</w:t>
            </w:r>
            <w:r>
              <w:rPr>
                <w:sz w:val="21"/>
              </w:rPr>
              <w:t>GB50311</w:t>
            </w:r>
          </w:p>
          <w:p>
            <w:pPr>
              <w:pStyle w:val="null3"/>
              <w:ind w:firstLine="420"/>
              <w:jc w:val="both"/>
            </w:pPr>
            <w:r>
              <w:rPr>
                <w:sz w:val="21"/>
              </w:rPr>
              <w:t>《通信电源用阻燃耐火软电缆》</w:t>
            </w:r>
            <w:r>
              <w:rPr>
                <w:sz w:val="21"/>
              </w:rPr>
              <w:t>YDT1173</w:t>
            </w:r>
          </w:p>
          <w:p>
            <w:pPr>
              <w:pStyle w:val="null3"/>
              <w:ind w:firstLine="420"/>
              <w:jc w:val="both"/>
            </w:pPr>
            <w:r>
              <w:rPr>
                <w:sz w:val="21"/>
              </w:rPr>
              <w:t>《层绞式通信用室外光缆》</w:t>
            </w:r>
            <w:r>
              <w:rPr>
                <w:sz w:val="21"/>
              </w:rPr>
              <w:t>YDT901</w:t>
            </w:r>
          </w:p>
          <w:p>
            <w:pPr>
              <w:pStyle w:val="null3"/>
              <w:ind w:firstLine="420"/>
              <w:jc w:val="both"/>
            </w:pPr>
            <w:r>
              <w:rPr>
                <w:sz w:val="21"/>
              </w:rPr>
              <w:t>《室内光缆系列第三部分：双芯光缆》</w:t>
            </w:r>
            <w:r>
              <w:rPr>
                <w:sz w:val="21"/>
              </w:rPr>
              <w:t>YDT1258.3</w:t>
            </w:r>
          </w:p>
          <w:p>
            <w:pPr>
              <w:pStyle w:val="null3"/>
              <w:ind w:firstLine="420"/>
              <w:jc w:val="both"/>
            </w:pPr>
            <w:r>
              <w:rPr>
                <w:sz w:val="21"/>
              </w:rPr>
              <w:t>《智能建筑设计标准》</w:t>
            </w:r>
            <w:r>
              <w:rPr>
                <w:sz w:val="21"/>
              </w:rPr>
              <w:t>GB/T50314</w:t>
            </w:r>
          </w:p>
          <w:p>
            <w:pPr>
              <w:pStyle w:val="null3"/>
              <w:ind w:firstLine="420"/>
              <w:jc w:val="both"/>
            </w:pPr>
            <w:r>
              <w:rPr>
                <w:sz w:val="21"/>
              </w:rPr>
              <w:t>《厅堂扩声系统设计规范》</w:t>
            </w:r>
            <w:r>
              <w:rPr>
                <w:sz w:val="21"/>
              </w:rPr>
              <w:t>GB50371</w:t>
            </w:r>
          </w:p>
          <w:p>
            <w:pPr>
              <w:pStyle w:val="null3"/>
              <w:ind w:firstLine="420"/>
              <w:jc w:val="both"/>
            </w:pPr>
            <w:r>
              <w:rPr>
                <w:sz w:val="21"/>
              </w:rPr>
              <w:t>《建筑物电子信息系统防雷技术规范》</w:t>
            </w:r>
            <w:r>
              <w:rPr>
                <w:sz w:val="21"/>
              </w:rPr>
              <w:t>GB50343</w:t>
            </w:r>
          </w:p>
          <w:p>
            <w:pPr>
              <w:pStyle w:val="null3"/>
              <w:ind w:firstLine="420"/>
              <w:jc w:val="both"/>
            </w:pPr>
            <w:r>
              <w:rPr>
                <w:sz w:val="21"/>
              </w:rPr>
              <w:t>《防静电活动地板通用规范》</w:t>
            </w:r>
            <w:r>
              <w:rPr>
                <w:sz w:val="21"/>
              </w:rPr>
              <w:t>GB/T36340</w:t>
            </w:r>
          </w:p>
          <w:p>
            <w:pPr>
              <w:pStyle w:val="null3"/>
              <w:ind w:firstLine="420"/>
              <w:jc w:val="both"/>
            </w:pPr>
            <w:r>
              <w:rPr>
                <w:sz w:val="21"/>
              </w:rPr>
              <w:t>《电子信息系统机房施工及验收规范》</w:t>
            </w:r>
            <w:r>
              <w:rPr>
                <w:sz w:val="21"/>
              </w:rPr>
              <w:t>GB50462</w:t>
            </w:r>
          </w:p>
          <w:p>
            <w:pPr>
              <w:pStyle w:val="null3"/>
              <w:ind w:firstLine="420"/>
              <w:jc w:val="both"/>
            </w:pPr>
            <w:r>
              <w:rPr>
                <w:sz w:val="21"/>
              </w:rPr>
              <w:t>《综合布线工程验收规范》</w:t>
            </w:r>
            <w:r>
              <w:rPr>
                <w:sz w:val="21"/>
              </w:rPr>
              <w:t>GB50312</w:t>
            </w:r>
          </w:p>
          <w:p>
            <w:pPr>
              <w:pStyle w:val="null3"/>
              <w:ind w:firstLine="420"/>
              <w:jc w:val="both"/>
            </w:pPr>
            <w:r>
              <w:rPr>
                <w:sz w:val="21"/>
              </w:rPr>
              <w:t>《智能建筑工程质量验收规范》</w:t>
            </w:r>
            <w:r>
              <w:rPr>
                <w:sz w:val="21"/>
              </w:rPr>
              <w:t>GB50339</w:t>
            </w:r>
          </w:p>
          <w:p>
            <w:pPr>
              <w:pStyle w:val="null3"/>
              <w:ind w:firstLine="420"/>
              <w:jc w:val="both"/>
            </w:pPr>
            <w:r>
              <w:rPr>
                <w:sz w:val="21"/>
              </w:rPr>
              <w:t>《钢导管配线安装》</w:t>
            </w:r>
            <w:r>
              <w:rPr>
                <w:sz w:val="21"/>
              </w:rPr>
              <w:t>03D301-3</w:t>
            </w:r>
          </w:p>
          <w:p>
            <w:pPr>
              <w:pStyle w:val="null3"/>
              <w:ind w:firstLine="420"/>
              <w:jc w:val="both"/>
            </w:pPr>
            <w:r>
              <w:rPr>
                <w:sz w:val="21"/>
              </w:rPr>
              <w:t>《地下通信线缆敷设》</w:t>
            </w:r>
            <w:r>
              <w:rPr>
                <w:sz w:val="21"/>
              </w:rPr>
              <w:t>05X101-2</w:t>
            </w:r>
          </w:p>
          <w:p>
            <w:pPr>
              <w:pStyle w:val="null3"/>
              <w:ind w:firstLine="420"/>
              <w:jc w:val="both"/>
            </w:pPr>
            <w:r>
              <w:rPr>
                <w:sz w:val="21"/>
              </w:rPr>
              <w:t>《建筑电气工程施工质量验收规范》</w:t>
            </w:r>
            <w:r>
              <w:rPr>
                <w:sz w:val="21"/>
              </w:rPr>
              <w:t>GB50303</w:t>
            </w:r>
          </w:p>
          <w:p>
            <w:pPr>
              <w:pStyle w:val="null3"/>
              <w:ind w:firstLine="420"/>
              <w:jc w:val="both"/>
            </w:pPr>
            <w:r>
              <w:rPr>
                <w:sz w:val="21"/>
              </w:rPr>
              <w:t>《建筑工程施工质量验收统一标准》</w:t>
            </w:r>
            <w:r>
              <w:rPr>
                <w:sz w:val="21"/>
              </w:rPr>
              <w:t>GB50300</w:t>
            </w:r>
          </w:p>
          <w:p>
            <w:pPr>
              <w:pStyle w:val="null3"/>
              <w:ind w:firstLine="420"/>
              <w:jc w:val="both"/>
            </w:pPr>
            <w:r>
              <w:rPr>
                <w:sz w:val="21"/>
              </w:rPr>
              <w:t>《电子计算机场地通用规范》</w:t>
            </w:r>
            <w:r>
              <w:rPr>
                <w:sz w:val="21"/>
              </w:rPr>
              <w:t>GB/T2887</w:t>
            </w:r>
          </w:p>
          <w:p>
            <w:pPr>
              <w:pStyle w:val="null3"/>
              <w:ind w:left="570"/>
              <w:jc w:val="both"/>
              <w:outlineLvl w:val="1"/>
            </w:pPr>
            <w:r>
              <w:rPr>
                <w:sz w:val="21"/>
                <w:b/>
              </w:rPr>
              <w:t>1.5.</w:t>
            </w:r>
            <w:r>
              <w:rPr>
                <w:sz w:val="21"/>
                <w:b/>
              </w:rPr>
              <w:t>建设内容</w:t>
            </w:r>
          </w:p>
          <w:p>
            <w:pPr>
              <w:pStyle w:val="null3"/>
              <w:ind w:firstLine="420"/>
              <w:jc w:val="both"/>
            </w:pPr>
            <w:r>
              <w:rPr>
                <w:sz w:val="21"/>
              </w:rPr>
              <w:t>考虑到学校信息化建设三到五年内的应用建设变化发展所需要的系统伸缩性和扩展性要求，保证技术</w:t>
            </w:r>
            <w:r>
              <w:rPr>
                <w:sz w:val="21"/>
              </w:rPr>
              <w:t>前瞻性</w:t>
            </w:r>
            <w:r>
              <w:rPr>
                <w:sz w:val="21"/>
              </w:rPr>
              <w:t>、现实性和发展性，最大限度地保护既有的投资，减少对系统的维护和未来开发的成本，保证项目在技术上、经济上的可持续性发展。</w:t>
            </w:r>
            <w:r>
              <w:rPr>
                <w:sz w:val="21"/>
                <w:b/>
              </w:rPr>
              <w:t>主要建设内容如下：</w:t>
            </w:r>
          </w:p>
          <w:p>
            <w:pPr>
              <w:pStyle w:val="null3"/>
              <w:ind w:firstLine="420"/>
              <w:jc w:val="both"/>
            </w:pPr>
            <w:r>
              <w:rPr>
                <w:sz w:val="21"/>
              </w:rPr>
              <w:t>1、多媒体教学平台：实现多媒体教学、现场演示、课件教学、演讲培训，同时还提供了交互式学习方式，老师可以通过预设情景，充分调动学生的想象力，让学生融入到课堂之中，从而实现活泼课堂的目标。</w:t>
            </w:r>
          </w:p>
          <w:p>
            <w:pPr>
              <w:pStyle w:val="null3"/>
              <w:ind w:firstLine="420"/>
              <w:jc w:val="both"/>
            </w:pPr>
            <w:r>
              <w:rPr>
                <w:sz w:val="21"/>
              </w:rPr>
              <w:t>2、报告厅：报告厅是学校大中小型会议、集中教学、学生课外活动实践、对外交流场所，可举办大中小型会议、各类学术报告会、多媒体教学、学生演讲、年终总结、中小型文艺演出、话剧、社团活动等课外实践活动。</w:t>
            </w:r>
          </w:p>
          <w:p>
            <w:pPr>
              <w:pStyle w:val="null3"/>
              <w:ind w:firstLine="420"/>
              <w:jc w:val="both"/>
            </w:pPr>
            <w:r>
              <w:rPr>
                <w:sz w:val="21"/>
              </w:rPr>
              <w:t>3、智能会议室：主要应用于学校年级会议、教学研讨、行政会议使用，满足与管委会日常视频会议通讯。</w:t>
            </w:r>
          </w:p>
          <w:p>
            <w:pPr>
              <w:pStyle w:val="null3"/>
              <w:ind w:firstLine="420"/>
              <w:jc w:val="both"/>
            </w:pPr>
            <w:r>
              <w:rPr>
                <w:sz w:val="21"/>
              </w:rPr>
              <w:t>4、录播系统：供各年级精品课程、远程教育、优质课评比、公开课使用，等教育活动。系统可以将教师授课内容录制下来，制作成精品教学课件，供学生和老师查阅，实现优质教学资源共享。</w:t>
            </w:r>
          </w:p>
          <w:p>
            <w:pPr>
              <w:pStyle w:val="null3"/>
              <w:ind w:firstLine="420"/>
              <w:jc w:val="both"/>
            </w:pPr>
            <w:r>
              <w:rPr>
                <w:sz w:val="21"/>
              </w:rPr>
              <w:t>5、校园电视台：主要应用于学校年级直播、微课制作、会议使用。</w:t>
            </w:r>
          </w:p>
          <w:p>
            <w:pPr>
              <w:pStyle w:val="null3"/>
              <w:ind w:firstLine="420"/>
              <w:jc w:val="both"/>
            </w:pPr>
            <w:r>
              <w:rPr>
                <w:sz w:val="21"/>
              </w:rPr>
              <w:t>6、计算机教室：学生在这里可以学习计算机基础知识、掌握基本操作技能、简易编程、保障学生在校能够享受现代教育技术。</w:t>
            </w:r>
          </w:p>
          <w:p>
            <w:pPr>
              <w:pStyle w:val="null3"/>
              <w:ind w:firstLine="420"/>
              <w:jc w:val="both"/>
            </w:pPr>
            <w:r>
              <w:rPr>
                <w:sz w:val="21"/>
              </w:rPr>
              <w:t>7、智慧图书馆：实现图书馆管理信息化和服务形式智能化，创新图书借阅方式，简化图书借阅管理，将馆藏资源推送到楼层、课堂，促进师生便捷、有效阅读。</w:t>
            </w:r>
          </w:p>
          <w:p>
            <w:pPr>
              <w:pStyle w:val="null3"/>
              <w:ind w:firstLine="420"/>
              <w:jc w:val="both"/>
            </w:pPr>
            <w:r>
              <w:rPr>
                <w:sz w:val="21"/>
              </w:rPr>
              <w:t>8、球类计分计时系统：用于篮球、羽毛球、排球，计时计分。</w:t>
            </w:r>
          </w:p>
          <w:p>
            <w:pPr>
              <w:pStyle w:val="null3"/>
              <w:ind w:firstLine="420"/>
              <w:jc w:val="both"/>
            </w:pPr>
            <w:r>
              <w:rPr>
                <w:sz w:val="21"/>
              </w:rPr>
              <w:t>9、游泳馆计分及球类计分计时系统：满足学生中考游泳考试及游泳比赛要求，可用于中考考试及比赛的游泳计时，也能作为监视记录设备用于日常训练。</w:t>
            </w:r>
          </w:p>
          <w:p>
            <w:pPr>
              <w:pStyle w:val="null3"/>
              <w:ind w:firstLine="420"/>
              <w:jc w:val="both"/>
            </w:pPr>
            <w:r>
              <w:rPr>
                <w:sz w:val="21"/>
              </w:rPr>
              <w:t>10、纸笔课堂系统：通过智能笔的形式采集教与学的过程数据，实现教学过程的数字化，并能提供相应的分析报表及统计数据，实现因材施教、个性化教学与学习的重要组成。</w:t>
            </w:r>
          </w:p>
          <w:p>
            <w:pPr>
              <w:pStyle w:val="null3"/>
              <w:ind w:firstLine="420"/>
              <w:jc w:val="both"/>
            </w:pPr>
            <w:r>
              <w:rPr>
                <w:sz w:val="21"/>
              </w:rPr>
              <w:t>11、智慧体育体测空间系统：体育体测空间系统是为了促进学生的身体健康和全面发展，提高学生的体育素养和运动能力。系统结合人工智能和物联网技术，实现与学生、教师和家长的互动，提供个性化的体育教学和管理服务，以及全方位的运动监控和评估功能。包括智能体测，以体测室为基础，实现体质健康测试项目的智能化测试和分析。</w:t>
            </w:r>
          </w:p>
          <w:p>
            <w:pPr>
              <w:pStyle w:val="null3"/>
              <w:ind w:firstLine="420"/>
              <w:jc w:val="both"/>
            </w:pPr>
            <w:r>
              <w:rPr>
                <w:sz w:val="21"/>
              </w:rPr>
              <w:t>12、云阅卷系统及分析系统：实现客观题自动阅卷，生成相关报表和成绩分析。</w:t>
            </w:r>
          </w:p>
          <w:p>
            <w:pPr>
              <w:pStyle w:val="null3"/>
              <w:ind w:firstLine="420"/>
              <w:jc w:val="both"/>
            </w:pPr>
            <w:r>
              <w:rPr>
                <w:sz w:val="21"/>
              </w:rPr>
              <w:t>13、心育辅导室系统：使学生学会学习和生活，正确认识自我，提高自主自助和自我教育能力，增强调控情绪、承受挫折、适应环境的能力，培养学生健全的人格和良好的个性心理品质；对有心理困扰或心理问题的学生，进行科学有效的心理辅导，及时给予必要的危机干预，提高其心理健康水平，培养他们积极乐观、健康向上的心理品质。</w:t>
            </w:r>
          </w:p>
          <w:p>
            <w:pPr>
              <w:pStyle w:val="null3"/>
              <w:ind w:firstLine="420"/>
              <w:jc w:val="both"/>
            </w:pPr>
            <w:r>
              <w:rPr>
                <w:sz w:val="21"/>
              </w:rPr>
              <w:t>14、教学管理系统：能一站式解决学校行政管理人员和广大教师的综合管理，是学校行政人员高效处理三处一室部门业务，对科组、年级、班级、教师和学生进行精细化管理的利器，能让学校从容应对新形势，做好数字化转型的关键系统。</w:t>
            </w:r>
          </w:p>
          <w:p>
            <w:pPr>
              <w:pStyle w:val="null3"/>
              <w:ind w:firstLine="420"/>
              <w:jc w:val="both"/>
            </w:pPr>
            <w:r>
              <w:rPr>
                <w:sz w:val="21"/>
              </w:rPr>
              <w:t>15、智慧班牌系统：是学校文化建设及建设数字化校园的重要组成部分，是学校老师日常工作、班级文化宣传展示以及拓展课堂交流等实现智慧校园的一个很好的应用载体。实现学校老师日常工作与环境美化的完美融合，为全方位培育和打造校园文化环境提供了一个优质的载体。通过将班牌与互联网、数字设备相结合，可以实现信息发布、校园管理、家校互动等多种功能，为学校提供了更加便捷、高效的管理方式。</w:t>
            </w:r>
          </w:p>
          <w:p>
            <w:pPr>
              <w:pStyle w:val="null3"/>
              <w:ind w:firstLine="420"/>
              <w:jc w:val="both"/>
            </w:pPr>
            <w:r>
              <w:rPr>
                <w:sz w:val="21"/>
              </w:rPr>
              <w:t>16、教师招聘系统：系统基于大数平台包括教师招聘后台管理模块、报名平台PC端、报名平台移动端、运维服务等。</w:t>
            </w:r>
          </w:p>
          <w:p>
            <w:pPr>
              <w:pStyle w:val="null3"/>
              <w:ind w:firstLine="420"/>
              <w:jc w:val="both"/>
            </w:pPr>
            <w:r>
              <w:rPr>
                <w:sz w:val="21"/>
              </w:rPr>
              <w:t>17、膳食管理系统：给学生做营养餐的搭配，让家长根据孩子情况选择适合孩子吃的食物（比如有些特殊体质的孩子），通过系统综合考虑多样化搭配，以健康营养的方式给学生做配餐。</w:t>
            </w:r>
          </w:p>
          <w:p>
            <w:pPr>
              <w:pStyle w:val="null3"/>
              <w:ind w:firstLine="420"/>
              <w:jc w:val="both"/>
            </w:pPr>
            <w:r>
              <w:rPr>
                <w:sz w:val="21"/>
              </w:rPr>
              <w:t>18、评价系统：依托大数据精准评价，建设学生综合素质评价系统。通过改进结果评价，强化过程评价，探索增值评价，健全综合评价等方式，引导学生在课程评价中学会发现自己，提升自己。系统包括数据中台、大数据分析平台、业务支撑、日常管理、评价处理系统等。</w:t>
            </w:r>
          </w:p>
          <w:p>
            <w:pPr>
              <w:pStyle w:val="null3"/>
              <w:ind w:firstLine="420"/>
              <w:jc w:val="both"/>
            </w:pPr>
            <w:r>
              <w:rPr>
                <w:sz w:val="21"/>
              </w:rPr>
              <w:t>19、大数据精准教学系统：大数据精准教学系统，整合大数据采集、基础数据分析、精准教学、智能练习、教学管理等模块，依托人工智能+大数据技术及大量优质教学资源，基于对学校日常考试、测练、练习作业等全场景学业数据的采集和精准分析，为教师讲评、备课、教研，为学生个性化学习，为管理者科学管理等提供有力数据支持。</w:t>
            </w:r>
          </w:p>
          <w:p>
            <w:pPr>
              <w:pStyle w:val="null3"/>
              <w:ind w:firstLine="420"/>
              <w:jc w:val="both"/>
            </w:pPr>
            <w:r>
              <w:rPr>
                <w:sz w:val="21"/>
              </w:rPr>
              <w:t>20、英语听说模拟测试系统：英语听说模拟测试系统以正式考试为依托，为学校提供基于机房局域网的、常态化的听说考试、智能评分和评价反馈的产品以及资源运营服务。系统可营造真实的英语听说考试场景，为学生提供考试流程全真模拟的考试环境，提高学生的英语听说水平。</w:t>
            </w:r>
          </w:p>
          <w:p>
            <w:pPr>
              <w:pStyle w:val="null3"/>
              <w:ind w:firstLine="420"/>
              <w:jc w:val="both"/>
            </w:pPr>
            <w:r>
              <w:rPr>
                <w:sz w:val="21"/>
              </w:rPr>
              <w:t>21、政务云机房资源池：</w:t>
            </w:r>
          </w:p>
          <w:p>
            <w:pPr>
              <w:pStyle w:val="null3"/>
              <w:ind w:firstLine="420"/>
              <w:jc w:val="both"/>
            </w:pPr>
            <w:r>
              <w:rPr>
                <w:sz w:val="21"/>
              </w:rPr>
              <w:t>校园智联平台资源：</w:t>
            </w:r>
            <w:r>
              <w:rPr>
                <w:sz w:val="21"/>
              </w:rPr>
              <w:t>20核vCPU，192GB内存，5TB存储。（利用现有政务云资源）</w:t>
            </w:r>
          </w:p>
          <w:p>
            <w:pPr>
              <w:pStyle w:val="null3"/>
              <w:ind w:firstLine="420"/>
              <w:jc w:val="both"/>
            </w:pPr>
            <w:r>
              <w:rPr>
                <w:sz w:val="21"/>
              </w:rPr>
              <w:t>教学管理平台资源：</w:t>
            </w:r>
            <w:r>
              <w:rPr>
                <w:sz w:val="21"/>
              </w:rPr>
              <w:t>64核vCPU，512GB内存，20TB存储。（利用现有政务云资源）</w:t>
            </w:r>
          </w:p>
          <w:p>
            <w:pPr>
              <w:pStyle w:val="null3"/>
              <w:ind w:firstLine="422"/>
              <w:jc w:val="both"/>
            </w:pPr>
            <w:r>
              <w:rPr>
                <w:sz w:val="21"/>
                <w:b/>
              </w:rPr>
              <w:t>整个信息化共设置二十一个子系统。</w:t>
            </w:r>
          </w:p>
          <w:p>
            <w:pPr>
              <w:pStyle w:val="null3"/>
              <w:jc w:val="both"/>
              <w:outlineLvl w:val="3"/>
            </w:pPr>
            <w:r>
              <w:rPr>
                <w:sz w:val="24"/>
                <w:b/>
              </w:rPr>
              <w:t>二</w:t>
            </w:r>
            <w:r>
              <w:rPr>
                <w:sz w:val="24"/>
                <w:b/>
              </w:rPr>
              <w:t>.</w:t>
            </w:r>
            <w:r>
              <w:rPr>
                <w:sz w:val="24"/>
                <w:b/>
              </w:rPr>
              <w:t>项目</w:t>
            </w:r>
            <w:r>
              <w:rPr>
                <w:sz w:val="24"/>
                <w:b/>
              </w:rPr>
              <w:t>基本要求</w:t>
            </w:r>
          </w:p>
          <w:p>
            <w:pPr>
              <w:pStyle w:val="null3"/>
              <w:ind w:firstLine="510"/>
              <w:jc w:val="both"/>
            </w:pPr>
            <w:r>
              <w:rPr>
                <w:sz w:val="21"/>
              </w:rPr>
              <w:t>1</w:t>
            </w:r>
            <w:r>
              <w:rPr>
                <w:sz w:val="21"/>
              </w:rPr>
              <w:t>、负责招标文件中对中标人要求的一切事宜及责任。包括货物采购、运输、保管、安装、调试、验收、培训、相关部门验收及保证所有设备和系统正常运行、符合验收标准的一切费用及保修期内的维护保养、相关服务及全部税费等。</w:t>
            </w:r>
          </w:p>
          <w:p>
            <w:pPr>
              <w:pStyle w:val="null3"/>
              <w:ind w:firstLine="510"/>
              <w:jc w:val="both"/>
            </w:pPr>
            <w:r>
              <w:rPr>
                <w:sz w:val="21"/>
              </w:rPr>
              <w:t>2</w:t>
            </w:r>
            <w:r>
              <w:rPr>
                <w:sz w:val="21"/>
              </w:rPr>
              <w:t>、需在投标文件中注明所投标货物的生产商及产地，所有货物在交货时中标人需向采购人提供货物生产商的供货确认及售后服务技术支持的证明文件，并保证所提供的货物必须是国标产品，且是未使用过的、质量可靠的成熟的全新产品，中标人</w:t>
            </w:r>
            <w:r>
              <w:rPr>
                <w:sz w:val="21"/>
              </w:rPr>
              <w:t>需</w:t>
            </w:r>
            <w:r>
              <w:rPr>
                <w:sz w:val="21"/>
              </w:rPr>
              <w:t>随货物装箱提供制造厂的货物</w:t>
            </w:r>
            <w:r>
              <w:rPr>
                <w:sz w:val="21"/>
              </w:rPr>
              <w:t>检测</w:t>
            </w:r>
            <w:r>
              <w:rPr>
                <w:sz w:val="21"/>
              </w:rPr>
              <w:t>报告</w:t>
            </w:r>
            <w:r>
              <w:rPr>
                <w:sz w:val="21"/>
              </w:rPr>
              <w:t>或</w:t>
            </w:r>
            <w:r>
              <w:rPr>
                <w:sz w:val="21"/>
              </w:rPr>
              <w:t>合格证</w:t>
            </w:r>
            <w:r>
              <w:rPr>
                <w:sz w:val="21"/>
              </w:rPr>
              <w:t>、</w:t>
            </w:r>
            <w:r>
              <w:rPr>
                <w:sz w:val="21"/>
              </w:rPr>
              <w:t>质量保证书</w:t>
            </w:r>
            <w:r>
              <w:rPr>
                <w:sz w:val="21"/>
              </w:rPr>
              <w:t>或</w:t>
            </w:r>
            <w:r>
              <w:rPr>
                <w:sz w:val="21"/>
              </w:rPr>
              <w:t>保修卡等证明文件。</w:t>
            </w:r>
          </w:p>
          <w:p>
            <w:pPr>
              <w:pStyle w:val="null3"/>
              <w:ind w:firstLine="510"/>
              <w:jc w:val="both"/>
            </w:pPr>
            <w:r>
              <w:rPr>
                <w:sz w:val="21"/>
              </w:rPr>
              <w:t>3</w:t>
            </w:r>
            <w:r>
              <w:rPr>
                <w:sz w:val="21"/>
              </w:rPr>
              <w:t>、货物及所有配套件的完整性和可靠性。对于文件没有列出，而对该货物的正常使用和维护必不可少的部件、配件等，投标人有责任给予补充，且总报价已包含此部分内容。</w:t>
            </w:r>
          </w:p>
          <w:p>
            <w:pPr>
              <w:pStyle w:val="null3"/>
              <w:ind w:firstLine="510"/>
              <w:jc w:val="both"/>
            </w:pPr>
            <w:r>
              <w:rPr>
                <w:sz w:val="21"/>
              </w:rPr>
              <w:t>4</w:t>
            </w:r>
            <w:r>
              <w:rPr>
                <w:sz w:val="21"/>
              </w:rPr>
              <w:t>、证其提供的货物的任何一部分都达到国家相关安全标准要求，如因货物的质量问题造成事故的，中标人须对此承担责任。</w:t>
            </w:r>
          </w:p>
          <w:p>
            <w:pPr>
              <w:pStyle w:val="null3"/>
              <w:ind w:firstLine="510"/>
              <w:jc w:val="both"/>
            </w:pPr>
            <w:r>
              <w:rPr>
                <w:sz w:val="21"/>
              </w:rPr>
              <w:t>5</w:t>
            </w:r>
            <w:r>
              <w:rPr>
                <w:sz w:val="21"/>
              </w:rPr>
              <w:t>、须将所有货物须按采购人的要求搬运至指定位置，货物及安装设备的运输、装卸、现场保管的费用全部由中标人负责。</w:t>
            </w:r>
          </w:p>
          <w:p>
            <w:pPr>
              <w:pStyle w:val="null3"/>
              <w:ind w:firstLine="510"/>
              <w:jc w:val="both"/>
            </w:pPr>
            <w:r>
              <w:rPr>
                <w:sz w:val="21"/>
              </w:rPr>
              <w:t>6</w:t>
            </w:r>
            <w:r>
              <w:rPr>
                <w:sz w:val="21"/>
              </w:rPr>
              <w:t>、应设有安装负责人，负责安装设备的计划、协调、人力调配及设备质量、安全管理等工作，还应设安装现场技术负责人负责技术，质量监督，安装现场测量，安装质量检查认可等，安装调试期间应驻现场进行配合。</w:t>
            </w:r>
          </w:p>
          <w:p>
            <w:pPr>
              <w:pStyle w:val="null3"/>
              <w:jc w:val="both"/>
              <w:outlineLvl w:val="3"/>
            </w:pPr>
            <w:r>
              <w:rPr>
                <w:sz w:val="24"/>
                <w:b/>
              </w:rPr>
              <w:t>三、</w:t>
            </w:r>
            <w:r>
              <w:rPr>
                <w:sz w:val="24"/>
                <w:b/>
              </w:rPr>
              <w:t>培训要求</w:t>
            </w:r>
          </w:p>
          <w:p>
            <w:pPr>
              <w:pStyle w:val="null3"/>
              <w:ind w:firstLine="510"/>
              <w:jc w:val="both"/>
            </w:pPr>
            <w:r>
              <w:rPr>
                <w:sz w:val="21"/>
              </w:rPr>
              <w:t>中标人在项目实施过程中，结合项目实施进度安排，合理地分期、分批对招标人的相关人员及单位进行培训。负责制定本项目培训方案，编制相关培训教材，组织以下培训工作：</w:t>
            </w:r>
          </w:p>
          <w:p>
            <w:pPr>
              <w:pStyle w:val="null3"/>
              <w:ind w:firstLine="510"/>
              <w:jc w:val="both"/>
            </w:pPr>
            <w:r>
              <w:rPr>
                <w:sz w:val="21"/>
              </w:rPr>
              <w:t>1、系统管理培训。在</w:t>
            </w:r>
            <w:r>
              <w:rPr>
                <w:sz w:val="21"/>
              </w:rPr>
              <w:t>维保</w:t>
            </w:r>
            <w:r>
              <w:rPr>
                <w:sz w:val="21"/>
              </w:rPr>
              <w:t>期内，负责不少于</w:t>
            </w:r>
            <w:r>
              <w:rPr>
                <w:sz w:val="21"/>
              </w:rPr>
              <w:t>5人次对本项目内所有系统软件和硬件设施进行系统管理培训。培训人员包括各相关业务使用用户，中标人承担培训相关费用，包括但不限于资料、场地租用、食宿、师资、交通等费用。</w:t>
            </w:r>
          </w:p>
          <w:p>
            <w:pPr>
              <w:pStyle w:val="null3"/>
              <w:ind w:firstLine="510"/>
              <w:jc w:val="both"/>
            </w:pPr>
            <w:r>
              <w:rPr>
                <w:sz w:val="21"/>
              </w:rPr>
              <w:t>2、系统应用培训。在</w:t>
            </w:r>
            <w:r>
              <w:rPr>
                <w:sz w:val="21"/>
              </w:rPr>
              <w:t>维保</w:t>
            </w:r>
            <w:r>
              <w:rPr>
                <w:sz w:val="21"/>
              </w:rPr>
              <w:t>期内，负责不少于</w:t>
            </w:r>
            <w:r>
              <w:rPr>
                <w:sz w:val="21"/>
              </w:rPr>
              <w:t>10人次对本项目内应用软件进行业务培训。培训人员包括各相关委办局业务使用用户，相关费用包括但不限于场地租用、食宿、师资、交通等费用。</w:t>
            </w:r>
          </w:p>
          <w:p>
            <w:pPr>
              <w:pStyle w:val="null3"/>
              <w:jc w:val="both"/>
              <w:outlineLvl w:val="3"/>
            </w:pPr>
            <w:r>
              <w:rPr>
                <w:sz w:val="24"/>
                <w:b/>
              </w:rPr>
              <w:t>四、</w:t>
            </w:r>
            <w:r>
              <w:rPr>
                <w:sz w:val="24"/>
                <w:b/>
              </w:rPr>
              <w:t>项目清单</w:t>
            </w:r>
          </w:p>
          <w:p>
            <w:pPr>
              <w:pStyle w:val="null3"/>
              <w:spacing w:before="120"/>
              <w:ind w:firstLine="420"/>
            </w:pPr>
            <w:r>
              <w:rPr>
                <w:sz w:val="21"/>
              </w:rPr>
              <w:t>详见公告附件。</w:t>
            </w:r>
          </w:p>
          <w:p>
            <w:pPr>
              <w:pStyle w:val="null3"/>
              <w:jc w:val="both"/>
              <w:outlineLvl w:val="3"/>
            </w:pPr>
            <w:r>
              <w:rPr>
                <w:sz w:val="24"/>
                <w:b/>
              </w:rPr>
              <w:t>五、其他要求</w:t>
            </w:r>
          </w:p>
          <w:p>
            <w:pPr>
              <w:pStyle w:val="null3"/>
              <w:spacing w:before="120"/>
              <w:ind w:firstLine="420"/>
            </w:pPr>
            <w:r>
              <w:rPr>
                <w:sz w:val="21"/>
              </w:rPr>
              <w:t>1、本项目《项目清单》中产品技术参数及功能要求仅供投标人参考，涉及具体品牌、型号、产地的产品，仅作为项目质量水平与配置的参考，在不低于此基准的前提下，投标人可以选用同一档次或更优的同类产品替代。</w:t>
            </w:r>
          </w:p>
          <w:p>
            <w:pPr>
              <w:pStyle w:val="null3"/>
              <w:spacing w:before="120"/>
              <w:ind w:firstLine="420"/>
            </w:pPr>
            <w:r>
              <w:rPr>
                <w:sz w:val="21"/>
              </w:rPr>
              <w:t>2、项目供货期间，中标人如不具备项目实施过程中的施工类资质，可与采购人协商进行专业分包，经采购人同意后委托符合资质的企业承接本项目的非主体、非关键性工作，费用由中标人自行解决。</w:t>
            </w:r>
          </w:p>
          <w:p>
            <w:pPr>
              <w:pStyle w:val="null3"/>
              <w:spacing w:before="120"/>
              <w:ind w:firstLine="420"/>
            </w:pPr>
            <w:r>
              <w:rPr>
                <w:sz w:val="21"/>
              </w:rPr>
              <w:t>3、投标人应根据本项目的作业要求，在投标文件中提供切实可行的技术方案、实施方案及组织措施、项目质量控制方案、培训方案、售后服务方案等。</w:t>
            </w:r>
          </w:p>
          <w:p>
            <w:pPr>
              <w:pStyle w:val="null3"/>
              <w:jc w:val="both"/>
            </w:pPr>
            <w:r>
              <w:rPr>
                <w:sz w:val="21"/>
              </w:rPr>
              <w:t xml:space="preserve">       4、若采购人根据实际需求购买与本项目相关的设备，中标人应负责完成安装及调试。</w:t>
            </w:r>
          </w:p>
          <w:p>
            <w:pPr>
              <w:pStyle w:val="null3"/>
              <w:spacing w:before="120"/>
              <w:ind w:firstLine="420"/>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滨海湾未来学校开办教学管理信息化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采购包1（东莞滨海湾未来学校开办教学管理信息化建设项目）：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采购包1（东莞滨海湾未来学校开办教学管理信息化建设项目）：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采购包1（东莞滨海湾未来学校开办教学管理信息化建设项目）：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采购包1(东莞滨海湾未来学校开办教学管理信息化建设项目):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(10.0分)</w:t>
            </w:r>
          </w:p>
        </w:tc>
        <w:tc>
          <w:tcPr>
            <w:tcW w:type="dxa" w:w="5076"/>
          </w:tcPr>
          <w:p>
            <w:pPr>
              <w:pStyle w:val="null3"/>
              <w:jc w:val="left"/>
            </w:pPr>
            <w:r>
              <w:rPr/>
              <w:t>根据投标人对用户需求书带“▲”号条款响应情况进行评分，每有一项负偏离/无响应扣除0.5分，扣完为止。 注： （1）如用户需求书要求提供检测报告等证明资料的，则投标文件中须提供对应产品参数的证明资料，加盖投标人公章，投标人对所提供资料的真实性负责。 （2）如用户需求书未要求提供证明资料的，则投标文件中须提供所投产品彩页原件或原厂商的官方技术白皮书或原厂商针对本项目所作的技术参数说明等详细技术资料加盖投标人公章。投标人对所提供资料的真实性负责。 （3）投标人需在《技术和服务要求响应表》中列出实际响应的具体页码，并在响应文件的对应处做明显标记，如提供页码不详细或未做标记，导致评审过程中无法找到响应内容，视为不响应扣分。（提供材料范围含其总公司或总公司的分支机构。）</w:t>
            </w:r>
          </w:p>
        </w:tc>
      </w:tr>
      <w:tr>
        <w:tc>
          <w:tcPr>
            <w:tcW w:type="dxa" w:w="922"/>
            <w:gridSpan w:val="2"/>
            <w:vMerge/>
          </w:tcPr>
          <w:p/>
        </w:tc>
        <w:tc>
          <w:tcPr>
            <w:tcW w:type="dxa" w:w="2307"/>
          </w:tcPr>
          <w:p>
            <w:pPr>
              <w:pStyle w:val="null3"/>
              <w:jc w:val="left"/>
            </w:pPr>
            <w:r>
              <w:rPr/>
              <w:t>技术方案 (8.0分)</w:t>
            </w:r>
            <w:r>
              <w:rPr/>
              <w:t>，（等次分值选择：</w:t>
            </w:r>
            <w:r>
              <w:rPr/>
              <w:t>0.0;</w:t>
            </w:r>
            <w:r>
              <w:rPr/>
              <w:t>1.0;</w:t>
            </w:r>
            <w:r>
              <w:rPr/>
              <w:t>3.0;</w:t>
            </w:r>
            <w:r>
              <w:rPr/>
              <w:t>5.0;</w:t>
            </w:r>
            <w:r>
              <w:rPr/>
              <w:t>8.0;</w:t>
            </w:r>
            <w:r>
              <w:rPr/>
              <w:t>）</w:t>
            </w:r>
          </w:p>
        </w:tc>
        <w:tc>
          <w:tcPr>
            <w:tcW w:type="dxa" w:w="5076"/>
          </w:tcPr>
          <w:p>
            <w:pPr>
              <w:pStyle w:val="null3"/>
              <w:jc w:val="left"/>
            </w:pPr>
            <w:r>
              <w:rPr/>
              <w:t>按照对投标人提供的需求的理解情况、技术方案的完整性，可行性，扩展性、项目的难点分析等方面进行综合评分： 投标人对需求非常理解，技术方案非常完整，扩展性强，项目的难点分析到位的，得8分； 投标人对需求较为理解，技术方案较为完整，扩展性较好，能够分析出项目的难点，得5分； 投标人对需求理解程度一般，技术方案完整性一般，扩展性一般，难点分析把握不足，得3分； 投标人对需求理解不到位，技术方案不完整，扩展性差，未能分析出项目的难点，得1分。 无提供的得0分。</w:t>
            </w:r>
          </w:p>
        </w:tc>
      </w:tr>
      <w:tr>
        <w:tc>
          <w:tcPr>
            <w:tcW w:type="dxa" w:w="922"/>
            <w:gridSpan w:val="2"/>
            <w:vMerge/>
          </w:tcPr>
          <w:p/>
        </w:tc>
        <w:tc>
          <w:tcPr>
            <w:tcW w:type="dxa" w:w="2307"/>
          </w:tcPr>
          <w:p>
            <w:pPr>
              <w:pStyle w:val="null3"/>
              <w:jc w:val="left"/>
            </w:pPr>
            <w:r>
              <w:rPr/>
              <w:t>实施方案及组织措施 (8.0分)</w:t>
            </w:r>
            <w:r>
              <w:rPr/>
              <w:t>，（等次分值选择：</w:t>
            </w:r>
            <w:r>
              <w:rPr/>
              <w:t>0.0;</w:t>
            </w:r>
            <w:r>
              <w:rPr/>
              <w:t>1.0;</w:t>
            </w:r>
            <w:r>
              <w:rPr/>
              <w:t>3.0;</w:t>
            </w:r>
            <w:r>
              <w:rPr/>
              <w:t>5.0;</w:t>
            </w:r>
            <w:r>
              <w:rPr/>
              <w:t>8.0;</w:t>
            </w:r>
            <w:r>
              <w:rPr/>
              <w:t>）</w:t>
            </w:r>
          </w:p>
        </w:tc>
        <w:tc>
          <w:tcPr>
            <w:tcW w:type="dxa" w:w="5076"/>
          </w:tcPr>
          <w:p>
            <w:pPr>
              <w:pStyle w:val="null3"/>
              <w:jc w:val="left"/>
            </w:pPr>
            <w:r>
              <w:rPr/>
              <w:t>对投标人整体实施方案的科学合理性、可行性，以及整体服务的组织管理进行综合评分： 整体实施完整合理、可行性强，整体服务的组织管理完善具体、针对性强、可行性强，得8分； 整体实施方案完整、可行性一般，服务的组织管理比较完善、针对性较强、可行性一般，得5分； 整体实施方案可行性一般，服务的组织管理不够具体、针对性一般、可行性一般，得3分； 整体实施方案可行性差，服务的组织管理针对性差，可行性差，得1分； 无提供的得0分。</w:t>
            </w:r>
          </w:p>
        </w:tc>
      </w:tr>
      <w:tr>
        <w:tc>
          <w:tcPr>
            <w:tcW w:type="dxa" w:w="922"/>
            <w:gridSpan w:val="2"/>
            <w:vMerge/>
          </w:tcPr>
          <w:p/>
        </w:tc>
        <w:tc>
          <w:tcPr>
            <w:tcW w:type="dxa" w:w="2307"/>
          </w:tcPr>
          <w:p>
            <w:pPr>
              <w:pStyle w:val="null3"/>
              <w:jc w:val="left"/>
            </w:pPr>
            <w:r>
              <w:rPr/>
              <w:t>项目质量控制方案 (8.0分)</w:t>
            </w:r>
            <w:r>
              <w:rPr/>
              <w:t>，（等次分值选择：</w:t>
            </w:r>
            <w:r>
              <w:rPr/>
              <w:t>0.0;</w:t>
            </w:r>
            <w:r>
              <w:rPr/>
              <w:t>1.0;</w:t>
            </w:r>
            <w:r>
              <w:rPr/>
              <w:t>3.0;</w:t>
            </w:r>
            <w:r>
              <w:rPr/>
              <w:t>5.0;</w:t>
            </w:r>
            <w:r>
              <w:rPr/>
              <w:t>8.0;</w:t>
            </w:r>
            <w:r>
              <w:rPr/>
              <w:t>）</w:t>
            </w:r>
          </w:p>
        </w:tc>
        <w:tc>
          <w:tcPr>
            <w:tcW w:type="dxa" w:w="5076"/>
          </w:tcPr>
          <w:p>
            <w:pPr>
              <w:pStyle w:val="null3"/>
              <w:jc w:val="left"/>
            </w:pPr>
            <w:r>
              <w:rPr/>
              <w:t>根据投标人制定的项目质量控制方案（包括但不限于质量承诺、质量保证体系、质量控制措施等方面）进行综合评分： 质量控制方案非常完整、清晰明确、设计合理、具有前瞻性，完全满足或优于采购需求，得8分； 质量控制方案比较详细、完善、有针对性、基本满足采购需求的，得5分； 质量控制方案存在细微缺陷，但基本完整的，得3分； 质量控制方案完整性、准确性低，存在明显不合理之处的，得1分； 未提供项目质量控制方案的，得0分。</w:t>
            </w:r>
          </w:p>
        </w:tc>
      </w:tr>
      <w:tr>
        <w:tc>
          <w:tcPr>
            <w:tcW w:type="dxa" w:w="922"/>
            <w:gridSpan w:val="2"/>
            <w:vMerge/>
          </w:tcPr>
          <w:p/>
        </w:tc>
        <w:tc>
          <w:tcPr>
            <w:tcW w:type="dxa" w:w="2307"/>
          </w:tcPr>
          <w:p>
            <w:pPr>
              <w:pStyle w:val="null3"/>
              <w:jc w:val="left"/>
            </w:pPr>
            <w:r>
              <w:rPr/>
              <w:t>培训方案 (8.0分)</w:t>
            </w:r>
            <w:r>
              <w:rPr/>
              <w:t>，（等次分值选择：</w:t>
            </w:r>
            <w:r>
              <w:rPr/>
              <w:t>0.0;</w:t>
            </w:r>
            <w:r>
              <w:rPr/>
              <w:t>1.0;</w:t>
            </w:r>
            <w:r>
              <w:rPr/>
              <w:t>3.0;</w:t>
            </w:r>
            <w:r>
              <w:rPr/>
              <w:t>5.0;</w:t>
            </w:r>
            <w:r>
              <w:rPr/>
              <w:t>8.0;</w:t>
            </w:r>
            <w:r>
              <w:rPr/>
              <w:t>）</w:t>
            </w:r>
          </w:p>
        </w:tc>
        <w:tc>
          <w:tcPr>
            <w:tcW w:type="dxa" w:w="5076"/>
          </w:tcPr>
          <w:p>
            <w:pPr>
              <w:pStyle w:val="null3"/>
              <w:jc w:val="left"/>
            </w:pPr>
            <w:r>
              <w:rPr/>
              <w:t>根据投标人制定的培训方案（包括但不限于培训方式、计划、时间等方面）进行综合评分： 培训方案全面完整能完全满足培训需要，科学有效、可行性和可操作性强的，得8分； 培训方案较为完整能满足需要，科学有效性、可行性和可操作性较强的，得5分； 培训方案基本满足需要，科学有效性、可行性和可操作性均一般的，得3分； 培训方案完整性、准确性低，存在明显不合理之处的，得1分； 未提供培训方案的，得0分。</w:t>
            </w:r>
          </w:p>
        </w:tc>
      </w:tr>
      <w:tr>
        <w:tc>
          <w:tcPr>
            <w:tcW w:type="dxa" w:w="922"/>
            <w:gridSpan w:val="2"/>
            <w:vMerge/>
          </w:tcPr>
          <w:p/>
        </w:tc>
        <w:tc>
          <w:tcPr>
            <w:tcW w:type="dxa" w:w="2307"/>
          </w:tcPr>
          <w:p>
            <w:pPr>
              <w:pStyle w:val="null3"/>
              <w:jc w:val="left"/>
            </w:pPr>
            <w:r>
              <w:rPr/>
              <w:t>售后服务方案 (8.0分)</w:t>
            </w:r>
            <w:r>
              <w:rPr/>
              <w:t>，（等次分值选择：</w:t>
            </w:r>
            <w:r>
              <w:rPr/>
              <w:t>0.0;</w:t>
            </w:r>
            <w:r>
              <w:rPr/>
              <w:t>1.0;</w:t>
            </w:r>
            <w:r>
              <w:rPr/>
              <w:t>3.0;</w:t>
            </w:r>
            <w:r>
              <w:rPr/>
              <w:t>5.0;</w:t>
            </w:r>
            <w:r>
              <w:rPr/>
              <w:t>8.0;</w:t>
            </w:r>
            <w:r>
              <w:rPr/>
              <w:t>）</w:t>
            </w:r>
          </w:p>
        </w:tc>
        <w:tc>
          <w:tcPr>
            <w:tcW w:type="dxa" w:w="5076"/>
          </w:tcPr>
          <w:p>
            <w:pPr>
              <w:pStyle w:val="null3"/>
              <w:jc w:val="left"/>
            </w:pPr>
            <w:r>
              <w:rPr/>
              <w:t>根据投标人制定的售后服务方案（包括但不限于维保期内的维修服务、维保期外的维修服务、维修服务流程、应急处置方案、其它服务承诺等方面）进行综合评分： 售后服务方案完全满足采购需求，全面完善、清晰合理，可行性和可操作性强的，得8分； 售后服务方案符合采购需求，较完善、较清晰合理，可行性和可操作性较强的，得5分； 售后服务方案存在细微缺陷，但基本完整的，得3分； 售后服务方案完整性、准确性低，存在明显不合理之处的，得1分； 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(3.0分)</w:t>
            </w:r>
            <w:r>
              <w:rPr/>
              <w:t>，（等次分值选择：</w:t>
            </w:r>
            <w:r>
              <w:rPr/>
              <w:t>0.0;</w:t>
            </w:r>
            <w:r>
              <w:rPr/>
              <w:t>1.0;</w:t>
            </w:r>
            <w:r>
              <w:rPr/>
              <w:t>2.0;</w:t>
            </w:r>
            <w:r>
              <w:rPr/>
              <w:t>3.0;</w:t>
            </w:r>
            <w:r>
              <w:rPr/>
              <w:t>）</w:t>
            </w:r>
          </w:p>
        </w:tc>
        <w:tc>
          <w:tcPr>
            <w:tcW w:type="dxa" w:w="5076"/>
          </w:tcPr>
          <w:p>
            <w:pPr>
              <w:pStyle w:val="null3"/>
              <w:jc w:val="left"/>
            </w:pPr>
            <w:r>
              <w:rPr/>
              <w:t>投标人具有由国家认证认可监督管理部门批准设立的认证机构颁发并在有效期内的以下认证证书： （1）质量管理体系认证证书； （2）环境管理体系认证证书； （3）职业健康安全管理体系认证证书； 每提供一个认证证书得1分，最高得3分。 注：须提供在有效期内的认证证书复印件加盖投标人公章，否则不得分。（提供材料范围含其总公司或总公司的分支机构。）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业绩 (5.0分)</w:t>
            </w:r>
            <w:r>
              <w:rPr/>
              <w:t>，（等次分值选择：</w:t>
            </w:r>
            <w:r>
              <w:rPr/>
              <w:t>0.0;</w:t>
            </w:r>
            <w:r>
              <w:rPr/>
              <w:t>1.0;</w:t>
            </w:r>
            <w:r>
              <w:rPr/>
              <w:t>2.0;</w:t>
            </w:r>
            <w:r>
              <w:rPr/>
              <w:t>3.0;</w:t>
            </w:r>
            <w:r>
              <w:rPr/>
              <w:t>4.0;</w:t>
            </w:r>
            <w:r>
              <w:rPr/>
              <w:t>5.0;</w:t>
            </w:r>
            <w:r>
              <w:rPr/>
              <w:t>）</w:t>
            </w:r>
          </w:p>
        </w:tc>
        <w:tc>
          <w:tcPr>
            <w:tcW w:type="dxa" w:w="5076"/>
          </w:tcPr>
          <w:p>
            <w:pPr>
              <w:pStyle w:val="null3"/>
              <w:jc w:val="left"/>
            </w:pPr>
            <w:r>
              <w:rPr/>
              <w:t>投标人具有学校信息化或智能化类项目业绩的，每提供一个业绩合同得1分，最高得5分。 注：须提供合同复印件加盖投标人公章，否则不得分。（提供材料范围含其总公司或总公司的分支机构。）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团队力量 (12.0分)</w:t>
            </w:r>
          </w:p>
        </w:tc>
        <w:tc>
          <w:tcPr>
            <w:tcW w:type="dxa" w:w="5076"/>
          </w:tcPr>
          <w:p>
            <w:pPr>
              <w:pStyle w:val="null3"/>
              <w:jc w:val="left"/>
            </w:pPr>
            <w:r>
              <w:rPr/>
              <w:t>1、投标人拟投入本项目的项目经理（仅一人）具有： ①人力资源和社会保障部门（含原人事部门）颁发的系统分析师证书； ②人力资源和社会保障部门（含原人事部门）颁发的信息系统项目管理师证书； ③人力资源和社会保障部门（含原人事部门）颁发的信息通信技术服务高级工程师证书； ④人力资源和社会保障部门（含原人事部门）颁发的网络工程师证书； ⑤工业和信息化部门（含原信息产业部门）颁发的通信网络管理员一级证书。 以上每个证书得1分，最高得5分。 注：须提供有效人员证书复印件及投标人为其缴纳的距开标前6个月内任意1个月（不含开标当月）社会保险的有效凭证的复印件并加盖投标人公章。（提供材料范围含其总公司或总公司的分支机构。） 2、投标人拟投入本项目的技术负责人（仅一人）具有： ①工业和信息化部门（含原信息产业部门）颁发的通信网络管理员一级证书； ②具有由中国信息安全测评中心颁发的注册信息安全管理人员证书； ③人力资源和社会保障部门（含原人事部门）颁发的信息系统项目管理师证书； ④人力资源和社会保障部门（含原人事部门）颁发的网络工程师证书； ⑤人力资源和社会保障部门（含原人事部门）颁发的数据库系统工程师证书。 以上每个证书得1分，最高得5分。 注：须提供有效人员证书复印件及投标人为其缴纳的距开标前6个月内任意1个月（不含开标当月）社会保险的有效凭证的复印件并加盖投标人公章。（提供材料范围含其总公司或总公司的分支机构。） 3、投标人拟投入本项目除项目经理、技术负责人外的其他服务人员（同一人具有多个证书的不可重复计分）： 人力资源和社会保障部门（含原人事部门）颁发的信息系统项目管理师证书，每提供一人得1分，最高得2分。 注：须提供有效人员证书复印件及投标人为其缴纳的距开标前6个月内任意1个月（不含开标当月）社会保险的有效凭证的复印件并加盖投标人公章。（提供材料范围含其总公司或总公司的分支机构。）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shd w:fill="FFFFFF" w:val="clear"/>
        </w:rPr>
        <w:t>采购计划编号：</w:t>
      </w:r>
    </w:p>
    <w:p>
      <w:pPr>
        <w:pStyle w:val="null3"/>
        <w:jc w:val="center"/>
      </w:pPr>
      <w:r>
        <w:rPr>
          <w:sz w:val="28"/>
          <w:shd w:fill="FFFFFF" w:val="clear"/>
        </w:rPr>
        <w:t>项目编号：</w:t>
      </w:r>
    </w:p>
    <w:p>
      <w:pPr>
        <w:pStyle w:val="null3"/>
        <w:jc w:val="center"/>
      </w:pPr>
      <w:r>
        <w:rPr>
          <w:sz w:val="28"/>
          <w:shd w:fill="FFFFFF" w:val="clear"/>
        </w:rPr>
        <w:t>项目名称：</w:t>
      </w:r>
    </w:p>
    <w:p>
      <w:pPr>
        <w:pStyle w:val="null3"/>
        <w:jc w:val="both"/>
      </w:pPr>
      <w:r>
        <w:rPr/>
        <w:t xml:space="preserve"> </w:t>
      </w:r>
    </w:p>
    <w:p>
      <w:pPr>
        <w:pStyle w:val="null3"/>
        <w:jc w:val="both"/>
      </w:pPr>
      <w:r>
        <w:rPr>
          <w:sz w:val="21"/>
        </w:rPr>
        <w:t>甲方</w:t>
      </w:r>
      <w:r>
        <w:rPr>
          <w:sz w:val="21"/>
        </w:rPr>
        <w:t>：</w:t>
      </w:r>
      <w:r>
        <w:rPr>
          <w:sz w:val="21"/>
          <w:u w:val="single"/>
        </w:rPr>
        <w:t xml:space="preserve">               </w:t>
      </w:r>
    </w:p>
    <w:p>
      <w:pPr>
        <w:pStyle w:val="null3"/>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pStyle w:val="null3"/>
        <w:jc w:val="both"/>
      </w:pPr>
      <w:r>
        <w:rPr>
          <w:sz w:val="21"/>
        </w:rPr>
        <w:t>乙方</w:t>
      </w:r>
      <w:r>
        <w:rPr>
          <w:sz w:val="21"/>
        </w:rPr>
        <w:t>：</w:t>
      </w:r>
      <w:r>
        <w:rPr>
          <w:sz w:val="21"/>
          <w:u w:val="single"/>
        </w:rPr>
        <w:t xml:space="preserve">               </w:t>
      </w:r>
    </w:p>
    <w:p>
      <w:pPr>
        <w:pStyle w:val="null3"/>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pStyle w:val="null3"/>
        <w:ind w:firstLine="420"/>
        <w:jc w:val="both"/>
      </w:pPr>
      <w:r>
        <w:rPr>
          <w:sz w:val="21"/>
        </w:rPr>
        <w:t>根据</w:t>
      </w:r>
      <w:r>
        <w:rPr>
          <w:sz w:val="21"/>
          <w:u w:val="single"/>
        </w:rPr>
        <w:t xml:space="preserve">             </w:t>
      </w:r>
      <w:r>
        <w:rPr>
          <w:sz w:val="21"/>
          <w:u w:val="single"/>
        </w:rPr>
        <w:t>项目</w:t>
      </w:r>
      <w:r>
        <w:rPr>
          <w:sz w:val="21"/>
        </w:rPr>
        <w:t>的采购结果，按照</w:t>
      </w:r>
      <w:r>
        <w:rPr>
          <w:sz w:val="21"/>
        </w:rPr>
        <w:t>《</w:t>
      </w:r>
      <w:r>
        <w:rPr>
          <w:sz w:val="21"/>
        </w:rPr>
        <w:t>中</w:t>
      </w:r>
      <w:r>
        <w:rPr>
          <w:sz w:val="21"/>
        </w:rPr>
        <w:t>华人民共和国政府采购法》</w:t>
      </w:r>
      <w:r>
        <w:rPr>
          <w:sz w:val="21"/>
        </w:rPr>
        <w:t>、</w:t>
      </w:r>
      <w:r>
        <w:rPr>
          <w:sz w:val="21"/>
        </w:rPr>
        <w:t>《中华人民共和国民法典</w:t>
      </w:r>
      <w:r>
        <w:rPr>
          <w:sz w:val="21"/>
        </w:rPr>
        <w:t>（</w:t>
      </w:r>
      <w:r>
        <w:rPr>
          <w:sz w:val="21"/>
        </w:rPr>
        <w:t>合同编</w:t>
      </w:r>
      <w:r>
        <w:rPr>
          <w:sz w:val="21"/>
        </w:rPr>
        <w:t>）</w:t>
      </w:r>
      <w:r>
        <w:rPr>
          <w:sz w:val="21"/>
        </w:rPr>
        <w:t>》的规定，经双方协商，本着平等互利和诚实信用的原则，一致同意</w:t>
      </w:r>
      <w:r>
        <w:rPr>
          <w:sz w:val="21"/>
        </w:rPr>
        <w:t>签订</w:t>
      </w:r>
      <w:r>
        <w:rPr>
          <w:sz w:val="21"/>
        </w:rPr>
        <w:t>本合</w:t>
      </w:r>
      <w:r>
        <w:rPr>
          <w:sz w:val="21"/>
        </w:rPr>
        <w:t>同</w:t>
      </w:r>
      <w:r>
        <w:rPr>
          <w:sz w:val="21"/>
        </w:rPr>
        <w:t>如下。</w:t>
      </w:r>
    </w:p>
    <w:p>
      <w:pPr>
        <w:pStyle w:val="null3"/>
        <w:jc w:val="both"/>
      </w:pPr>
      <w:r>
        <w:rPr>
          <w:sz w:val="21"/>
          <w:b/>
        </w:rPr>
        <w:t>一</w:t>
      </w:r>
      <w:r>
        <w:rPr>
          <w:sz w:val="21"/>
          <w:b/>
        </w:rPr>
        <w:t>、</w:t>
      </w:r>
      <w:r>
        <w:rPr>
          <w:sz w:val="21"/>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838"/>
        <w:gridCol w:w="2883"/>
        <w:gridCol w:w="927"/>
        <w:gridCol w:w="724"/>
        <w:gridCol w:w="851"/>
        <w:gridCol w:w="1092"/>
        <w:gridCol w:w="991"/>
      </w:tblGrid>
      <w:tr>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品牌、规格、标准</w:t>
            </w:r>
            <w:r>
              <w:rPr>
                <w:sz w:val="21"/>
              </w:rPr>
              <w:t>/主要服务内容</w:t>
            </w:r>
          </w:p>
        </w:tc>
        <w:tc>
          <w:tcPr>
            <w:tcW w:type="dxa" w:w="9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p>
            <w:pPr>
              <w:pStyle w:val="null3"/>
              <w:jc w:val="center"/>
            </w:pPr>
            <w:r>
              <w:rPr>
                <w:sz w:val="21"/>
              </w:rPr>
              <w:t>（元）</w:t>
            </w:r>
          </w:p>
        </w:tc>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p>
          <w:p>
            <w:pPr>
              <w:pStyle w:val="null3"/>
              <w:jc w:val="center"/>
            </w:pPr>
            <w:r>
              <w:rPr>
                <w:sz w:val="21"/>
              </w:rPr>
              <w:t>（元）</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1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合计：人民币大写：</w:t>
            </w:r>
            <w:r>
              <w:rPr>
                <w:sz w:val="21"/>
              </w:rPr>
              <w:t>**元整</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w:t>
            </w:r>
          </w:p>
        </w:tc>
      </w:tr>
    </w:tbl>
    <w:p>
      <w:pPr>
        <w:pStyle w:val="null3"/>
        <w:jc w:val="both"/>
      </w:pPr>
      <w:r>
        <w:rPr>
          <w:sz w:val="21"/>
        </w:rPr>
        <w:t>合同总额包括材料、工具、人工、管理费、利润、税金、风险、招标代理费用等一切因素所有应该和可能发生的费用因素。</w:t>
      </w:r>
    </w:p>
    <w:p>
      <w:pPr>
        <w:pStyle w:val="null3"/>
        <w:ind w:firstLine="420"/>
        <w:jc w:val="both"/>
      </w:pPr>
      <w:r>
        <w:rPr>
          <w:sz w:val="21"/>
        </w:rPr>
        <w:t>注：货物名称内容必须与投标文件中货物名称内容一致。</w:t>
      </w:r>
    </w:p>
    <w:p>
      <w:pPr>
        <w:pStyle w:val="null3"/>
        <w:numPr>
          <w:ilvl w:val="0"/>
          <w:numId w:val="1"/>
        </w:numPr>
        <w:jc w:val="both"/>
      </w:pPr>
      <w:r>
        <w:rPr>
          <w:sz w:val="21"/>
          <w:b/>
        </w:rPr>
        <w:t>合同金额</w:t>
      </w:r>
    </w:p>
    <w:p>
      <w:pPr>
        <w:pStyle w:val="null3"/>
        <w:ind w:firstLine="420"/>
        <w:jc w:val="both"/>
      </w:pPr>
      <w:r>
        <w:rPr>
          <w:sz w:val="21"/>
        </w:rPr>
        <w:t>合同金额为</w:t>
      </w:r>
      <w:r>
        <w:rPr>
          <w:sz w:val="21"/>
        </w:rPr>
        <w:t>(大写)：</w:t>
      </w:r>
      <w:r>
        <w:rPr>
          <w:sz w:val="21"/>
          <w:u w:val="single"/>
        </w:rPr>
        <w:t xml:space="preserve">             </w:t>
      </w:r>
      <w:r>
        <w:rPr>
          <w:sz w:val="21"/>
        </w:rPr>
        <w:t>元</w:t>
      </w:r>
      <w:r>
        <w:rPr>
          <w:sz w:val="21"/>
        </w:rPr>
        <w:t>(￥</w:t>
      </w:r>
      <w:r>
        <w:rPr>
          <w:sz w:val="21"/>
          <w:u w:val="single"/>
        </w:rPr>
        <w:t xml:space="preserve">             </w:t>
      </w:r>
      <w:r>
        <w:rPr>
          <w:sz w:val="21"/>
        </w:rPr>
        <w:t>元）人民币。</w:t>
      </w:r>
    </w:p>
    <w:p>
      <w:pPr>
        <w:pStyle w:val="null3"/>
        <w:jc w:val="both"/>
      </w:pPr>
      <w:r>
        <w:rPr>
          <w:sz w:val="21"/>
          <w:b/>
        </w:rPr>
        <w:t>三、项目要求</w:t>
      </w:r>
    </w:p>
    <w:p>
      <w:pPr>
        <w:pStyle w:val="null3"/>
        <w:jc w:val="both"/>
        <w:outlineLvl w:val="1"/>
      </w:pPr>
      <w:r>
        <w:rPr>
          <w:sz w:val="21"/>
          <w:b/>
        </w:rPr>
        <w:t>（一）</w:t>
      </w:r>
      <w:r>
        <w:rPr>
          <w:sz w:val="21"/>
          <w:b/>
        </w:rPr>
        <w:t>项目概述</w:t>
      </w:r>
    </w:p>
    <w:p>
      <w:pPr>
        <w:pStyle w:val="null3"/>
        <w:jc w:val="both"/>
        <w:outlineLvl w:val="1"/>
      </w:pPr>
      <w:r>
        <w:rPr>
          <w:sz w:val="21"/>
          <w:b/>
        </w:rPr>
        <w:t>1.1.</w:t>
      </w:r>
      <w:r>
        <w:rPr>
          <w:sz w:val="21"/>
          <w:b/>
        </w:rPr>
        <w:t>项目概况</w:t>
      </w:r>
    </w:p>
    <w:p>
      <w:pPr>
        <w:pStyle w:val="null3"/>
        <w:ind w:firstLine="420"/>
        <w:jc w:val="both"/>
      </w:pPr>
      <w:r>
        <w:rPr>
          <w:sz w:val="21"/>
        </w:rPr>
        <w:t>东莞滨海湾未来学校位于广深沿江高速北侧、海芯大道西侧、湾区大道东侧。规划用地面积</w:t>
      </w:r>
      <w:r>
        <w:rPr>
          <w:sz w:val="21"/>
        </w:rPr>
        <w:t>73,244.68平方米，总建筑面积约152,185.00平方米，其中地上建筑面积约121,188.00平方米，地下建筑面积约30,997.00平方米。</w:t>
      </w:r>
    </w:p>
    <w:p>
      <w:pPr>
        <w:pStyle w:val="null3"/>
        <w:ind w:firstLine="420"/>
        <w:jc w:val="both"/>
      </w:pPr>
      <w:r>
        <w:rPr>
          <w:sz w:val="21"/>
        </w:rPr>
        <w:t>新建</w:t>
      </w:r>
      <w:r>
        <w:rPr>
          <w:sz w:val="21"/>
        </w:rPr>
        <w:t xml:space="preserve">1号风雨操场及地下室，2号中学教学楼，3号宿舍楼及中学食堂，4号开闭所，5号小学教学楼及游泳馆、图书馆，6号行政楼及小学食堂，7号主入口校门，8号次入口校门。东莞滨海湾外国语学校是一所九年一贯制公办学校，办学规模为小学48个班、每班45人，共设学位数2160个，初中48个班、每班50人，共设学位数2400个，中小学合计共计96个班、4560个学位。       </w:t>
      </w:r>
    </w:p>
    <w:p>
      <w:pPr>
        <w:pStyle w:val="null3"/>
        <w:ind w:firstLine="420"/>
        <w:jc w:val="both"/>
      </w:pPr>
      <w:r>
        <w:rPr>
          <w:sz w:val="21"/>
        </w:rPr>
        <w:t>学校以素质教育、未来发展作为办学方向，努力创建东莞具有示范性、于湾区具有影响力的基础教育名校，为东莞教育事业高质量发展增添新动力。</w:t>
      </w:r>
    </w:p>
    <w:p>
      <w:pPr>
        <w:pStyle w:val="null3"/>
        <w:jc w:val="both"/>
        <w:outlineLvl w:val="1"/>
      </w:pPr>
      <w:r>
        <w:rPr>
          <w:sz w:val="21"/>
          <w:b/>
        </w:rPr>
        <w:t>1.2.</w:t>
      </w:r>
      <w:r>
        <w:rPr>
          <w:sz w:val="21"/>
          <w:b/>
        </w:rPr>
        <w:t>建设目标</w:t>
      </w:r>
    </w:p>
    <w:p>
      <w:pPr>
        <w:pStyle w:val="null3"/>
        <w:ind w:firstLine="420"/>
        <w:jc w:val="both"/>
      </w:pPr>
      <w:r>
        <w:rPr>
          <w:sz w:val="21"/>
        </w:rPr>
        <w:t>利用先进成熟的信息技术，通过科学合理的管理规范与完备通用的技术规范，基于统一的信息标准整合、集成各种信息资源，实现安全、可靠、可扩展、易维护的通用系统平台，提高学校各项管理工作的信息化，为广大师生提供简便、快捷的信息服务。</w:t>
      </w:r>
    </w:p>
    <w:p>
      <w:pPr>
        <w:pStyle w:val="null3"/>
        <w:jc w:val="both"/>
        <w:outlineLvl w:val="1"/>
      </w:pPr>
      <w:r>
        <w:rPr>
          <w:sz w:val="21"/>
          <w:b/>
        </w:rPr>
        <w:t>1.3.</w:t>
      </w:r>
      <w:r>
        <w:rPr>
          <w:sz w:val="21"/>
          <w:b/>
        </w:rPr>
        <w:t>建设原则</w:t>
      </w:r>
    </w:p>
    <w:p>
      <w:pPr>
        <w:pStyle w:val="null3"/>
        <w:ind w:firstLine="420"/>
        <w:jc w:val="both"/>
      </w:pPr>
      <w:r>
        <w:rPr>
          <w:sz w:val="21"/>
        </w:rPr>
        <w:t>随着现代教育理论研究和教育改革的不断深入，以网络技术和多媒体技术为核心的现代教育技术，已在校园的教学变革中发挥着积极的作用，</w:t>
      </w:r>
      <w:r>
        <w:rPr>
          <w:sz w:val="21"/>
        </w:rPr>
        <w:t>“数字化&amp;智能化时代”的到来，为现代教育发展提出了更高的目标。在建设时应考虑系统“</w:t>
      </w:r>
      <w:r>
        <w:rPr>
          <w:sz w:val="21"/>
        </w:rPr>
        <w:t>前瞻性</w:t>
      </w:r>
      <w:r>
        <w:rPr>
          <w:sz w:val="21"/>
        </w:rPr>
        <w:t>、实用性、易用性、可靠性、安全性、开放性</w:t>
      </w:r>
      <w:r>
        <w:rPr>
          <w:sz w:val="21"/>
        </w:rPr>
        <w:t>”的系统平台，实现系统可扩展、可持续地发展原则。</w:t>
      </w:r>
    </w:p>
    <w:p>
      <w:pPr>
        <w:pStyle w:val="null3"/>
        <w:ind w:firstLine="420"/>
        <w:jc w:val="both"/>
      </w:pPr>
      <w:r>
        <w:rPr>
          <w:sz w:val="21"/>
        </w:rPr>
        <w:t>前瞻性</w:t>
      </w:r>
    </w:p>
    <w:p>
      <w:pPr>
        <w:pStyle w:val="null3"/>
        <w:ind w:firstLine="420"/>
        <w:jc w:val="both"/>
      </w:pPr>
      <w:r>
        <w:rPr>
          <w:sz w:val="21"/>
        </w:rPr>
        <w:t>系统遵循国际、国家标准规范，采用先进、成熟的技术和施工工艺，以便跟上信息技术的发展。技术的先进并能够兼容技术发展趋势，在充分体现该项目的整体特性的同时注意系统设置的经济效益。</w:t>
      </w:r>
    </w:p>
    <w:p>
      <w:pPr>
        <w:pStyle w:val="null3"/>
        <w:ind w:firstLine="420"/>
        <w:jc w:val="both"/>
      </w:pPr>
      <w:r>
        <w:rPr>
          <w:sz w:val="21"/>
        </w:rPr>
        <w:t>系统设置注重数字校园使用功能的专业特点，同时满足其</w:t>
      </w:r>
      <w:r>
        <w:rPr>
          <w:sz w:val="21"/>
        </w:rPr>
        <w:t>前瞻性</w:t>
      </w:r>
      <w:r>
        <w:rPr>
          <w:sz w:val="21"/>
        </w:rPr>
        <w:t>、超前性要求，采用与技术发展潮流相吻合的产品，建立一个可扩展的平台，保证前期工程和后续先进技术的衔接。</w:t>
      </w:r>
    </w:p>
    <w:p>
      <w:pPr>
        <w:pStyle w:val="null3"/>
        <w:ind w:firstLine="420"/>
        <w:jc w:val="both"/>
      </w:pPr>
      <w:r>
        <w:rPr>
          <w:sz w:val="21"/>
        </w:rPr>
        <w:t>系统设置综合平衡，主要系统达到国内先进水准，除考虑建设时的一次性投资外，还充分考虑系统的运行成本，使之达到最小化。</w:t>
      </w:r>
    </w:p>
    <w:p>
      <w:pPr>
        <w:pStyle w:val="null3"/>
        <w:ind w:firstLine="420"/>
        <w:jc w:val="both"/>
      </w:pPr>
      <w:r>
        <w:rPr>
          <w:sz w:val="21"/>
        </w:rPr>
        <w:t>实用性</w:t>
      </w:r>
    </w:p>
    <w:p>
      <w:pPr>
        <w:pStyle w:val="null3"/>
        <w:ind w:firstLine="420"/>
        <w:jc w:val="both"/>
      </w:pPr>
      <w:r>
        <w:rPr>
          <w:sz w:val="21"/>
        </w:rPr>
        <w:t>系统建设的核心目的就是</w:t>
      </w:r>
      <w:r>
        <w:rPr>
          <w:sz w:val="21"/>
        </w:rPr>
        <w:t>“应用”，须坚持实用的设计原则，紧紧围绕学校的实际需求。系统应遵循全面规划和分步实施原则，设计全面、周到，注意预留、预埋到位并有充分余量，以适应未来发展的需要。</w:t>
      </w:r>
    </w:p>
    <w:p>
      <w:pPr>
        <w:pStyle w:val="null3"/>
        <w:ind w:firstLine="420"/>
        <w:jc w:val="both"/>
      </w:pPr>
      <w:r>
        <w:rPr>
          <w:sz w:val="21"/>
        </w:rPr>
        <w:t>易用性</w:t>
      </w:r>
    </w:p>
    <w:p>
      <w:pPr>
        <w:pStyle w:val="null3"/>
        <w:ind w:firstLine="420"/>
        <w:jc w:val="both"/>
      </w:pPr>
      <w:r>
        <w:rPr>
          <w:sz w:val="21"/>
        </w:rPr>
        <w:t>系统采用统一管理模式，确保结构清晰，简单易用、操作灵活、维护方便、管理简便。</w:t>
      </w:r>
    </w:p>
    <w:p>
      <w:pPr>
        <w:pStyle w:val="null3"/>
        <w:ind w:firstLine="420"/>
        <w:jc w:val="both"/>
      </w:pPr>
      <w:r>
        <w:rPr>
          <w:sz w:val="21"/>
        </w:rPr>
        <w:t>可靠性</w:t>
      </w:r>
    </w:p>
    <w:p>
      <w:pPr>
        <w:pStyle w:val="null3"/>
        <w:ind w:firstLine="420"/>
        <w:jc w:val="both"/>
      </w:pPr>
      <w:r>
        <w:rPr>
          <w:sz w:val="21"/>
        </w:rPr>
        <w:t>系统支撑着整个学校的日常管理，必须具有高可靠性、高容错性和强大的数据处理能力。因此，使用成熟的热备份技术和集群技术，以确保不间断运行、确保局部出错不影响整体、确保快速响应。</w:t>
      </w:r>
    </w:p>
    <w:p>
      <w:pPr>
        <w:pStyle w:val="null3"/>
        <w:ind w:firstLine="420"/>
        <w:jc w:val="both"/>
      </w:pPr>
      <w:r>
        <w:rPr>
          <w:sz w:val="21"/>
        </w:rPr>
        <w:t>安全性</w:t>
      </w:r>
    </w:p>
    <w:p>
      <w:pPr>
        <w:pStyle w:val="null3"/>
        <w:ind w:firstLine="420"/>
        <w:jc w:val="both"/>
      </w:pPr>
      <w:r>
        <w:rPr>
          <w:sz w:val="21"/>
        </w:rPr>
        <w:t>系统涉及到学校相关敏感数据，安全运行至关重要。因此，必须构建全方位、多层次、完善的安全保障体系，通过安全制度建设和安全教育培训，在保证物理安全和网络安全的基础上，保证数据安全。</w:t>
      </w:r>
    </w:p>
    <w:p>
      <w:pPr>
        <w:pStyle w:val="null3"/>
        <w:ind w:firstLine="420"/>
        <w:jc w:val="both"/>
      </w:pPr>
      <w:r>
        <w:rPr>
          <w:sz w:val="21"/>
        </w:rPr>
        <w:t>开放性</w:t>
      </w:r>
    </w:p>
    <w:p>
      <w:pPr>
        <w:pStyle w:val="null3"/>
        <w:ind w:firstLine="420"/>
        <w:jc w:val="both"/>
      </w:pPr>
      <w:r>
        <w:rPr>
          <w:sz w:val="21"/>
        </w:rPr>
        <w:t>系统须具有良好的开放性和兼容性。整合、集成各类应用系统和各种信息资源，以满足现状、适应发展。系统提供符合国际标准的软件、硬件、通信、网络操作系统和数据库管理系统等诸方面的接口与工具，使系统具备良好的兼容性、扩展性和可移植性。</w:t>
      </w:r>
    </w:p>
    <w:p>
      <w:pPr>
        <w:pStyle w:val="null3"/>
        <w:jc w:val="both"/>
        <w:outlineLvl w:val="1"/>
      </w:pPr>
      <w:r>
        <w:rPr>
          <w:sz w:val="21"/>
          <w:b/>
        </w:rPr>
        <w:t>1.4.</w:t>
      </w:r>
      <w:r>
        <w:rPr>
          <w:sz w:val="21"/>
          <w:b/>
        </w:rPr>
        <w:t>标准规范</w:t>
      </w:r>
    </w:p>
    <w:p>
      <w:pPr>
        <w:pStyle w:val="null3"/>
        <w:ind w:firstLine="420"/>
        <w:jc w:val="both"/>
      </w:pPr>
      <w:r>
        <w:rPr>
          <w:sz w:val="21"/>
        </w:rPr>
        <w:t>东莞市中小学（幼儿园）、中等职业学校智慧校园建设指引</w:t>
      </w:r>
    </w:p>
    <w:p>
      <w:pPr>
        <w:pStyle w:val="null3"/>
        <w:ind w:firstLine="420"/>
        <w:jc w:val="both"/>
      </w:pPr>
      <w:r>
        <w:rPr>
          <w:sz w:val="21"/>
        </w:rPr>
        <w:t>东莞市普通中小学校设施设备配备标准指引</w:t>
      </w:r>
    </w:p>
    <w:p>
      <w:pPr>
        <w:pStyle w:val="null3"/>
        <w:ind w:firstLine="420"/>
        <w:jc w:val="both"/>
      </w:pPr>
      <w:r>
        <w:rPr>
          <w:sz w:val="21"/>
        </w:rPr>
        <w:t>教育部有关规定、办法、制度要求及其它相关标准</w:t>
      </w:r>
    </w:p>
    <w:p>
      <w:pPr>
        <w:pStyle w:val="null3"/>
        <w:ind w:firstLine="420"/>
        <w:jc w:val="both"/>
      </w:pPr>
      <w:r>
        <w:rPr>
          <w:sz w:val="21"/>
        </w:rPr>
        <w:t>《供配电系统设计规范》</w:t>
      </w:r>
      <w:r>
        <w:rPr>
          <w:sz w:val="21"/>
        </w:rPr>
        <w:t>GB50052</w:t>
      </w:r>
    </w:p>
    <w:p>
      <w:pPr>
        <w:pStyle w:val="null3"/>
        <w:ind w:firstLine="420"/>
        <w:jc w:val="both"/>
      </w:pPr>
      <w:r>
        <w:rPr>
          <w:sz w:val="21"/>
        </w:rPr>
        <w:t>《综合布线工程设计规范》</w:t>
      </w:r>
      <w:r>
        <w:rPr>
          <w:sz w:val="21"/>
        </w:rPr>
        <w:t>GB50311</w:t>
      </w:r>
    </w:p>
    <w:p>
      <w:pPr>
        <w:pStyle w:val="null3"/>
        <w:ind w:firstLine="420"/>
        <w:jc w:val="both"/>
      </w:pPr>
      <w:r>
        <w:rPr>
          <w:sz w:val="21"/>
        </w:rPr>
        <w:t>《通信电源用阻燃耐火软电缆》</w:t>
      </w:r>
      <w:r>
        <w:rPr>
          <w:sz w:val="21"/>
        </w:rPr>
        <w:t>YDT1173</w:t>
      </w:r>
    </w:p>
    <w:p>
      <w:pPr>
        <w:pStyle w:val="null3"/>
        <w:ind w:firstLine="420"/>
        <w:jc w:val="both"/>
      </w:pPr>
      <w:r>
        <w:rPr>
          <w:sz w:val="21"/>
        </w:rPr>
        <w:t>《层绞式通信用室外光缆》</w:t>
      </w:r>
      <w:r>
        <w:rPr>
          <w:sz w:val="21"/>
        </w:rPr>
        <w:t>YDT901</w:t>
      </w:r>
    </w:p>
    <w:p>
      <w:pPr>
        <w:pStyle w:val="null3"/>
        <w:ind w:firstLine="420"/>
        <w:jc w:val="both"/>
      </w:pPr>
      <w:r>
        <w:rPr>
          <w:sz w:val="21"/>
        </w:rPr>
        <w:t>《室内光缆系列第三部分：双芯光缆》</w:t>
      </w:r>
      <w:r>
        <w:rPr>
          <w:sz w:val="21"/>
        </w:rPr>
        <w:t>YDT1258.3</w:t>
      </w:r>
    </w:p>
    <w:p>
      <w:pPr>
        <w:pStyle w:val="null3"/>
        <w:ind w:firstLine="420"/>
        <w:jc w:val="both"/>
      </w:pPr>
      <w:r>
        <w:rPr>
          <w:sz w:val="21"/>
        </w:rPr>
        <w:t>《智能建筑设计标准》</w:t>
      </w:r>
      <w:r>
        <w:rPr>
          <w:sz w:val="21"/>
        </w:rPr>
        <w:t>GB/T50314</w:t>
      </w:r>
    </w:p>
    <w:p>
      <w:pPr>
        <w:pStyle w:val="null3"/>
        <w:ind w:firstLine="420"/>
        <w:jc w:val="both"/>
      </w:pPr>
      <w:r>
        <w:rPr>
          <w:sz w:val="21"/>
        </w:rPr>
        <w:t>《厅堂扩声系统设计规范》</w:t>
      </w:r>
      <w:r>
        <w:rPr>
          <w:sz w:val="21"/>
        </w:rPr>
        <w:t>GB50371</w:t>
      </w:r>
    </w:p>
    <w:p>
      <w:pPr>
        <w:pStyle w:val="null3"/>
        <w:ind w:firstLine="420"/>
        <w:jc w:val="both"/>
      </w:pPr>
      <w:r>
        <w:rPr>
          <w:sz w:val="21"/>
        </w:rPr>
        <w:t>《建筑物电子信息系统防雷技术规范》</w:t>
      </w:r>
      <w:r>
        <w:rPr>
          <w:sz w:val="21"/>
        </w:rPr>
        <w:t>GB50343</w:t>
      </w:r>
    </w:p>
    <w:p>
      <w:pPr>
        <w:pStyle w:val="null3"/>
        <w:ind w:firstLine="420"/>
        <w:jc w:val="both"/>
      </w:pPr>
      <w:r>
        <w:rPr>
          <w:sz w:val="21"/>
        </w:rPr>
        <w:t>《防静电活动地板通用规范》</w:t>
      </w:r>
      <w:r>
        <w:rPr>
          <w:sz w:val="21"/>
        </w:rPr>
        <w:t>GB/T36340</w:t>
      </w:r>
    </w:p>
    <w:p>
      <w:pPr>
        <w:pStyle w:val="null3"/>
        <w:ind w:firstLine="420"/>
        <w:jc w:val="both"/>
      </w:pPr>
      <w:r>
        <w:rPr>
          <w:sz w:val="21"/>
        </w:rPr>
        <w:t>《电子信息系统机房施工及验收规范》</w:t>
      </w:r>
      <w:r>
        <w:rPr>
          <w:sz w:val="21"/>
        </w:rPr>
        <w:t>GB50462</w:t>
      </w:r>
    </w:p>
    <w:p>
      <w:pPr>
        <w:pStyle w:val="null3"/>
        <w:ind w:firstLine="420"/>
        <w:jc w:val="both"/>
      </w:pPr>
      <w:r>
        <w:rPr>
          <w:sz w:val="21"/>
        </w:rPr>
        <w:t>《综合布线工程验收规范》</w:t>
      </w:r>
      <w:r>
        <w:rPr>
          <w:sz w:val="21"/>
        </w:rPr>
        <w:t>GB50312</w:t>
      </w:r>
    </w:p>
    <w:p>
      <w:pPr>
        <w:pStyle w:val="null3"/>
        <w:ind w:firstLine="420"/>
        <w:jc w:val="both"/>
      </w:pPr>
      <w:r>
        <w:rPr>
          <w:sz w:val="21"/>
        </w:rPr>
        <w:t>《智能建筑工程质量验收规范》</w:t>
      </w:r>
      <w:r>
        <w:rPr>
          <w:sz w:val="21"/>
        </w:rPr>
        <w:t>GB50339</w:t>
      </w:r>
    </w:p>
    <w:p>
      <w:pPr>
        <w:pStyle w:val="null3"/>
        <w:ind w:firstLine="420"/>
        <w:jc w:val="both"/>
      </w:pPr>
      <w:r>
        <w:rPr>
          <w:sz w:val="21"/>
        </w:rPr>
        <w:t>《钢导管配线安装》</w:t>
      </w:r>
      <w:r>
        <w:rPr>
          <w:sz w:val="21"/>
        </w:rPr>
        <w:t>03D301-3</w:t>
      </w:r>
    </w:p>
    <w:p>
      <w:pPr>
        <w:pStyle w:val="null3"/>
        <w:ind w:firstLine="420"/>
        <w:jc w:val="both"/>
      </w:pPr>
      <w:r>
        <w:rPr>
          <w:sz w:val="21"/>
        </w:rPr>
        <w:t>《地下通信线缆敷设》</w:t>
      </w:r>
      <w:r>
        <w:rPr>
          <w:sz w:val="21"/>
        </w:rPr>
        <w:t>05X101-2</w:t>
      </w:r>
    </w:p>
    <w:p>
      <w:pPr>
        <w:pStyle w:val="null3"/>
        <w:ind w:firstLine="420"/>
        <w:jc w:val="both"/>
      </w:pPr>
      <w:r>
        <w:rPr>
          <w:sz w:val="21"/>
        </w:rPr>
        <w:t>《建筑电气工程施工质量验收规范》</w:t>
      </w:r>
      <w:r>
        <w:rPr>
          <w:sz w:val="21"/>
        </w:rPr>
        <w:t>GB50303</w:t>
      </w:r>
    </w:p>
    <w:p>
      <w:pPr>
        <w:pStyle w:val="null3"/>
        <w:ind w:firstLine="420"/>
        <w:jc w:val="both"/>
      </w:pPr>
      <w:r>
        <w:rPr>
          <w:sz w:val="21"/>
        </w:rPr>
        <w:t>《建筑工程施工质量验收统一标准》</w:t>
      </w:r>
      <w:r>
        <w:rPr>
          <w:sz w:val="21"/>
        </w:rPr>
        <w:t>GB50300</w:t>
      </w:r>
    </w:p>
    <w:p>
      <w:pPr>
        <w:pStyle w:val="null3"/>
        <w:ind w:firstLine="420"/>
        <w:jc w:val="both"/>
      </w:pPr>
      <w:r>
        <w:rPr>
          <w:sz w:val="21"/>
        </w:rPr>
        <w:t>《电子计算机场地通用规范》</w:t>
      </w:r>
      <w:r>
        <w:rPr>
          <w:sz w:val="21"/>
        </w:rPr>
        <w:t>GB/T2887</w:t>
      </w:r>
    </w:p>
    <w:p>
      <w:pPr>
        <w:pStyle w:val="null3"/>
        <w:jc w:val="both"/>
        <w:outlineLvl w:val="1"/>
      </w:pPr>
      <w:r>
        <w:rPr>
          <w:sz w:val="21"/>
          <w:b/>
        </w:rPr>
        <w:t>1.5.</w:t>
      </w:r>
      <w:r>
        <w:rPr>
          <w:sz w:val="21"/>
          <w:b/>
        </w:rPr>
        <w:t>建设内容</w:t>
      </w:r>
    </w:p>
    <w:p>
      <w:pPr>
        <w:pStyle w:val="null3"/>
        <w:ind w:firstLine="420"/>
        <w:jc w:val="both"/>
      </w:pPr>
      <w:r>
        <w:rPr>
          <w:sz w:val="21"/>
        </w:rPr>
        <w:t>考虑到学校信息化建设三到五年内的应用建设变化发展所需要的系统伸缩性和扩展性要求，保证技术</w:t>
      </w:r>
      <w:r>
        <w:rPr>
          <w:sz w:val="21"/>
        </w:rPr>
        <w:t>前瞻性</w:t>
      </w:r>
      <w:r>
        <w:rPr>
          <w:sz w:val="21"/>
        </w:rPr>
        <w:t>、现实性和发展性，最大限度地保护既有的投资，减少对系统的维护和未来开发的成本，保证项目在技术上、经济上的可持续性发展。主要建设内容如下：</w:t>
      </w:r>
    </w:p>
    <w:p>
      <w:pPr>
        <w:pStyle w:val="null3"/>
        <w:ind w:firstLine="420"/>
        <w:jc w:val="both"/>
      </w:pPr>
      <w:r>
        <w:rPr>
          <w:sz w:val="21"/>
        </w:rPr>
        <w:t>1、多媒体教学平台：实现多媒体教学、现场演示、课件教学、演讲培训，同时还提供了交互式学习方式，老师可以通过预设情景，充分调动学生的想象力，让学生融入到课堂之中，从而实现活泼课堂的目标。</w:t>
      </w:r>
    </w:p>
    <w:p>
      <w:pPr>
        <w:pStyle w:val="null3"/>
        <w:ind w:firstLine="420"/>
        <w:jc w:val="both"/>
      </w:pPr>
      <w:r>
        <w:rPr>
          <w:sz w:val="21"/>
        </w:rPr>
        <w:t>2、报告厅：报告厅是学校大中小型会议、集中教学、学生课外活动实践、对外交流场所，可举办大中小型会议、各类学术报告会、多媒体教学、学生演讲、年终总结、中小型文艺演出、话剧、社团活动等课外实践活动。</w:t>
      </w:r>
    </w:p>
    <w:p>
      <w:pPr>
        <w:pStyle w:val="null3"/>
        <w:ind w:firstLine="420"/>
        <w:jc w:val="both"/>
      </w:pPr>
      <w:r>
        <w:rPr>
          <w:sz w:val="21"/>
        </w:rPr>
        <w:t>3、智能会议室：主要应用于学校年级会议、教学研讨、行政会议使用，满足与管委会日常视频会议通讯。</w:t>
      </w:r>
    </w:p>
    <w:p>
      <w:pPr>
        <w:pStyle w:val="null3"/>
        <w:ind w:firstLine="420"/>
        <w:jc w:val="both"/>
      </w:pPr>
      <w:r>
        <w:rPr>
          <w:sz w:val="21"/>
        </w:rPr>
        <w:t>4、录播系统：供各年级精品课程、远程教育、优质课评比、公开课使用，等教育活动。系统可以将教师授课内容录制下来，制作成精品教学课件，供学生和老师查阅，实现优质教学资源共享。</w:t>
      </w:r>
    </w:p>
    <w:p>
      <w:pPr>
        <w:pStyle w:val="null3"/>
        <w:ind w:firstLine="420"/>
        <w:jc w:val="both"/>
      </w:pPr>
      <w:r>
        <w:rPr>
          <w:sz w:val="21"/>
        </w:rPr>
        <w:t>5、校园电视台：主要应用于学校年级直播、微课制作、会议使用。</w:t>
      </w:r>
    </w:p>
    <w:p>
      <w:pPr>
        <w:pStyle w:val="null3"/>
        <w:ind w:firstLine="420"/>
        <w:jc w:val="both"/>
      </w:pPr>
      <w:r>
        <w:rPr>
          <w:sz w:val="21"/>
        </w:rPr>
        <w:t>6、计算机教室：学生在这里可以学习计算机基础知识、掌握基本操作技能、简易编程、保障学生在校能够享受现代教育技术。</w:t>
      </w:r>
    </w:p>
    <w:p>
      <w:pPr>
        <w:pStyle w:val="null3"/>
        <w:ind w:firstLine="420"/>
        <w:jc w:val="both"/>
      </w:pPr>
      <w:r>
        <w:rPr>
          <w:sz w:val="21"/>
        </w:rPr>
        <w:t>7、智慧图书馆：实现图书馆管理信息化和服务形式智能化，创新图书借阅方式，简化图书借阅管理，将馆藏资源推送到楼层、课堂，促进师生便捷、有效阅读。</w:t>
      </w:r>
    </w:p>
    <w:p>
      <w:pPr>
        <w:pStyle w:val="null3"/>
        <w:ind w:firstLine="420"/>
        <w:jc w:val="both"/>
      </w:pPr>
      <w:r>
        <w:rPr>
          <w:sz w:val="21"/>
        </w:rPr>
        <w:t>8、球类计分计时系统：用于篮球、羽毛球、排球，计时计分。</w:t>
      </w:r>
    </w:p>
    <w:p>
      <w:pPr>
        <w:pStyle w:val="null3"/>
        <w:ind w:firstLine="420"/>
        <w:jc w:val="both"/>
      </w:pPr>
      <w:r>
        <w:rPr>
          <w:sz w:val="21"/>
        </w:rPr>
        <w:t>9、游泳馆计分及球类计分计时系统：满足学生中考游泳考试及游泳比赛要求，可用于中考考试及比赛的游泳计时，也能作为监视记录设备用于日常训练。</w:t>
      </w:r>
    </w:p>
    <w:p>
      <w:pPr>
        <w:pStyle w:val="null3"/>
        <w:ind w:firstLine="420"/>
        <w:jc w:val="both"/>
      </w:pPr>
      <w:r>
        <w:rPr>
          <w:sz w:val="21"/>
        </w:rPr>
        <w:t>10、纸笔课堂系统：通过智能笔的形式采集教与学的过程数据，实现教学过程的数字化，并能提供相应的分析报表及统计数据，实现因材施教、个性化教学与学习的重要组成。</w:t>
      </w:r>
    </w:p>
    <w:p>
      <w:pPr>
        <w:pStyle w:val="null3"/>
        <w:ind w:firstLine="420"/>
        <w:jc w:val="both"/>
      </w:pPr>
      <w:r>
        <w:rPr>
          <w:sz w:val="21"/>
        </w:rPr>
        <w:t>11、智慧体育体测空间系统：体育体测空间系统是为了促进学生的身体健康和全面发展，提高学生的体育素养和运动能力。系统结合人工智能和物联网技术，实现与学生、教师和家长的互动，提供个性化的体育教学和管理服务，以及全方位的运动监控和评估功能。包括智能体测，以体测室为基础，实现体质健康测试项目的智能化测试和分析。</w:t>
      </w:r>
    </w:p>
    <w:p>
      <w:pPr>
        <w:pStyle w:val="null3"/>
        <w:ind w:firstLine="420"/>
        <w:jc w:val="both"/>
      </w:pPr>
      <w:r>
        <w:rPr>
          <w:sz w:val="21"/>
        </w:rPr>
        <w:t>12、云阅卷系统及分析系统：实现客观题自动阅卷，生成相关报表和成绩分析。</w:t>
      </w:r>
    </w:p>
    <w:p>
      <w:pPr>
        <w:pStyle w:val="null3"/>
        <w:ind w:firstLine="420"/>
        <w:jc w:val="both"/>
      </w:pPr>
      <w:r>
        <w:rPr>
          <w:sz w:val="21"/>
        </w:rPr>
        <w:t>13、心育辅导室系统：使学生学会学习和生活，正确认识自我，提高自主自助和自我教育能力，增强调控情绪、承受挫折、适应环境的能力，培养学生健全的人格和良好的个性心理品质；对有心理困扰或心理问题的学生，进行科学有效的心理辅导，及时给予必要的危机干预，提高其心理健康水平，培养他们积极乐观、健康向上的心理品质。</w:t>
      </w:r>
    </w:p>
    <w:p>
      <w:pPr>
        <w:pStyle w:val="null3"/>
        <w:ind w:firstLine="420"/>
        <w:jc w:val="both"/>
      </w:pPr>
      <w:r>
        <w:rPr>
          <w:sz w:val="21"/>
        </w:rPr>
        <w:t>14、教学管理系统：能一站式解决学校行政管理人员和广大教师的综合管理，是学校行政人员高效处理三处一室部门业务，对科组、年级、班级、教师和学生进行精细化管理的利器，能让学校从容应对新形势，做好数字化转型的关键系统。</w:t>
      </w:r>
    </w:p>
    <w:p>
      <w:pPr>
        <w:pStyle w:val="null3"/>
        <w:ind w:firstLine="420"/>
        <w:jc w:val="both"/>
      </w:pPr>
      <w:r>
        <w:rPr>
          <w:sz w:val="21"/>
        </w:rPr>
        <w:t>15、智慧班牌系统：是学校文化建设及建设数字化校园的重要组成部分，是学校老师日常工作、班级文化宣传展示以及拓展课堂交流等实现智慧校园的一个很好的应用载体。实现学校老师日常工作与环境美化的完美融合，为全方位培育和打造校园文化环境提供了一个优质的载体。通过将班牌与互联网、数字设备相结合，可以实现信息发布、校园管理、家校互动等多种功能，为学校提供了更加便捷、高效的管理方式。</w:t>
      </w:r>
    </w:p>
    <w:p>
      <w:pPr>
        <w:pStyle w:val="null3"/>
        <w:ind w:firstLine="420"/>
        <w:jc w:val="both"/>
      </w:pPr>
      <w:r>
        <w:rPr>
          <w:sz w:val="21"/>
        </w:rPr>
        <w:t>16、教师招聘系统：系统基于大数平台包括教师招聘后台管理模块、报名平台PC端、报名平台移动端、运维服务等。</w:t>
      </w:r>
    </w:p>
    <w:p>
      <w:pPr>
        <w:pStyle w:val="null3"/>
        <w:ind w:firstLine="420"/>
        <w:jc w:val="both"/>
      </w:pPr>
      <w:r>
        <w:rPr>
          <w:sz w:val="21"/>
        </w:rPr>
        <w:t>17、膳食管理系统：给学生做营养餐的搭配，让家长根据孩子情况选择适合孩子吃的食物（比如有些特殊体质的孩子），通过系统综合考虑多样化搭配，以健康营养的方式给学生做配餐。</w:t>
      </w:r>
    </w:p>
    <w:p>
      <w:pPr>
        <w:pStyle w:val="null3"/>
        <w:ind w:firstLine="420"/>
        <w:jc w:val="both"/>
      </w:pPr>
      <w:r>
        <w:rPr>
          <w:sz w:val="21"/>
        </w:rPr>
        <w:t>18、评价系统：依托大数据精准评价，建设学生综合素质评价系统。通过改进结果评价，强化过程评价，探索增值评价，健全综合评价等方式，引导学生在课程评价中学会发现自己，提升自己。系统包括数据中台、大数据分析平台、业务支撑、日常管理、评价处理系统等。</w:t>
      </w:r>
    </w:p>
    <w:p>
      <w:pPr>
        <w:pStyle w:val="null3"/>
        <w:ind w:firstLine="420"/>
        <w:jc w:val="both"/>
      </w:pPr>
      <w:r>
        <w:rPr>
          <w:sz w:val="21"/>
        </w:rPr>
        <w:t>19、大数据精准教学系统：大数据精准教学系统，整合大数据采集、基础数据分析、精准教学、智能练习、教学管理等模块，依托人工智能+大数据技术及大量优质教学资源，基于对学校日常考试、测练、练习作业等全场景学业数据的采集和精准分析，为教师讲评、备课、教研，为学生个性化学习，为管理者科学管理等提供有力数据支持。</w:t>
      </w:r>
    </w:p>
    <w:p>
      <w:pPr>
        <w:pStyle w:val="null3"/>
        <w:ind w:firstLine="420"/>
        <w:jc w:val="both"/>
      </w:pPr>
      <w:r>
        <w:rPr>
          <w:sz w:val="21"/>
        </w:rPr>
        <w:t>20、英语听说模拟测试系统：英语听说模拟测试系统以正式考试为依托，为学校提供基于机房局域网的、常态化的听说考试、智能评分和评价反馈的产品以及资源运营服务。系统可营造真实的英语听说考试场景，为学生提供考试流程全真模拟的考试环境，提高学生的英语听说水平。</w:t>
      </w:r>
    </w:p>
    <w:p>
      <w:pPr>
        <w:pStyle w:val="null3"/>
        <w:ind w:firstLine="420"/>
        <w:jc w:val="both"/>
      </w:pPr>
      <w:r>
        <w:rPr>
          <w:sz w:val="21"/>
        </w:rPr>
        <w:t>21、政务云机房资源池：</w:t>
      </w:r>
    </w:p>
    <w:p>
      <w:pPr>
        <w:pStyle w:val="null3"/>
        <w:ind w:firstLine="420"/>
        <w:jc w:val="both"/>
      </w:pPr>
      <w:r>
        <w:rPr>
          <w:sz w:val="21"/>
        </w:rPr>
        <w:t>校园智联平台资源：</w:t>
      </w:r>
      <w:r>
        <w:rPr>
          <w:sz w:val="21"/>
        </w:rPr>
        <w:t>20核vCPU，192GB内存，5TB存储。（利用现有政务云资源）</w:t>
      </w:r>
    </w:p>
    <w:p>
      <w:pPr>
        <w:pStyle w:val="null3"/>
        <w:ind w:firstLine="420"/>
        <w:jc w:val="both"/>
      </w:pPr>
      <w:r>
        <w:rPr>
          <w:sz w:val="21"/>
        </w:rPr>
        <w:t>教学管理平台资源：</w:t>
      </w:r>
      <w:r>
        <w:rPr>
          <w:sz w:val="21"/>
        </w:rPr>
        <w:t>64核vCPU，512GB内存，20TB存储。（利用现有政务云资源）</w:t>
      </w:r>
    </w:p>
    <w:p>
      <w:pPr>
        <w:pStyle w:val="null3"/>
        <w:ind w:firstLine="420"/>
        <w:jc w:val="both"/>
      </w:pPr>
      <w:r>
        <w:rPr>
          <w:sz w:val="21"/>
        </w:rPr>
        <w:t>整个信息化共设置二十一个子系统。</w:t>
      </w:r>
    </w:p>
    <w:p>
      <w:pPr>
        <w:pStyle w:val="null3"/>
        <w:jc w:val="both"/>
        <w:outlineLvl w:val="3"/>
      </w:pPr>
      <w:r>
        <w:rPr>
          <w:sz w:val="21"/>
          <w:b/>
        </w:rPr>
        <w:t>（二）</w:t>
      </w:r>
      <w:r>
        <w:rPr>
          <w:sz w:val="21"/>
          <w:b/>
        </w:rPr>
        <w:t>项目</w:t>
      </w:r>
      <w:r>
        <w:rPr>
          <w:sz w:val="21"/>
          <w:b/>
        </w:rPr>
        <w:t>基本要求</w:t>
      </w:r>
    </w:p>
    <w:p>
      <w:pPr>
        <w:pStyle w:val="null3"/>
        <w:ind w:firstLine="420"/>
        <w:jc w:val="both"/>
      </w:pPr>
      <w:r>
        <w:rPr>
          <w:sz w:val="21"/>
        </w:rPr>
        <w:t>1</w:t>
      </w:r>
      <w:r>
        <w:rPr>
          <w:sz w:val="21"/>
        </w:rPr>
        <w:t>、负责招标文件中对</w:t>
      </w:r>
      <w:r>
        <w:rPr>
          <w:sz w:val="21"/>
        </w:rPr>
        <w:t>乙方</w:t>
      </w:r>
      <w:r>
        <w:rPr>
          <w:sz w:val="21"/>
        </w:rPr>
        <w:t>要求的一切事宜及责任。包括货物采购、运输、保管、安装、调试、验收、培训、相关部门验收及保证所有设备和系统正常运行、符合验收标准的一切费用及保修期内的维护保养、相关服务及全部税费等。</w:t>
      </w:r>
    </w:p>
    <w:p>
      <w:pPr>
        <w:pStyle w:val="null3"/>
        <w:ind w:firstLine="420"/>
        <w:jc w:val="both"/>
      </w:pPr>
      <w:r>
        <w:rPr>
          <w:sz w:val="21"/>
        </w:rPr>
        <w:t>2</w:t>
      </w:r>
      <w:r>
        <w:rPr>
          <w:sz w:val="21"/>
        </w:rPr>
        <w:t>、需在投标文件中注明所投标货物的生产商及产地，所有货物在交货时</w:t>
      </w:r>
      <w:r>
        <w:rPr>
          <w:sz w:val="21"/>
        </w:rPr>
        <w:t>乙方</w:t>
      </w:r>
      <w:r>
        <w:rPr>
          <w:sz w:val="21"/>
        </w:rPr>
        <w:t>需向</w:t>
      </w:r>
      <w:r>
        <w:rPr>
          <w:sz w:val="21"/>
        </w:rPr>
        <w:t>甲方</w:t>
      </w:r>
      <w:r>
        <w:rPr>
          <w:sz w:val="21"/>
        </w:rPr>
        <w:t>提供货物生产商的供货确认及售后服务技术支持的证明文件，并保证所提供的货物必须是国标产品，且是未使用过的、质量可靠的成熟的全新产品，</w:t>
      </w:r>
      <w:r>
        <w:rPr>
          <w:sz w:val="21"/>
        </w:rPr>
        <w:t>乙方</w:t>
      </w:r>
      <w:r>
        <w:rPr>
          <w:sz w:val="21"/>
        </w:rPr>
        <w:t>需</w:t>
      </w:r>
      <w:r>
        <w:rPr>
          <w:sz w:val="21"/>
        </w:rPr>
        <w:t>随货物装箱提供制造厂的货物</w:t>
      </w:r>
      <w:r>
        <w:rPr>
          <w:sz w:val="21"/>
        </w:rPr>
        <w:t>检测</w:t>
      </w:r>
      <w:r>
        <w:rPr>
          <w:sz w:val="21"/>
        </w:rPr>
        <w:t>报告</w:t>
      </w:r>
      <w:r>
        <w:rPr>
          <w:sz w:val="21"/>
        </w:rPr>
        <w:t>或</w:t>
      </w:r>
      <w:r>
        <w:rPr>
          <w:sz w:val="21"/>
        </w:rPr>
        <w:t>合格证</w:t>
      </w:r>
      <w:r>
        <w:rPr>
          <w:sz w:val="21"/>
        </w:rPr>
        <w:t>、</w:t>
      </w:r>
      <w:r>
        <w:rPr>
          <w:sz w:val="21"/>
        </w:rPr>
        <w:t>质量保证书</w:t>
      </w:r>
      <w:r>
        <w:rPr>
          <w:sz w:val="21"/>
        </w:rPr>
        <w:t>或</w:t>
      </w:r>
      <w:r>
        <w:rPr>
          <w:sz w:val="21"/>
        </w:rPr>
        <w:t>保修卡等证明文件。</w:t>
      </w:r>
    </w:p>
    <w:p>
      <w:pPr>
        <w:pStyle w:val="null3"/>
        <w:ind w:firstLine="420"/>
        <w:jc w:val="both"/>
      </w:pPr>
      <w:r>
        <w:rPr>
          <w:sz w:val="21"/>
        </w:rPr>
        <w:t>3</w:t>
      </w:r>
      <w:r>
        <w:rPr>
          <w:sz w:val="21"/>
        </w:rPr>
        <w:t>、货物及所有配套件的完整性和可靠性。对于文件没有列出，而对该货物的正常使用和维护必不可少的部件、配件等，投标人有责任给予补充，且总报价已包含此部分内容。</w:t>
      </w:r>
    </w:p>
    <w:p>
      <w:pPr>
        <w:pStyle w:val="null3"/>
        <w:ind w:firstLine="420"/>
        <w:jc w:val="both"/>
      </w:pPr>
      <w:r>
        <w:rPr>
          <w:sz w:val="21"/>
        </w:rPr>
        <w:t>4</w:t>
      </w:r>
      <w:r>
        <w:rPr>
          <w:sz w:val="21"/>
        </w:rPr>
        <w:t>、证其提供的货物的任何一部分都达到国家相关安全标准要求，如因货物的质量问题造成事故的，</w:t>
      </w:r>
      <w:r>
        <w:rPr>
          <w:sz w:val="21"/>
        </w:rPr>
        <w:t>乙方</w:t>
      </w:r>
      <w:r>
        <w:rPr>
          <w:sz w:val="21"/>
        </w:rPr>
        <w:t>须对此承担责任。</w:t>
      </w:r>
    </w:p>
    <w:p>
      <w:pPr>
        <w:pStyle w:val="null3"/>
        <w:ind w:firstLine="420"/>
        <w:jc w:val="both"/>
      </w:pPr>
      <w:r>
        <w:rPr>
          <w:sz w:val="21"/>
        </w:rPr>
        <w:t>5</w:t>
      </w:r>
      <w:r>
        <w:rPr>
          <w:sz w:val="21"/>
        </w:rPr>
        <w:t>、须将所有货物须按</w:t>
      </w:r>
      <w:r>
        <w:rPr>
          <w:sz w:val="21"/>
        </w:rPr>
        <w:t>甲方</w:t>
      </w:r>
      <w:r>
        <w:rPr>
          <w:sz w:val="21"/>
        </w:rPr>
        <w:t>的要求搬运至指定位置，货物及安装设备的运输、装卸、现场保管的费用全部由</w:t>
      </w:r>
      <w:r>
        <w:rPr>
          <w:sz w:val="21"/>
        </w:rPr>
        <w:t>乙方</w:t>
      </w:r>
      <w:r>
        <w:rPr>
          <w:sz w:val="21"/>
        </w:rPr>
        <w:t>负责。</w:t>
      </w:r>
    </w:p>
    <w:p>
      <w:pPr>
        <w:pStyle w:val="null3"/>
        <w:ind w:firstLine="420"/>
        <w:jc w:val="both"/>
      </w:pPr>
      <w:r>
        <w:rPr>
          <w:sz w:val="21"/>
        </w:rPr>
        <w:t>6</w:t>
      </w:r>
      <w:r>
        <w:rPr>
          <w:sz w:val="21"/>
        </w:rPr>
        <w:t>、应设有安装负责人，负责安装设备的计划、协调、人力调配及设备质量、安全管理等工作，还应设安装现场技术负责人负责技术，质量监督，安装现场测量，安装质量检查认可等，安装调试期间应驻现场进行配合。</w:t>
      </w:r>
    </w:p>
    <w:p>
      <w:pPr>
        <w:pStyle w:val="null3"/>
        <w:jc w:val="both"/>
        <w:outlineLvl w:val="3"/>
      </w:pPr>
      <w:r>
        <w:rPr>
          <w:sz w:val="21"/>
          <w:b/>
        </w:rPr>
        <w:t>（三）</w:t>
      </w:r>
      <w:r>
        <w:rPr>
          <w:sz w:val="21"/>
          <w:b/>
        </w:rPr>
        <w:t>培训要求</w:t>
      </w:r>
    </w:p>
    <w:p>
      <w:pPr>
        <w:pStyle w:val="null3"/>
        <w:ind w:firstLine="420"/>
        <w:jc w:val="both"/>
      </w:pPr>
      <w:r>
        <w:rPr>
          <w:sz w:val="21"/>
        </w:rPr>
        <w:t>乙方</w:t>
      </w:r>
      <w:r>
        <w:rPr>
          <w:sz w:val="21"/>
        </w:rPr>
        <w:t>在项目实施过程中，结合项目实施进度安排，合理地分期、分批对招标人的相关人员及单位进行培训。负责制定本项目培训方案，编制相关培训教材，组织以下培训工作：</w:t>
      </w:r>
    </w:p>
    <w:p>
      <w:pPr>
        <w:pStyle w:val="null3"/>
        <w:ind w:firstLine="420"/>
        <w:jc w:val="both"/>
      </w:pPr>
      <w:r>
        <w:rPr>
          <w:sz w:val="21"/>
        </w:rPr>
        <w:t>1、系统管理培训。在</w:t>
      </w:r>
      <w:r>
        <w:rPr>
          <w:sz w:val="21"/>
        </w:rPr>
        <w:t>维保</w:t>
      </w:r>
      <w:r>
        <w:rPr>
          <w:sz w:val="21"/>
        </w:rPr>
        <w:t>期内，负责不少于</w:t>
      </w:r>
      <w:r>
        <w:rPr>
          <w:sz w:val="21"/>
        </w:rPr>
        <w:t>5人次对本项目内所有系统软件和硬件设施进行系统管理培训。培训人员包括各相关业务使用用户，</w:t>
      </w:r>
      <w:r>
        <w:rPr>
          <w:sz w:val="21"/>
        </w:rPr>
        <w:t>乙方</w:t>
      </w:r>
      <w:r>
        <w:rPr>
          <w:sz w:val="21"/>
        </w:rPr>
        <w:t>承担培训相关费用，包括但不限于资料、场地租用、食宿、师资、交通等费用。</w:t>
      </w:r>
    </w:p>
    <w:p>
      <w:pPr>
        <w:pStyle w:val="null3"/>
        <w:ind w:firstLine="420"/>
        <w:jc w:val="both"/>
      </w:pPr>
      <w:r>
        <w:rPr>
          <w:sz w:val="21"/>
        </w:rPr>
        <w:t>2、系统应用培训。在</w:t>
      </w:r>
      <w:r>
        <w:rPr>
          <w:sz w:val="21"/>
        </w:rPr>
        <w:t>维保</w:t>
      </w:r>
      <w:r>
        <w:rPr>
          <w:sz w:val="21"/>
        </w:rPr>
        <w:t>期内，负责不少于</w:t>
      </w:r>
      <w:r>
        <w:rPr>
          <w:sz w:val="21"/>
        </w:rPr>
        <w:t>10人次对本项目内应用软件进行业务培训。培训人员包括各相关委办局业务使用用户，相关费用包括但不限于场地租用、食宿、师资、交通等费用。</w:t>
      </w:r>
    </w:p>
    <w:p>
      <w:pPr>
        <w:pStyle w:val="null3"/>
        <w:jc w:val="both"/>
        <w:outlineLvl w:val="3"/>
      </w:pPr>
      <w:r>
        <w:rPr>
          <w:sz w:val="21"/>
          <w:b/>
        </w:rPr>
        <w:t>（四）</w:t>
      </w:r>
      <w:r>
        <w:rPr>
          <w:sz w:val="21"/>
          <w:b/>
        </w:rPr>
        <w:t>项目清单</w:t>
      </w:r>
    </w:p>
    <w:p>
      <w:pPr>
        <w:pStyle w:val="null3"/>
        <w:ind w:firstLine="420"/>
      </w:pPr>
      <w:r>
        <w:rPr>
          <w:sz w:val="21"/>
        </w:rPr>
        <w:t>详见公告附件。</w:t>
      </w:r>
    </w:p>
    <w:p>
      <w:pPr>
        <w:pStyle w:val="null3"/>
        <w:jc w:val="both"/>
        <w:outlineLvl w:val="3"/>
      </w:pPr>
      <w:r>
        <w:rPr>
          <w:sz w:val="21"/>
          <w:b/>
        </w:rPr>
        <w:t>（五）</w:t>
      </w:r>
      <w:r>
        <w:rPr>
          <w:sz w:val="21"/>
          <w:b/>
        </w:rPr>
        <w:t>其他要求</w:t>
      </w:r>
    </w:p>
    <w:p>
      <w:pPr>
        <w:pStyle w:val="null3"/>
        <w:ind w:firstLine="420"/>
      </w:pPr>
      <w:r>
        <w:rPr>
          <w:sz w:val="21"/>
        </w:rPr>
        <w:t>1、项目供货期间，乙方如不具备项目实施过程中的施工类资质，可与甲方协商进行专业分包，经甲方同意后委托符合资质的企业承接本项目的非主体、非关键性工作，费用由乙方自行解决。</w:t>
      </w:r>
    </w:p>
    <w:p>
      <w:pPr>
        <w:pStyle w:val="null3"/>
        <w:ind w:firstLine="420"/>
      </w:pPr>
      <w:r>
        <w:rPr>
          <w:sz w:val="21"/>
        </w:rPr>
        <w:t>2、投标人应根据本项目的作业要求，在投标文件中提供切实可行的技术方案、实施方案及组织措施、项目质量控制方案、培训方案、售后服务方案等。</w:t>
      </w:r>
    </w:p>
    <w:p>
      <w:pPr>
        <w:pStyle w:val="null3"/>
        <w:ind w:firstLine="420"/>
        <w:jc w:val="both"/>
      </w:pPr>
      <w:r>
        <w:rPr>
          <w:sz w:val="21"/>
        </w:rPr>
        <w:t>3、若甲方根据实际需求购买与本项目相关的设备，乙方应负责完成安装及调试。</w:t>
      </w:r>
    </w:p>
    <w:p>
      <w:pPr>
        <w:pStyle w:val="null3"/>
        <w:jc w:val="both"/>
      </w:pPr>
      <w:r>
        <w:rPr>
          <w:sz w:val="21"/>
          <w:b/>
        </w:rPr>
        <w:t>四、交货期、交货方式及交货地点</w:t>
      </w:r>
    </w:p>
    <w:p>
      <w:pPr>
        <w:pStyle w:val="null3"/>
        <w:ind w:firstLine="420"/>
        <w:jc w:val="both"/>
      </w:pPr>
      <w:r>
        <w:rPr>
          <w:sz w:val="21"/>
        </w:rPr>
        <w:t>1.交货期：合同签定之日起40日内完成项目供货、安装调试。</w:t>
      </w:r>
    </w:p>
    <w:p>
      <w:pPr>
        <w:pStyle w:val="null3"/>
        <w:ind w:firstLine="420"/>
        <w:jc w:val="both"/>
      </w:pPr>
      <w:r>
        <w:rPr>
          <w:sz w:val="21"/>
        </w:rPr>
        <w:t>2.交货方式：</w:t>
      </w:r>
      <w:r>
        <w:rPr>
          <w:sz w:val="22"/>
        </w:rPr>
        <w:t>上门交货</w:t>
      </w:r>
    </w:p>
    <w:p>
      <w:pPr>
        <w:pStyle w:val="null3"/>
        <w:ind w:firstLine="420"/>
        <w:jc w:val="both"/>
      </w:pPr>
      <w:r>
        <w:rPr>
          <w:sz w:val="21"/>
        </w:rPr>
        <w:t>3.交货地点：</w:t>
      </w:r>
      <w:r>
        <w:rPr>
          <w:sz w:val="21"/>
        </w:rPr>
        <w:t>东莞滨海湾未来学校</w:t>
      </w:r>
      <w:r>
        <w:rPr>
          <w:sz w:val="21"/>
        </w:rPr>
        <w:t xml:space="preserve"> </w:t>
      </w:r>
      <w:r>
        <w:rPr>
          <w:sz w:val="21"/>
        </w:rPr>
        <w:t>(</w:t>
      </w:r>
      <w:r>
        <w:rPr>
          <w:sz w:val="21"/>
        </w:rPr>
        <w:t>甲方</w:t>
      </w:r>
      <w:r>
        <w:rPr>
          <w:sz w:val="21"/>
        </w:rPr>
        <w:t>指</w:t>
      </w:r>
      <w:r>
        <w:rPr>
          <w:sz w:val="21"/>
        </w:rPr>
        <w:t>定</w:t>
      </w:r>
      <w:r>
        <w:rPr>
          <w:sz w:val="21"/>
        </w:rPr>
        <w:t>地点</w:t>
      </w:r>
      <w:r>
        <w:rPr>
          <w:sz w:val="21"/>
        </w:rPr>
        <w:t>)</w:t>
      </w:r>
    </w:p>
    <w:p>
      <w:pPr>
        <w:pStyle w:val="null3"/>
        <w:jc w:val="both"/>
      </w:pPr>
      <w:r>
        <w:rPr>
          <w:sz w:val="21"/>
          <w:b/>
        </w:rPr>
        <w:t>五、付款方式</w:t>
      </w:r>
    </w:p>
    <w:p>
      <w:pPr>
        <w:pStyle w:val="null3"/>
        <w:ind w:firstLine="420"/>
        <w:jc w:val="both"/>
      </w:pPr>
      <w:r>
        <w:rPr>
          <w:sz w:val="21"/>
        </w:rPr>
        <w:t>第</w:t>
      </w:r>
      <w:r>
        <w:rPr>
          <w:sz w:val="21"/>
        </w:rPr>
        <w:t>1期：支付比例20%,,签订合同后乙方向甲方提供等额发票等付款资料后，甲方在30个工作日内支付合同总价的20%；</w:t>
      </w:r>
    </w:p>
    <w:p>
      <w:pPr>
        <w:pStyle w:val="null3"/>
        <w:ind w:firstLine="420"/>
        <w:jc w:val="both"/>
      </w:pPr>
      <w:r>
        <w:rPr>
          <w:sz w:val="21"/>
        </w:rPr>
        <w:t>第</w:t>
      </w:r>
      <w:r>
        <w:rPr>
          <w:sz w:val="21"/>
        </w:rPr>
        <w:t>2期：支付比例30%,主要设备到场，经甲方验收确认并且乙方向甲方提供等额发票及相关付款资料后30个工作日内，甲方支付合同总金额的30%；</w:t>
      </w:r>
    </w:p>
    <w:p>
      <w:pPr>
        <w:pStyle w:val="null3"/>
        <w:ind w:firstLine="420"/>
        <w:jc w:val="both"/>
      </w:pPr>
      <w:r>
        <w:rPr>
          <w:sz w:val="21"/>
        </w:rPr>
        <w:t>第</w:t>
      </w:r>
      <w:r>
        <w:rPr>
          <w:sz w:val="21"/>
        </w:rPr>
        <w:t>3期：支付比例30%,所有货物到场全部安装调试完毕并完成初验，乙方向甲方提供等额发票等付款资料后，甲方在30个工作日内支付合同总金额的30%；</w:t>
      </w:r>
    </w:p>
    <w:p>
      <w:pPr>
        <w:pStyle w:val="null3"/>
        <w:ind w:firstLine="420"/>
        <w:jc w:val="both"/>
      </w:pPr>
      <w:r>
        <w:rPr>
          <w:sz w:val="21"/>
        </w:rPr>
        <w:t>第</w:t>
      </w:r>
      <w:r>
        <w:rPr>
          <w:sz w:val="21"/>
        </w:rPr>
        <w:t>4期：支付比例20%,项目竣工，经甲方最终验收合格、进行项目实际结算后，乙方向甲方提供等额发票等付款资料后，甲方在30个工作日内支付至最终实际结算价的100% ；说明：最终结算价以新区财政部门审定为准，最终实际结算时参照《关于印发东莞市财政性资金投资基本建设项目工程价款管理办法的通知（东财〔2021〕20号）》的规定执行。</w:t>
      </w:r>
    </w:p>
    <w:p>
      <w:pPr>
        <w:pStyle w:val="null3"/>
        <w:jc w:val="both"/>
      </w:pPr>
      <w:r>
        <w:rPr>
          <w:sz w:val="21"/>
          <w:b/>
        </w:rPr>
        <w:t>六、维保期及售后服务要求</w:t>
      </w:r>
    </w:p>
    <w:p>
      <w:pPr>
        <w:pStyle w:val="null3"/>
        <w:ind w:firstLine="420"/>
        <w:jc w:val="both"/>
      </w:pPr>
      <w:r>
        <w:rPr>
          <w:sz w:val="21"/>
        </w:rPr>
        <w:t>1、需在投标文件中详细列明货物的质量保证措施及售后服务承诺，包括货物免费保修期、故障处理、出现质量问题责任归属、质量事故赔偿方案等。</w:t>
      </w:r>
    </w:p>
    <w:p>
      <w:pPr>
        <w:pStyle w:val="null3"/>
        <w:ind w:firstLine="420"/>
        <w:jc w:val="both"/>
      </w:pPr>
      <w:r>
        <w:rPr>
          <w:sz w:val="21"/>
        </w:rPr>
        <w:t>2、项目维保期：整体项目提供不少于一年的免费维保期，维保期自竣工验收之日起计算。维保期内免费提供维护、保修、技术支持等服务。维保期内，货物质量出现问题，负责提供三包 (包修、包换、包退) 服务。维保期内，若需要上门服务，由此产生的费用均不再收取。</w:t>
      </w:r>
    </w:p>
    <w:p>
      <w:pPr>
        <w:pStyle w:val="null3"/>
        <w:ind w:firstLine="420"/>
        <w:jc w:val="both"/>
      </w:pPr>
      <w:r>
        <w:rPr>
          <w:sz w:val="21"/>
        </w:rPr>
        <w:t>3、须具有相应的售后服务能力，包括拥有相应的替代产品和人员。在保修期内，投标人须有可随时上门进行维修及检测的维修技术人员。</w:t>
      </w:r>
    </w:p>
    <w:p>
      <w:pPr>
        <w:pStyle w:val="null3"/>
        <w:ind w:firstLine="420"/>
        <w:jc w:val="both"/>
      </w:pPr>
      <w:r>
        <w:rPr>
          <w:sz w:val="21"/>
        </w:rPr>
        <w:t>4、维保期内货物各部件发生非人为故障的，乙方应免费上门更换同种品牌规格型号的新部件；货物发生人为故障的，乙方应上门更换同种品牌规格型号的新部件，只收零配件成本，不得加收其它任何费用，提供软件的免费维护和升级服务。</w:t>
      </w:r>
    </w:p>
    <w:p>
      <w:pPr>
        <w:pStyle w:val="null3"/>
        <w:ind w:firstLine="420"/>
        <w:jc w:val="both"/>
      </w:pPr>
      <w:r>
        <w:rPr>
          <w:sz w:val="21"/>
        </w:rPr>
        <w:t>5、免费提供货物安装、调试、使用培训；免费提供24小时技术支持；永久性免费提供电话技术指导和咨询服务；提供长期上门维修服务；定期进行货物免费检修。</w:t>
      </w:r>
    </w:p>
    <w:p>
      <w:pPr>
        <w:pStyle w:val="null3"/>
        <w:ind w:firstLine="420"/>
        <w:jc w:val="both"/>
      </w:pPr>
      <w:r>
        <w:rPr>
          <w:sz w:val="21"/>
        </w:rPr>
        <w:t>6、免费维保期内，货物故障报修响应时间为：故障响应时间不超过半小时，到达现场时间不超过24小时；当天无法修复的，需提供同等规格的产品代用，直至故障设备修复，乙方负责所有因设备质量问题而产生的费用。</w:t>
      </w:r>
    </w:p>
    <w:p>
      <w:pPr>
        <w:pStyle w:val="null3"/>
        <w:jc w:val="both"/>
      </w:pPr>
      <w:r>
        <w:rPr>
          <w:sz w:val="21"/>
          <w:b/>
        </w:rPr>
        <w:t>七、安装与调试</w:t>
      </w:r>
    </w:p>
    <w:p>
      <w:pPr>
        <w:pStyle w:val="null3"/>
        <w:ind w:firstLine="420"/>
        <w:jc w:val="both"/>
      </w:pPr>
      <w:r>
        <w:rPr>
          <w:sz w:val="21"/>
        </w:rPr>
        <w:t>1.乙方必须依照招标文件的要求和报价文件的承诺，将设备、系统安装并调试至正常运行的最佳状态。</w:t>
      </w:r>
    </w:p>
    <w:p>
      <w:pPr>
        <w:pStyle w:val="null3"/>
        <w:jc w:val="both"/>
      </w:pPr>
      <w:r>
        <w:rPr>
          <w:sz w:val="21"/>
          <w:b/>
        </w:rPr>
        <w:t>八、验收：</w:t>
      </w:r>
    </w:p>
    <w:p>
      <w:pPr>
        <w:pStyle w:val="null3"/>
        <w:ind w:firstLine="420"/>
        <w:jc w:val="both"/>
      </w:pPr>
      <w:r>
        <w:rPr>
          <w:sz w:val="21"/>
        </w:rPr>
        <w:t>1期：初验，经甲方现场初步验收合格达到使用需求（甲方按国家有关规定、规范组织项目验收，必要时邀请相关的专业人员或机构参与验收）。</w:t>
      </w:r>
    </w:p>
    <w:p>
      <w:pPr>
        <w:pStyle w:val="null3"/>
        <w:ind w:firstLine="420"/>
        <w:jc w:val="both"/>
      </w:pPr>
      <w:r>
        <w:rPr>
          <w:sz w:val="21"/>
        </w:rPr>
        <w:t>2期：终验，初验通过后试运行3个月以上，且所有货物正常使用且实现项目目标要求，并经甲方与使用方共同确认（甲方按国家有关规定、规范组织项目验收，必要时邀请相关的专业人员或机构参与验收）。</w:t>
      </w:r>
    </w:p>
    <w:p>
      <w:pPr>
        <w:pStyle w:val="null3"/>
        <w:jc w:val="both"/>
      </w:pPr>
      <w:r>
        <w:rPr>
          <w:sz w:val="21"/>
          <w:b/>
        </w:rPr>
        <w:t>九、违约责任与赔偿损失</w:t>
      </w:r>
    </w:p>
    <w:p>
      <w:pPr>
        <w:pStyle w:val="null3"/>
        <w:ind w:firstLine="420"/>
        <w:jc w:val="both"/>
      </w:pPr>
      <w:r>
        <w:rPr>
          <w:sz w:val="21"/>
        </w:rPr>
        <w:t>1.乙方交付的货物、提供的服务不符合本合同规定的，甲方有权拒收，并且乙方须向甲方支付本合同总价5%的违约金。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3.甲方无正当理由拒收货物/接受服务，到期拒付货物/服务款项的，甲方向乙方偿付本合同总价的5%的违约金。甲方人逾期付款，则每日按本合同总价的3‰向乙方偿付违约金。</w:t>
      </w:r>
    </w:p>
    <w:p>
      <w:pPr>
        <w:pStyle w:val="null3"/>
        <w:ind w:firstLine="420"/>
        <w:jc w:val="both"/>
      </w:pPr>
      <w:r>
        <w:rPr>
          <w:sz w:val="21"/>
        </w:rPr>
        <w:t>4.乙方因自身原因要求终止或解除合同，乙方应向甲方支付合同总价的20%的违约金，并应向甲方退还已支付的费用。乙方因此而遭受的损失，将由乙方独立承担，甲方对此不负任何责任，也不作任何赔偿。</w:t>
      </w:r>
    </w:p>
    <w:p>
      <w:pPr>
        <w:pStyle w:val="null3"/>
        <w:ind w:firstLine="420"/>
        <w:jc w:val="both"/>
      </w:pPr>
      <w:r>
        <w:rPr>
          <w:sz w:val="21"/>
        </w:rPr>
        <w:t>5.合同履约期内，如国家政策原因而导致项目提前终止，甲方和乙方双方互不追究责任。</w:t>
      </w:r>
    </w:p>
    <w:p>
      <w:pPr>
        <w:pStyle w:val="null3"/>
        <w:ind w:firstLine="420"/>
        <w:jc w:val="both"/>
      </w:pPr>
      <w:r>
        <w:rPr>
          <w:sz w:val="21"/>
        </w:rPr>
        <w:t>6.其它违约责任按《中华人民共和国民法典（合同编）》处理。</w:t>
      </w:r>
    </w:p>
    <w:p>
      <w:pPr>
        <w:pStyle w:val="null3"/>
        <w:ind w:firstLine="420"/>
        <w:jc w:val="both"/>
      </w:pPr>
      <w:r>
        <w:rPr>
          <w:sz w:val="21"/>
        </w:rPr>
        <w:t>7.保密义务：乙方保证对其在讨论、签订、履行本合同过程中所获悉的属于甲方的且无法从公开渠道获得的文件资料及信息，甲方在讨论、签订、履行本合同过程中向乙方提供的文件资料及信息，以及乙方向甲方提交的各项服务成果（如有）等，予以严格保密并应采取相应的保密措施，保证其自身及工作人员不私自使用或向任何第三方泄露；否则，乙方应按合同总价的5 %向甲方支付违约金，并承担由此给甲方造成的一切损失。无论本合同是否被撤销、变更、解除或终止，无论本合同是否生效，本合同之保密条款不受其限制而继续有效。</w:t>
      </w:r>
    </w:p>
    <w:p>
      <w:pPr>
        <w:pStyle w:val="null3"/>
        <w:jc w:val="both"/>
      </w:pPr>
      <w:r>
        <w:rPr>
          <w:sz w:val="21"/>
          <w:b/>
        </w:rPr>
        <w:t>十</w:t>
      </w:r>
      <w:r>
        <w:rPr>
          <w:sz w:val="21"/>
          <w:b/>
        </w:rPr>
        <w:t>、</w:t>
      </w:r>
      <w:r>
        <w:rPr>
          <w:sz w:val="21"/>
          <w:b/>
        </w:rPr>
        <w:t>争议的解决</w:t>
      </w:r>
    </w:p>
    <w:p>
      <w:pPr>
        <w:pStyle w:val="null3"/>
        <w:ind w:firstLine="420"/>
        <w:jc w:val="both"/>
      </w:pPr>
      <w:r>
        <w:rPr>
          <w:sz w:val="21"/>
        </w:rPr>
        <w:t>合</w:t>
      </w:r>
      <w:r>
        <w:rPr>
          <w:sz w:val="21"/>
        </w:rPr>
        <w:t>同</w:t>
      </w:r>
      <w:r>
        <w:rPr>
          <w:sz w:val="21"/>
        </w:rPr>
        <w:t>执行过程中发生的任何争议，如双方不能通过友好</w:t>
      </w:r>
      <w:r>
        <w:rPr>
          <w:sz w:val="21"/>
        </w:rPr>
        <w:t>协商</w:t>
      </w:r>
      <w:r>
        <w:rPr>
          <w:sz w:val="21"/>
        </w:rPr>
        <w:t>解决，按相关法律法规处理。</w:t>
      </w:r>
    </w:p>
    <w:p>
      <w:pPr>
        <w:pStyle w:val="null3"/>
        <w:jc w:val="both"/>
      </w:pPr>
      <w:r>
        <w:rPr>
          <w:sz w:val="21"/>
          <w:b/>
        </w:rPr>
        <w:t>十一、</w:t>
      </w:r>
      <w:r>
        <w:rPr>
          <w:sz w:val="21"/>
          <w:b/>
        </w:rPr>
        <w:t>不可抗力</w:t>
      </w:r>
    </w:p>
    <w:p>
      <w:pPr>
        <w:pStyle w:val="null3"/>
        <w:ind w:firstLine="420"/>
        <w:jc w:val="both"/>
      </w:pPr>
      <w:r>
        <w:rPr>
          <w:sz w:val="21"/>
        </w:rPr>
        <w:t>1.</w:t>
      </w:r>
      <w:r>
        <w:rPr>
          <w:sz w:val="21"/>
        </w:rPr>
        <w:t>任何一方由于不可抗力原因不能履行合</w:t>
      </w:r>
      <w:r>
        <w:rPr>
          <w:sz w:val="21"/>
        </w:rPr>
        <w:t>同</w:t>
      </w:r>
      <w:r>
        <w:rPr>
          <w:sz w:val="21"/>
        </w:rPr>
        <w:t>时，</w:t>
      </w:r>
      <w:r>
        <w:rPr>
          <w:sz w:val="21"/>
        </w:rPr>
        <w:t>应</w:t>
      </w:r>
      <w:r>
        <w:rPr>
          <w:sz w:val="21"/>
        </w:rPr>
        <w:t>在不可抗力事件结束后</w:t>
      </w:r>
      <w:r>
        <w:rPr>
          <w:sz w:val="21"/>
        </w:rPr>
        <w:t>1日内向</w:t>
      </w:r>
      <w:r>
        <w:rPr>
          <w:sz w:val="21"/>
        </w:rPr>
        <w:t>对</w:t>
      </w:r>
      <w:r>
        <w:rPr>
          <w:sz w:val="21"/>
        </w:rPr>
        <w:t>方通报，以</w:t>
      </w:r>
      <w:r>
        <w:rPr>
          <w:sz w:val="21"/>
        </w:rPr>
        <w:t>减</w:t>
      </w:r>
      <w:r>
        <w:rPr>
          <w:sz w:val="21"/>
        </w:rPr>
        <w:t>轻可能给对方造成的损失，在取得有关机构的不可抗</w:t>
      </w:r>
      <w:r>
        <w:rPr>
          <w:sz w:val="21"/>
        </w:rPr>
        <w:t>力</w:t>
      </w:r>
      <w:r>
        <w:rPr>
          <w:sz w:val="21"/>
        </w:rPr>
        <w:t>证明或双方谅解确认后，允许延期履行或修订合</w:t>
      </w:r>
      <w:r>
        <w:rPr>
          <w:sz w:val="21"/>
        </w:rPr>
        <w:t>同</w:t>
      </w:r>
      <w:r>
        <w:rPr>
          <w:sz w:val="21"/>
        </w:rPr>
        <w:t>，并根据情况可</w:t>
      </w:r>
      <w:r>
        <w:rPr>
          <w:sz w:val="21"/>
        </w:rPr>
        <w:t>部分</w:t>
      </w:r>
      <w:r>
        <w:rPr>
          <w:sz w:val="21"/>
        </w:rPr>
        <w:t>或全</w:t>
      </w:r>
      <w:r>
        <w:rPr>
          <w:sz w:val="21"/>
        </w:rPr>
        <w:t>部</w:t>
      </w:r>
      <w:r>
        <w:rPr>
          <w:sz w:val="21"/>
        </w:rPr>
        <w:t>免于承担</w:t>
      </w:r>
      <w:r>
        <w:rPr>
          <w:sz w:val="21"/>
        </w:rPr>
        <w:t>违约</w:t>
      </w:r>
      <w:r>
        <w:rPr>
          <w:sz w:val="21"/>
        </w:rPr>
        <w:t>责任。</w:t>
      </w:r>
    </w:p>
    <w:p>
      <w:pPr>
        <w:pStyle w:val="null3"/>
        <w:jc w:val="both"/>
      </w:pPr>
      <w:r>
        <w:rPr>
          <w:sz w:val="21"/>
          <w:b/>
        </w:rPr>
        <w:t>十二、</w:t>
      </w:r>
      <w:r>
        <w:rPr>
          <w:sz w:val="21"/>
          <w:b/>
        </w:rPr>
        <w:t>税费</w:t>
      </w:r>
    </w:p>
    <w:p>
      <w:pPr>
        <w:pStyle w:val="null3"/>
        <w:ind w:firstLine="420"/>
        <w:jc w:val="both"/>
      </w:pPr>
      <w:r>
        <w:rPr>
          <w:sz w:val="21"/>
        </w:rPr>
        <w:t>在中国境内</w:t>
      </w:r>
      <w:r>
        <w:rPr>
          <w:sz w:val="21"/>
        </w:rPr>
        <w:t>、</w:t>
      </w:r>
      <w:r>
        <w:rPr>
          <w:sz w:val="21"/>
        </w:rPr>
        <w:t>外发生的与本合</w:t>
      </w:r>
      <w:r>
        <w:rPr>
          <w:sz w:val="21"/>
        </w:rPr>
        <w:t>同</w:t>
      </w:r>
      <w:r>
        <w:rPr>
          <w:sz w:val="21"/>
        </w:rPr>
        <w:t>执行有关的一切</w:t>
      </w:r>
      <w:r>
        <w:rPr>
          <w:sz w:val="21"/>
        </w:rPr>
        <w:t>税</w:t>
      </w:r>
      <w:r>
        <w:rPr>
          <w:sz w:val="21"/>
        </w:rPr>
        <w:t>费均由乙方</w:t>
      </w:r>
      <w:r>
        <w:rPr>
          <w:sz w:val="21"/>
        </w:rPr>
        <w:t>负担</w:t>
      </w:r>
      <w:r>
        <w:rPr>
          <w:sz w:val="21"/>
        </w:rPr>
        <w:t>。</w:t>
      </w:r>
    </w:p>
    <w:p>
      <w:pPr>
        <w:pStyle w:val="null3"/>
        <w:jc w:val="both"/>
      </w:pPr>
      <w:r>
        <w:rPr>
          <w:sz w:val="21"/>
          <w:b/>
        </w:rPr>
        <w:t>十</w:t>
      </w:r>
      <w:r>
        <w:rPr>
          <w:sz w:val="21"/>
          <w:b/>
        </w:rPr>
        <w:t>三</w:t>
      </w:r>
      <w:r>
        <w:rPr>
          <w:sz w:val="21"/>
          <w:b/>
        </w:rPr>
        <w:t>、其它</w:t>
      </w:r>
    </w:p>
    <w:p>
      <w:pPr>
        <w:pStyle w:val="null3"/>
        <w:ind w:firstLine="420"/>
        <w:jc w:val="both"/>
      </w:pPr>
      <w:r>
        <w:rPr>
          <w:sz w:val="21"/>
        </w:rPr>
        <w:t>1.本合同所有</w:t>
      </w:r>
      <w:r>
        <w:rPr>
          <w:sz w:val="21"/>
        </w:rPr>
        <w:t>附</w:t>
      </w:r>
      <w:r>
        <w:rPr>
          <w:sz w:val="21"/>
        </w:rPr>
        <w:t>件</w:t>
      </w:r>
      <w:r>
        <w:rPr>
          <w:sz w:val="21"/>
        </w:rPr>
        <w:t>、</w:t>
      </w:r>
      <w:r>
        <w:rPr>
          <w:sz w:val="21"/>
        </w:rPr>
        <w:t>招标文件</w:t>
      </w:r>
      <w:r>
        <w:rPr>
          <w:sz w:val="21"/>
        </w:rPr>
        <w:t>、</w:t>
      </w:r>
      <w:r>
        <w:rPr>
          <w:sz w:val="21"/>
        </w:rPr>
        <w:t>投标文件</w:t>
      </w:r>
      <w:r>
        <w:rPr>
          <w:sz w:val="21"/>
        </w:rPr>
        <w:t>、</w:t>
      </w:r>
      <w:r>
        <w:rPr>
          <w:sz w:val="21"/>
        </w:rPr>
        <w:t>中标通知书均为合</w:t>
      </w:r>
      <w:r>
        <w:rPr>
          <w:sz w:val="21"/>
        </w:rPr>
        <w:t>同</w:t>
      </w:r>
      <w:r>
        <w:rPr>
          <w:sz w:val="21"/>
        </w:rPr>
        <w:t>的有效组成部分，与本合具有同等法律效力。</w:t>
      </w:r>
    </w:p>
    <w:p>
      <w:pPr>
        <w:pStyle w:val="null3"/>
        <w:ind w:firstLine="420"/>
        <w:jc w:val="both"/>
      </w:pPr>
      <w:r>
        <w:rPr>
          <w:sz w:val="21"/>
        </w:rPr>
        <w:t>2.在执行本合同的过程中，所有</w:t>
      </w:r>
      <w:r>
        <w:rPr>
          <w:sz w:val="21"/>
        </w:rPr>
        <w:t>经</w:t>
      </w:r>
      <w:r>
        <w:rPr>
          <w:sz w:val="21"/>
        </w:rPr>
        <w:t>双方签署确认的文件</w:t>
      </w:r>
      <w:r>
        <w:rPr>
          <w:sz w:val="21"/>
        </w:rPr>
        <w:t>（</w:t>
      </w:r>
      <w:r>
        <w:rPr>
          <w:sz w:val="21"/>
        </w:rPr>
        <w:t>包括会议</w:t>
      </w:r>
      <w:r>
        <w:rPr>
          <w:sz w:val="21"/>
        </w:rPr>
        <w:t>纪</w:t>
      </w:r>
      <w:r>
        <w:rPr>
          <w:sz w:val="21"/>
        </w:rPr>
        <w:t>要</w:t>
      </w:r>
      <w:r>
        <w:rPr>
          <w:sz w:val="21"/>
        </w:rPr>
        <w:t>、</w:t>
      </w:r>
      <w:r>
        <w:rPr>
          <w:sz w:val="21"/>
        </w:rPr>
        <w:t>补充协议</w:t>
      </w:r>
      <w:r>
        <w:rPr>
          <w:sz w:val="21"/>
        </w:rPr>
        <w:t>、</w:t>
      </w:r>
      <w:r>
        <w:rPr>
          <w:sz w:val="21"/>
        </w:rPr>
        <w:t>往来信函</w:t>
      </w:r>
      <w:r>
        <w:rPr>
          <w:sz w:val="21"/>
        </w:rPr>
        <w:t>）</w:t>
      </w:r>
      <w:r>
        <w:rPr>
          <w:sz w:val="21"/>
        </w:rPr>
        <w:t>即成为本合同的有效</w:t>
      </w:r>
      <w:r>
        <w:rPr>
          <w:sz w:val="21"/>
        </w:rPr>
        <w:t>组成部分。</w:t>
      </w:r>
    </w:p>
    <w:p>
      <w:pPr>
        <w:pStyle w:val="null3"/>
        <w:ind w:firstLine="420"/>
        <w:jc w:val="both"/>
      </w:pPr>
      <w:r>
        <w:rPr>
          <w:sz w:val="21"/>
        </w:rPr>
        <w:t>3.如一方地址、电话</w:t>
      </w:r>
      <w:r>
        <w:rPr>
          <w:sz w:val="21"/>
        </w:rPr>
        <w:t>、</w:t>
      </w:r>
      <w:r>
        <w:rPr>
          <w:sz w:val="21"/>
        </w:rPr>
        <w:t>传真号码有变更，应在</w:t>
      </w:r>
      <w:r>
        <w:rPr>
          <w:sz w:val="21"/>
        </w:rPr>
        <w:t>变</w:t>
      </w:r>
      <w:r>
        <w:rPr>
          <w:sz w:val="21"/>
        </w:rPr>
        <w:t>更当日内书面通知对方，否则，应承担相应</w:t>
      </w:r>
      <w:r>
        <w:rPr>
          <w:sz w:val="21"/>
        </w:rPr>
        <w:t>责</w:t>
      </w:r>
      <w:r>
        <w:rPr>
          <w:sz w:val="21"/>
        </w:rPr>
        <w:t>任。</w:t>
      </w:r>
    </w:p>
    <w:p>
      <w:pPr>
        <w:pStyle w:val="null3"/>
        <w:ind w:firstLine="420"/>
        <w:jc w:val="both"/>
      </w:pPr>
      <w:r>
        <w:rPr>
          <w:sz w:val="21"/>
        </w:rPr>
        <w:t>4.除甲方事先书面同意外，乙方不得部分成全部转让</w:t>
      </w:r>
      <w:r>
        <w:rPr>
          <w:sz w:val="21"/>
        </w:rPr>
        <w:t>其</w:t>
      </w:r>
      <w:r>
        <w:rPr>
          <w:sz w:val="21"/>
        </w:rPr>
        <w:t>应履行的合</w:t>
      </w:r>
      <w:r>
        <w:rPr>
          <w:sz w:val="21"/>
        </w:rPr>
        <w:t>同项</w:t>
      </w:r>
      <w:r>
        <w:rPr>
          <w:sz w:val="21"/>
        </w:rPr>
        <w:t>下的义务。</w:t>
      </w:r>
    </w:p>
    <w:p>
      <w:pPr>
        <w:pStyle w:val="null3"/>
        <w:jc w:val="both"/>
      </w:pPr>
      <w:r>
        <w:rPr>
          <w:sz w:val="21"/>
          <w:b/>
        </w:rPr>
        <w:t>十四</w:t>
      </w:r>
      <w:r>
        <w:rPr>
          <w:sz w:val="21"/>
          <w:b/>
        </w:rPr>
        <w:t>、合同</w:t>
      </w:r>
      <w:r>
        <w:rPr>
          <w:sz w:val="21"/>
          <w:b/>
        </w:rPr>
        <w:t>生</w:t>
      </w:r>
      <w:r>
        <w:rPr>
          <w:sz w:val="21"/>
          <w:b/>
        </w:rPr>
        <w:t>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w:t>
      </w:r>
    </w:p>
    <w:p>
      <w:pPr>
        <w:pStyle w:val="null3"/>
        <w:jc w:val="both"/>
      </w:pPr>
      <w:r>
        <w:rPr>
          <w:sz w:val="21"/>
          <w:b/>
        </w:rPr>
        <w:t>甲方</w:t>
      </w:r>
      <w:r>
        <w:rPr>
          <w:sz w:val="21"/>
          <w:b/>
        </w:rPr>
        <w:t>（</w:t>
      </w:r>
      <w:r>
        <w:rPr>
          <w:sz w:val="21"/>
          <w:b/>
        </w:rPr>
        <w:t>盖章</w:t>
      </w:r>
      <w:r>
        <w:rPr>
          <w:sz w:val="21"/>
          <w:b/>
        </w:rPr>
        <w:t>）：</w:t>
      </w:r>
      <w:r>
        <w:rPr>
          <w:sz w:val="21"/>
          <w:b/>
        </w:rPr>
        <w:t xml:space="preserve">                     </w:t>
      </w:r>
      <w:r>
        <w:rPr>
          <w:sz w:val="21"/>
          <w:b/>
        </w:rPr>
        <w:t>乙方</w:t>
      </w:r>
      <w:r>
        <w:rPr>
          <w:sz w:val="21"/>
          <w:b/>
        </w:rPr>
        <w:t>（</w:t>
      </w:r>
      <w:r>
        <w:rPr>
          <w:sz w:val="21"/>
          <w:b/>
        </w:rPr>
        <w:t>盖章</w:t>
      </w:r>
      <w:r>
        <w:rPr>
          <w:sz w:val="21"/>
          <w:b/>
        </w:rPr>
        <w:t>）：</w:t>
      </w:r>
    </w:p>
    <w:p>
      <w:pPr>
        <w:pStyle w:val="null3"/>
        <w:jc w:val="both"/>
      </w:pPr>
      <w:r>
        <w:rPr>
          <w:sz w:val="21"/>
          <w:b/>
        </w:rPr>
        <w:t>代表</w:t>
      </w:r>
      <w:r>
        <w:rPr>
          <w:sz w:val="21"/>
          <w:b/>
        </w:rPr>
        <w:t>：</w:t>
      </w:r>
      <w:r>
        <w:rPr>
          <w:sz w:val="21"/>
          <w:b/>
        </w:rPr>
        <w:t xml:space="preserve">                            </w:t>
      </w:r>
      <w:r>
        <w:rPr>
          <w:sz w:val="21"/>
          <w:b/>
        </w:rPr>
        <w:t>代表</w:t>
      </w:r>
      <w:r>
        <w:rPr>
          <w:sz w:val="21"/>
          <w:b/>
        </w:rPr>
        <w:t>：</w:t>
      </w:r>
      <w:r>
        <w:rPr>
          <w:sz w:val="21"/>
          <w:b/>
        </w:rPr>
        <w:t xml:space="preserve">  </w:t>
      </w:r>
      <w:r>
        <w:rPr>
          <w:sz w:val="21"/>
        </w:rPr>
        <w:t xml:space="preserve">    </w:t>
      </w:r>
    </w:p>
    <w:p>
      <w:pPr>
        <w:pStyle w:val="null3"/>
        <w:jc w:val="both"/>
      </w:pPr>
      <w:r>
        <w:rPr>
          <w:sz w:val="21"/>
        </w:rPr>
        <w:t>签定地点</w:t>
      </w:r>
      <w:r>
        <w:rPr>
          <w:sz w:val="21"/>
        </w:rPr>
        <w:t>：</w:t>
      </w:r>
    </w:p>
    <w:p>
      <w:pPr>
        <w:pStyle w:val="null3"/>
        <w:jc w:val="both"/>
      </w:pPr>
      <w:r>
        <w:rPr>
          <w:sz w:val="21"/>
        </w:rPr>
        <w:t>签定</w:t>
      </w:r>
      <w:r>
        <w:rPr>
          <w:sz w:val="21"/>
        </w:rPr>
        <w:t>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3570"/>
        <w:jc w:val="both"/>
      </w:pPr>
      <w:r>
        <w:rPr>
          <w:sz w:val="21"/>
        </w:rPr>
        <w:t>开</w:t>
      </w:r>
      <w:r>
        <w:rPr>
          <w:sz w:val="21"/>
        </w:rPr>
        <w:t>户名称</w:t>
      </w:r>
      <w:r>
        <w:rPr>
          <w:sz w:val="21"/>
        </w:rPr>
        <w:t>：</w:t>
      </w:r>
    </w:p>
    <w:p>
      <w:pPr>
        <w:pStyle w:val="null3"/>
        <w:ind w:firstLine="3570"/>
        <w:jc w:val="both"/>
      </w:pPr>
      <w:r>
        <w:rPr>
          <w:sz w:val="21"/>
        </w:rPr>
        <w:t>银行帐号</w:t>
      </w:r>
      <w:r>
        <w:rPr>
          <w:sz w:val="21"/>
        </w:rPr>
        <w:t>：</w:t>
      </w:r>
    </w:p>
    <w:p>
      <w:pPr>
        <w:pStyle w:val="null3"/>
        <w:ind w:firstLine="3570"/>
        <w:jc w:val="both"/>
      </w:pPr>
      <w:r>
        <w:rPr>
          <w:sz w:val="21"/>
        </w:rPr>
        <w:t>开</w:t>
      </w:r>
      <w:r>
        <w:rPr>
          <w:sz w:val="21"/>
        </w:rPr>
        <w:t xml:space="preserve"> </w:t>
      </w:r>
      <w:r>
        <w:rPr>
          <w:sz w:val="21"/>
        </w:rPr>
        <w:t>户</w:t>
      </w:r>
      <w:r>
        <w:rPr>
          <w:sz w:val="21"/>
        </w:rPr>
        <w:t xml:space="preserve"> </w:t>
      </w:r>
      <w:r>
        <w:rPr>
          <w:sz w:val="21"/>
        </w:rPr>
        <w:t>标</w:t>
      </w:r>
      <w:r>
        <w:rPr>
          <w:sz w:val="21"/>
        </w:rPr>
        <w:t>：</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441900011-2024-00089</w:t>
      </w:r>
    </w:p>
    <w:p>
      <w:pPr>
        <w:pStyle w:val="null3"/>
        <w:jc w:val="center"/>
        <w:outlineLvl w:val="3"/>
      </w:pPr>
      <w:r>
        <w:rPr>
          <w:sz w:val="24"/>
          <w:b/>
        </w:rPr>
        <w:t>采购项目编号：</w:t>
      </w:r>
      <w:r>
        <w:rPr>
          <w:sz w:val="24"/>
          <w:b/>
        </w:rPr>
        <w:t>441900011-2024-00089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东莞滨海湾未来学校开办教学管理信息化建设项目</w:t>
      </w:r>
      <w:r>
        <w:rPr>
          <w:u w:val="single"/>
        </w:rPr>
        <w:t>”</w:t>
      </w:r>
      <w:r>
        <w:rPr/>
        <w:t>项目的招标[采购项目编号为：</w:t>
      </w:r>
      <w:r>
        <w:rPr>
          <w:u w:val="single"/>
        </w:rPr>
        <w:t>441900011-2024-00089</w:t>
      </w:r>
      <w:r>
        <w:rPr/>
        <w:t>]，我方愿参与投标。</w:t>
      </w:r>
    </w:p>
    <w:p>
      <w:pPr>
        <w:pStyle w:val="null3"/>
        <w:ind w:firstLine="480"/>
      </w:pPr>
      <w:r>
        <w:rPr/>
        <w:t>我方确认收到贵方提供的</w:t>
      </w:r>
      <w:r>
        <w:rPr>
          <w:u w:val="single"/>
        </w:rPr>
        <w:t>“</w:t>
      </w:r>
      <w:r>
        <w:rPr>
          <w:u w:val="single"/>
        </w:rPr>
        <w:t>东莞滨海湾未来学校开办教学管理信息化建设项目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东莞滨海湾未来学校开办教学管理信息化建设项目</w:t>
      </w:r>
      <w:r>
        <w:rPr/>
        <w:t>”项目采购[采购项目编号为</w:t>
      </w:r>
      <w:r>
        <w:rPr/>
        <w:t>441900011-2024-00089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东莞滨海湾未来学校开办教学管理信息化建设项目</w:t>
      </w:r>
      <w:r>
        <w:rPr/>
        <w:t>招标中获中标（采购项目编号：</w:t>
      </w:r>
      <w:r>
        <w:rPr/>
        <w:t>441900011-2024-00089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东莞滨海湾未来学校开办教学管理信息化建设项目</w:t>
      </w:r>
      <w:r>
        <w:rPr/>
        <w:t>”项目（采购项目编号：</w:t>
      </w:r>
      <w:r>
        <w:rPr/>
        <w:t>441900011-2024-00089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