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lang w:val="en-US" w:eastAsia="zh-CN"/>
        </w:rPr>
        <w:t>国内</w:t>
      </w:r>
      <w:r>
        <w:rPr>
          <w:rFonts w:hint="eastAsia" w:ascii="黑体" w:hAnsi="黑体" w:eastAsia="黑体" w:cs="黑体"/>
          <w:bCs/>
          <w:color w:val="auto"/>
          <w:spacing w:val="57"/>
          <w:sz w:val="72"/>
          <w:szCs w:val="72"/>
          <w:highlight w:val="none"/>
        </w:rPr>
        <w:t>采购</w:t>
      </w:r>
    </w:p>
    <w:p>
      <w:pPr>
        <w:pStyle w:val="8"/>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7"/>
                    <a:srcRect l="6233" t="18358" r="67326" b="19339"/>
                    <a:stretch>
                      <a:fillRect/>
                    </a:stretch>
                  </pic:blipFill>
                  <pic:spPr>
                    <a:xfrm>
                      <a:off x="0" y="0"/>
                      <a:ext cx="2129790" cy="2035175"/>
                    </a:xfrm>
                    <a:prstGeom prst="rect">
                      <a:avLst/>
                    </a:prstGeom>
                  </pic:spPr>
                </pic:pic>
              </a:graphicData>
            </a:graphic>
          </wp:inline>
        </w:drawing>
      </w:r>
    </w:p>
    <w:p>
      <w:pPr>
        <w:pStyle w:val="24"/>
        <w:ind w:left="0" w:firstLine="0" w:firstLineChars="0"/>
        <w:rPr>
          <w:rFonts w:ascii="黑体" w:eastAsia="黑体"/>
          <w:color w:val="auto"/>
          <w:szCs w:val="21"/>
          <w:highlight w:val="none"/>
        </w:rPr>
      </w:pPr>
    </w:p>
    <w:tbl>
      <w:tblPr>
        <w:tblStyle w:val="26"/>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GDZT2024131C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东莞市横沥镇第一幼儿园食材配送项目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default"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eastAsia="zh-CN"/>
              </w:rPr>
              <w:t>东莞市横沥镇</w:t>
            </w:r>
            <w:r>
              <w:rPr>
                <w:rFonts w:hint="eastAsia" w:ascii="黑体" w:hAnsi="黑体" w:eastAsia="黑体" w:cs="黑体"/>
                <w:bCs/>
                <w:color w:val="auto"/>
                <w:sz w:val="32"/>
                <w:szCs w:val="24"/>
                <w:highlight w:val="none"/>
                <w:lang w:val="en-US" w:eastAsia="zh-CN"/>
              </w:rPr>
              <w:t>第一幼儿园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2"/>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22"/>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8"/>
                    <a:stretch>
                      <a:fillRect/>
                    </a:stretch>
                  </pic:blipFill>
                  <pic:spPr>
                    <a:xfrm>
                      <a:off x="0" y="0"/>
                      <a:ext cx="5266690" cy="2583180"/>
                    </a:xfrm>
                    <a:prstGeom prst="rect">
                      <a:avLst/>
                    </a:prstGeom>
                  </pic:spPr>
                </pic:pic>
              </a:graphicData>
            </a:graphic>
          </wp:inline>
        </w:drawing>
      </w:r>
    </w:p>
    <w:p>
      <w:pPr>
        <w:pStyle w:val="22"/>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22"/>
        <w:ind w:left="0" w:leftChars="0"/>
        <w:rPr>
          <w:color w:val="auto"/>
          <w:sz w:val="40"/>
          <w:szCs w:val="40"/>
          <w:highlight w:val="none"/>
        </w:rPr>
      </w:pPr>
      <w:r>
        <w:rPr>
          <w:rFonts w:hint="eastAsia"/>
          <w:color w:val="auto"/>
          <w:sz w:val="40"/>
          <w:szCs w:val="40"/>
          <w:highlight w:val="none"/>
        </w:rPr>
        <w:t>目录</w:t>
      </w:r>
    </w:p>
    <w:p>
      <w:pPr>
        <w:pStyle w:val="22"/>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2"/>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1420"/>
      <w:bookmarkStart w:id="3" w:name="_Toc8850"/>
      <w:bookmarkStart w:id="4" w:name="_Toc7123"/>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w:t>
      </w:r>
      <w:r>
        <w:rPr>
          <w:rFonts w:hint="eastAsia" w:ascii="宋体" w:hAnsi="宋体"/>
          <w:b/>
          <w:bCs/>
          <w:color w:val="auto"/>
          <w:szCs w:val="21"/>
          <w:highlight w:val="none"/>
          <w:u w:val="single"/>
          <w:lang w:val="en-US" w:eastAsia="zh-CN"/>
        </w:rPr>
        <w:t>第一幼儿园</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bookmarkStart w:id="390" w:name="_GoBack"/>
      <w:r>
        <w:rPr>
          <w:rFonts w:hint="eastAsia" w:ascii="宋体" w:hAnsi="宋体"/>
          <w:b/>
          <w:bCs/>
          <w:color w:val="auto"/>
          <w:szCs w:val="21"/>
          <w:highlight w:val="none"/>
          <w:u w:val="single"/>
          <w:lang w:eastAsia="zh-CN"/>
        </w:rPr>
        <w:t>东莞市横沥镇第一幼儿园食材配送项目</w:t>
      </w:r>
      <w:bookmarkEnd w:id="390"/>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0"/>
        </w:numPr>
        <w:ind w:firstLine="413" w:firstLineChars="196"/>
        <w:rPr>
          <w:rFonts w:ascii="宋体" w:hAnsi="宋体"/>
          <w:b/>
          <w:color w:val="auto"/>
          <w:szCs w:val="21"/>
          <w:highlight w:val="none"/>
        </w:rPr>
      </w:pPr>
      <w:r>
        <w:rPr>
          <w:rFonts w:hint="eastAsia" w:ascii="宋体" w:hAnsi="宋体" w:eastAsia="宋体" w:cstheme="minorBidi"/>
          <w:b/>
          <w:color w:val="auto"/>
          <w:sz w:val="21"/>
          <w:szCs w:val="21"/>
          <w:highlight w:val="none"/>
          <w:lang w:val="en-US" w:eastAsia="zh-CN" w:bidi="ar-SA"/>
        </w:rPr>
        <w:t>一、</w:t>
      </w:r>
      <w:r>
        <w:rPr>
          <w:rFonts w:hint="eastAsia" w:ascii="宋体" w:hAnsi="宋体"/>
          <w:b/>
          <w:color w:val="auto"/>
          <w:szCs w:val="21"/>
          <w:highlight w:val="none"/>
        </w:rPr>
        <w:t>招标项目信息</w:t>
      </w:r>
    </w:p>
    <w:p>
      <w:pPr>
        <w:numPr>
          <w:ilvl w:val="0"/>
          <w:numId w:val="1"/>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GDZT2024131C</w:t>
      </w:r>
      <w:r>
        <w:rPr>
          <w:rFonts w:hint="eastAsia" w:ascii="宋体" w:hAnsi="宋体"/>
          <w:color w:val="auto"/>
          <w:szCs w:val="21"/>
          <w:highlight w:val="none"/>
        </w:rPr>
        <w:t>；</w:t>
      </w:r>
    </w:p>
    <w:p>
      <w:pPr>
        <w:numPr>
          <w:ilvl w:val="0"/>
          <w:numId w:val="1"/>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lang w:eastAsia="zh-CN"/>
        </w:rPr>
        <w:t>东莞市横沥镇第一幼儿园食材配送项目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5"/>
        <w:tblW w:w="44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483"/>
        <w:gridCol w:w="795"/>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3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138"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东莞市横沥镇第一幼儿园食材配送项目</w:t>
            </w:r>
          </w:p>
        </w:tc>
        <w:tc>
          <w:tcPr>
            <w:tcW w:w="536"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13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无具体预算</w:t>
            </w:r>
          </w:p>
        </w:tc>
      </w:tr>
    </w:tbl>
    <w:p>
      <w:pPr>
        <w:pStyle w:val="8"/>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w:t>
      </w:r>
      <w:r>
        <w:rPr>
          <w:rFonts w:hint="eastAsia" w:ascii="宋体" w:hAnsi="宋体"/>
          <w:color w:val="auto"/>
          <w:szCs w:val="21"/>
          <w:highlight w:val="none"/>
          <w:lang w:eastAsia="zh-CN"/>
        </w:rPr>
        <w:t>税收违法黑名单</w:t>
      </w:r>
      <w:r>
        <w:rPr>
          <w:rFonts w:hint="eastAsia" w:ascii="宋体" w:hAnsi="宋体"/>
          <w:color w:val="auto"/>
          <w:szCs w:val="21"/>
          <w:highlight w:val="none"/>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hd w:val="clear"/>
        <w:spacing w:after="0" w:line="360" w:lineRule="auto"/>
        <w:ind w:firstLine="411" w:firstLineChars="196"/>
        <w:rPr>
          <w:rFonts w:hint="eastAsia"/>
          <w:color w:val="auto"/>
          <w:highlight w:val="none"/>
          <w:lang w:eastAsia="zh-CN"/>
        </w:rPr>
      </w:pPr>
      <w:r>
        <w:rPr>
          <w:rFonts w:hint="eastAsia"/>
          <w:color w:val="auto"/>
          <w:highlight w:val="none"/>
        </w:rPr>
        <w:t>本项目整体专门面向中小企业采购。投标人须符合本项目采购标的对应行业（本项目行业为：</w:t>
      </w:r>
      <w:r>
        <w:rPr>
          <w:rFonts w:hint="eastAsia"/>
          <w:color w:val="auto"/>
          <w:highlight w:val="none"/>
          <w:lang w:val="en-US" w:eastAsia="zh-CN"/>
        </w:rPr>
        <w:t>批发业</w:t>
      </w:r>
      <w:r>
        <w:rPr>
          <w:rFonts w:hint="eastAsia"/>
          <w:color w:val="auto"/>
          <w:highlight w:val="none"/>
        </w:rPr>
        <w:t>）的政策划分标准。监狱企业、残疾人福利单位视同小型、微型企业。</w:t>
      </w:r>
      <w:r>
        <w:rPr>
          <w:rFonts w:hint="eastAsia"/>
          <w:color w:val="auto"/>
          <w:highlight w:val="none"/>
          <w:lang w:eastAsia="zh-CN"/>
        </w:rPr>
        <w:t>（</w:t>
      </w:r>
      <w:r>
        <w:rPr>
          <w:rFonts w:hint="eastAsia"/>
          <w:color w:val="auto"/>
          <w:highlight w:val="none"/>
        </w:rPr>
        <w:t>注：中小企业以供应商填写的 《中小企业声明函》为判定标准，残疾人福利性单位以供应商填写的《残疾人福利性单位声明函》为判定标准，监狱企业须供应商提供由省级以上监狱管理局、戒毒管理局（含新疆生产建设兵团）出具的属于监狱企业的证明文件，否则不予认定。</w:t>
      </w:r>
      <w:r>
        <w:rPr>
          <w:rFonts w:hint="eastAsia"/>
          <w:color w:val="auto"/>
          <w:highlight w:val="none"/>
          <w:lang w:eastAsia="zh-CN"/>
        </w:rPr>
        <w:t>）</w:t>
      </w:r>
    </w:p>
    <w:p>
      <w:pPr>
        <w:bidi w:val="0"/>
        <w:rPr>
          <w:rFonts w:hint="eastAsia"/>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5月28日</w:t>
      </w:r>
      <w:r>
        <w:rPr>
          <w:rFonts w:hint="eastAsia" w:ascii="宋体" w:hAnsi="宋体"/>
          <w:color w:val="auto"/>
          <w:szCs w:val="21"/>
          <w:highlight w:val="none"/>
        </w:rPr>
        <w:t>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6月4日</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5月28日</w:t>
      </w:r>
      <w:r>
        <w:rPr>
          <w:rFonts w:hint="eastAsia" w:ascii="宋体" w:hAnsi="宋体"/>
          <w:color w:val="auto"/>
          <w:szCs w:val="21"/>
          <w:highlight w:val="none"/>
        </w:rPr>
        <w:t>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6月4日</w:t>
      </w:r>
      <w:r>
        <w:rPr>
          <w:rFonts w:hint="eastAsia" w:ascii="宋体" w:hAnsi="宋体"/>
          <w:color w:val="auto"/>
          <w:szCs w:val="21"/>
          <w:highlight w:val="none"/>
        </w:rPr>
        <w:t xml:space="preserve">（节假日除外），上午9：00～12：00，下午14：30～17：30（北京时间）。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w:t>
      </w:r>
      <w:r>
        <w:rPr>
          <w:rFonts w:hint="eastAsia" w:ascii="宋体" w:hAnsi="宋体"/>
          <w:color w:val="auto"/>
          <w:szCs w:val="21"/>
          <w:highlight w:val="none"/>
          <w:lang w:eastAsia="zh-CN"/>
        </w:rPr>
        <w:t>（</w:t>
      </w:r>
      <w:r>
        <w:rPr>
          <w:rFonts w:hint="eastAsia" w:ascii="宋体" w:hAnsi="宋体"/>
          <w:color w:val="auto"/>
          <w:szCs w:val="21"/>
          <w:highlight w:val="none"/>
        </w:rPr>
        <w:t>http://www.zttendering.com/</w:t>
      </w:r>
      <w:r>
        <w:rPr>
          <w:rFonts w:hint="eastAsia" w:ascii="宋体" w:hAnsi="宋体"/>
          <w:color w:val="auto"/>
          <w:szCs w:val="21"/>
          <w:highlight w:val="none"/>
          <w:lang w:eastAsia="zh-CN"/>
        </w:rPr>
        <w:t>）</w:t>
      </w:r>
      <w:r>
        <w:rPr>
          <w:rFonts w:hint="eastAsia" w:ascii="宋体" w:hAnsi="宋体"/>
          <w:color w:val="auto"/>
          <w:szCs w:val="21"/>
          <w:highlight w:val="none"/>
        </w:rPr>
        <w:t>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联系人：</w:t>
      </w:r>
      <w:r>
        <w:rPr>
          <w:rFonts w:hint="eastAsia" w:ascii="宋体" w:hAnsi="宋体"/>
          <w:color w:val="auto"/>
          <w:szCs w:val="21"/>
          <w:highlight w:val="none"/>
          <w:lang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6月19日下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6月19日下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 xml:space="preserve">韩诗琪 </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东莞市横沥镇东环路517号</w:t>
      </w:r>
    </w:p>
    <w:p>
      <w:pPr>
        <w:ind w:firstLine="420" w:firstLineChars="200"/>
        <w:rPr>
          <w:rFonts w:ascii="宋体" w:hAnsi="宋体"/>
          <w:color w:val="auto"/>
          <w:szCs w:val="21"/>
          <w:highlight w:val="none"/>
        </w:rPr>
      </w:pPr>
      <w:r>
        <w:rPr>
          <w:rFonts w:hint="eastAsia" w:ascii="宋体" w:hAnsi="宋体"/>
          <w:bCs/>
          <w:color w:val="auto"/>
          <w:szCs w:val="21"/>
          <w:highlight w:val="none"/>
        </w:rPr>
        <w:t>联系电话：</w:t>
      </w:r>
      <w:r>
        <w:rPr>
          <w:rFonts w:hint="eastAsia"/>
          <w:color w:val="auto"/>
          <w:highlight w:val="none"/>
          <w:lang w:val="en-US" w:eastAsia="zh-CN"/>
        </w:rPr>
        <w:t>0769-81012386</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月</w:t>
      </w:r>
    </w:p>
    <w:p>
      <w:pPr>
        <w:pStyle w:val="8"/>
        <w:rPr>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firstLine="21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24"/>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5"/>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
                <w:color w:val="auto"/>
                <w:szCs w:val="21"/>
                <w:highlight w:val="none"/>
                <w:lang w:eastAsia="zh-CN"/>
              </w:rPr>
            </w:pPr>
            <w:r>
              <w:rPr>
                <w:rFonts w:hint="eastAsia" w:ascii="宋体" w:hAnsi="宋体"/>
                <w:color w:val="auto"/>
                <w:sz w:val="21"/>
                <w:szCs w:val="21"/>
                <w:highlight w:val="none"/>
                <w:lang w:val="en-US" w:eastAsia="zh-CN"/>
              </w:rPr>
              <w:t>自筹资金</w:t>
            </w:r>
            <w:r>
              <w:rPr>
                <w:rFonts w:hint="eastAsia" w:ascii="宋体" w:hAnsi="宋体" w:eastAsia="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b/>
                <w:color w:val="auto"/>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spacing w:after="0"/>
              <w:jc w:val="center"/>
              <w:rPr>
                <w:rFonts w:ascii="宋体" w:hAnsi="宋体"/>
                <w:b/>
                <w:color w:val="auto"/>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b/>
                <w:color w:val="auto"/>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hint="eastAsia" w:ascii="宋体" w:hAnsi="宋体" w:eastAsia="宋体"/>
                <w:b/>
                <w:color w:val="auto"/>
                <w:szCs w:val="21"/>
                <w:highlight w:val="none"/>
                <w:lang w:eastAsia="zh-CN"/>
              </w:rPr>
            </w:pPr>
            <w:r>
              <w:rPr>
                <w:rFonts w:hint="eastAsia" w:ascii="宋体" w:hAnsi="宋体"/>
                <w:b/>
                <w:color w:val="auto"/>
                <w:szCs w:val="21"/>
                <w:highlight w:val="none"/>
              </w:rPr>
              <w:t>投标保证金</w:t>
            </w:r>
            <w:r>
              <w:rPr>
                <w:rFonts w:hint="eastAsia" w:ascii="宋体" w:hAnsi="宋体"/>
                <w:b/>
                <w:color w:val="auto"/>
                <w:szCs w:val="21"/>
                <w:highlight w:val="none"/>
                <w:lang w:eastAsia="zh-CN"/>
              </w:rPr>
              <w:t>（</w:t>
            </w:r>
            <w:r>
              <w:rPr>
                <w:rFonts w:hint="eastAsia" w:ascii="宋体" w:hAnsi="宋体"/>
                <w:b/>
                <w:color w:val="auto"/>
                <w:sz w:val="21"/>
                <w:szCs w:val="21"/>
                <w:highlight w:val="none"/>
                <w:lang w:val="en-US" w:eastAsia="zh-CN"/>
              </w:rPr>
              <w:t>本项目不需提供投标</w:t>
            </w:r>
            <w:r>
              <w:rPr>
                <w:rFonts w:hint="eastAsia" w:ascii="宋体" w:hAnsi="宋体" w:eastAsia="宋体"/>
                <w:b/>
                <w:color w:val="auto"/>
                <w:sz w:val="21"/>
                <w:szCs w:val="21"/>
                <w:highlight w:val="none"/>
              </w:rPr>
              <w:t>保证金</w:t>
            </w:r>
            <w:r>
              <w:rPr>
                <w:rFonts w:hint="eastAsia" w:ascii="宋体" w:hAnsi="宋体"/>
                <w:b/>
                <w:color w:val="auto"/>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6</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w:t>
            </w:r>
            <w:r>
              <w:rPr>
                <w:rFonts w:hint="eastAsia" w:ascii="宋体" w:hAnsi="宋体"/>
                <w:b/>
                <w:color w:val="auto"/>
                <w:szCs w:val="21"/>
                <w:highlight w:val="none"/>
                <w:lang w:eastAsia="zh-CN"/>
              </w:rPr>
              <w:t>：</w:t>
            </w:r>
            <w:r>
              <w:rPr>
                <w:rFonts w:hint="eastAsia" w:ascii="宋体" w:hAnsi="宋体"/>
                <w:b/>
                <w:color w:val="auto"/>
                <w:szCs w:val="21"/>
                <w:highlight w:val="none"/>
                <w:lang w:val="en-US" w:eastAsia="zh-CN"/>
              </w:rPr>
              <w:t>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spacing w:after="0"/>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履约保证金形式：采用银行转账或者以专业担保机构、金融机构出具的担保函的形式。</w:t>
            </w:r>
          </w:p>
          <w:p>
            <w:pPr>
              <w:jc w:val="both"/>
              <w:rPr>
                <w:rFonts w:hint="eastAsia" w:ascii="宋体" w:hAnsi="宋体" w:eastAsia="宋体"/>
                <w:b/>
                <w:color w:val="auto"/>
                <w:szCs w:val="21"/>
                <w:highlight w:val="none"/>
                <w:lang w:eastAsia="zh-CN"/>
              </w:rPr>
            </w:pPr>
            <w:r>
              <w:rPr>
                <w:rFonts w:hint="eastAsia" w:ascii="宋体" w:hAnsi="宋体" w:eastAsia="宋体"/>
                <w:color w:val="auto"/>
                <w:sz w:val="21"/>
                <w:szCs w:val="21"/>
                <w:highlight w:val="none"/>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w:t>
            </w:r>
            <w:r>
              <w:rPr>
                <w:rFonts w:hint="eastAsia" w:ascii="宋体" w:hAnsi="宋体"/>
                <w:color w:val="auto"/>
                <w:szCs w:val="21"/>
                <w:highlight w:val="none"/>
                <w:lang w:eastAsia="zh-CN"/>
              </w:rPr>
              <w:t>以定额人民币</w:t>
            </w:r>
            <w:r>
              <w:rPr>
                <w:rFonts w:hint="eastAsia" w:ascii="宋体" w:hAnsi="宋体"/>
                <w:color w:val="auto"/>
                <w:szCs w:val="21"/>
                <w:highlight w:val="none"/>
                <w:lang w:val="en-US" w:eastAsia="zh-CN"/>
              </w:rPr>
              <w:t>贰万</w:t>
            </w:r>
            <w:r>
              <w:rPr>
                <w:rFonts w:hint="eastAsia" w:ascii="宋体" w:hAnsi="宋体"/>
                <w:color w:val="auto"/>
                <w:szCs w:val="21"/>
                <w:highlight w:val="none"/>
                <w:lang w:eastAsia="zh-CN"/>
              </w:rPr>
              <w:t>元</w:t>
            </w:r>
            <w:r>
              <w:rPr>
                <w:rFonts w:hint="eastAsia" w:ascii="宋体" w:hAnsi="宋体"/>
                <w:color w:val="auto"/>
                <w:szCs w:val="21"/>
                <w:highlight w:val="none"/>
                <w:lang w:val="en-US" w:eastAsia="zh-CN"/>
              </w:rPr>
              <w:t>整</w:t>
            </w:r>
            <w:r>
              <w:rPr>
                <w:rFonts w:hint="eastAsia" w:ascii="宋体" w:hAnsi="宋体"/>
                <w:color w:val="auto"/>
                <w:szCs w:val="21"/>
                <w:highlight w:val="none"/>
              </w:rPr>
              <w:t>向中标单位收取。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bookmarkStart w:id="8" w:name="_Toc13473"/>
      <w:bookmarkStart w:id="9" w:name="_Hlk55300595"/>
      <w:bookmarkStart w:id="10" w:name="_Toc5749"/>
      <w:bookmarkStart w:id="11" w:name="_Toc9572"/>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rPr>
          <w:rFonts w:hint="eastAsia"/>
          <w:color w:val="auto"/>
          <w:highlight w:val="none"/>
        </w:rPr>
      </w:pPr>
    </w:p>
    <w:p>
      <w:pPr>
        <w:pStyle w:val="8"/>
        <w:rPr>
          <w:rFonts w:hint="eastAsia"/>
          <w:color w:val="auto"/>
          <w:highlight w:val="none"/>
        </w:rPr>
      </w:pPr>
    </w:p>
    <w:p>
      <w:pPr>
        <w:rPr>
          <w:rFonts w:hint="eastAsia"/>
          <w:color w:val="auto"/>
          <w:highlight w:val="none"/>
        </w:rPr>
      </w:pPr>
    </w:p>
    <w:p>
      <w:pPr>
        <w:pStyle w:val="4"/>
        <w:spacing w:before="0" w:after="0" w:line="360" w:lineRule="auto"/>
        <w:rPr>
          <w:color w:val="auto"/>
          <w:highlight w:val="none"/>
        </w:rPr>
      </w:pPr>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hint="eastAsia"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w:t>
            </w:r>
            <w:r>
              <w:rPr>
                <w:rFonts w:hint="eastAsia" w:asci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420" w:firstLineChars="20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本项目不进行价格评审。</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40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hd w:val="clea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投标人具有国家认证认可监督管理部门批准设立的认证机构颁发并在有限期内以下认证证书的，每提供一个认证证书得</w:t>
            </w:r>
            <w:r>
              <w:rPr>
                <w:rFonts w:hint="eastAsia" w:ascii="宋体" w:hAnsi="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分，本项</w:t>
            </w:r>
            <w:r>
              <w:rPr>
                <w:rFonts w:hint="eastAsia" w:ascii="宋体" w:hAnsi="宋体" w:cs="宋体"/>
                <w:color w:val="auto"/>
                <w:kern w:val="2"/>
                <w:sz w:val="21"/>
                <w:szCs w:val="21"/>
                <w:highlight w:val="none"/>
                <w:lang w:val="en-US" w:eastAsia="zh-CN"/>
              </w:rPr>
              <w:t>满分共16</w:t>
            </w:r>
            <w:r>
              <w:rPr>
                <w:rFonts w:hint="eastAsia" w:ascii="宋体" w:hAnsi="宋体" w:eastAsia="宋体" w:cs="宋体"/>
                <w:color w:val="auto"/>
                <w:kern w:val="2"/>
                <w:sz w:val="21"/>
                <w:szCs w:val="21"/>
                <w:highlight w:val="none"/>
              </w:rPr>
              <w:t>分：</w:t>
            </w:r>
          </w:p>
          <w:p>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质量管理体系认证</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2、</w:t>
            </w:r>
            <w:r>
              <w:rPr>
                <w:rFonts w:hint="eastAsia" w:ascii="宋体" w:hAnsi="宋体" w:eastAsia="宋体" w:cs="宋体"/>
                <w:color w:val="auto"/>
                <w:sz w:val="21"/>
                <w:szCs w:val="21"/>
                <w:highlight w:val="none"/>
                <w:lang w:bidi="ar"/>
              </w:rPr>
              <w:t>环境管理体系认证</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val="en-US" w:eastAsia="zh-CN" w:bidi="ar"/>
              </w:rPr>
              <w:t>3、</w:t>
            </w:r>
            <w:r>
              <w:rPr>
                <w:rFonts w:hint="eastAsia" w:ascii="宋体" w:hAnsi="宋体" w:eastAsia="宋体" w:cs="宋体"/>
                <w:color w:val="auto"/>
                <w:sz w:val="21"/>
                <w:szCs w:val="21"/>
                <w:highlight w:val="none"/>
                <w:lang w:bidi="ar"/>
              </w:rPr>
              <w:fldChar w:fldCharType="begin"/>
            </w:r>
            <w:r>
              <w:rPr>
                <w:rFonts w:hint="eastAsia" w:ascii="宋体" w:hAnsi="宋体" w:eastAsia="宋体" w:cs="宋体"/>
                <w:color w:val="auto"/>
                <w:sz w:val="21"/>
                <w:szCs w:val="21"/>
                <w:highlight w:val="none"/>
                <w:lang w:bidi="ar"/>
              </w:rPr>
              <w:instrText xml:space="preserve"> HYPERLINK "https://baike.baidu.com/item/%E9%A3%9F%E5%93%81%E5%AE%89%E5%85%A8%E7%AE%A1%E7%90%86" \t "https://baike.baidu.com/item/_blank" </w:instrText>
            </w:r>
            <w:r>
              <w:rPr>
                <w:rFonts w:hint="eastAsia" w:ascii="宋体" w:hAnsi="宋体" w:eastAsia="宋体" w:cs="宋体"/>
                <w:color w:val="auto"/>
                <w:sz w:val="21"/>
                <w:szCs w:val="21"/>
                <w:highlight w:val="none"/>
                <w:lang w:bidi="ar"/>
              </w:rPr>
              <w:fldChar w:fldCharType="separate"/>
            </w:r>
            <w:r>
              <w:rPr>
                <w:rFonts w:hint="eastAsia" w:ascii="宋体" w:hAnsi="宋体" w:eastAsia="宋体" w:cs="宋体"/>
                <w:color w:val="auto"/>
                <w:sz w:val="21"/>
                <w:szCs w:val="21"/>
                <w:highlight w:val="none"/>
                <w:lang w:bidi="ar"/>
              </w:rPr>
              <w:t>食品安全管理</w:t>
            </w:r>
            <w:r>
              <w:rPr>
                <w:rFonts w:hint="eastAsia" w:ascii="宋体" w:hAnsi="宋体" w:eastAsia="宋体" w:cs="宋体"/>
                <w:color w:val="auto"/>
                <w:sz w:val="21"/>
                <w:szCs w:val="21"/>
                <w:highlight w:val="none"/>
                <w:lang w:bidi="ar"/>
              </w:rPr>
              <w:fldChar w:fldCharType="end"/>
            </w:r>
            <w:r>
              <w:rPr>
                <w:rFonts w:hint="eastAsia" w:ascii="宋体" w:hAnsi="宋体" w:eastAsia="宋体" w:cs="宋体"/>
                <w:color w:val="auto"/>
                <w:sz w:val="21"/>
                <w:szCs w:val="21"/>
                <w:highlight w:val="none"/>
                <w:lang w:bidi="ar"/>
              </w:rPr>
              <w:t>体系认证</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职业健康安全管理体系认证。</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kern w:val="2"/>
                <w:sz w:val="21"/>
                <w:szCs w:val="21"/>
                <w:highlight w:val="none"/>
              </w:rPr>
              <w:t>注：须提供认证证书复印件加盖投标人公章</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投标人具有食堂食材配送项目业绩</w:t>
            </w:r>
            <w:r>
              <w:rPr>
                <w:rFonts w:hint="eastAsia" w:ascii="宋体" w:hAnsi="宋体" w:cs="宋体"/>
                <w:color w:val="auto"/>
                <w:sz w:val="21"/>
                <w:szCs w:val="21"/>
                <w:highlight w:val="none"/>
                <w:lang w:val="en-US" w:eastAsia="zh-CN" w:bidi="ar"/>
              </w:rPr>
              <w:t>的，</w:t>
            </w:r>
            <w:r>
              <w:rPr>
                <w:rFonts w:hint="eastAsia" w:ascii="宋体" w:hAnsi="宋体" w:eastAsia="宋体" w:cs="宋体"/>
                <w:color w:val="auto"/>
                <w:sz w:val="21"/>
                <w:szCs w:val="21"/>
                <w:highlight w:val="none"/>
                <w:lang w:bidi="ar"/>
              </w:rPr>
              <w:t>每</w:t>
            </w:r>
            <w:r>
              <w:rPr>
                <w:rFonts w:hint="eastAsia" w:ascii="宋体" w:hAnsi="宋体" w:cs="宋体"/>
                <w:color w:val="auto"/>
                <w:sz w:val="21"/>
                <w:szCs w:val="21"/>
                <w:highlight w:val="none"/>
                <w:lang w:val="en-US" w:eastAsia="zh-CN" w:bidi="ar"/>
              </w:rPr>
              <w:t>提供一</w:t>
            </w:r>
            <w:r>
              <w:rPr>
                <w:rFonts w:hint="eastAsia" w:ascii="宋体" w:hAnsi="宋体" w:eastAsia="宋体" w:cs="宋体"/>
                <w:color w:val="auto"/>
                <w:sz w:val="21"/>
                <w:szCs w:val="21"/>
                <w:highlight w:val="none"/>
                <w:lang w:bidi="ar"/>
              </w:rPr>
              <w:t>个</w:t>
            </w:r>
            <w:r>
              <w:rPr>
                <w:rFonts w:hint="eastAsia" w:ascii="宋体" w:hAnsi="宋体" w:cs="宋体"/>
                <w:color w:val="auto"/>
                <w:sz w:val="21"/>
                <w:szCs w:val="21"/>
                <w:highlight w:val="none"/>
                <w:lang w:val="en-US" w:eastAsia="zh-CN" w:bidi="ar"/>
              </w:rPr>
              <w:t>业绩合同</w:t>
            </w:r>
            <w:r>
              <w:rPr>
                <w:rFonts w:hint="eastAsia" w:ascii="宋体" w:hAnsi="宋体" w:eastAsia="宋体" w:cs="宋体"/>
                <w:color w:val="auto"/>
                <w:sz w:val="21"/>
                <w:szCs w:val="21"/>
                <w:highlight w:val="none"/>
                <w:lang w:bidi="ar"/>
              </w:rPr>
              <w:t>得4分，满分20分。</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cs="宋体"/>
                <w:color w:val="auto"/>
                <w:sz w:val="21"/>
                <w:szCs w:val="21"/>
                <w:highlight w:val="none"/>
                <w:lang w:val="en-US" w:eastAsia="zh-CN" w:bidi="ar"/>
              </w:rPr>
              <w:t>注：</w:t>
            </w:r>
            <w:r>
              <w:rPr>
                <w:rFonts w:hint="eastAsia" w:ascii="宋体" w:hAnsi="宋体" w:eastAsia="宋体" w:cs="宋体"/>
                <w:color w:val="auto"/>
                <w:sz w:val="21"/>
                <w:szCs w:val="21"/>
                <w:highlight w:val="none"/>
              </w:rPr>
              <w:t>以上业绩须提供项目合同复印件</w:t>
            </w:r>
            <w:r>
              <w:rPr>
                <w:rFonts w:hint="eastAsia" w:ascii="宋体" w:hAnsi="宋体" w:cs="宋体"/>
                <w:color w:val="auto"/>
                <w:sz w:val="21"/>
                <w:szCs w:val="21"/>
                <w:highlight w:val="none"/>
                <w:lang w:val="en-US" w:eastAsia="zh-CN"/>
              </w:rPr>
              <w:t>及</w:t>
            </w:r>
            <w:r>
              <w:rPr>
                <w:rFonts w:hint="eastAsia" w:ascii="宋体" w:hAnsi="宋体" w:eastAsia="宋体" w:cs="宋体"/>
                <w:color w:val="auto"/>
                <w:sz w:val="21"/>
                <w:szCs w:val="21"/>
                <w:highlight w:val="none"/>
              </w:rPr>
              <w:t>服务期内任意一个月的发票</w:t>
            </w:r>
            <w:r>
              <w:rPr>
                <w:rFonts w:hint="eastAsia" w:ascii="宋体" w:hAnsi="宋体" w:cs="宋体"/>
                <w:color w:val="auto"/>
                <w:sz w:val="21"/>
                <w:szCs w:val="21"/>
                <w:highlight w:val="none"/>
                <w:lang w:val="en-US" w:eastAsia="zh-CN"/>
              </w:rPr>
              <w:t>复印件</w:t>
            </w:r>
            <w:r>
              <w:rPr>
                <w:rFonts w:hint="eastAsia" w:ascii="宋体" w:hAnsi="宋体" w:eastAsia="宋体" w:cs="宋体"/>
                <w:color w:val="auto"/>
                <w:sz w:val="21"/>
                <w:szCs w:val="21"/>
                <w:highlight w:val="none"/>
              </w:rPr>
              <w:t>加盖投标人公章，</w:t>
            </w:r>
            <w:r>
              <w:rPr>
                <w:rFonts w:hint="eastAsia" w:ascii="宋体" w:hAnsi="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651"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bCs/>
                <w:color w:val="auto"/>
                <w:szCs w:val="21"/>
                <w:highlight w:val="none"/>
                <w:lang w:val="pt-BR"/>
              </w:rPr>
              <w:t>根据投标人提供的服务响应时间承诺进行评审：</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①</w:t>
            </w: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1小时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lang w:val="pt-BR"/>
              </w:rPr>
              <w:t>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②</w:t>
            </w: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2小时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val="pt-BR"/>
              </w:rPr>
              <w:t>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③</w:t>
            </w:r>
            <w:r>
              <w:rPr>
                <w:rFonts w:hint="eastAsia" w:ascii="宋体" w:hAnsi="宋体" w:cs="宋体"/>
                <w:bCs/>
                <w:color w:val="auto"/>
                <w:szCs w:val="21"/>
                <w:highlight w:val="none"/>
                <w:lang w:val="pt-BR"/>
              </w:rPr>
              <w:t>投标人承诺在接到采购人通知后</w:t>
            </w:r>
            <w:r>
              <w:rPr>
                <w:rFonts w:hint="eastAsia" w:ascii="宋体" w:hAnsi="宋体" w:cs="宋体"/>
                <w:bCs/>
                <w:color w:val="auto"/>
                <w:szCs w:val="21"/>
                <w:highlight w:val="none"/>
                <w:lang w:val="en-US" w:eastAsia="zh-CN"/>
              </w:rPr>
              <w:t>3小时</w:t>
            </w:r>
            <w:r>
              <w:rPr>
                <w:rFonts w:hint="eastAsia" w:ascii="宋体" w:hAnsi="宋体" w:cs="宋体"/>
                <w:bCs/>
                <w:color w:val="auto"/>
                <w:szCs w:val="21"/>
                <w:highlight w:val="none"/>
              </w:rPr>
              <w:t>（含）</w:t>
            </w:r>
            <w:r>
              <w:rPr>
                <w:rFonts w:hint="eastAsia" w:ascii="宋体" w:hAnsi="宋体" w:cs="宋体"/>
                <w:bCs/>
                <w:color w:val="auto"/>
                <w:szCs w:val="21"/>
                <w:highlight w:val="none"/>
                <w:lang w:val="pt-BR"/>
              </w:rPr>
              <w:t>内到现场，得1分；</w:t>
            </w:r>
          </w:p>
          <w:p>
            <w:pPr>
              <w:widowControl w:val="0"/>
              <w:adjustRightInd/>
              <w:snapToGrid/>
              <w:spacing w:line="240" w:lineRule="auto"/>
              <w:ind w:firstLine="420" w:firstLineChars="200"/>
              <w:rPr>
                <w:rFonts w:ascii="宋体" w:hAnsi="宋体" w:cs="宋体"/>
                <w:bCs/>
                <w:color w:val="auto"/>
                <w:szCs w:val="21"/>
                <w:highlight w:val="none"/>
                <w:lang w:val="pt-BR"/>
              </w:rPr>
            </w:pPr>
            <w:r>
              <w:rPr>
                <w:rFonts w:hint="eastAsia" w:ascii="宋体" w:hAnsi="宋体" w:cs="宋体"/>
                <w:color w:val="auto"/>
                <w:szCs w:val="21"/>
                <w:highlight w:val="none"/>
                <w:lang w:bidi="ar"/>
              </w:rPr>
              <w:t>④</w:t>
            </w:r>
            <w:r>
              <w:rPr>
                <w:rFonts w:hint="eastAsia" w:ascii="宋体" w:hAnsi="宋体" w:cs="宋体"/>
                <w:bCs/>
                <w:color w:val="auto"/>
                <w:szCs w:val="21"/>
                <w:highlight w:val="none"/>
                <w:lang w:val="en-US" w:eastAsia="zh-CN"/>
              </w:rPr>
              <w:t>其他情况</w:t>
            </w:r>
            <w:r>
              <w:rPr>
                <w:rFonts w:hint="eastAsia" w:ascii="宋体" w:hAnsi="宋体" w:cs="宋体"/>
                <w:bCs/>
                <w:color w:val="auto"/>
                <w:szCs w:val="21"/>
                <w:highlight w:val="none"/>
                <w:lang w:val="pt-BR"/>
              </w:rPr>
              <w:t>，不得分。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bCs/>
                <w:color w:val="auto"/>
                <w:szCs w:val="21"/>
                <w:highlight w:val="none"/>
                <w:lang w:val="pt-BR"/>
              </w:rPr>
              <w:t>注：须提供承诺书并加盖投标人公章，否则不得分。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kinsoku/>
              <w:wordWrap/>
              <w:overflowPunct/>
              <w:topLinePunct w:val="0"/>
              <w:autoSpaceDE/>
              <w:autoSpaceDN/>
              <w:bidi w:val="0"/>
              <w:spacing w:after="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60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总体实施方案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根据投标人提供的</w:t>
            </w:r>
            <w:r>
              <w:rPr>
                <w:rFonts w:hint="eastAsia" w:ascii="宋体" w:hAnsi="宋体" w:eastAsia="宋体" w:cs="宋体"/>
                <w:color w:val="auto"/>
                <w:sz w:val="21"/>
                <w:szCs w:val="21"/>
                <w:highlight w:val="none"/>
                <w:lang w:bidi="ar"/>
              </w:rPr>
              <w:t>所有涉及本项目配送服务的各方面方案，包括货源、采购渠道、供货保障、品质监控、日常管理组织、物流配送方案及各种规章制度等，进行综合</w:t>
            </w:r>
            <w:r>
              <w:rPr>
                <w:rFonts w:hint="eastAsia" w:ascii="宋体" w:hAnsi="宋体" w:cs="宋体"/>
                <w:color w:val="auto"/>
                <w:sz w:val="21"/>
                <w:szCs w:val="21"/>
                <w:highlight w:val="none"/>
                <w:lang w:val="en-US" w:eastAsia="zh-CN" w:bidi="ar"/>
              </w:rPr>
              <w:t>评价</w:t>
            </w:r>
            <w:r>
              <w:rPr>
                <w:rFonts w:hint="eastAsia" w:ascii="宋体" w:hAnsi="宋体" w:eastAsia="宋体" w:cs="宋体"/>
                <w:color w:val="auto"/>
                <w:sz w:val="21"/>
                <w:szCs w:val="21"/>
                <w:highlight w:val="none"/>
                <w:lang w:bidi="ar"/>
              </w:rPr>
              <w:t>：</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配送服务的各方面方案完整齐全，科学合理，可行性强的，得14分；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配送服务的各方面方案完整，科学合理，可行性较强的，得10分；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配送服务的各方面方案基本完整，科学合理，可行性一般的，得6分；</w:t>
            </w:r>
          </w:p>
          <w:p>
            <w:pPr>
              <w:spacing w:line="240" w:lineRule="auto"/>
              <w:ind w:firstLine="420" w:firstLineChars="200"/>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highlight w:val="none"/>
                <w:lang w:bidi="ar"/>
              </w:rPr>
              <w:t>配送服务的各方面方案不完整，不合理，可行性差的，得2分</w:t>
            </w:r>
            <w:r>
              <w:rPr>
                <w:rFonts w:hint="eastAsia" w:ascii="宋体" w:hAnsi="宋体" w:cs="宋体"/>
                <w:color w:val="auto"/>
                <w:sz w:val="21"/>
                <w:szCs w:val="21"/>
                <w:highlight w:val="none"/>
                <w:lang w:eastAsia="zh-CN" w:bidi="ar"/>
              </w:rPr>
              <w:t>；</w:t>
            </w:r>
          </w:p>
          <w:p>
            <w:pPr>
              <w:spacing w:line="240" w:lineRule="auto"/>
              <w:ind w:firstLine="420" w:firstLineChars="200"/>
              <w:rPr>
                <w:rFonts w:hint="default"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质量安全保障措施</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根据投标人食物卫生、安全的标准、控制措施、质量保障措施等进行综合评价：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质量、卫生、安全保障措施方案科学合理，可行性强的，得10分；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质量、卫生、安全保障措施方案科学合理，可行性较强的，得7分；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质量、卫生、安全保障措施方案基本完整，科学合理，可行性一般的，得4分；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质量、卫生、安全保障措施方案不完整，不合理，可行性差的，得1分。</w:t>
            </w:r>
          </w:p>
          <w:p>
            <w:pPr>
              <w:spacing w:line="240" w:lineRule="auto"/>
              <w:ind w:firstLine="420" w:firstLineChars="200"/>
              <w:rPr>
                <w:rFonts w:hint="eastAsia" w:ascii="宋体" w:hAnsi="宋体" w:eastAsia="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未提供</w:t>
            </w:r>
            <w:r>
              <w:rPr>
                <w:rFonts w:hint="eastAsia" w:ascii="宋体" w:hAnsi="宋体" w:eastAsia="宋体" w:cs="宋体"/>
                <w:color w:val="auto"/>
                <w:sz w:val="21"/>
                <w:szCs w:val="21"/>
                <w:highlight w:val="none"/>
              </w:rPr>
              <w:t>质量安全保障措施</w:t>
            </w:r>
            <w:r>
              <w:rPr>
                <w:rFonts w:hint="eastAsia" w:ascii="宋体" w:hAnsi="宋体" w:eastAsia="宋体" w:cs="宋体"/>
                <w:color w:val="auto"/>
                <w:sz w:val="21"/>
                <w:szCs w:val="21"/>
                <w:highlight w:val="none"/>
                <w:lang w:val="en-US" w:eastAsia="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检测设备</w:t>
            </w:r>
            <w:r>
              <w:rPr>
                <w:rFonts w:hint="eastAsia" w:ascii="宋体" w:eastAsia="宋体" w:cs="宋体"/>
                <w:color w:val="auto"/>
                <w:sz w:val="21"/>
                <w:szCs w:val="21"/>
                <w:highlight w:val="none"/>
                <w:lang w:val="en-US" w:eastAsia="zh-CN"/>
              </w:rPr>
              <w:t>情况</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根据投标人投入本项目的食材检测设备情况进行综合评价：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设备配置齐全、合理、先进、科学，得5分；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设备配置齐全、基本合理，得3分；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设备配置不完整，得1分；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无检测设备不得分。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人员组织架构</w:t>
            </w:r>
            <w:r>
              <w:rPr>
                <w:rFonts w:hint="eastAsia" w:ascii="宋体" w:eastAsia="宋体" w:cs="宋体"/>
                <w:color w:val="auto"/>
                <w:sz w:val="21"/>
                <w:szCs w:val="21"/>
                <w:highlight w:val="none"/>
                <w:lang w:val="en-US" w:eastAsia="zh-CN"/>
              </w:rPr>
              <w:t>情况</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根据投标人提供的人员管理架构、岗位人员配备、岗位制度、服务人员综合素质、培训及考核方案等进行综合评价：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方案完整合理、可行性强，得10分；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方案完整、可行性一般，得7分；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方案基本完整、可行性较差，得4分；</w:t>
            </w:r>
          </w:p>
          <w:p>
            <w:pPr>
              <w:spacing w:line="240" w:lineRule="auto"/>
              <w:ind w:firstLine="420" w:firstLineChars="200"/>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highlight w:val="none"/>
                <w:lang w:bidi="ar"/>
              </w:rPr>
              <w:t>方案缺漏较多，可行性差或未提供方案，得1分</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拟投入配送车辆情况</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投标人投入本项目的配送车辆（含冷链配送车辆）自有的每辆得3分，租赁的每辆得1分，满分6分。</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eastAsia="宋体" w:cs="宋体"/>
                <w:color w:val="auto"/>
                <w:sz w:val="21"/>
                <w:szCs w:val="21"/>
                <w:highlight w:val="none"/>
                <w:lang w:bidi="ar"/>
              </w:rPr>
              <w:t>注：自有车辆需提供车辆行驶证复印件（车辆所有人为投标人或其法人）</w:t>
            </w:r>
            <w:r>
              <w:rPr>
                <w:rFonts w:hint="eastAsia" w:ascii="宋体" w:hAnsi="宋体" w:cs="宋体"/>
                <w:color w:val="auto"/>
                <w:sz w:val="21"/>
                <w:szCs w:val="21"/>
                <w:highlight w:val="none"/>
                <w:lang w:val="en-US" w:eastAsia="zh-CN" w:bidi="ar"/>
              </w:rPr>
              <w:t>加盖公章</w:t>
            </w:r>
            <w:r>
              <w:rPr>
                <w:rFonts w:hint="eastAsia" w:ascii="宋体" w:hAnsi="宋体" w:eastAsia="宋体" w:cs="宋体"/>
                <w:color w:val="auto"/>
                <w:sz w:val="21"/>
                <w:szCs w:val="21"/>
                <w:highlight w:val="none"/>
                <w:lang w:bidi="ar"/>
              </w:rPr>
              <w:t>；租赁配送车辆需提供车辆租赁合同及车辆行驶证复印件</w:t>
            </w:r>
            <w:r>
              <w:rPr>
                <w:rFonts w:hint="eastAsia" w:ascii="宋体" w:hAnsi="宋体" w:cs="宋体"/>
                <w:color w:val="auto"/>
                <w:sz w:val="21"/>
                <w:szCs w:val="21"/>
                <w:highlight w:val="none"/>
                <w:lang w:val="en-US" w:eastAsia="zh-CN" w:bidi="ar"/>
              </w:rPr>
              <w:t>加盖公章</w:t>
            </w:r>
            <w:r>
              <w:rPr>
                <w:rFonts w:hint="eastAsia" w:ascii="宋体" w:hAnsi="宋体" w:eastAsia="宋体" w:cs="宋体"/>
                <w:color w:val="auto"/>
                <w:sz w:val="21"/>
                <w:szCs w:val="21"/>
                <w:highlight w:val="none"/>
                <w:lang w:bidi="ar"/>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应急预案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根据投标人出现紧急事件的处理预案进行综合评价：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方案完整合理、可行性强，得5分；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方案完整、可行性一般，得3分；</w:t>
            </w:r>
          </w:p>
          <w:p>
            <w:pPr>
              <w:spacing w:line="240" w:lineRule="auto"/>
              <w:ind w:firstLine="420" w:firstLineChars="200"/>
              <w:rPr>
                <w:rFonts w:hint="eastAsia" w:ascii="宋体" w:hAnsi="宋体" w:cs="宋体"/>
                <w:color w:val="auto"/>
                <w:sz w:val="21"/>
                <w:szCs w:val="21"/>
                <w:highlight w:val="none"/>
                <w:lang w:eastAsia="zh-CN" w:bidi="ar"/>
              </w:rPr>
            </w:pPr>
            <w:r>
              <w:rPr>
                <w:rFonts w:hint="eastAsia" w:ascii="宋体" w:hAnsi="宋体" w:eastAsia="宋体" w:cs="宋体"/>
                <w:color w:val="auto"/>
                <w:sz w:val="21"/>
                <w:szCs w:val="21"/>
                <w:highlight w:val="none"/>
                <w:lang w:bidi="ar"/>
              </w:rPr>
              <w:t>方案基本完整、可行性较差，得1分</w:t>
            </w:r>
            <w:r>
              <w:rPr>
                <w:rFonts w:hint="eastAsia" w:ascii="宋体" w:hAnsi="宋体" w:cs="宋体"/>
                <w:color w:val="auto"/>
                <w:sz w:val="21"/>
                <w:szCs w:val="21"/>
                <w:highlight w:val="none"/>
                <w:lang w:eastAsia="zh-CN" w:bidi="ar"/>
              </w:rPr>
              <w:t>；</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7</w:t>
            </w:r>
          </w:p>
        </w:tc>
        <w:tc>
          <w:tcPr>
            <w:tcW w:w="1290" w:type="dxa"/>
            <w:tcBorders>
              <w:top w:val="single" w:color="auto" w:sz="4" w:space="0"/>
              <w:left w:val="single" w:color="auto" w:sz="4" w:space="0"/>
              <w:bottom w:val="single" w:color="auto" w:sz="4" w:space="0"/>
              <w:right w:val="single" w:color="auto" w:sz="4" w:space="0"/>
            </w:tcBorders>
            <w:vAlign w:val="center"/>
          </w:tcPr>
          <w:p>
            <w:pPr>
              <w:pStyle w:val="38"/>
              <w:spacing w:line="24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根据投标人</w:t>
            </w:r>
            <w:r>
              <w:rPr>
                <w:rFonts w:hint="eastAsia" w:ascii="宋体" w:hAnsi="宋体" w:eastAsia="宋体" w:cs="宋体"/>
                <w:color w:val="auto"/>
                <w:sz w:val="21"/>
                <w:szCs w:val="21"/>
                <w:highlight w:val="none"/>
                <w:lang w:val="en-US" w:eastAsia="zh-CN" w:bidi="ar"/>
              </w:rPr>
              <w:t>提供的</w:t>
            </w:r>
            <w:r>
              <w:rPr>
                <w:rFonts w:hint="eastAsia" w:ascii="宋体" w:hAnsi="宋体" w:eastAsia="宋体" w:cs="宋体"/>
                <w:color w:val="auto"/>
                <w:sz w:val="21"/>
                <w:szCs w:val="21"/>
                <w:highlight w:val="none"/>
              </w:rPr>
              <w:t>售后服务方案</w:t>
            </w:r>
            <w:r>
              <w:rPr>
                <w:rFonts w:hint="eastAsia" w:ascii="宋体" w:hAnsi="宋体" w:eastAsia="宋体" w:cs="宋体"/>
                <w:color w:val="auto"/>
                <w:sz w:val="21"/>
                <w:szCs w:val="21"/>
                <w:highlight w:val="none"/>
                <w:lang w:bidi="ar"/>
              </w:rPr>
              <w:t>进行综合评价：</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投标人提供的售后服务方案、服务承诺、保质期、服务响应时限等方案完善、合理， 得10分；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w:t>
            </w:r>
            <w:r>
              <w:rPr>
                <w:rFonts w:hint="eastAsia" w:ascii="宋体" w:hAnsi="宋体" w:eastAsia="宋体" w:cs="宋体"/>
                <w:color w:val="auto"/>
                <w:sz w:val="21"/>
                <w:szCs w:val="21"/>
                <w:highlight w:val="none"/>
                <w:lang w:val="en-US" w:eastAsia="zh-CN" w:bidi="ar"/>
              </w:rPr>
              <w:t>较</w:t>
            </w:r>
            <w:r>
              <w:rPr>
                <w:rFonts w:hint="eastAsia" w:ascii="宋体" w:hAnsi="宋体" w:eastAsia="宋体" w:cs="宋体"/>
                <w:color w:val="auto"/>
                <w:sz w:val="21"/>
                <w:szCs w:val="21"/>
                <w:highlight w:val="none"/>
                <w:lang w:bidi="ar"/>
              </w:rPr>
              <w:t>完善、</w:t>
            </w:r>
            <w:r>
              <w:rPr>
                <w:rFonts w:hint="eastAsia" w:ascii="宋体" w:hAnsi="宋体" w:eastAsia="宋体" w:cs="宋体"/>
                <w:color w:val="auto"/>
                <w:sz w:val="21"/>
                <w:szCs w:val="21"/>
                <w:highlight w:val="none"/>
                <w:lang w:val="en-US" w:eastAsia="zh-CN" w:bidi="ar"/>
              </w:rPr>
              <w:t>较</w:t>
            </w:r>
            <w:r>
              <w:rPr>
                <w:rFonts w:hint="eastAsia" w:ascii="宋体" w:hAnsi="宋体" w:eastAsia="宋体" w:cs="宋体"/>
                <w:color w:val="auto"/>
                <w:sz w:val="21"/>
                <w:szCs w:val="21"/>
                <w:highlight w:val="none"/>
                <w:lang w:bidi="ar"/>
              </w:rPr>
              <w:t>合理， 得</w:t>
            </w:r>
            <w:r>
              <w:rPr>
                <w:rFonts w:hint="eastAsia" w:ascii="宋体" w:hAnsi="宋体" w:eastAsia="宋体" w:cs="宋体"/>
                <w:color w:val="auto"/>
                <w:sz w:val="21"/>
                <w:szCs w:val="21"/>
                <w:highlight w:val="none"/>
                <w:lang w:val="en-US" w:eastAsia="zh-CN" w:bidi="ar"/>
              </w:rPr>
              <w:t>7</w:t>
            </w:r>
            <w:r>
              <w:rPr>
                <w:rFonts w:hint="eastAsia" w:ascii="宋体" w:hAnsi="宋体" w:eastAsia="宋体" w:cs="宋体"/>
                <w:color w:val="auto"/>
                <w:sz w:val="21"/>
                <w:szCs w:val="21"/>
                <w:highlight w:val="none"/>
                <w:lang w:bidi="ar"/>
              </w:rPr>
              <w:t>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投标人提供的售后服务方案、服务承诺、保质期、服务响应时限等方案基本完善、基本合理， 得</w:t>
            </w:r>
            <w:r>
              <w:rPr>
                <w:rFonts w:hint="eastAsia" w:ascii="宋体" w:hAnsi="宋体" w:cs="宋体"/>
                <w:color w:val="auto"/>
                <w:sz w:val="21"/>
                <w:szCs w:val="21"/>
                <w:highlight w:val="none"/>
                <w:lang w:val="en-US" w:eastAsia="zh-CN" w:bidi="ar"/>
              </w:rPr>
              <w:t>4</w:t>
            </w:r>
            <w:r>
              <w:rPr>
                <w:rFonts w:hint="eastAsia" w:ascii="宋体" w:hAnsi="宋体" w:eastAsia="宋体" w:cs="宋体"/>
                <w:color w:val="auto"/>
                <w:sz w:val="21"/>
                <w:szCs w:val="21"/>
                <w:highlight w:val="none"/>
                <w:lang w:bidi="ar"/>
              </w:rPr>
              <w:t>分；</w:t>
            </w:r>
          </w:p>
          <w:p>
            <w:pPr>
              <w:spacing w:line="240" w:lineRule="auto"/>
              <w:ind w:firstLine="420" w:firstLineChars="200"/>
              <w:rPr>
                <w:rFonts w:hint="eastAsia" w:ascii="宋体" w:hAnsi="宋体" w:eastAsia="宋体" w:cs="宋体"/>
                <w:color w:val="auto"/>
                <w:sz w:val="21"/>
                <w:szCs w:val="21"/>
                <w:highlight w:val="none"/>
                <w:lang w:bidi="ar"/>
              </w:rPr>
            </w:pPr>
            <w:r>
              <w:rPr>
                <w:rFonts w:hint="eastAsia" w:ascii="宋体" w:hAnsi="宋体" w:eastAsia="宋体" w:cs="宋体"/>
                <w:color w:val="auto"/>
                <w:sz w:val="21"/>
                <w:szCs w:val="21"/>
                <w:highlight w:val="none"/>
                <w:lang w:bidi="ar"/>
              </w:rPr>
              <w:t>投标人提供的售后服务方案、服务承诺、保质期、服务响应时限等方案不是很完善、不是很合理， 得</w:t>
            </w:r>
            <w:r>
              <w:rPr>
                <w:rFonts w:hint="eastAsia" w:ascii="宋体" w:hAnsi="宋体" w:cs="宋体"/>
                <w:color w:val="auto"/>
                <w:sz w:val="21"/>
                <w:szCs w:val="21"/>
                <w:highlight w:val="none"/>
                <w:lang w:val="en-US" w:eastAsia="zh-CN" w:bidi="ar"/>
              </w:rPr>
              <w:t>1</w:t>
            </w:r>
            <w:r>
              <w:rPr>
                <w:rFonts w:hint="eastAsia" w:ascii="宋体" w:hAnsi="宋体" w:eastAsia="宋体" w:cs="宋体"/>
                <w:color w:val="auto"/>
                <w:sz w:val="21"/>
                <w:szCs w:val="21"/>
                <w:highlight w:val="none"/>
                <w:lang w:bidi="ar"/>
              </w:rPr>
              <w:t>分。</w:t>
            </w:r>
          </w:p>
          <w:p>
            <w:pPr>
              <w:spacing w:line="240" w:lineRule="auto"/>
              <w:ind w:firstLine="420" w:firstLineChars="200"/>
              <w:rPr>
                <w:rFonts w:hint="eastAsia" w:ascii="宋体" w:hAnsi="宋体" w:eastAsia="宋体" w:cs="宋体"/>
                <w:color w:val="auto"/>
                <w:sz w:val="21"/>
                <w:szCs w:val="21"/>
                <w:highlight w:val="none"/>
                <w:lang w:val="zh-CN" w:bidi="ar"/>
              </w:rPr>
            </w:pPr>
            <w:r>
              <w:rPr>
                <w:rFonts w:hint="eastAsia" w:ascii="宋体" w:hAnsi="宋体" w:cs="宋体"/>
                <w:color w:val="auto"/>
                <w:sz w:val="21"/>
                <w:szCs w:val="21"/>
                <w:highlight w:val="none"/>
                <w:lang w:val="en-US" w:eastAsia="zh-CN" w:bidi="ar"/>
              </w:rPr>
              <w:t>未提供方案不得分。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shd w:val="clear"/>
              <w:kinsoku/>
              <w:wordWrap/>
              <w:overflowPunct/>
              <w:topLinePunct w:val="0"/>
              <w:autoSpaceDE/>
              <w:autoSpaceDN/>
              <w:bidi w:val="0"/>
              <w:spacing w:line="240" w:lineRule="auto"/>
              <w:ind w:left="0" w:leftChars="0" w:right="0" w:rightChars="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shd w:val="clear"/>
              <w:tabs>
                <w:tab w:val="left" w:pos="907"/>
              </w:tabs>
              <w:kinsoku/>
              <w:wordWrap/>
              <w:overflowPunct/>
              <w:topLinePunct w:val="0"/>
              <w:autoSpaceDE/>
              <w:autoSpaceDN/>
              <w:bidi w:val="0"/>
              <w:spacing w:after="0" w:line="240" w:lineRule="auto"/>
              <w:ind w:left="0" w:leftChars="0" w:right="0" w:rightChars="0"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w:t>
            </w:r>
            <w:r>
              <w:rPr>
                <w:rFonts w:hint="eastAsia" w:ascii="宋体" w:hAnsi="宋体" w:cs="宋体"/>
                <w:b/>
                <w:color w:val="auto"/>
                <w:sz w:val="21"/>
                <w:szCs w:val="21"/>
                <w:highlight w:val="none"/>
                <w:lang w:val="en-US" w:eastAsia="zh-CN"/>
              </w:rPr>
              <w:t>响应</w:t>
            </w:r>
            <w:r>
              <w:rPr>
                <w:rFonts w:hint="eastAsia" w:ascii="宋体" w:hAnsi="宋体" w:eastAsia="宋体" w:cs="宋体"/>
                <w:b/>
                <w:color w:val="auto"/>
                <w:sz w:val="21"/>
                <w:szCs w:val="21"/>
                <w:highlight w:val="none"/>
              </w:rPr>
              <w:t>材料因模糊不清导致评标委员会无法清晰辨认进行评审的，视为无效材料。</w:t>
            </w:r>
          </w:p>
        </w:tc>
      </w:tr>
    </w:tbl>
    <w:p>
      <w:pPr>
        <w:rPr>
          <w:color w:val="auto"/>
          <w:highlight w:val="none"/>
        </w:rPr>
      </w:pPr>
    </w:p>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3095"/>
      <w:bookmarkStart w:id="22" w:name="_Toc19746"/>
      <w:bookmarkStart w:id="23" w:name="_Toc11105"/>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13400"/>
      <w:bookmarkStart w:id="28" w:name="_Toc16848"/>
      <w:bookmarkStart w:id="29" w:name="_Toc21002"/>
      <w:r>
        <w:rPr>
          <w:rFonts w:hint="eastAsia" w:ascii="宋体" w:hAnsi="宋体"/>
          <w:color w:val="auto"/>
          <w:sz w:val="21"/>
          <w:szCs w:val="21"/>
          <w:highlight w:val="none"/>
        </w:rPr>
        <w:t>2.</w:t>
      </w:r>
      <w:bookmarkStart w:id="30" w:name="_Toc1530"/>
      <w:bookmarkStart w:id="31" w:name="_Toc382049092"/>
      <w:bookmarkStart w:id="32" w:name="_Toc298847174"/>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8432"/>
      <w:bookmarkStart w:id="44" w:name="_Toc21930"/>
      <w:bookmarkStart w:id="45" w:name="_Toc31885"/>
      <w:r>
        <w:rPr>
          <w:rFonts w:hint="eastAsia" w:ascii="宋体" w:hAnsi="宋体"/>
          <w:color w:val="auto"/>
          <w:sz w:val="21"/>
          <w:szCs w:val="21"/>
          <w:highlight w:val="none"/>
        </w:rPr>
        <w:t>6.关于联合体投标</w:t>
      </w:r>
      <w:bookmarkEnd w:id="43"/>
      <w:bookmarkEnd w:id="44"/>
      <w:bookmarkEnd w:id="45"/>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2"/>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pPr>
        <w:pStyle w:val="35"/>
        <w:widowControl w:val="0"/>
        <w:numPr>
          <w:ilvl w:val="0"/>
          <w:numId w:val="2"/>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7997"/>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2"/>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4773"/>
      <w:bookmarkStart w:id="60" w:name="_Toc16712"/>
      <w:bookmarkStart w:id="61" w:name="_Toc23726"/>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7434"/>
      <w:bookmarkStart w:id="63" w:name="_Toc28092"/>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382049103"/>
      <w:bookmarkStart w:id="66" w:name="_Toc307934854"/>
      <w:bookmarkStart w:id="67" w:name="_Toc12145"/>
      <w:bookmarkStart w:id="68" w:name="_Toc7728"/>
      <w:bookmarkStart w:id="69" w:name="_Toc303084256"/>
      <w:bookmarkStart w:id="70" w:name="_Toc28866"/>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2"/>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5"/>
        <w:widowControl w:val="0"/>
        <w:numPr>
          <w:ilvl w:val="0"/>
          <w:numId w:val="2"/>
        </w:numPr>
        <w:adjustRightInd/>
        <w:snapToGrid/>
        <w:ind w:firstLineChars="0"/>
        <w:jc w:val="both"/>
        <w:rPr>
          <w:rFonts w:ascii="宋体" w:hAnsi="宋体"/>
          <w:vanish/>
          <w:color w:val="auto"/>
          <w:szCs w:val="21"/>
          <w:highlight w:val="none"/>
        </w:rPr>
      </w:pPr>
      <w:bookmarkStart w:id="75" w:name="_Toc303084258"/>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5"/>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7847"/>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22169"/>
      <w:bookmarkStart w:id="85" w:name="_Toc30815"/>
      <w:bookmarkStart w:id="86" w:name="_Toc19520"/>
      <w:r>
        <w:rPr>
          <w:rFonts w:hint="eastAsia" w:ascii="宋体" w:hAnsi="宋体"/>
          <w:color w:val="auto"/>
          <w:sz w:val="21"/>
          <w:szCs w:val="21"/>
          <w:highlight w:val="none"/>
        </w:rPr>
        <w:t>15.★投标有效期</w:t>
      </w:r>
      <w:bookmarkEnd w:id="84"/>
      <w:bookmarkEnd w:id="85"/>
      <w:bookmarkEnd w:id="86"/>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25817"/>
      <w:bookmarkStart w:id="89" w:name="_Toc30257"/>
      <w:r>
        <w:rPr>
          <w:rFonts w:hint="eastAsia" w:ascii="宋体" w:hAnsi="宋体"/>
          <w:color w:val="auto"/>
          <w:sz w:val="21"/>
          <w:szCs w:val="21"/>
          <w:highlight w:val="none"/>
        </w:rPr>
        <w:t>16.★投标保证金</w:t>
      </w:r>
      <w:bookmarkEnd w:id="87"/>
      <w:bookmarkEnd w:id="88"/>
      <w:bookmarkEnd w:id="89"/>
    </w:p>
    <w:p>
      <w:pPr>
        <w:pStyle w:val="35"/>
        <w:widowControl w:val="0"/>
        <w:numPr>
          <w:ilvl w:val="0"/>
          <w:numId w:val="2"/>
        </w:numPr>
        <w:adjustRightInd/>
        <w:snapToGrid/>
        <w:ind w:firstLineChars="0"/>
        <w:jc w:val="both"/>
        <w:rPr>
          <w:rFonts w:ascii="宋体" w:hAnsi="宋体"/>
          <w:vanish/>
          <w:color w:val="auto"/>
          <w:szCs w:val="21"/>
          <w:highlight w:val="none"/>
        </w:rPr>
      </w:pPr>
      <w:bookmarkStart w:id="90" w:name="_Ref179619405"/>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31124"/>
      <w:bookmarkStart w:id="92" w:name="_Toc24109"/>
      <w:bookmarkStart w:id="93" w:name="_Toc3200"/>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29590"/>
      <w:bookmarkStart w:id="95" w:name="_Toc24997"/>
      <w:bookmarkStart w:id="96" w:name="_Toc473"/>
      <w:bookmarkStart w:id="97" w:name="_Toc303084264"/>
      <w:bookmarkStart w:id="98" w:name="_Toc382049111"/>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2"/>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2"/>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2"/>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3"/>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3"/>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3"/>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3"/>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4"/>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8628"/>
      <w:bookmarkStart w:id="102" w:name="_Toc7473"/>
      <w:r>
        <w:rPr>
          <w:rFonts w:hint="eastAsia" w:ascii="宋体" w:hAnsi="宋体"/>
          <w:color w:val="auto"/>
          <w:sz w:val="21"/>
          <w:szCs w:val="21"/>
          <w:highlight w:val="none"/>
        </w:rPr>
        <w:t>18.迟交的投标文件</w:t>
      </w:r>
      <w:bookmarkEnd w:id="100"/>
      <w:bookmarkEnd w:id="101"/>
      <w:bookmarkEnd w:id="102"/>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19649"/>
      <w:bookmarkStart w:id="105" w:name="_Toc8526"/>
      <w:r>
        <w:rPr>
          <w:rFonts w:hint="eastAsia" w:ascii="宋体" w:hAnsi="宋体"/>
          <w:color w:val="auto"/>
          <w:sz w:val="21"/>
          <w:szCs w:val="21"/>
          <w:highlight w:val="none"/>
        </w:rPr>
        <w:t>19.投标样品（如需提交）</w:t>
      </w:r>
      <w:bookmarkEnd w:id="103"/>
      <w:bookmarkEnd w:id="104"/>
      <w:bookmarkEnd w:id="105"/>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7689"/>
      <w:bookmarkStart w:id="107" w:name="_Toc382049112"/>
      <w:bookmarkStart w:id="108" w:name="_Toc23477"/>
      <w:bookmarkStart w:id="109" w:name="_Toc9777"/>
      <w:bookmarkStart w:id="110" w:name="_Toc303084265"/>
      <w:bookmarkStart w:id="111" w:name="_Toc5900"/>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5569"/>
      <w:bookmarkStart w:id="113" w:name="_Toc6003"/>
      <w:bookmarkStart w:id="114" w:name="_Toc11133"/>
      <w:r>
        <w:rPr>
          <w:rFonts w:hint="eastAsia" w:ascii="宋体" w:hAnsi="宋体"/>
          <w:color w:val="auto"/>
          <w:sz w:val="21"/>
          <w:szCs w:val="21"/>
          <w:highlight w:val="none"/>
        </w:rPr>
        <w:t>21.投标文件的补充、修改与撤回</w:t>
      </w:r>
      <w:bookmarkEnd w:id="112"/>
      <w:bookmarkEnd w:id="113"/>
      <w:bookmarkEnd w:id="114"/>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8"/>
        <w:rPr>
          <w:color w:val="auto"/>
          <w:highlight w:val="none"/>
        </w:rPr>
      </w:pPr>
    </w:p>
    <w:p>
      <w:pPr>
        <w:pStyle w:val="5"/>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2"/>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2"/>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2"/>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2"/>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5524"/>
      <w:bookmarkStart w:id="122" w:name="_Toc597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35"/>
        <w:widowControl w:val="0"/>
        <w:numPr>
          <w:ilvl w:val="0"/>
          <w:numId w:val="2"/>
        </w:numPr>
        <w:adjustRightInd/>
        <w:snapToGrid/>
        <w:ind w:firstLineChars="0"/>
        <w:jc w:val="both"/>
        <w:rPr>
          <w:rFonts w:ascii="宋体" w:hAnsi="宋体"/>
          <w:vanish/>
          <w:color w:val="auto"/>
          <w:szCs w:val="21"/>
          <w:highlight w:val="none"/>
        </w:rPr>
      </w:pP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2"/>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2"/>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17683"/>
      <w:bookmarkStart w:id="134" w:name="_Toc7593"/>
      <w:bookmarkStart w:id="135" w:name="_Toc22192"/>
      <w:r>
        <w:rPr>
          <w:rFonts w:hint="eastAsia" w:ascii="宋体" w:hAnsi="宋体"/>
          <w:color w:val="auto"/>
          <w:sz w:val="21"/>
          <w:szCs w:val="21"/>
          <w:highlight w:val="none"/>
        </w:rPr>
        <w:t>27.优惠政策</w:t>
      </w:r>
      <w:bookmarkEnd w:id="133"/>
      <w:bookmarkEnd w:id="134"/>
      <w:bookmarkEnd w:id="135"/>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2"/>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5"/>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5"/>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5"/>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31141"/>
      <w:bookmarkStart w:id="138" w:name="_Toc20328"/>
      <w:bookmarkStart w:id="139" w:name="_Toc382049120"/>
      <w:bookmarkStart w:id="140" w:name="_Toc22591"/>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17778"/>
      <w:bookmarkStart w:id="146" w:name="_Toc6696"/>
      <w:bookmarkStart w:id="147" w:name="_Toc27817"/>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12440"/>
      <w:bookmarkStart w:id="150" w:name="_Toc23136"/>
      <w:bookmarkStart w:id="151" w:name="_Toc29283"/>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2"/>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2"/>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2"/>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2"/>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2"/>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2"/>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2"/>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262"/>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2"/>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382049124"/>
      <w:bookmarkStart w:id="157" w:name="_Toc7405"/>
      <w:bookmarkStart w:id="158" w:name="_Toc25756"/>
      <w:bookmarkStart w:id="159" w:name="_Toc29009"/>
      <w:bookmarkStart w:id="160" w:name="_Toc2744"/>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13694"/>
      <w:bookmarkStart w:id="163" w:name="_Toc7360"/>
      <w:bookmarkStart w:id="164" w:name="_Toc20699"/>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2900"/>
      <w:bookmarkStart w:id="166" w:name="_Toc17974"/>
      <w:bookmarkStart w:id="167" w:name="_Toc25498"/>
      <w:r>
        <w:rPr>
          <w:rFonts w:hint="eastAsia" w:ascii="宋体" w:hAnsi="宋体"/>
          <w:color w:val="auto"/>
          <w:sz w:val="21"/>
          <w:szCs w:val="21"/>
          <w:highlight w:val="none"/>
        </w:rPr>
        <w:t>33.询问</w:t>
      </w:r>
      <w:bookmarkEnd w:id="165"/>
      <w:bookmarkEnd w:id="166"/>
      <w:bookmarkEnd w:id="167"/>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2"/>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2"/>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21187"/>
      <w:bookmarkStart w:id="175" w:name="_Toc10082"/>
      <w:bookmarkStart w:id="176" w:name="_Toc6548"/>
      <w:r>
        <w:rPr>
          <w:rFonts w:hint="eastAsia" w:ascii="宋体" w:hAnsi="宋体"/>
          <w:color w:val="auto"/>
          <w:sz w:val="21"/>
          <w:szCs w:val="21"/>
          <w:highlight w:val="none"/>
        </w:rPr>
        <w:t>35.招标文件的解释权</w:t>
      </w:r>
      <w:bookmarkEnd w:id="174"/>
      <w:bookmarkEnd w:id="175"/>
      <w:bookmarkEnd w:id="176"/>
    </w:p>
    <w:p>
      <w:pPr>
        <w:pStyle w:val="35"/>
        <w:widowControl w:val="0"/>
        <w:numPr>
          <w:ilvl w:val="0"/>
          <w:numId w:val="2"/>
        </w:numPr>
        <w:tabs>
          <w:tab w:val="left" w:pos="907"/>
        </w:tabs>
        <w:adjustRightInd/>
        <w:snapToGrid/>
        <w:ind w:firstLineChars="0"/>
        <w:jc w:val="both"/>
        <w:rPr>
          <w:rFonts w:ascii="宋体" w:hAnsi="宋体"/>
          <w:vanish/>
          <w:color w:val="auto"/>
          <w:szCs w:val="21"/>
          <w:highlight w:val="none"/>
        </w:rPr>
      </w:pPr>
    </w:p>
    <w:p>
      <w:pPr>
        <w:widowControl w:val="0"/>
        <w:numPr>
          <w:ilvl w:val="1"/>
          <w:numId w:val="2"/>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7011"/>
      <w:bookmarkStart w:id="178" w:name="_Toc31854"/>
      <w:bookmarkStart w:id="179" w:name="_Toc382"/>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bookmarkStart w:id="181" w:name="_Toc21448"/>
      <w:bookmarkStart w:id="182" w:name="_Toc12014"/>
      <w:bookmarkStart w:id="183" w:name="_Toc12485"/>
      <w:r>
        <w:rPr>
          <w:rFonts w:hint="eastAsia" w:ascii="宋体" w:hAnsi="宋体"/>
          <w:color w:val="auto"/>
          <w:highlight w:val="none"/>
        </w:rPr>
        <w:t>第一章 商务需求书</w:t>
      </w:r>
      <w:bookmarkEnd w:id="180"/>
    </w:p>
    <w:tbl>
      <w:tblPr>
        <w:tblStyle w:val="25"/>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501"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466"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1</w:t>
            </w:r>
          </w:p>
        </w:tc>
        <w:tc>
          <w:tcPr>
            <w:tcW w:w="1501"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合格投标人</w:t>
            </w:r>
          </w:p>
        </w:tc>
        <w:tc>
          <w:tcPr>
            <w:tcW w:w="6466" w:type="dxa"/>
            <w:vAlign w:val="center"/>
          </w:tcPr>
          <w:p>
            <w:pPr>
              <w:pStyle w:val="35"/>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合同签订之日起</w:t>
            </w:r>
            <w:r>
              <w:rPr>
                <w:rFonts w:hint="eastAsia" w:ascii="宋体" w:hAnsi="宋体" w:cs="宋体"/>
                <w:color w:val="auto"/>
                <w:sz w:val="21"/>
                <w:szCs w:val="21"/>
                <w:highlight w:val="none"/>
                <w:lang w:val="en-US" w:eastAsia="zh-CN"/>
              </w:rPr>
              <w:t>3年</w:t>
            </w:r>
            <w:r>
              <w:rPr>
                <w:rFonts w:hint="eastAsia"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b/>
                <w:bCs/>
                <w:color w:val="auto"/>
                <w:szCs w:val="21"/>
                <w:highlight w:val="none"/>
              </w:rPr>
            </w:pPr>
            <w:r>
              <w:rPr>
                <w:rFonts w:hint="eastAsia" w:ascii="宋体" w:hAnsi="宋体" w:cs="宋体"/>
                <w:b/>
                <w:bCs/>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保质期</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保质期超过15日的货品剩余保质期不得短于保质期的90%，保质期低于15日的货品必须为送货当日屠宰或制作的货品。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r>
              <w:rPr>
                <w:rFonts w:hint="eastAsia" w:ascii="宋体" w:hAnsi="宋体" w:eastAsia="宋体"/>
                <w:b/>
                <w:bCs/>
                <w:color w:val="auto"/>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付款</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每月结算一次。中标人完成当月供货订单后，于次月凭正式发票及经采购人确认的送货清单，向采购人申请付款，采购人收到申请核对无误后在30日内结清上月所有货款。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lang w:val="en-US" w:eastAsia="zh-CN"/>
              </w:rPr>
            </w:pPr>
            <w:r>
              <w:rPr>
                <w:rFonts w:hint="eastAsia" w:ascii="宋体" w:hAnsi="宋体" w:eastAsia="宋体"/>
                <w:b/>
                <w:bCs/>
                <w:color w:val="auto"/>
                <w:szCs w:val="21"/>
                <w:highlight w:val="none"/>
                <w:lang w:val="en-US" w:eastAsia="zh-CN"/>
              </w:rPr>
              <w:t xml:space="preserve">★定价方式 </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1、中标人供货价以周边肉菜市场（</w:t>
            </w:r>
            <w:r>
              <w:rPr>
                <w:rFonts w:hint="eastAsia" w:ascii="宋体" w:hAnsi="宋体" w:cs="宋体"/>
                <w:color w:val="auto"/>
                <w:sz w:val="21"/>
                <w:szCs w:val="21"/>
                <w:highlight w:val="none"/>
                <w:lang w:val="en-US" w:eastAsia="zh-CN"/>
              </w:rPr>
              <w:t>东部蔬菜</w:t>
            </w:r>
            <w:r>
              <w:rPr>
                <w:rFonts w:hint="eastAsia" w:ascii="宋体" w:hAnsi="宋体" w:eastAsia="宋体" w:cs="宋体"/>
                <w:color w:val="auto"/>
                <w:sz w:val="21"/>
                <w:szCs w:val="21"/>
                <w:highlight w:val="none"/>
                <w:lang w:val="en-US" w:eastAsia="zh-CN"/>
              </w:rPr>
              <w:t>批发市场、</w:t>
            </w:r>
            <w:r>
              <w:rPr>
                <w:rFonts w:hint="eastAsia" w:ascii="宋体" w:hAnsi="宋体" w:cs="宋体"/>
                <w:color w:val="auto"/>
                <w:sz w:val="21"/>
                <w:szCs w:val="21"/>
                <w:highlight w:val="none"/>
                <w:lang w:val="en-US" w:eastAsia="zh-CN"/>
              </w:rPr>
              <w:t>兴利肉菜</w:t>
            </w:r>
            <w:r>
              <w:rPr>
                <w:rFonts w:hint="eastAsia" w:ascii="宋体" w:hAnsi="宋体" w:eastAsia="宋体" w:cs="宋体"/>
                <w:color w:val="auto"/>
                <w:sz w:val="21"/>
                <w:szCs w:val="21"/>
                <w:highlight w:val="none"/>
                <w:lang w:val="en-US" w:eastAsia="zh-CN"/>
              </w:rPr>
              <w:t>市场、</w:t>
            </w:r>
            <w:r>
              <w:rPr>
                <w:rFonts w:hint="eastAsia" w:ascii="宋体" w:hAnsi="宋体" w:cs="宋体"/>
                <w:color w:val="auto"/>
                <w:sz w:val="21"/>
                <w:szCs w:val="21"/>
                <w:highlight w:val="none"/>
                <w:lang w:val="en-US" w:eastAsia="zh-CN"/>
              </w:rPr>
              <w:t>村尾农贸</w:t>
            </w:r>
            <w:r>
              <w:rPr>
                <w:rFonts w:hint="eastAsia" w:ascii="宋体" w:hAnsi="宋体" w:eastAsia="宋体" w:cs="宋体"/>
                <w:color w:val="auto"/>
                <w:sz w:val="21"/>
                <w:szCs w:val="21"/>
                <w:highlight w:val="none"/>
                <w:lang w:val="en-US" w:eastAsia="zh-CN"/>
              </w:rPr>
              <w:t>市场）进行抽样统计，以核定相同品种的市场平均价格（市场平均价=3个市场抽样价格之和÷3）为基准价（不含税）。</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2、定价时间：每15天调整一次价格，中标人须提前两天向采购人提供下一期的价格表，供采购人确认后开始执行。</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3、若遇台风、暴雨等意外原因造成的个别品种价格需临时调整，应通知采购人，并征得采购人同意后方可调整，每次送货按通知价格计算。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hint="eastAsia" w:ascii="宋体" w:hAnsi="宋体" w:eastAsia="宋体" w:cs="宋体"/>
                <w:b/>
                <w:bCs/>
                <w:color w:val="auto"/>
                <w:szCs w:val="21"/>
                <w:highlight w:val="none"/>
                <w:lang w:eastAsia="zh-CN"/>
              </w:rPr>
            </w:pPr>
            <w:r>
              <w:rPr>
                <w:rFonts w:hint="eastAsia" w:ascii="宋体" w:hAnsi="宋体" w:cs="宋体"/>
                <w:b/>
                <w:bCs/>
                <w:color w:val="auto"/>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b/>
                <w:bCs/>
                <w:color w:val="auto"/>
                <w:szCs w:val="21"/>
                <w:highlight w:val="none"/>
              </w:rPr>
            </w:pPr>
            <w:r>
              <w:rPr>
                <w:rFonts w:hint="eastAsia" w:ascii="宋体" w:hAnsi="宋体" w:eastAsia="宋体"/>
                <w:b/>
                <w:bCs/>
                <w:color w:val="auto"/>
                <w:szCs w:val="21"/>
                <w:highlight w:val="none"/>
              </w:rPr>
              <w:t>售后服务</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接到采购人通知后</w:t>
            </w:r>
            <w:r>
              <w:rPr>
                <w:rFonts w:hint="eastAsia"/>
                <w:color w:val="auto"/>
                <w:highlight w:val="none"/>
                <w:lang w:val="en-US" w:eastAsia="zh-CN"/>
              </w:rPr>
              <w:t>按投标文件承诺的时间内</w:t>
            </w:r>
            <w:r>
              <w:rPr>
                <w:rFonts w:hint="eastAsia" w:ascii="宋体" w:hAnsi="宋体" w:eastAsia="宋体" w:cs="宋体"/>
                <w:color w:val="auto"/>
                <w:sz w:val="21"/>
                <w:szCs w:val="21"/>
                <w:highlight w:val="none"/>
                <w:lang w:val="en-US" w:eastAsia="zh-CN"/>
              </w:rPr>
              <w:t>到达现场，服务方式均为中标人上门服务。非采购人的人为原因而出现产品质量问题，由中标人负责包换或包退。并承担上述情况产生的一切费用。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★报价要求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本项目统一按</w:t>
            </w:r>
            <w:r>
              <w:rPr>
                <w:rFonts w:hint="eastAsia" w:ascii="宋体" w:hAnsi="宋体" w:cs="宋体"/>
                <w:color w:val="auto"/>
                <w:sz w:val="21"/>
                <w:szCs w:val="21"/>
                <w:highlight w:val="none"/>
                <w:lang w:val="en-US" w:eastAsia="zh-CN"/>
              </w:rPr>
              <w:t>招标文件“定价方式”中确定的基准价</w:t>
            </w:r>
            <w:r>
              <w:rPr>
                <w:rFonts w:hint="eastAsia" w:ascii="宋体" w:hAnsi="宋体" w:eastAsia="宋体" w:cs="宋体"/>
                <w:color w:val="auto"/>
                <w:sz w:val="21"/>
                <w:szCs w:val="21"/>
                <w:highlight w:val="none"/>
                <w:lang w:val="en-US" w:eastAsia="zh-CN"/>
              </w:rPr>
              <w:t>（不含税）</w:t>
            </w:r>
            <w:r>
              <w:rPr>
                <w:rFonts w:hint="eastAsia" w:ascii="宋体" w:hAnsi="宋体" w:cs="宋体"/>
                <w:color w:val="auto"/>
                <w:sz w:val="21"/>
                <w:szCs w:val="21"/>
                <w:highlight w:val="none"/>
                <w:lang w:val="en-US" w:eastAsia="zh-CN"/>
              </w:rPr>
              <w:t>进行</w:t>
            </w:r>
            <w:r>
              <w:rPr>
                <w:rFonts w:hint="eastAsia" w:ascii="宋体" w:hAnsi="宋体" w:eastAsia="宋体" w:cs="宋体"/>
                <w:color w:val="auto"/>
                <w:sz w:val="21"/>
                <w:szCs w:val="21"/>
                <w:highlight w:val="none"/>
              </w:rPr>
              <w:t>报价。投标报价应包括本次招标所有服务内容的费用</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包括</w:t>
            </w:r>
            <w:r>
              <w:rPr>
                <w:rFonts w:hint="eastAsia" w:ascii="宋体" w:hAnsi="宋体" w:eastAsia="宋体" w:cs="宋体"/>
                <w:color w:val="auto"/>
                <w:sz w:val="21"/>
                <w:szCs w:val="21"/>
                <w:highlight w:val="none"/>
              </w:rPr>
              <w:t>人工、包装、运输、保险、税费以及合同实施过程中的不可预见费用等全部费用。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hint="eastAsia"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b/>
                <w:bCs/>
                <w:color w:val="auto"/>
                <w:szCs w:val="21"/>
                <w:highlight w:val="none"/>
                <w:lang w:val="en-US" w:eastAsia="zh-CN"/>
              </w:rPr>
            </w:pPr>
            <w:r>
              <w:rPr>
                <w:rFonts w:hint="eastAsia" w:ascii="宋体" w:hAnsi="宋体" w:eastAsia="宋体"/>
                <w:b/>
                <w:bCs/>
                <w:color w:val="auto"/>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投标人实质响应合同条款。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10</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b/>
                <w:bCs/>
                <w:color w:val="auto"/>
                <w:szCs w:val="21"/>
                <w:highlight w:val="none"/>
              </w:rPr>
            </w:pPr>
            <w:r>
              <w:rPr>
                <w:rFonts w:ascii="宋体" w:hAnsi="宋体" w:eastAsia="宋体"/>
                <w:b/>
                <w:bCs/>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2"/>
        <w:rPr>
          <w:color w:val="auto"/>
          <w:highlight w:val="none"/>
        </w:rPr>
      </w:pPr>
    </w:p>
    <w:p>
      <w:pPr>
        <w:pStyle w:val="5"/>
        <w:jc w:val="center"/>
        <w:rPr>
          <w:rFonts w:ascii="宋体" w:hAnsi="宋体"/>
          <w:color w:val="auto"/>
          <w:sz w:val="24"/>
          <w:highlight w:val="none"/>
        </w:rPr>
      </w:pPr>
      <w:bookmarkStart w:id="184" w:name="_Toc19316"/>
      <w:r>
        <w:rPr>
          <w:rFonts w:hint="eastAsia" w:ascii="宋体" w:hAnsi="宋体"/>
          <w:color w:val="auto"/>
          <w:highlight w:val="none"/>
        </w:rPr>
        <w:t>第二章 技术需求书</w:t>
      </w:r>
      <w:bookmarkEnd w:id="184"/>
    </w:p>
    <w:p>
      <w:pPr>
        <w:pStyle w:val="6"/>
        <w:bidi w:val="0"/>
        <w:rPr>
          <w:rFonts w:hint="eastAsia"/>
          <w:color w:val="auto"/>
          <w:highlight w:val="none"/>
        </w:rPr>
      </w:pPr>
      <w:bookmarkStart w:id="185" w:name="_Toc477332117"/>
      <w:bookmarkStart w:id="186" w:name="_Toc14462"/>
      <w:bookmarkStart w:id="187" w:name="_Toc31278"/>
      <w:bookmarkStart w:id="188" w:name="_Toc24679"/>
      <w:bookmarkStart w:id="189" w:name="_Toc13112"/>
      <w:r>
        <w:rPr>
          <w:rFonts w:hint="eastAsia"/>
          <w:color w:val="auto"/>
          <w:highlight w:val="none"/>
        </w:rPr>
        <w:t>一、服务内容和情况</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1、交货时间和地点：每天供货量及时间由采购人指定并送到用户指定地点（早餐食材</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0前、午晚餐食材9:00前）。</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2、中标人按照采购人提出的物品订货清单，不论数量多少，必须保证在规定的时间（以采购人下的供货通知单为依据）、地点（食堂）送货。</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3、中标人的供货价应包含交给采购人之前的一切费用，包括购置费、包装费、运输费、储存费、人工费、保险费、各种税费等，并承担送货途中的一切风险。</w:t>
      </w:r>
    </w:p>
    <w:p>
      <w:pPr>
        <w:pageBreakBefore w:val="0"/>
        <w:widowControl/>
        <w:wordWrap/>
        <w:topLinePunct w:val="0"/>
        <w:autoSpaceDE/>
        <w:autoSpaceDN/>
        <w:bidi w:val="0"/>
        <w:adjustRightInd w:val="0"/>
        <w:snapToGrid w:val="0"/>
        <w:spacing w:line="360" w:lineRule="auto"/>
        <w:ind w:left="0" w:righ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r>
        <w:rPr>
          <w:rFonts w:hint="eastAsia" w:ascii="宋体" w:hAnsi="宋体" w:eastAsia="宋体" w:cs="Times New Roman"/>
          <w:color w:val="auto"/>
          <w:sz w:val="21"/>
          <w:szCs w:val="21"/>
          <w:highlight w:val="none"/>
          <w:lang w:val="en-US" w:eastAsia="zh-CN"/>
        </w:rPr>
        <w:t>投标人</w:t>
      </w:r>
      <w:r>
        <w:rPr>
          <w:rFonts w:hint="eastAsia" w:ascii="宋体" w:hAnsi="宋体" w:eastAsia="宋体" w:cs="Times New Roman"/>
          <w:color w:val="auto"/>
          <w:sz w:val="21"/>
          <w:szCs w:val="21"/>
          <w:highlight w:val="none"/>
        </w:rPr>
        <w:t>应根据</w:t>
      </w:r>
      <w:r>
        <w:rPr>
          <w:rFonts w:hint="eastAsia" w:ascii="宋体" w:hAnsi="宋体" w:eastAsia="宋体" w:cs="Times New Roman"/>
          <w:color w:val="auto"/>
          <w:sz w:val="21"/>
          <w:szCs w:val="21"/>
          <w:highlight w:val="none"/>
          <w:lang w:val="en-US" w:eastAsia="zh-CN"/>
        </w:rPr>
        <w:t>本项目的作业要求</w:t>
      </w:r>
      <w:r>
        <w:rPr>
          <w:rFonts w:hint="eastAsia" w:ascii="宋体" w:hAnsi="宋体" w:eastAsia="宋体" w:cs="Times New Roman"/>
          <w:color w:val="auto"/>
          <w:sz w:val="21"/>
          <w:szCs w:val="21"/>
          <w:highlight w:val="none"/>
        </w:rPr>
        <w:t>，在</w:t>
      </w:r>
      <w:r>
        <w:rPr>
          <w:rFonts w:hint="eastAsia" w:ascii="宋体" w:hAnsi="宋体" w:eastAsia="宋体" w:cs="Times New Roman"/>
          <w:color w:val="auto"/>
          <w:sz w:val="21"/>
          <w:szCs w:val="21"/>
          <w:highlight w:val="none"/>
          <w:lang w:val="en-US" w:eastAsia="zh-CN"/>
        </w:rPr>
        <w:t>投标</w:t>
      </w:r>
      <w:r>
        <w:rPr>
          <w:rFonts w:hint="eastAsia" w:ascii="宋体" w:hAnsi="宋体" w:eastAsia="宋体" w:cs="Times New Roman"/>
          <w:color w:val="auto"/>
          <w:sz w:val="21"/>
          <w:szCs w:val="21"/>
          <w:highlight w:val="none"/>
        </w:rPr>
        <w:t>文件中提供切实可行</w:t>
      </w:r>
      <w:r>
        <w:rPr>
          <w:rFonts w:hint="eastAsia" w:ascii="宋体" w:hAnsi="宋体" w:cs="宋体"/>
          <w:color w:val="auto"/>
          <w:sz w:val="21"/>
          <w:szCs w:val="21"/>
          <w:highlight w:val="none"/>
          <w:lang w:val="en-US" w:eastAsia="zh-CN"/>
        </w:rPr>
        <w:t>总体实施方案、质量安全保障措施、检测设备情况、人员组织架构情况、拟投入配送车辆情况、应急预案、售后服务方案等。</w:t>
      </w:r>
    </w:p>
    <w:p>
      <w:pPr>
        <w:pStyle w:val="6"/>
        <w:bidi w:val="0"/>
        <w:rPr>
          <w:rFonts w:hint="eastAsia" w:eastAsia="宋体"/>
          <w:color w:val="auto"/>
          <w:highlight w:val="none"/>
        </w:rPr>
      </w:pPr>
      <w:r>
        <w:rPr>
          <w:rFonts w:hint="eastAsia" w:eastAsia="宋体"/>
          <w:color w:val="auto"/>
          <w:highlight w:val="none"/>
        </w:rPr>
        <w:t>二、质量及数量要求</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（一）质量要求：</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1、蔬果类应保持较好的色泽和新鲜度，符合国家食品卫生标准，不得有黄叶、腐烂、泥沙等现象，蔬果类农药等化学物不得超标，并提供农药残留检测证明。（蔬菜利用率不低于95% ）</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2、冻品、干货类为一级以上的优质品，有生产厂家、生产日期和保质期。</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3、海鲜、河鲜类必须鲜活。（利用率不低于95%）</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4、鲜肉类全部来源于正规肉联厂，保证为当日新鲜肉，并提供政府检疫部门出示的检疫合格证明。（鲜肉类利用率不低于98%）</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5、粮油、副食，调料类由正规厂家供货，相关证件齐全，并符合国家食品卫生标准，坚决杜绝出售假冒、变质、过期的产品。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6、豆制品来源于政府许可的正规厂商。</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7、对于不符合采购方质量要求的品种可无偿退货或换货，如换货中标方必须在采购方规定的时间内把货送到目的地。</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（二）数量要求</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应保证斤、两的准确性；以采购人的验收数量为准，中标方每次随货携带一式两联的送货清单，食品经双方验收后须签字确认。</w:t>
      </w:r>
    </w:p>
    <w:p>
      <w:pPr>
        <w:pStyle w:val="6"/>
        <w:bidi w:val="0"/>
        <w:rPr>
          <w:rFonts w:hint="eastAsia" w:eastAsia="宋体"/>
          <w:color w:val="auto"/>
          <w:highlight w:val="none"/>
        </w:rPr>
      </w:pPr>
      <w:r>
        <w:rPr>
          <w:rFonts w:hint="eastAsia" w:eastAsia="宋体"/>
          <w:color w:val="auto"/>
          <w:highlight w:val="none"/>
        </w:rPr>
        <w:t>三、食品安全保障措施</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1、中标方必须遵守国家规定的《食品安全法》、《农产品质量安全法》等法律和行政法规的规定，严禁配送假冒、变质、过期的农副产品。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2、中标方须对采购方购买的食品分类用器具装载，不得混装，运输过程应采取相应的保鲜防护措施。</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3、如因中标方所送的食品引起食用的人身体不适、发生食物中毒等问题，经市级质量检验部门确定后是中标方的责任，由中标方承担全部经济赔偿与法律责任。</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4、中标方保证供应的货品均为正规生产的新鲜（冰鲜除外）检验合格、无毒、无辐射、无侵权货品，符合国家有关卫生、质量、包装和保质标准，要使用有效期的货品。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方提供的鲜鱼、肉类保证每日新鲜，提供的猪肉牛肉羊肉均为东莞市定点屠宰厂（场）经检疫和肉品品质检验合格的产品，具有由定点屠宰厂（场）加盖验讫印章并出具《畜产品检验证明》或《动物检疫合格证明》，所有产品并可追索。</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中标方提供的蔬菜必须保证每日新鲜，取得无公害认证优先选择，并符合食品卫生安全法要求并出具有效的《农产品检验报告》。采购人使用“农药测试卡”检验蔬菜农药含量，如含量超标要求中标方无条件退货或换货，出现 1 次含量超标情况的，并处以中标方人民币3000元罚款，罚款由当批次的供货结算款内扣除。出现3次以上含量超标情况的，采购人有权单方终止合同。</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7、中标方保证所提供的鲜肉类、生禽、鲜水产、蔬菜种类的多样性和季节性，以保证新鲜感。</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8、货物有包装的，货物的包装必须完整清洁（无损、无污、无皱），采购人有权拒收包装不整齐、已拆封的商品。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9、采购人发现商品出现损坏（包括表面损坏），或出现水渍、串味、受潮等导致货物性质改变的，中标方必须无条件退货或更换商品。</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10、中标方提供假冒伪劣、过期、变质的、有毒食品的，一经发现，除按采购人要求无条件退货或换货外，还将受到如下处罚：</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（1）中标方提供假冒伪劣、过期、变质食品的，采购人有权要求无条件退货或换货，并处以中标方人民币3000元罚款，罚款由当批次的供货结算款内扣除。出现3次以上情况，采购人有权单方终止合同。</w:t>
      </w:r>
    </w:p>
    <w:p>
      <w:pPr>
        <w:pageBreakBefore w:val="0"/>
        <w:widowControl/>
        <w:wordWrap/>
        <w:topLinePunct w:val="0"/>
        <w:autoSpaceDE/>
        <w:autoSpaceDN/>
        <w:bidi w:val="0"/>
        <w:adjustRightInd w:val="0"/>
        <w:snapToGrid w:val="0"/>
        <w:spacing w:line="360" w:lineRule="auto"/>
        <w:ind w:left="0" w:right="0" w:firstLine="514" w:firstLineChars="24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（2）中标方若提供有毒食品，造成食品安全事故的，经有关单位鉴定原因后，如确实为中标方提供的食品问题，中标方须负担全数的医药费，同时承担相应的民事及刑事法律责任及放弃先诉抗辩权。</w:t>
      </w:r>
    </w:p>
    <w:p>
      <w:pPr>
        <w:pStyle w:val="6"/>
        <w:bidi w:val="0"/>
        <w:rPr>
          <w:rFonts w:hint="eastAsia" w:eastAsia="宋体"/>
          <w:color w:val="auto"/>
          <w:highlight w:val="none"/>
        </w:rPr>
      </w:pPr>
      <w:r>
        <w:rPr>
          <w:rFonts w:hint="eastAsia" w:eastAsia="宋体"/>
          <w:color w:val="auto"/>
          <w:highlight w:val="none"/>
        </w:rPr>
        <w:t>四、交货及运输</w:t>
      </w:r>
    </w:p>
    <w:p>
      <w:pPr>
        <w:pStyle w:val="8"/>
        <w:pageBreakBefore w:val="0"/>
        <w:widowControl/>
        <w:kinsoku w:val="0"/>
        <w:wordWrap/>
        <w:overflowPunct w:val="0"/>
        <w:topLinePunct w:val="0"/>
        <w:autoSpaceDE/>
        <w:autoSpaceDN/>
        <w:bidi w:val="0"/>
        <w:adjustRightInd w:val="0"/>
        <w:snapToGrid w:val="0"/>
        <w:spacing w:before="0" w:after="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1、中标方应保证每天早上将所订的货物按照约定时间（早餐食材6:30前、午晚餐食材9:00前）送至采购人指定地方，运输车辆内外必须清洁干净，无污渍，无异味。</w:t>
      </w:r>
    </w:p>
    <w:p>
      <w:pPr>
        <w:pStyle w:val="8"/>
        <w:pageBreakBefore w:val="0"/>
        <w:widowControl/>
        <w:kinsoku w:val="0"/>
        <w:wordWrap/>
        <w:overflowPunct w:val="0"/>
        <w:topLinePunct w:val="0"/>
        <w:autoSpaceDE/>
        <w:autoSpaceDN/>
        <w:bidi w:val="0"/>
        <w:adjustRightInd w:val="0"/>
        <w:snapToGrid w:val="0"/>
        <w:spacing w:before="0" w:after="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2、采购人需要临时增加补货，中标方须尽力配合，约定时间到位。</w:t>
      </w:r>
    </w:p>
    <w:p>
      <w:pPr>
        <w:pStyle w:val="8"/>
        <w:pageBreakBefore w:val="0"/>
        <w:widowControl/>
        <w:kinsoku w:val="0"/>
        <w:wordWrap/>
        <w:overflowPunct w:val="0"/>
        <w:topLinePunct w:val="0"/>
        <w:autoSpaceDE/>
        <w:autoSpaceDN/>
        <w:bidi w:val="0"/>
        <w:adjustRightInd w:val="0"/>
        <w:snapToGrid w:val="0"/>
        <w:spacing w:before="0" w:after="0" w:line="360" w:lineRule="auto"/>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3、中标方的送货单必须详细注明商品的品牌、品种、单价、数量、送货单不得涂改。</w:t>
      </w:r>
    </w:p>
    <w:p>
      <w:pPr>
        <w:pStyle w:val="6"/>
        <w:bidi w:val="0"/>
        <w:rPr>
          <w:rFonts w:hint="eastAsia" w:eastAsia="宋体"/>
          <w:color w:val="auto"/>
          <w:highlight w:val="none"/>
        </w:rPr>
      </w:pPr>
      <w:r>
        <w:rPr>
          <w:rFonts w:hint="eastAsia" w:eastAsia="宋体"/>
          <w:color w:val="auto"/>
          <w:highlight w:val="none"/>
          <w:lang w:val="en-US" w:eastAsia="zh-CN"/>
        </w:rPr>
        <w:t>五</w:t>
      </w:r>
      <w:r>
        <w:rPr>
          <w:rFonts w:hint="eastAsia" w:eastAsia="宋体"/>
          <w:color w:val="auto"/>
          <w:highlight w:val="none"/>
        </w:rPr>
        <w:t>、</w:t>
      </w:r>
      <w:bookmarkEnd w:id="185"/>
      <w:r>
        <w:rPr>
          <w:rFonts w:hint="eastAsia" w:eastAsia="宋体"/>
          <w:color w:val="auto"/>
          <w:highlight w:val="none"/>
        </w:rPr>
        <w:t>采购参考清单</w:t>
      </w:r>
    </w:p>
    <w:p>
      <w:pPr>
        <w:pageBreakBefore w:val="0"/>
        <w:widowControl/>
        <w:wordWrap/>
        <w:topLinePunct w:val="0"/>
        <w:autoSpaceDE/>
        <w:autoSpaceDN/>
        <w:bidi w:val="0"/>
        <w:adjustRightInd w:val="0"/>
        <w:snapToGrid w:val="0"/>
        <w:spacing w:line="360" w:lineRule="auto"/>
        <w:ind w:left="0"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清单一：</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489"/>
        <w:gridCol w:w="2394"/>
        <w:gridCol w:w="1896"/>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48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w:t>
            </w: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8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品质要求</w:t>
            </w: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48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早餐</w:t>
            </w: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河粉</w:t>
            </w:r>
          </w:p>
        </w:tc>
        <w:tc>
          <w:tcPr>
            <w:tcW w:w="1896"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新鲜、无味</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粉卷</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濑粉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云吞</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48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蔬菜类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大白菜</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菜心</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芥兰</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菠菜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椰菜花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茄瓜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白萝卜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莲藕</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上海青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韭菜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西洋菜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通心菜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番茄</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京包菜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尖椒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马铃薯</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西芹</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奶白菜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凉瓜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红萝卜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冬瓜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油豆腐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豆腐干</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酸菜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蒜肉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芫茜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韭黄</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148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蔬菜类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香芹</w:t>
            </w:r>
          </w:p>
        </w:tc>
        <w:tc>
          <w:tcPr>
            <w:tcW w:w="1896"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洋葱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红尖椒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番薯</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沙葛</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木瓜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节瓜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蒲瓜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莴笋(去皮)</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茅根</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宁夏奶白菜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油麦菜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鸡比菇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栗米条</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茶树菇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荷兰豆</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平包菜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酸豆角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西兰花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向阳白</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鲜草菇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粟米粒</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园青豆</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金针菇</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马蹄肉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云南小瓜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新鲜木耳</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山药</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去皮芋头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大头菜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芥兰头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78</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79</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丝瓜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淮山</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w:t>
            </w:r>
          </w:p>
        </w:tc>
        <w:tc>
          <w:tcPr>
            <w:tcW w:w="1489"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蔬菜类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芦笋</w:t>
            </w:r>
          </w:p>
        </w:tc>
        <w:tc>
          <w:tcPr>
            <w:tcW w:w="18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w:t>
            </w:r>
          </w:p>
        </w:tc>
        <w:tc>
          <w:tcPr>
            <w:tcW w:w="148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肉类</w:t>
            </w: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有皮上肉</w:t>
            </w:r>
          </w:p>
        </w:tc>
        <w:tc>
          <w:tcPr>
            <w:tcW w:w="1896"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瘦肉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肉丸</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花腩</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排骨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腊肉</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腊肠</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边骨</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猪手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火腿</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牛肉</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碎牛腩</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冻排骨</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冻猪肚</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去皮上肉</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鸡肉肠</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进口品牌或国产一线品牌</w:t>
            </w: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鸡腩肉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腊肠</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国产一线品牌</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蛋类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鸡蛋</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咸蛋黄</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皮蛋</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105</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三鸟类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土光鸡</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番鸭</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冻鸭腿</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108</w:t>
            </w:r>
          </w:p>
        </w:tc>
        <w:tc>
          <w:tcPr>
            <w:tcW w:w="148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光鹅</w:t>
            </w:r>
          </w:p>
        </w:tc>
        <w:tc>
          <w:tcPr>
            <w:tcW w:w="1896"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烧鹅（整只）</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烧鹅（散）</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鸡腿</w:t>
            </w:r>
          </w:p>
        </w:tc>
        <w:tc>
          <w:tcPr>
            <w:tcW w:w="1896"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正规屠杀场</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冻鸡翼</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水产类</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鱼头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咸鱼</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鲩鱼腩</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鲩鱼骨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大头鱼骨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麻虾</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水果</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苹果</w:t>
            </w:r>
          </w:p>
        </w:tc>
        <w:tc>
          <w:tcPr>
            <w:tcW w:w="1896" w:type="dxa"/>
            <w:vMerge w:val="restart"/>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w:t>
            </w:r>
          </w:p>
        </w:tc>
        <w:tc>
          <w:tcPr>
            <w:tcW w:w="1489" w:type="dxa"/>
            <w:vMerge w:val="restart"/>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水果</w:t>
            </w: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黑美人</w:t>
            </w:r>
          </w:p>
        </w:tc>
        <w:tc>
          <w:tcPr>
            <w:tcW w:w="1896"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新鲜、无腐烂</w:t>
            </w: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柠檬</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雪梨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橙子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红提</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香梨</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压沙瓜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火龙果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130</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哈蜜瓜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131</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石榴（番石榴）</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132</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圣女果</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龙眼</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134</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金奇异果30个装</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135</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菠萝</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桂味荔枝</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137</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奶蕉</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blHeader/>
          <w:jc w:val="center"/>
        </w:trPr>
        <w:tc>
          <w:tcPr>
            <w:tcW w:w="796" w:type="dxa"/>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138</w:t>
            </w:r>
          </w:p>
        </w:tc>
        <w:tc>
          <w:tcPr>
            <w:tcW w:w="1489" w:type="dxa"/>
            <w:vMerge w:val="continue"/>
            <w:shd w:val="clear" w:color="auto" w:fill="auto"/>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394" w:type="dxa"/>
            <w:shd w:val="clear" w:color="auto" w:fill="FFFFFF"/>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沙糖桔</w:t>
            </w:r>
          </w:p>
        </w:tc>
        <w:tc>
          <w:tcPr>
            <w:tcW w:w="1896"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84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bl>
    <w:p>
      <w:pPr>
        <w:pageBreakBefore w:val="0"/>
        <w:widowControl/>
        <w:wordWrap/>
        <w:topLinePunct w:val="0"/>
        <w:autoSpaceDE/>
        <w:autoSpaceDN/>
        <w:bidi w:val="0"/>
        <w:adjustRightInd w:val="0"/>
        <w:snapToGrid w:val="0"/>
        <w:spacing w:line="360" w:lineRule="auto"/>
        <w:ind w:left="0" w:right="0" w:firstLine="413" w:firstLineChars="196"/>
        <w:textAlignment w:val="auto"/>
        <w:rPr>
          <w:rFonts w:hint="eastAsia" w:ascii="宋体" w:hAnsi="宋体" w:eastAsia="宋体" w:cs="宋体"/>
          <w:b/>
          <w:color w:val="auto"/>
          <w:sz w:val="21"/>
          <w:szCs w:val="21"/>
          <w:highlight w:val="none"/>
        </w:rPr>
      </w:pPr>
    </w:p>
    <w:p>
      <w:pPr>
        <w:pageBreakBefore w:val="0"/>
        <w:widowControl/>
        <w:wordWrap/>
        <w:topLinePunct w:val="0"/>
        <w:autoSpaceDE/>
        <w:autoSpaceDN/>
        <w:bidi w:val="0"/>
        <w:adjustRightInd w:val="0"/>
        <w:snapToGrid w:val="0"/>
        <w:spacing w:line="360" w:lineRule="auto"/>
        <w:ind w:left="0" w:right="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清单二：</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88"/>
        <w:gridCol w:w="2140"/>
        <w:gridCol w:w="1743"/>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6"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序号</w:t>
            </w:r>
          </w:p>
        </w:tc>
        <w:tc>
          <w:tcPr>
            <w:tcW w:w="1288"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名称</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规格/型号</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139</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油类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调和油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15升</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花生油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5升</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141</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糯米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泰曼香米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50斤</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新惠大米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晚稻七丝粘米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30斤/包</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东北大米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50斤</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泰娘特级面粉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22.5KG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148</w:t>
            </w:r>
          </w:p>
        </w:tc>
        <w:tc>
          <w:tcPr>
            <w:tcW w:w="1288" w:type="dxa"/>
            <w:noWrap w:val="0"/>
            <w:textDirection w:val="tbRlV"/>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糖</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一级白糖</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50千克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149</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干货类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去皮荞麦</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燕麦</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粗米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黑豆</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梅菜干（菜干）</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大粒扁豆</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155</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干货类</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五指毛桃</w:t>
            </w:r>
          </w:p>
        </w:tc>
        <w:tc>
          <w:tcPr>
            <w:tcW w:w="1743"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西米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小麦</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黄豆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赤小豆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大粒花生</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大粒绿豆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去皮绿豆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大粒红豆</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八角</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香叶</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虾米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桂皮</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丁香</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草果</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支竹</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腐竹片</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海带</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金针</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木耳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榄角</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紫菜</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榨菜</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辣椒粹</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辣椒干</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厚冬菇</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干茶树菇</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雪耳</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南杏</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北杏</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麦芽糖</w:t>
            </w:r>
          </w:p>
        </w:tc>
        <w:tc>
          <w:tcPr>
            <w:tcW w:w="1743"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柚子皮</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淡菜子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188</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调味料</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沙姜粉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英标生抽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2罐/10升</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蚝油皇1</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2桶/6KG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味事达生抽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170ML/24支</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金标生抽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1.9L/6瓶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米酒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肉丁菜甫</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12支*284克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195</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调味料</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食粉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南乳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12支*230克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老干妈</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300克/24瓶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广州腐乳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199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石岐米酒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12支*610ML</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陈村碱水</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进口生粉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25千克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国产生粉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25千克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金标老抽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6瓶*1.9升</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鸡料</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300克/盒</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味精</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50包*454克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白醋</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陈醋</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20瓶/410克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面鼓</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12支/230克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豆鼓</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5斤</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400毫升</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味椒盐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18瓶*50克/件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芝麻酱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450克/12瓶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柱侯酱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海鲜酱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15支/230克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叉烧酱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15支/240克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胡椒粉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20包/454克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绿色精盐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10包*2500克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低钠盐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松肉粉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片糖</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4.6千克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生抽</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辣椒油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210克/瓶*24瓶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桂林三宝辣椒酱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20瓶*215克/瓶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榄菜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12瓶/175克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柱候酱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240克*15瓶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汉斯茄酱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客家盐焗鸡粉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20小包*20克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229</w:t>
            </w:r>
          </w:p>
        </w:tc>
        <w:tc>
          <w:tcPr>
            <w:tcW w:w="1288"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其他食品</w:t>
            </w: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石龙金燕米粉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东莞米粉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龙口粉丝</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陈村面</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糯米粉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20包∕500G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燕麦片</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三花奶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48支</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茶叶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铁观音</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500克/包</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普洱茶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500克/包</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炭烧咖啡</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雀巢咖啡因</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伊利牛奶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6支/1000ML</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雀巢健心奶粉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900克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柚子蜜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柑桔蜜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伊利奶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250ML*16支</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椰子汁</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245ML*24罐</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青岛啤酒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330ML*24罐</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阿华田</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七喜</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330ML*24</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太古糖浆</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怡宝水</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555ML*24</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王老吉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可口可乐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330ML*24</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方包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3斤</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莲蓉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红豆馅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伊面</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2.5斤</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乌冬面</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30包*200克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259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水磨粘米粉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500克*20包</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塔塔粉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马蹄粉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炮打粉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3千克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淀粉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猪油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30斤</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牛油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12千克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大粒松子</w:t>
            </w:r>
          </w:p>
        </w:tc>
        <w:tc>
          <w:tcPr>
            <w:tcW w:w="1743"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无腐烂</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白芝麻</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瓜子仁</w:t>
            </w:r>
          </w:p>
        </w:tc>
        <w:tc>
          <w:tcPr>
            <w:tcW w:w="1743"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269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依士</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椰丝</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黑芝麻</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芝士片</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虫草花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白糖包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1.25KG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高级饱油底纸</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长6.8*宽6.8</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咖啡糖包</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百花蜂蜜糖</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日本豆腐</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100克/条、40条/件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279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花椒油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400ML</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炼奶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粟米羹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24*450克/瓶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栗粉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454克/24盒</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琼脂</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柚子酱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800克/瓶</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花生酱</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1000克/瓶</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五香粉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454克</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黑椒碎</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455克</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288</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咖喱粉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350克</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289</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红枣片</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290</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大饺子皮</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291</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猪大油</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292</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乡醇醪糟酒</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450克/瓶</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293</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吉士粉</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3.5KG</w:t>
            </w: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294</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普通茶叶</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295</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蛋糕油纸</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48cm*38cm</w:t>
            </w:r>
          </w:p>
        </w:tc>
        <w:tc>
          <w:tcPr>
            <w:tcW w:w="929" w:type="dxa"/>
            <w:vMerge w:val="restart"/>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296</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粉丝</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180g</w:t>
            </w:r>
          </w:p>
        </w:tc>
        <w:tc>
          <w:tcPr>
            <w:tcW w:w="929"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82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297</w:t>
            </w:r>
          </w:p>
        </w:tc>
        <w:tc>
          <w:tcPr>
            <w:tcW w:w="1288" w:type="dxa"/>
            <w:vMerge w:val="continue"/>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2140"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提子干</w:t>
            </w:r>
          </w:p>
        </w:tc>
        <w:tc>
          <w:tcPr>
            <w:tcW w:w="1743"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p>
        </w:tc>
        <w:tc>
          <w:tcPr>
            <w:tcW w:w="929" w:type="dxa"/>
            <w:noWrap w:val="0"/>
            <w:vAlign w:val="center"/>
          </w:tcPr>
          <w:p>
            <w:pPr>
              <w:pageBreakBefore w:val="0"/>
              <w:widowControl/>
              <w:wordWrap/>
              <w:topLinePunct w:val="0"/>
              <w:autoSpaceDE/>
              <w:autoSpaceDN/>
              <w:bidi w:val="0"/>
              <w:adjustRightInd w:val="0"/>
              <w:snapToGrid w:val="0"/>
              <w:spacing w:line="360" w:lineRule="auto"/>
              <w:ind w:left="0" w:righ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斤</w:t>
            </w:r>
          </w:p>
        </w:tc>
      </w:tr>
    </w:tbl>
    <w:p>
      <w:pPr>
        <w:pageBreakBefore w:val="0"/>
        <w:widowControl/>
        <w:wordWrap/>
        <w:topLinePunct w:val="0"/>
        <w:autoSpaceDE/>
        <w:autoSpaceDN/>
        <w:bidi w:val="0"/>
        <w:adjustRightInd w:val="0"/>
        <w:snapToGrid w:val="0"/>
        <w:spacing w:line="360" w:lineRule="auto"/>
        <w:ind w:left="0" w:right="0"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以上清单内容仅供参考，不构成对投标人所报品牌的任何约束。所有产品的实际采购数量以采购人实际需要为准，送货数量及时间由采购人按需通知，投标人须按采购人指定时间将产品送至指定地点。</w:t>
      </w:r>
    </w:p>
    <w:p>
      <w:pPr>
        <w:bidi w:val="0"/>
        <w:rPr>
          <w:rFonts w:hint="eastAsia"/>
          <w:color w:val="auto"/>
          <w:highlight w:val="none"/>
          <w:lang w:eastAsia="zh-CN"/>
        </w:rPr>
      </w:pPr>
    </w:p>
    <w:p>
      <w:pPr>
        <w:ind w:firstLine="422" w:firstLineChars="200"/>
        <w:rPr>
          <w:color w:val="auto"/>
          <w:highlight w:val="none"/>
        </w:rPr>
        <w:sectPr>
          <w:footerReference r:id="rId13"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Times New Roman"/>
          <w:b/>
          <w:bCs/>
          <w:color w:val="auto"/>
          <w:sz w:val="21"/>
          <w:szCs w:val="21"/>
          <w:highlight w:val="none"/>
        </w:rPr>
        <w:t>注：不满足招标文件中 “★”条款的投标文件将作无效投标处理。</w:t>
      </w:r>
    </w:p>
    <w:bookmarkEnd w:id="186"/>
    <w:bookmarkEnd w:id="187"/>
    <w:bookmarkEnd w:id="188"/>
    <w:bookmarkEnd w:id="189"/>
    <w:p>
      <w:pPr>
        <w:pStyle w:val="4"/>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1"/>
      <w:bookmarkEnd w:id="182"/>
      <w:bookmarkEnd w:id="183"/>
      <w:bookmarkStart w:id="190" w:name="_Toc13430"/>
      <w:bookmarkStart w:id="191" w:name="_Toc1534"/>
      <w:bookmarkStart w:id="192" w:name="_Toc21155"/>
    </w:p>
    <w:bookmarkEnd w:id="190"/>
    <w:bookmarkEnd w:id="191"/>
    <w:bookmarkEnd w:id="192"/>
    <w:p>
      <w:pPr>
        <w:pStyle w:val="5"/>
        <w:spacing w:line="240" w:lineRule="auto"/>
        <w:jc w:val="center"/>
        <w:rPr>
          <w:rFonts w:ascii="宋体" w:hAnsi="宋体" w:cs="宋体"/>
          <w:color w:val="auto"/>
          <w:highlight w:val="none"/>
        </w:rPr>
      </w:pPr>
      <w:bookmarkStart w:id="193" w:name="_Toc16730"/>
      <w:bookmarkStart w:id="194" w:name="_Toc8880"/>
      <w:bookmarkStart w:id="195" w:name="_Toc19575"/>
      <w:r>
        <w:rPr>
          <w:rFonts w:hint="eastAsia" w:ascii="宋体" w:hAnsi="宋体" w:cs="宋体"/>
          <w:color w:val="auto"/>
          <w:highlight w:val="none"/>
        </w:rPr>
        <w:t>合同格式</w:t>
      </w:r>
      <w:bookmarkEnd w:id="193"/>
      <w:bookmarkEnd w:id="194"/>
      <w:bookmarkEnd w:id="195"/>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6"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3"/>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3"/>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3"/>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6"/>
    <w:p>
      <w:pPr>
        <w:ind w:firstLine="422" w:firstLineChars="200"/>
        <w:rPr>
          <w:rFonts w:ascii="宋体" w:hAnsi="宋体"/>
          <w:b/>
          <w:color w:val="auto"/>
          <w:szCs w:val="21"/>
          <w:highlight w:val="none"/>
        </w:rPr>
      </w:pPr>
      <w:bookmarkStart w:id="197"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8" w:name="_Toc86481569"/>
      <w:r>
        <w:rPr>
          <w:rFonts w:hint="eastAsia" w:ascii="宋体" w:hAnsi="宋体"/>
          <w:b/>
          <w:color w:val="auto"/>
          <w:szCs w:val="21"/>
          <w:highlight w:val="none"/>
        </w:rPr>
        <w:t>第十二条 合同生效</w:t>
      </w:r>
      <w:bookmarkEnd w:id="198"/>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7"/>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keepNext w:val="0"/>
        <w:keepLines w:val="0"/>
        <w:pageBreakBefore w:val="0"/>
        <w:kinsoku/>
        <w:wordWrap/>
        <w:overflowPunct/>
        <w:topLinePunct w:val="0"/>
        <w:autoSpaceDE/>
        <w:autoSpaceDN/>
        <w:bidi w:val="0"/>
        <w:spacing w:line="360" w:lineRule="auto"/>
        <w:textAlignment w:val="auto"/>
        <w:rPr>
          <w:rFonts w:hint="eastAsia" w:ascii="宋体" w:hAnsi="宋体"/>
          <w:b/>
          <w:color w:val="auto"/>
          <w:sz w:val="21"/>
          <w:szCs w:val="21"/>
          <w:highlight w:val="none"/>
        </w:rPr>
      </w:pPr>
    </w:p>
    <w:p>
      <w:pPr>
        <w:keepNext w:val="0"/>
        <w:keepLines w:val="0"/>
        <w:pageBreakBefore w:val="0"/>
        <w:kinsoku/>
        <w:wordWrap/>
        <w:overflowPunct/>
        <w:topLinePunct w:val="0"/>
        <w:autoSpaceDE/>
        <w:autoSpaceDN/>
        <w:bidi w:val="0"/>
        <w:spacing w:line="360" w:lineRule="auto"/>
        <w:textAlignment w:val="auto"/>
        <w:rPr>
          <w:color w:val="auto"/>
          <w:sz w:val="21"/>
          <w:szCs w:val="21"/>
          <w:highlight w:val="none"/>
        </w:rPr>
      </w:pPr>
      <w:r>
        <w:rPr>
          <w:rFonts w:hint="eastAsia" w:ascii="宋体" w:hAnsi="宋体"/>
          <w:b/>
          <w:color w:val="auto"/>
          <w:sz w:val="21"/>
          <w:szCs w:val="21"/>
          <w:highlight w:val="none"/>
        </w:rPr>
        <w:t>此仅为合同书样本，</w:t>
      </w:r>
      <w:r>
        <w:rPr>
          <w:rFonts w:hint="eastAsia" w:ascii="宋体" w:hAnsi="宋体"/>
          <w:b/>
          <w:color w:val="auto"/>
          <w:sz w:val="21"/>
          <w:szCs w:val="21"/>
          <w:highlight w:val="none"/>
          <w:lang w:eastAsia="zh-CN"/>
        </w:rPr>
        <w:t>乙方</w:t>
      </w:r>
      <w:r>
        <w:rPr>
          <w:rFonts w:hint="eastAsia" w:ascii="宋体" w:hAnsi="宋体"/>
          <w:b/>
          <w:color w:val="auto"/>
          <w:sz w:val="21"/>
          <w:szCs w:val="21"/>
          <w:highlight w:val="none"/>
        </w:rPr>
        <w:t>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9" w:name="_Toc23749"/>
      <w:bookmarkStart w:id="200" w:name="_Toc31587"/>
      <w:bookmarkStart w:id="201" w:name="_Toc1478"/>
      <w:r>
        <w:rPr>
          <w:rFonts w:hint="eastAsia"/>
          <w:color w:val="auto"/>
          <w:sz w:val="28"/>
          <w:szCs w:val="28"/>
          <w:highlight w:val="none"/>
        </w:rPr>
        <w:t>第七部分  投标文件格式</w:t>
      </w:r>
      <w:bookmarkEnd w:id="199"/>
      <w:bookmarkEnd w:id="200"/>
      <w:bookmarkEnd w:id="201"/>
    </w:p>
    <w:p>
      <w:pPr>
        <w:rPr>
          <w:color w:val="auto"/>
          <w:highlight w:val="none"/>
        </w:rPr>
      </w:pPr>
    </w:p>
    <w:p>
      <w:pPr>
        <w:pStyle w:val="5"/>
        <w:rPr>
          <w:color w:val="auto"/>
          <w:highlight w:val="none"/>
        </w:rPr>
      </w:pPr>
      <w:bookmarkStart w:id="202" w:name="_Toc6790"/>
      <w:bookmarkStart w:id="203" w:name="_Toc5794"/>
      <w:bookmarkStart w:id="204" w:name="_Toc26830"/>
      <w:r>
        <w:rPr>
          <w:rFonts w:hint="eastAsia"/>
          <w:color w:val="auto"/>
          <w:highlight w:val="none"/>
        </w:rPr>
        <w:t>投标文件目录</w:t>
      </w:r>
      <w:bookmarkEnd w:id="202"/>
      <w:bookmarkEnd w:id="203"/>
      <w:bookmarkEnd w:id="204"/>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5" w:name="_Toc18893"/>
      <w:bookmarkStart w:id="206" w:name="_Toc5670"/>
      <w:bookmarkStart w:id="207" w:name="_Toc25502"/>
      <w:r>
        <w:rPr>
          <w:rFonts w:hint="eastAsia"/>
          <w:color w:val="auto"/>
          <w:highlight w:val="none"/>
        </w:rPr>
        <w:t>评分标准索引表</w:t>
      </w:r>
      <w:bookmarkEnd w:id="205"/>
      <w:bookmarkEnd w:id="206"/>
      <w:bookmarkEnd w:id="207"/>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5"/>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5"/>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32"/>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8"/>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32"/>
              <w:jc w:val="both"/>
              <w:rPr>
                <w:rFonts w:ascii="宋体" w:hAnsi="宋体" w:cs="宋体"/>
                <w:color w:val="auto"/>
                <w:szCs w:val="21"/>
                <w:highlight w:val="none"/>
              </w:rPr>
            </w:pPr>
          </w:p>
        </w:tc>
        <w:tc>
          <w:tcPr>
            <w:tcW w:w="5028" w:type="dxa"/>
            <w:noWrap/>
            <w:vAlign w:val="center"/>
          </w:tcPr>
          <w:p>
            <w:pPr>
              <w:pStyle w:val="32"/>
              <w:jc w:val="both"/>
              <w:rPr>
                <w:rFonts w:ascii="宋体" w:hAnsi="宋体" w:cs="宋体"/>
                <w:color w:val="auto"/>
                <w:szCs w:val="21"/>
                <w:highlight w:val="none"/>
              </w:rPr>
            </w:pPr>
          </w:p>
        </w:tc>
        <w:tc>
          <w:tcPr>
            <w:tcW w:w="2126" w:type="dxa"/>
            <w:noWrap/>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8"/>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8"/>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8" w:name="_Toc8194"/>
      <w:bookmarkStart w:id="209" w:name="_Toc22080"/>
      <w:bookmarkStart w:id="210" w:name="_Toc30640"/>
      <w:r>
        <w:rPr>
          <w:rFonts w:hint="eastAsia"/>
          <w:color w:val="auto"/>
          <w:highlight w:val="none"/>
        </w:rPr>
        <w:t>第一章价格文件</w:t>
      </w:r>
      <w:bookmarkEnd w:id="208"/>
      <w:bookmarkEnd w:id="209"/>
    </w:p>
    <w:p>
      <w:pPr>
        <w:pStyle w:val="5"/>
        <w:jc w:val="center"/>
        <w:rPr>
          <w:color w:val="auto"/>
          <w:highlight w:val="none"/>
        </w:rPr>
      </w:pPr>
      <w:bookmarkStart w:id="211" w:name="_Toc4168"/>
      <w:bookmarkStart w:id="212" w:name="_Toc19750"/>
      <w:r>
        <w:rPr>
          <w:rFonts w:hint="eastAsia"/>
          <w:color w:val="auto"/>
          <w:highlight w:val="none"/>
        </w:rPr>
        <w:t>一、唱标一览表</w:t>
      </w:r>
      <w:bookmarkEnd w:id="211"/>
      <w:bookmarkEnd w:id="212"/>
    </w:p>
    <w:p>
      <w:pPr>
        <w:rPr>
          <w:color w:val="auto"/>
          <w:highlight w:val="none"/>
        </w:rPr>
      </w:pP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2776"/>
        <w:gridCol w:w="1609"/>
        <w:gridCol w:w="22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1101"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1629"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投标总价</w:t>
            </w:r>
          </w:p>
        </w:tc>
        <w:tc>
          <w:tcPr>
            <w:tcW w:w="944"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服务期</w:t>
            </w:r>
          </w:p>
        </w:tc>
        <w:tc>
          <w:tcPr>
            <w:tcW w:w="1324"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1101"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s="宋体"/>
                <w:color w:val="auto"/>
                <w:szCs w:val="21"/>
                <w:highlight w:val="none"/>
                <w:lang w:eastAsia="zh-CN"/>
              </w:rPr>
              <w:t>东莞市横沥镇第一幼儿园食材配送项目</w:t>
            </w:r>
          </w:p>
        </w:tc>
        <w:tc>
          <w:tcPr>
            <w:tcW w:w="1629" w:type="pct"/>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s="宋体"/>
                <w:color w:val="auto"/>
                <w:sz w:val="21"/>
                <w:szCs w:val="21"/>
                <w:highlight w:val="none"/>
              </w:rPr>
              <w:t>按</w:t>
            </w:r>
            <w:r>
              <w:rPr>
                <w:rFonts w:hint="eastAsia" w:ascii="宋体" w:hAnsi="宋体" w:cs="宋体"/>
                <w:color w:val="auto"/>
                <w:sz w:val="21"/>
                <w:szCs w:val="21"/>
                <w:highlight w:val="none"/>
                <w:lang w:val="en-US" w:eastAsia="zh-CN"/>
              </w:rPr>
              <w:t>招标文件“定价方式”中确定的基准价</w:t>
            </w:r>
            <w:r>
              <w:rPr>
                <w:rFonts w:hint="eastAsia" w:ascii="宋体" w:hAnsi="宋体" w:eastAsia="宋体" w:cs="宋体"/>
                <w:color w:val="auto"/>
                <w:sz w:val="21"/>
                <w:szCs w:val="21"/>
                <w:highlight w:val="none"/>
                <w:lang w:val="en-US" w:eastAsia="zh-CN"/>
              </w:rPr>
              <w:t>（不含税）</w:t>
            </w:r>
          </w:p>
        </w:tc>
        <w:tc>
          <w:tcPr>
            <w:tcW w:w="944"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合同签订之日起3年。</w:t>
            </w:r>
          </w:p>
        </w:tc>
        <w:tc>
          <w:tcPr>
            <w:tcW w:w="1324" w:type="pc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报价：按招标文件“定价方式”中确定的基准价（不含税）</w:t>
            </w: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注：1、投标总价栏须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表示的投标总价</w:t>
      </w:r>
      <w:r>
        <w:rPr>
          <w:rFonts w:hint="eastAsia" w:ascii="宋体" w:hAnsi="宋体" w:eastAsia="宋体"/>
          <w:color w:val="auto"/>
          <w:sz w:val="21"/>
          <w:szCs w:val="21"/>
          <w:highlight w:val="none"/>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2、此表应按投标人须知的规定密封标记并与《授权委托书》、《投标保证金汇入情况说明》</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spacing w:after="0" w:line="360" w:lineRule="auto"/>
        <w:ind w:left="357" w:leftChars="170" w:firstLine="359" w:firstLineChars="171"/>
        <w:rPr>
          <w:rFonts w:ascii="宋体" w:hAnsi="宋体" w:eastAsia="宋体"/>
          <w:color w:val="auto"/>
          <w:sz w:val="21"/>
          <w:szCs w:val="21"/>
          <w:highlight w:val="none"/>
        </w:rPr>
      </w:pPr>
    </w:p>
    <w:p>
      <w:pPr>
        <w:spacing w:after="0" w:line="360" w:lineRule="auto"/>
        <w:ind w:left="357" w:leftChars="170" w:firstLine="359" w:firstLineChars="171"/>
        <w:rPr>
          <w:rFonts w:ascii="宋体" w:hAnsi="宋体" w:eastAsia="宋体"/>
          <w:color w:val="auto"/>
          <w:sz w:val="21"/>
          <w:szCs w:val="21"/>
          <w:highlight w:val="none"/>
        </w:rPr>
      </w:pPr>
    </w:p>
    <w:p>
      <w:pPr>
        <w:ind w:left="357" w:leftChars="170" w:firstLine="359" w:firstLineChars="171"/>
        <w:rPr>
          <w:rFonts w:ascii="宋体" w:hAnsi="宋体"/>
          <w:color w:val="auto"/>
          <w:szCs w:val="21"/>
          <w:highlight w:val="none"/>
        </w:rPr>
      </w:pPr>
    </w:p>
    <w:p>
      <w:pPr>
        <w:rPr>
          <w:color w:val="auto"/>
          <w:highlight w:val="none"/>
        </w:rPr>
      </w:pPr>
    </w:p>
    <w:p>
      <w:pPr>
        <w:pStyle w:val="8"/>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ind w:left="0" w:leftChars="0" w:firstLine="0" w:firstLineChars="0"/>
        <w:rPr>
          <w:color w:val="auto"/>
          <w:highlight w:val="none"/>
        </w:rPr>
      </w:pPr>
    </w:p>
    <w:p>
      <w:pPr>
        <w:pStyle w:val="5"/>
        <w:jc w:val="center"/>
        <w:rPr>
          <w:color w:val="auto"/>
          <w:highlight w:val="none"/>
        </w:rPr>
      </w:pPr>
      <w:bookmarkStart w:id="213" w:name="_Toc31172"/>
      <w:bookmarkStart w:id="214" w:name="_Toc31062"/>
      <w:r>
        <w:rPr>
          <w:rFonts w:hint="eastAsia"/>
          <w:color w:val="auto"/>
          <w:highlight w:val="none"/>
        </w:rPr>
        <w:t>二、报价明细表</w:t>
      </w:r>
      <w:bookmarkEnd w:id="213"/>
      <w:bookmarkEnd w:id="214"/>
    </w:p>
    <w:p>
      <w:pPr>
        <w:pStyle w:val="32"/>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pStyle w:val="5"/>
        <w:jc w:val="center"/>
        <w:rPr>
          <w:color w:val="auto"/>
          <w:highlight w:val="none"/>
        </w:rPr>
      </w:pPr>
      <w:bookmarkStart w:id="215" w:name="_Toc23355"/>
      <w:bookmarkStart w:id="216" w:name="_Toc20974"/>
      <w:r>
        <w:rPr>
          <w:rFonts w:hint="eastAsia"/>
          <w:color w:val="auto"/>
          <w:highlight w:val="none"/>
        </w:rPr>
        <w:t>三、小型或微型企业（货物/服务/承担的工程）明细表</w:t>
      </w:r>
      <w:bookmarkEnd w:id="215"/>
      <w:bookmarkEnd w:id="216"/>
    </w:p>
    <w:tbl>
      <w:tblPr>
        <w:tblStyle w:val="25"/>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5"/>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5"/>
          <w:rFonts w:hint="eastAsia" w:ascii="宋体" w:hAnsi="宋体" w:eastAsia="宋体" w:cs="宋体"/>
          <w:b/>
          <w:color w:val="auto"/>
          <w:sz w:val="21"/>
          <w:szCs w:val="21"/>
          <w:highlight w:val="none"/>
        </w:rPr>
        <w:t>；</w:t>
      </w:r>
    </w:p>
    <w:p>
      <w:pPr>
        <w:pStyle w:val="35"/>
        <w:ind w:firstLine="422"/>
        <w:rPr>
          <w:rFonts w:ascii="黑体" w:eastAsia="黑体"/>
          <w:color w:val="auto"/>
          <w:sz w:val="32"/>
          <w:szCs w:val="32"/>
          <w:highlight w:val="none"/>
        </w:rPr>
      </w:pPr>
      <w:r>
        <w:rPr>
          <w:rStyle w:val="45"/>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7" w:name="_Toc16718"/>
      <w:bookmarkStart w:id="218" w:name="_Toc13970"/>
      <w:r>
        <w:rPr>
          <w:rFonts w:hint="eastAsia"/>
          <w:color w:val="auto"/>
          <w:highlight w:val="none"/>
        </w:rPr>
        <w:t>四、节能产品或环境标志产品明细表</w:t>
      </w:r>
      <w:bookmarkEnd w:id="217"/>
      <w:bookmarkEnd w:id="218"/>
    </w:p>
    <w:tbl>
      <w:tblPr>
        <w:tblStyle w:val="25"/>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2"/>
        <w:rPr>
          <w:color w:val="auto"/>
          <w:highlight w:val="none"/>
        </w:rPr>
      </w:pPr>
    </w:p>
    <w:p>
      <w:pPr>
        <w:tabs>
          <w:tab w:val="left" w:pos="284"/>
        </w:tabs>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注：</w:t>
      </w:r>
    </w:p>
    <w:p>
      <w:pPr>
        <w:tabs>
          <w:tab w:val="left" w:pos="284"/>
        </w:tabs>
        <w:ind w:firstLine="422" w:firstLineChars="200"/>
        <w:rPr>
          <w:rStyle w:val="45"/>
          <w:rFonts w:ascii="宋体" w:hAnsi="宋体" w:eastAsia="宋体" w:cs="宋体"/>
          <w:b/>
          <w:color w:val="auto"/>
          <w:sz w:val="21"/>
          <w:szCs w:val="21"/>
          <w:highlight w:val="none"/>
        </w:rPr>
      </w:pPr>
      <w:r>
        <w:rPr>
          <w:rStyle w:val="45"/>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5"/>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9" w:name="_Toc17482"/>
      <w:bookmarkStart w:id="220" w:name="_Toc10853"/>
      <w:r>
        <w:rPr>
          <w:rFonts w:hint="eastAsia"/>
          <w:color w:val="auto"/>
          <w:highlight w:val="none"/>
        </w:rPr>
        <w:t>五、中小企业声明函</w:t>
      </w:r>
      <w:bookmarkEnd w:id="219"/>
      <w:bookmarkEnd w:id="220"/>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8"/>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8"/>
        <w:wordWrap w:val="0"/>
        <w:ind w:left="0" w:firstLine="480"/>
        <w:jc w:val="right"/>
        <w:rPr>
          <w:rFonts w:asciiTheme="minorEastAsia" w:hAnsiTheme="minorEastAsia" w:eastAsiaTheme="minorEastAsia" w:cstheme="minorEastAsia"/>
          <w:color w:val="auto"/>
          <w:sz w:val="21"/>
          <w:szCs w:val="21"/>
          <w:highlight w:val="none"/>
          <w:lang w:val="en-US"/>
        </w:rPr>
      </w:pPr>
    </w:p>
    <w:p>
      <w:pPr>
        <w:pStyle w:val="8"/>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8"/>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8"/>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1"/>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8"/>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8"/>
        <w:ind w:left="0" w:firstLine="480"/>
        <w:rPr>
          <w:rFonts w:asciiTheme="minorEastAsia" w:hAnsiTheme="minorEastAsia" w:eastAsiaTheme="minorEastAsia" w:cstheme="minorEastAsia"/>
          <w:color w:val="auto"/>
          <w:sz w:val="21"/>
          <w:szCs w:val="21"/>
          <w:highlight w:val="none"/>
          <w:lang w:val="en-US"/>
        </w:rPr>
      </w:pPr>
    </w:p>
    <w:p>
      <w:pPr>
        <w:pStyle w:val="8"/>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8"/>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1" w:name="_Toc7959"/>
      <w:bookmarkStart w:id="222" w:name="_Toc8560"/>
      <w:r>
        <w:rPr>
          <w:rFonts w:hint="eastAsia"/>
          <w:color w:val="auto"/>
          <w:highlight w:val="none"/>
        </w:rPr>
        <w:t>六、残疾人福利性单位声明函</w:t>
      </w:r>
      <w:bookmarkEnd w:id="221"/>
      <w:bookmarkEnd w:id="222"/>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3" w:name="_Toc17761"/>
      <w:bookmarkStart w:id="224" w:name="_Toc509927455"/>
      <w:bookmarkStart w:id="225" w:name="_Toc508958703"/>
      <w:bookmarkStart w:id="226" w:name="_Toc508960153"/>
      <w:bookmarkStart w:id="227" w:name="_Toc30247"/>
      <w:bookmarkStart w:id="228" w:name="_Toc510171693"/>
      <w:bookmarkStart w:id="229" w:name="_Toc509479530"/>
      <w:bookmarkStart w:id="230" w:name="_Toc508898066"/>
      <w:bookmarkStart w:id="231" w:name="_Toc20910"/>
      <w:bookmarkStart w:id="232" w:name="_Toc509844825"/>
      <w:bookmarkStart w:id="233" w:name="_Toc30277"/>
      <w:bookmarkStart w:id="234" w:name="_Toc22970"/>
    </w:p>
    <w:p>
      <w:pPr>
        <w:jc w:val="center"/>
        <w:rPr>
          <w:rFonts w:ascii="宋体" w:hAnsi="宋体"/>
          <w:color w:val="auto"/>
          <w:szCs w:val="21"/>
          <w:highlight w:val="none"/>
        </w:rPr>
      </w:pPr>
      <w:r>
        <w:rPr>
          <w:rFonts w:hint="eastAsia" w:ascii="宋体" w:hAnsi="宋体"/>
          <w:color w:val="auto"/>
          <w:szCs w:val="21"/>
          <w:highlight w:val="none"/>
        </w:rPr>
        <w:t>日  期：</w:t>
      </w:r>
      <w:bookmarkEnd w:id="223"/>
      <w:bookmarkEnd w:id="224"/>
      <w:bookmarkEnd w:id="225"/>
      <w:bookmarkEnd w:id="226"/>
      <w:bookmarkEnd w:id="227"/>
      <w:bookmarkEnd w:id="228"/>
      <w:bookmarkEnd w:id="229"/>
      <w:bookmarkEnd w:id="230"/>
      <w:bookmarkEnd w:id="231"/>
      <w:bookmarkEnd w:id="232"/>
      <w:bookmarkEnd w:id="233"/>
      <w:bookmarkEnd w:id="234"/>
    </w:p>
    <w:p>
      <w:pPr>
        <w:pStyle w:val="8"/>
        <w:rPr>
          <w:color w:val="auto"/>
          <w:highlight w:val="none"/>
        </w:rPr>
      </w:pPr>
    </w:p>
    <w:p>
      <w:pPr>
        <w:ind w:firstLine="420" w:firstLineChars="200"/>
        <w:rPr>
          <w:rFonts w:ascii="宋体" w:hAnsi="宋体"/>
          <w:color w:val="auto"/>
          <w:szCs w:val="21"/>
          <w:highlight w:val="none"/>
        </w:rPr>
      </w:pPr>
      <w:bookmarkStart w:id="235" w:name="_Toc508958704"/>
      <w:bookmarkStart w:id="236" w:name="_Toc508898067"/>
      <w:bookmarkStart w:id="237" w:name="_Toc508960154"/>
      <w:bookmarkStart w:id="238" w:name="_Toc509479531"/>
      <w:bookmarkStart w:id="239" w:name="_Toc26216"/>
      <w:bookmarkStart w:id="240" w:name="_Toc28527"/>
      <w:bookmarkStart w:id="241" w:name="_Toc5447"/>
      <w:bookmarkStart w:id="242" w:name="_Toc509927456"/>
      <w:bookmarkStart w:id="243" w:name="_Toc509844826"/>
      <w:bookmarkStart w:id="244" w:name="_Toc510171694"/>
      <w:bookmarkStart w:id="245" w:name="_Toc21053"/>
      <w:bookmarkStart w:id="246" w:name="_Toc31520"/>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5"/>
      <w:bookmarkEnd w:id="236"/>
      <w:bookmarkEnd w:id="237"/>
      <w:bookmarkEnd w:id="238"/>
      <w:bookmarkEnd w:id="239"/>
      <w:bookmarkEnd w:id="240"/>
      <w:bookmarkEnd w:id="241"/>
      <w:bookmarkEnd w:id="242"/>
      <w:bookmarkEnd w:id="243"/>
      <w:bookmarkEnd w:id="244"/>
      <w:bookmarkEnd w:id="245"/>
      <w:bookmarkEnd w:id="246"/>
    </w:p>
    <w:p>
      <w:pPr>
        <w:ind w:firstLine="420" w:firstLineChars="200"/>
        <w:rPr>
          <w:rFonts w:ascii="宋体" w:hAnsi="宋体"/>
          <w:color w:val="auto"/>
          <w:szCs w:val="21"/>
          <w:highlight w:val="none"/>
        </w:rPr>
      </w:pPr>
      <w:bookmarkStart w:id="247" w:name="_Toc509927457"/>
      <w:bookmarkStart w:id="248" w:name="_Toc509479532"/>
      <w:bookmarkStart w:id="249" w:name="_Toc28626"/>
      <w:bookmarkStart w:id="250" w:name="_Toc509844827"/>
      <w:bookmarkStart w:id="251" w:name="_Toc508898068"/>
      <w:bookmarkStart w:id="252" w:name="_Toc510171695"/>
      <w:bookmarkStart w:id="253" w:name="_Toc24848"/>
      <w:bookmarkStart w:id="254" w:name="_Toc14653"/>
      <w:bookmarkStart w:id="255" w:name="_Toc9148"/>
      <w:bookmarkStart w:id="256" w:name="_Toc508960155"/>
      <w:bookmarkStart w:id="257" w:name="_Toc508958705"/>
      <w:bookmarkStart w:id="258" w:name="_Toc281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7"/>
      <w:bookmarkEnd w:id="248"/>
      <w:bookmarkEnd w:id="249"/>
      <w:bookmarkEnd w:id="250"/>
      <w:bookmarkEnd w:id="251"/>
      <w:bookmarkEnd w:id="252"/>
      <w:bookmarkEnd w:id="253"/>
      <w:bookmarkEnd w:id="254"/>
      <w:bookmarkEnd w:id="255"/>
      <w:bookmarkEnd w:id="256"/>
      <w:bookmarkEnd w:id="257"/>
      <w:bookmarkEnd w:id="258"/>
    </w:p>
    <w:p>
      <w:pPr>
        <w:ind w:firstLine="420" w:firstLineChars="200"/>
        <w:rPr>
          <w:rFonts w:ascii="宋体" w:hAnsi="宋体"/>
          <w:color w:val="auto"/>
          <w:szCs w:val="21"/>
          <w:highlight w:val="none"/>
        </w:rPr>
      </w:pPr>
      <w:bookmarkStart w:id="259" w:name="_Toc28044"/>
      <w:bookmarkStart w:id="260" w:name="_Toc509479533"/>
      <w:bookmarkStart w:id="261" w:name="_Toc9837"/>
      <w:bookmarkStart w:id="262" w:name="_Toc22981"/>
      <w:bookmarkStart w:id="263" w:name="_Toc508958706"/>
      <w:bookmarkStart w:id="264" w:name="_Toc28686"/>
      <w:bookmarkStart w:id="265" w:name="_Toc510171696"/>
      <w:bookmarkStart w:id="266" w:name="_Toc7858"/>
      <w:bookmarkStart w:id="267" w:name="_Toc509844828"/>
      <w:bookmarkStart w:id="268" w:name="_Toc508898069"/>
      <w:bookmarkStart w:id="269" w:name="_Toc508960156"/>
      <w:bookmarkStart w:id="270" w:name="_Toc509927458"/>
      <w:r>
        <w:rPr>
          <w:rFonts w:hint="eastAsia" w:ascii="宋体" w:hAnsi="宋体"/>
          <w:color w:val="auto"/>
          <w:szCs w:val="21"/>
          <w:highlight w:val="none"/>
        </w:rPr>
        <w:t>（3）投标人提供的《残疾人福利性单位声明函》与事实不符的，依照《政府采购法》第七十七条第一款的规定追究法律责任。</w:t>
      </w:r>
      <w:bookmarkEnd w:id="259"/>
      <w:bookmarkEnd w:id="260"/>
      <w:bookmarkEnd w:id="261"/>
      <w:bookmarkEnd w:id="262"/>
      <w:bookmarkEnd w:id="263"/>
      <w:bookmarkEnd w:id="264"/>
      <w:bookmarkEnd w:id="265"/>
      <w:bookmarkEnd w:id="266"/>
      <w:bookmarkEnd w:id="267"/>
      <w:bookmarkEnd w:id="268"/>
      <w:bookmarkEnd w:id="269"/>
      <w:bookmarkEnd w:id="270"/>
    </w:p>
    <w:p>
      <w:pPr>
        <w:ind w:firstLine="420" w:firstLineChars="200"/>
        <w:rPr>
          <w:rFonts w:ascii="宋体" w:hAnsi="宋体"/>
          <w:color w:val="auto"/>
          <w:szCs w:val="21"/>
          <w:highlight w:val="none"/>
        </w:rPr>
      </w:pPr>
      <w:bookmarkStart w:id="271" w:name="_Toc5289"/>
      <w:bookmarkStart w:id="272" w:name="_Toc18843"/>
      <w:bookmarkStart w:id="273" w:name="_Toc508960157"/>
      <w:bookmarkStart w:id="274" w:name="_Toc509479534"/>
      <w:bookmarkStart w:id="275" w:name="_Toc509927459"/>
      <w:bookmarkStart w:id="276" w:name="_Toc509844829"/>
      <w:bookmarkStart w:id="277" w:name="_Toc510171697"/>
      <w:bookmarkStart w:id="278" w:name="_Toc508898070"/>
      <w:bookmarkStart w:id="279"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1"/>
      <w:bookmarkEnd w:id="272"/>
      <w:bookmarkEnd w:id="273"/>
      <w:bookmarkEnd w:id="274"/>
      <w:bookmarkEnd w:id="275"/>
      <w:bookmarkEnd w:id="276"/>
      <w:bookmarkEnd w:id="277"/>
      <w:bookmarkEnd w:id="278"/>
      <w:bookmarkEnd w:id="279"/>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80" w:name="_Toc23948"/>
      <w:bookmarkStart w:id="281" w:name="_Toc6471"/>
      <w:r>
        <w:rPr>
          <w:rFonts w:hint="eastAsia"/>
          <w:color w:val="auto"/>
          <w:highlight w:val="none"/>
        </w:rPr>
        <w:t>第二章商务文件</w:t>
      </w:r>
      <w:bookmarkEnd w:id="280"/>
      <w:bookmarkEnd w:id="281"/>
    </w:p>
    <w:bookmarkEnd w:id="210"/>
    <w:p>
      <w:pPr>
        <w:pStyle w:val="5"/>
        <w:jc w:val="center"/>
        <w:rPr>
          <w:color w:val="auto"/>
          <w:highlight w:val="none"/>
        </w:rPr>
      </w:pPr>
      <w:bookmarkStart w:id="282" w:name="_Toc23787"/>
      <w:bookmarkStart w:id="283" w:name="_Toc1952"/>
      <w:r>
        <w:rPr>
          <w:rFonts w:hint="eastAsia"/>
          <w:color w:val="auto"/>
          <w:highlight w:val="none"/>
        </w:rPr>
        <w:t>一、投标函</w:t>
      </w:r>
      <w:bookmarkEnd w:id="282"/>
      <w:bookmarkEnd w:id="283"/>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9"/>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4" w:name="_Toc15719"/>
      <w:bookmarkStart w:id="285" w:name="_Toc28616"/>
      <w:r>
        <w:rPr>
          <w:rFonts w:hint="eastAsia"/>
          <w:color w:val="auto"/>
          <w:highlight w:val="none"/>
        </w:rPr>
        <w:t>二、资格申明函</w:t>
      </w:r>
      <w:bookmarkEnd w:id="284"/>
      <w:bookmarkEnd w:id="285"/>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sz w:val="21"/>
          <w:szCs w:val="21"/>
          <w:highlight w:val="none"/>
        </w:rPr>
      </w:pPr>
    </w:p>
    <w:p>
      <w:pPr>
        <w:rPr>
          <w:rFonts w:ascii="宋体" w:hAnsi="宋体"/>
          <w:color w:val="auto"/>
          <w:szCs w:val="21"/>
          <w:highlight w:val="none"/>
        </w:rPr>
      </w:pPr>
    </w:p>
    <w:p>
      <w:pPr>
        <w:pStyle w:val="8"/>
        <w:rPr>
          <w:color w:val="auto"/>
          <w:highlight w:val="none"/>
        </w:rPr>
      </w:pPr>
    </w:p>
    <w:p>
      <w:pPr>
        <w:rPr>
          <w:color w:val="auto"/>
          <w:highlight w:val="none"/>
        </w:rPr>
      </w:pPr>
      <w:bookmarkStart w:id="286" w:name="_Toc16412"/>
    </w:p>
    <w:p>
      <w:pPr>
        <w:pStyle w:val="5"/>
        <w:jc w:val="center"/>
        <w:rPr>
          <w:color w:val="auto"/>
          <w:highlight w:val="none"/>
        </w:rPr>
      </w:pPr>
      <w:bookmarkStart w:id="287" w:name="_Toc32742"/>
      <w:bookmarkStart w:id="288" w:name="_Toc21273"/>
      <w:r>
        <w:rPr>
          <w:rFonts w:hint="eastAsia"/>
          <w:color w:val="auto"/>
          <w:highlight w:val="none"/>
        </w:rPr>
        <w:t>三、在参与政府采购活动前三年未有重大违法记录、没有不良信用记录的声明函</w:t>
      </w:r>
      <w:bookmarkEnd w:id="287"/>
      <w:bookmarkEnd w:id="288"/>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Cs w:val="21"/>
          <w:highlight w:val="none"/>
          <w:lang w:eastAsia="zh-CN"/>
        </w:rPr>
        <w:t>税收违法黑名单</w:t>
      </w:r>
      <w:r>
        <w:rPr>
          <w:rFonts w:hint="eastAsia" w:ascii="宋体" w:hAnsi="宋体" w:cs="宋体"/>
          <w:color w:val="auto"/>
          <w:szCs w:val="21"/>
          <w:highlight w:val="none"/>
        </w:rPr>
        <w:t>、政府采购严重违法失信行为记录名单。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6"/>
    </w:p>
    <w:p>
      <w:pPr>
        <w:pStyle w:val="5"/>
        <w:jc w:val="center"/>
        <w:rPr>
          <w:color w:val="auto"/>
          <w:highlight w:val="none"/>
        </w:rPr>
      </w:pPr>
      <w:bookmarkStart w:id="289" w:name="_Toc3894"/>
      <w:bookmarkStart w:id="290" w:name="_Toc13243"/>
      <w:r>
        <w:rPr>
          <w:rFonts w:hint="eastAsia"/>
          <w:color w:val="auto"/>
          <w:highlight w:val="none"/>
        </w:rPr>
        <w:t>四、法定代表人证明书</w:t>
      </w:r>
      <w:bookmarkEnd w:id="289"/>
      <w:bookmarkEnd w:id="290"/>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1" w:name="_Toc5626"/>
      <w:bookmarkStart w:id="292" w:name="_Toc5918"/>
      <w:r>
        <w:rPr>
          <w:rFonts w:hint="eastAsia"/>
          <w:color w:val="auto"/>
          <w:highlight w:val="none"/>
        </w:rPr>
        <w:t>五、法定代表人授权书</w:t>
      </w:r>
      <w:bookmarkEnd w:id="291"/>
      <w:bookmarkEnd w:id="292"/>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8"/>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5"/>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3"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4" w:name="_Toc24013"/>
      <w:bookmarkStart w:id="295" w:name="_Toc18562"/>
      <w:r>
        <w:rPr>
          <w:rFonts w:hint="eastAsia"/>
          <w:color w:val="auto"/>
          <w:highlight w:val="none"/>
        </w:rPr>
        <w:t>六、投标人基本情况说明</w:t>
      </w:r>
      <w:bookmarkEnd w:id="294"/>
      <w:bookmarkEnd w:id="295"/>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8"/>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5"/>
        <w:jc w:val="center"/>
        <w:rPr>
          <w:color w:val="auto"/>
          <w:highlight w:val="none"/>
        </w:rPr>
      </w:pPr>
      <w:bookmarkStart w:id="296" w:name="_Toc17470"/>
      <w:bookmarkStart w:id="297" w:name="_Toc1511"/>
      <w:bookmarkStart w:id="298" w:name="_Toc29995"/>
      <w:bookmarkStart w:id="299" w:name="_Toc4926"/>
      <w:bookmarkStart w:id="300" w:name="_Toc5919"/>
      <w:bookmarkStart w:id="301" w:name="_Toc24210"/>
      <w:bookmarkStart w:id="302" w:name="_Toc28067"/>
      <w:r>
        <w:rPr>
          <w:rFonts w:hint="eastAsia"/>
          <w:color w:val="auto"/>
          <w:highlight w:val="none"/>
        </w:rPr>
        <w:t>七、营业执照</w:t>
      </w:r>
      <w:bookmarkEnd w:id="296"/>
      <w:bookmarkEnd w:id="297"/>
      <w:bookmarkEnd w:id="298"/>
      <w:bookmarkEnd w:id="299"/>
      <w:bookmarkEnd w:id="300"/>
      <w:bookmarkEnd w:id="301"/>
      <w:bookmarkEnd w:id="302"/>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3"/>
    <w:p>
      <w:pPr>
        <w:pStyle w:val="5"/>
        <w:jc w:val="center"/>
        <w:rPr>
          <w:color w:val="auto"/>
          <w:highlight w:val="none"/>
        </w:rPr>
      </w:pPr>
      <w:bookmarkStart w:id="303" w:name="_Toc21638"/>
      <w:bookmarkStart w:id="304" w:name="_Toc29439"/>
      <w:r>
        <w:rPr>
          <w:rFonts w:hint="eastAsia"/>
          <w:color w:val="auto"/>
          <w:highlight w:val="none"/>
        </w:rPr>
        <w:t>八、特殊资格要求证明文件</w:t>
      </w:r>
      <w:bookmarkEnd w:id="303"/>
      <w:bookmarkEnd w:id="304"/>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highlight w:val="none"/>
        </w:rPr>
      </w:pPr>
    </w:p>
    <w:p>
      <w:pPr>
        <w:pStyle w:val="5"/>
        <w:jc w:val="center"/>
        <w:rPr>
          <w:color w:val="auto"/>
          <w:highlight w:val="none"/>
        </w:rPr>
      </w:pPr>
      <w:bookmarkStart w:id="305" w:name="_Toc23341"/>
      <w:bookmarkStart w:id="306" w:name="_Toc14263"/>
      <w:r>
        <w:rPr>
          <w:rFonts w:hint="eastAsia"/>
          <w:color w:val="auto"/>
          <w:highlight w:val="none"/>
        </w:rPr>
        <w:t>九、承诺书</w:t>
      </w:r>
      <w:bookmarkEnd w:id="305"/>
      <w:bookmarkEnd w:id="306"/>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8"/>
        <w:spacing w:line="420" w:lineRule="exact"/>
        <w:ind w:firstLine="433"/>
        <w:rPr>
          <w:rFonts w:ascii="宋体" w:eastAsia="宋体" w:cs="宋体"/>
          <w:color w:val="auto"/>
          <w:sz w:val="21"/>
          <w:szCs w:val="21"/>
          <w:highlight w:val="none"/>
        </w:rPr>
      </w:pPr>
      <w:bookmarkStart w:id="307"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7"/>
      <w:r>
        <w:rPr>
          <w:rFonts w:hint="eastAsia" w:ascii="宋体" w:eastAsia="宋体" w:cs="宋体"/>
          <w:color w:val="auto"/>
          <w:sz w:val="21"/>
          <w:szCs w:val="21"/>
          <w:highlight w:val="none"/>
        </w:rPr>
        <w:cr/>
      </w:r>
    </w:p>
    <w:p>
      <w:pPr>
        <w:pStyle w:val="38"/>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8" w:name="_Toc13955"/>
      <w:bookmarkStart w:id="309" w:name="_Toc13653"/>
      <w:r>
        <w:rPr>
          <w:rFonts w:hint="eastAsia"/>
          <w:color w:val="auto"/>
          <w:highlight w:val="none"/>
        </w:rPr>
        <w:t>十、招标代理服务费承诺书</w:t>
      </w:r>
      <w:bookmarkEnd w:id="308"/>
      <w:bookmarkEnd w:id="309"/>
    </w:p>
    <w:p>
      <w:pPr>
        <w:pStyle w:val="38"/>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1"/>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10" w:name="_Toc12598"/>
      <w:bookmarkStart w:id="311" w:name="_Toc1975"/>
      <w:r>
        <w:rPr>
          <w:rFonts w:hint="eastAsia"/>
          <w:color w:val="auto"/>
          <w:highlight w:val="none"/>
        </w:rPr>
        <w:t>十一、商务条款偏离表</w:t>
      </w:r>
      <w:bookmarkEnd w:id="310"/>
      <w:bookmarkEnd w:id="311"/>
    </w:p>
    <w:tbl>
      <w:tblPr>
        <w:tblStyle w:val="25"/>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2" w:name="_Toc32183"/>
    </w:p>
    <w:p>
      <w:pPr>
        <w:pStyle w:val="5"/>
        <w:jc w:val="center"/>
        <w:rPr>
          <w:color w:val="auto"/>
          <w:highlight w:val="none"/>
        </w:rPr>
      </w:pPr>
      <w:bookmarkStart w:id="313" w:name="_Toc19276"/>
      <w:bookmarkStart w:id="314" w:name="_Toc25391"/>
      <w:r>
        <w:rPr>
          <w:rFonts w:hint="eastAsia"/>
          <w:color w:val="auto"/>
          <w:highlight w:val="none"/>
        </w:rPr>
        <w:t>十二、业绩表</w:t>
      </w:r>
      <w:bookmarkEnd w:id="313"/>
      <w:bookmarkEnd w:id="314"/>
    </w:p>
    <w:tbl>
      <w:tblPr>
        <w:tblStyle w:val="25"/>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pStyle w:val="8"/>
        <w:ind w:left="0"/>
        <w:rPr>
          <w:color w:val="auto"/>
          <w:highlight w:val="none"/>
        </w:rPr>
      </w:pPr>
    </w:p>
    <w:p>
      <w:pPr>
        <w:pStyle w:val="5"/>
        <w:jc w:val="center"/>
        <w:rPr>
          <w:rFonts w:ascii="黑体" w:eastAsia="黑体"/>
          <w:color w:val="auto"/>
          <w:szCs w:val="28"/>
          <w:highlight w:val="none"/>
        </w:rPr>
      </w:pPr>
      <w:bookmarkStart w:id="315" w:name="_Toc20520"/>
      <w:bookmarkStart w:id="316" w:name="_Toc14688"/>
      <w:r>
        <w:rPr>
          <w:rFonts w:hint="eastAsia"/>
          <w:color w:val="auto"/>
          <w:highlight w:val="none"/>
        </w:rPr>
        <w:t>第三章技术文件</w:t>
      </w:r>
      <w:bookmarkEnd w:id="312"/>
      <w:bookmarkEnd w:id="315"/>
      <w:bookmarkEnd w:id="316"/>
    </w:p>
    <w:p>
      <w:pPr>
        <w:pStyle w:val="5"/>
        <w:jc w:val="center"/>
        <w:rPr>
          <w:color w:val="auto"/>
          <w:highlight w:val="none"/>
        </w:rPr>
      </w:pPr>
      <w:bookmarkStart w:id="317" w:name="_Toc13097"/>
      <w:bookmarkStart w:id="318" w:name="_Toc7092"/>
      <w:r>
        <w:rPr>
          <w:rFonts w:hint="eastAsia"/>
          <w:color w:val="auto"/>
          <w:highlight w:val="none"/>
        </w:rPr>
        <w:t>一、技术规格偏离表</w:t>
      </w:r>
      <w:bookmarkEnd w:id="317"/>
      <w:bookmarkEnd w:id="318"/>
    </w:p>
    <w:tbl>
      <w:tblPr>
        <w:tblStyle w:val="25"/>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9" w:name="_Toc17691"/>
      <w:r>
        <w:rPr>
          <w:rFonts w:hint="eastAsia" w:ascii="宋体" w:hAnsi="宋体"/>
          <w:color w:val="auto"/>
          <w:szCs w:val="21"/>
          <w:highlight w:val="none"/>
        </w:rPr>
        <w:br w:type="page"/>
      </w:r>
      <w:bookmarkEnd w:id="319"/>
      <w:bookmarkStart w:id="320" w:name="_Toc18668"/>
      <w:bookmarkStart w:id="321" w:name="_Toc1274"/>
      <w:bookmarkStart w:id="322" w:name="_Toc26078"/>
      <w:bookmarkStart w:id="323" w:name="_Toc4827"/>
      <w:bookmarkStart w:id="324" w:name="_Toc4464"/>
      <w:bookmarkStart w:id="325" w:name="_Toc6080"/>
    </w:p>
    <w:p>
      <w:pPr>
        <w:pStyle w:val="5"/>
        <w:jc w:val="center"/>
        <w:rPr>
          <w:color w:val="auto"/>
          <w:highlight w:val="none"/>
        </w:rPr>
      </w:pPr>
      <w:bookmarkStart w:id="326" w:name="_Toc13461"/>
      <w:bookmarkStart w:id="327" w:name="_Toc10734"/>
      <w:r>
        <w:rPr>
          <w:rFonts w:hint="eastAsia"/>
          <w:color w:val="auto"/>
          <w:highlight w:val="none"/>
        </w:rPr>
        <w:t>二、重要技术参数（▲）响应表</w:t>
      </w:r>
      <w:bookmarkEnd w:id="320"/>
      <w:bookmarkEnd w:id="321"/>
      <w:bookmarkEnd w:id="322"/>
      <w:bookmarkEnd w:id="323"/>
      <w:bookmarkEnd w:id="324"/>
      <w:bookmarkEnd w:id="325"/>
      <w:bookmarkEnd w:id="326"/>
      <w:bookmarkEnd w:id="327"/>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8" w:name="_Toc29642"/>
            <w:bookmarkStart w:id="329" w:name="_Toc27079"/>
            <w:bookmarkStart w:id="330" w:name="_Toc29560"/>
            <w:r>
              <w:rPr>
                <w:rFonts w:hint="eastAsia" w:ascii="宋体" w:hAnsi="宋体" w:cs="宋体"/>
                <w:b w:val="0"/>
                <w:bCs w:val="0"/>
                <w:color w:val="auto"/>
                <w:sz w:val="21"/>
                <w:szCs w:val="21"/>
                <w:highlight w:val="none"/>
              </w:rPr>
              <w:t>序号</w:t>
            </w:r>
            <w:bookmarkEnd w:id="328"/>
            <w:bookmarkEnd w:id="329"/>
            <w:bookmarkEnd w:id="330"/>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1" w:name="_Toc12049"/>
            <w:bookmarkStart w:id="332" w:name="_Toc2700"/>
            <w:bookmarkStart w:id="333" w:name="_Toc10045"/>
            <w:bookmarkStart w:id="334" w:name="_Toc22448"/>
            <w:bookmarkStart w:id="335" w:name="_Toc15903"/>
            <w:bookmarkStart w:id="336" w:name="_Toc14815"/>
            <w:bookmarkStart w:id="337" w:name="_Toc26124"/>
            <w:bookmarkStart w:id="338" w:name="_Toc27090"/>
            <w:bookmarkStart w:id="339" w:name="_Toc4304"/>
            <w:bookmarkStart w:id="340" w:name="_Toc16872"/>
            <w:bookmarkStart w:id="341" w:name="_Toc21739"/>
            <w:bookmarkStart w:id="342" w:name="_Toc15368"/>
            <w:bookmarkStart w:id="343" w:name="_Toc1016"/>
            <w:bookmarkStart w:id="344" w:name="_Toc19251"/>
            <w:bookmarkStart w:id="345" w:name="_Toc8490"/>
            <w:bookmarkStart w:id="346" w:name="_Toc21809"/>
            <w:bookmarkStart w:id="347" w:name="_Toc22917"/>
            <w:bookmarkStart w:id="348" w:name="_Toc32531"/>
            <w:bookmarkStart w:id="349" w:name="_Toc7333"/>
            <w:bookmarkStart w:id="350" w:name="_Toc22879"/>
            <w:bookmarkStart w:id="351" w:name="_Toc27442"/>
            <w:bookmarkStart w:id="352" w:name="_Toc8312"/>
            <w:bookmarkStart w:id="353" w:name="_Toc24662"/>
            <w:r>
              <w:rPr>
                <w:rFonts w:hint="eastAsia" w:ascii="宋体" w:hAnsi="宋体" w:cs="宋体"/>
                <w:b w:val="0"/>
                <w:bCs w:val="0"/>
                <w:color w:val="auto"/>
                <w:sz w:val="21"/>
                <w:szCs w:val="21"/>
                <w:highlight w:val="none"/>
              </w:rPr>
              <w:t>重要技术参数评分条款（▲）</w:t>
            </w:r>
            <w:bookmarkEnd w:id="331"/>
            <w:bookmarkEnd w:id="332"/>
            <w:bookmarkEnd w:id="333"/>
            <w:bookmarkEnd w:id="334"/>
            <w:bookmarkEnd w:id="335"/>
            <w:bookmarkEnd w:id="336"/>
            <w:bookmarkEnd w:id="337"/>
            <w:bookmarkEnd w:id="338"/>
            <w:bookmarkEnd w:id="339"/>
            <w:bookmarkEnd w:id="340"/>
            <w:bookmarkEnd w:id="341"/>
            <w:bookmarkEnd w:id="342"/>
            <w:bookmarkEnd w:id="343"/>
          </w:p>
          <w:bookmarkEnd w:id="344"/>
          <w:bookmarkEnd w:id="345"/>
          <w:bookmarkEnd w:id="346"/>
          <w:bookmarkEnd w:id="347"/>
          <w:bookmarkEnd w:id="348"/>
          <w:bookmarkEnd w:id="349"/>
          <w:bookmarkEnd w:id="350"/>
          <w:bookmarkEnd w:id="351"/>
          <w:bookmarkEnd w:id="352"/>
          <w:bookmarkEnd w:id="353"/>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4" w:name="_Toc22153"/>
            <w:bookmarkStart w:id="355" w:name="_Toc10122"/>
            <w:bookmarkStart w:id="356" w:name="_Toc2408"/>
            <w:r>
              <w:rPr>
                <w:rFonts w:hint="eastAsia" w:ascii="宋体" w:hAnsi="宋体" w:cs="宋体"/>
                <w:b w:val="0"/>
                <w:bCs w:val="0"/>
                <w:color w:val="auto"/>
                <w:sz w:val="21"/>
                <w:szCs w:val="21"/>
                <w:highlight w:val="none"/>
              </w:rPr>
              <w:t>投标文件响应内容</w:t>
            </w:r>
            <w:bookmarkEnd w:id="354"/>
            <w:bookmarkEnd w:id="355"/>
            <w:bookmarkEnd w:id="356"/>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7" w:name="_Toc16003"/>
            <w:bookmarkStart w:id="358" w:name="_Toc29838"/>
            <w:bookmarkStart w:id="359" w:name="_Toc27285"/>
            <w:bookmarkStart w:id="360" w:name="_Toc1330"/>
            <w:bookmarkStart w:id="361" w:name="_Toc17642"/>
            <w:bookmarkStart w:id="362" w:name="_Toc20820"/>
            <w:bookmarkStart w:id="363" w:name="_Toc20139"/>
            <w:bookmarkStart w:id="364" w:name="_Toc5992"/>
            <w:bookmarkStart w:id="365" w:name="_Toc27185"/>
            <w:bookmarkStart w:id="366" w:name="_Toc17296"/>
            <w:bookmarkStart w:id="367" w:name="_Toc3701"/>
            <w:bookmarkStart w:id="368" w:name="_Toc5563"/>
            <w:bookmarkStart w:id="369" w:name="_Toc1912"/>
            <w:r>
              <w:rPr>
                <w:rFonts w:hint="eastAsia" w:ascii="宋体" w:hAnsi="宋体" w:cs="宋体"/>
                <w:b w:val="0"/>
                <w:bCs w:val="0"/>
                <w:color w:val="auto"/>
                <w:sz w:val="21"/>
                <w:szCs w:val="21"/>
                <w:highlight w:val="none"/>
              </w:rPr>
              <w:t>说明</w:t>
            </w:r>
            <w:bookmarkEnd w:id="357"/>
            <w:bookmarkEnd w:id="358"/>
            <w:bookmarkEnd w:id="359"/>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70" w:name="_Toc857"/>
            <w:bookmarkStart w:id="371" w:name="_Toc3520"/>
            <w:bookmarkStart w:id="372" w:name="_Toc19105"/>
            <w:r>
              <w:rPr>
                <w:rFonts w:hint="eastAsia" w:ascii="宋体" w:hAnsi="宋体" w:cs="宋体"/>
                <w:b w:val="0"/>
                <w:bCs w:val="0"/>
                <w:color w:val="auto"/>
                <w:sz w:val="21"/>
                <w:szCs w:val="21"/>
                <w:highlight w:val="none"/>
              </w:rPr>
              <w:t>页码范围</w:t>
            </w:r>
            <w:bookmarkEnd w:id="360"/>
            <w:bookmarkEnd w:id="361"/>
            <w:bookmarkEnd w:id="362"/>
            <w:bookmarkEnd w:id="363"/>
            <w:bookmarkEnd w:id="364"/>
            <w:bookmarkEnd w:id="365"/>
            <w:bookmarkEnd w:id="366"/>
            <w:bookmarkEnd w:id="367"/>
            <w:bookmarkEnd w:id="368"/>
            <w:bookmarkEnd w:id="369"/>
            <w:bookmarkEnd w:id="370"/>
            <w:bookmarkEnd w:id="371"/>
            <w:bookmarkEnd w:id="3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5"/>
        <w:rPr>
          <w:rFonts w:ascii="宋体" w:hAnsi="宋体"/>
          <w:color w:val="auto"/>
          <w:szCs w:val="21"/>
          <w:highlight w:val="none"/>
        </w:rPr>
      </w:pPr>
    </w:p>
    <w:p>
      <w:pPr>
        <w:pStyle w:val="35"/>
        <w:rPr>
          <w:rFonts w:ascii="宋体" w:hAnsi="宋体"/>
          <w:color w:val="auto"/>
          <w:szCs w:val="21"/>
          <w:highlight w:val="none"/>
        </w:rPr>
      </w:pPr>
      <w:r>
        <w:rPr>
          <w:rFonts w:hint="eastAsia" w:ascii="宋体" w:hAnsi="宋体"/>
          <w:color w:val="auto"/>
          <w:szCs w:val="21"/>
          <w:highlight w:val="none"/>
        </w:rPr>
        <w:t>注：</w:t>
      </w:r>
    </w:p>
    <w:p>
      <w:pPr>
        <w:pStyle w:val="35"/>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5"/>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5"/>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5"/>
        <w:rPr>
          <w:rFonts w:ascii="宋体" w:hAnsi="宋体"/>
          <w:color w:val="auto"/>
          <w:szCs w:val="21"/>
          <w:highlight w:val="none"/>
        </w:rPr>
      </w:pPr>
    </w:p>
    <w:p>
      <w:pPr>
        <w:pStyle w:val="35"/>
        <w:numPr>
          <w:ilvl w:val="0"/>
          <w:numId w:val="10"/>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3" w:name="_Toc27139"/>
      <w:bookmarkStart w:id="374" w:name="_Toc19349"/>
      <w:r>
        <w:rPr>
          <w:rFonts w:hint="eastAsia"/>
          <w:color w:val="auto"/>
          <w:highlight w:val="none"/>
        </w:rPr>
        <w:t>三、实质性条款（标记★）投标响应表</w:t>
      </w:r>
      <w:bookmarkEnd w:id="373"/>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5" w:name="_Toc21519"/>
      <w:r>
        <w:rPr>
          <w:rFonts w:hint="eastAsia"/>
          <w:color w:val="auto"/>
          <w:highlight w:val="none"/>
        </w:rPr>
        <w:t>四、项目技术方案</w:t>
      </w:r>
      <w:bookmarkEnd w:id="374"/>
      <w:bookmarkEnd w:id="375"/>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6" w:name="_Toc26880"/>
      <w:bookmarkStart w:id="377" w:name="_Toc16328"/>
      <w:r>
        <w:rPr>
          <w:rFonts w:hint="eastAsia"/>
          <w:color w:val="auto"/>
          <w:highlight w:val="none"/>
        </w:rPr>
        <w:t>五、项目负责人及团队成员资料表</w:t>
      </w:r>
      <w:bookmarkEnd w:id="376"/>
      <w:bookmarkEnd w:id="377"/>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8"/>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8" w:name="_Toc15431"/>
      <w:bookmarkStart w:id="379" w:name="_Toc26980"/>
      <w:r>
        <w:rPr>
          <w:rFonts w:hint="eastAsia"/>
          <w:color w:val="auto"/>
          <w:highlight w:val="none"/>
        </w:rPr>
        <w:t>六、投标货物明细一览表</w:t>
      </w:r>
      <w:bookmarkEnd w:id="378"/>
      <w:bookmarkEnd w:id="379"/>
    </w:p>
    <w:tbl>
      <w:tblPr>
        <w:tblStyle w:val="25"/>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80" w:name="_Toc16710"/>
      <w:bookmarkStart w:id="381" w:name="_Toc21541"/>
      <w:r>
        <w:rPr>
          <w:rFonts w:hint="eastAsia"/>
          <w:color w:val="auto"/>
          <w:highlight w:val="none"/>
        </w:rPr>
        <w:t>七、投标保证金汇入情况说明</w:t>
      </w:r>
      <w:bookmarkEnd w:id="380"/>
      <w:bookmarkEnd w:id="381"/>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5"/>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2" w:name="_Toc26855"/>
      <w:bookmarkStart w:id="383" w:name="_Toc24545"/>
      <w:r>
        <w:rPr>
          <w:rFonts w:hint="eastAsia"/>
          <w:color w:val="auto"/>
          <w:highlight w:val="none"/>
        </w:rPr>
        <w:t>八、政府采购投标担保函</w:t>
      </w:r>
      <w:bookmarkEnd w:id="382"/>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4" w:name="_Toc6961"/>
      <w:r>
        <w:rPr>
          <w:rFonts w:hint="eastAsia"/>
          <w:color w:val="auto"/>
          <w:highlight w:val="none"/>
        </w:rPr>
        <w:t>九、政府采购履约担保函</w:t>
      </w:r>
      <w:bookmarkEnd w:id="384"/>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8"/>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5" w:name="_Toc26782"/>
      <w:bookmarkStart w:id="386" w:name="_Toc26772"/>
      <w:r>
        <w:rPr>
          <w:rFonts w:hint="eastAsia"/>
          <w:color w:val="auto"/>
          <w:highlight w:val="none"/>
        </w:rPr>
        <w:t>第四章唱标信封（单独封装）</w:t>
      </w:r>
      <w:bookmarkEnd w:id="385"/>
      <w:bookmarkEnd w:id="386"/>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7"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8"/>
        <w:rPr>
          <w:color w:val="auto"/>
          <w:highlight w:val="none"/>
        </w:rPr>
      </w:pPr>
    </w:p>
    <w:p>
      <w:pPr>
        <w:rPr>
          <w:color w:val="auto"/>
          <w:highlight w:val="none"/>
        </w:rPr>
      </w:pPr>
    </w:p>
    <w:p>
      <w:pPr>
        <w:pStyle w:val="5"/>
        <w:jc w:val="center"/>
        <w:rPr>
          <w:color w:val="auto"/>
          <w:highlight w:val="none"/>
        </w:rPr>
      </w:pPr>
      <w:bookmarkStart w:id="388" w:name="_Toc22736"/>
      <w:bookmarkStart w:id="389" w:name="_Toc2710"/>
      <w:r>
        <w:rPr>
          <w:rFonts w:hint="eastAsia"/>
          <w:color w:val="auto"/>
          <w:highlight w:val="none"/>
        </w:rPr>
        <w:t>第五章联合体共同投标协议书（如有需要）</w:t>
      </w:r>
      <w:bookmarkEnd w:id="388"/>
      <w:bookmarkEnd w:id="389"/>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7"/>
    <w:p>
      <w:pPr>
        <w:pStyle w:val="8"/>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8"/>
        <w:rPr>
          <w:color w:val="auto"/>
          <w:sz w:val="21"/>
          <w:szCs w:val="21"/>
          <w:highlight w:val="none"/>
        </w:rPr>
      </w:pPr>
    </w:p>
    <w:p>
      <w:pPr>
        <w:rPr>
          <w:rFonts w:ascii="宋体" w:hAnsi="宋体" w:cs="宋体"/>
          <w:color w:val="auto"/>
          <w:szCs w:val="21"/>
          <w:highlight w:val="none"/>
        </w:rPr>
      </w:pPr>
    </w:p>
    <w:p>
      <w:pPr>
        <w:pStyle w:val="8"/>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8"/>
        <w:rPr>
          <w:color w:val="auto"/>
          <w:highlight w:val="none"/>
        </w:rPr>
      </w:pPr>
    </w:p>
    <w:p>
      <w:pPr>
        <w:rPr>
          <w:color w:val="auto"/>
          <w:highlight w:val="none"/>
        </w:rPr>
      </w:pPr>
    </w:p>
    <w:p>
      <w:pPr>
        <w:pStyle w:val="8"/>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pStyle w:val="24"/>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5"/>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1"/>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1"/>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1"/>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w:t>
            </w:r>
            <w:r>
              <w:rPr>
                <w:rFonts w:hint="eastAsia" w:ascii="宋体" w:hAnsi="宋体" w:cs="宋体"/>
                <w:color w:val="auto"/>
                <w:sz w:val="28"/>
                <w:szCs w:val="28"/>
                <w:highlight w:val="none"/>
                <w:lang w:val="en-US" w:eastAsia="zh-CN"/>
              </w:rPr>
              <w:t>300</w:t>
            </w:r>
            <w:r>
              <w:rPr>
                <w:rFonts w:hint="eastAsia" w:ascii="宋体" w:hAnsi="宋体" w:cs="宋体"/>
                <w:color w:val="auto"/>
                <w:sz w:val="28"/>
                <w:szCs w:val="28"/>
                <w:highlight w:val="none"/>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4"/>
        <w:ind w:left="0" w:firstLine="0" w:firstLineChars="0"/>
        <w:rPr>
          <w:color w:val="auto"/>
          <w:highlight w:val="none"/>
        </w:rPr>
      </w:pPr>
    </w:p>
    <w:sectPr>
      <w:footerReference r:id="rId15" w:type="first"/>
      <w:footerReference r:id="rId14"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TPWLKtMBAACo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4"/>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1"/>
        <w:rPr>
          <w:rFonts w:eastAsia="微软雅黑"/>
        </w:rPr>
      </w:pPr>
      <w:r>
        <w:rPr>
          <w:rStyle w:val="31"/>
        </w:rPr>
        <w:footnoteRef/>
      </w:r>
      <w:r>
        <w:rPr>
          <w:rFonts w:hint="eastAsia"/>
        </w:rPr>
        <w:t>从业人员、营业人员、资产总额填报上一年度数据，无上一年度数据的新成立企业可不填报。</w:t>
      </w:r>
    </w:p>
  </w:footnote>
  <w:footnote w:id="1">
    <w:p>
      <w:pPr>
        <w:pStyle w:val="21"/>
      </w:pPr>
      <w:r>
        <w:rPr>
          <w:rStyle w:val="31"/>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num w:numId="1">
    <w:abstractNumId w:val="9"/>
  </w:num>
  <w:num w:numId="2">
    <w:abstractNumId w:val="6"/>
  </w:num>
  <w:num w:numId="3">
    <w:abstractNumId w:val="10"/>
  </w:num>
  <w:num w:numId="4">
    <w:abstractNumId w:val="7"/>
  </w:num>
  <w:num w:numId="5">
    <w:abstractNumId w:val="3"/>
  </w:num>
  <w:num w:numId="6">
    <w:abstractNumId w:val="4"/>
  </w:num>
  <w:num w:numId="7">
    <w:abstractNumId w:val="1"/>
  </w:num>
  <w:num w:numId="8">
    <w:abstractNumId w:val="2"/>
  </w:num>
  <w:num w:numId="9">
    <w:abstractNumId w:val="5"/>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6a0c8e27-e67e-4ed4-8ed6-59cacbcdb633"/>
  </w:docVars>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B3A87"/>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08F7"/>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3D89"/>
    <w:rsid w:val="01E74B6E"/>
    <w:rsid w:val="02126CDB"/>
    <w:rsid w:val="021832B7"/>
    <w:rsid w:val="024E2E49"/>
    <w:rsid w:val="02A741FD"/>
    <w:rsid w:val="02C16E5D"/>
    <w:rsid w:val="02D964CF"/>
    <w:rsid w:val="032D0464"/>
    <w:rsid w:val="0340787C"/>
    <w:rsid w:val="03707410"/>
    <w:rsid w:val="037F03E3"/>
    <w:rsid w:val="03A0770F"/>
    <w:rsid w:val="03A27BF9"/>
    <w:rsid w:val="03A448B8"/>
    <w:rsid w:val="03A4578A"/>
    <w:rsid w:val="03AD071E"/>
    <w:rsid w:val="03B67E12"/>
    <w:rsid w:val="03BB2048"/>
    <w:rsid w:val="03D10969"/>
    <w:rsid w:val="04DF1036"/>
    <w:rsid w:val="050F6021"/>
    <w:rsid w:val="055214B8"/>
    <w:rsid w:val="05690927"/>
    <w:rsid w:val="05A97DEC"/>
    <w:rsid w:val="05C81981"/>
    <w:rsid w:val="05C935B6"/>
    <w:rsid w:val="065A32ED"/>
    <w:rsid w:val="06BC41F2"/>
    <w:rsid w:val="06DF3DBD"/>
    <w:rsid w:val="06FA1908"/>
    <w:rsid w:val="07197D08"/>
    <w:rsid w:val="071C2CFD"/>
    <w:rsid w:val="071E5C55"/>
    <w:rsid w:val="07213DF9"/>
    <w:rsid w:val="07391925"/>
    <w:rsid w:val="073A47CB"/>
    <w:rsid w:val="073F7319"/>
    <w:rsid w:val="07536A42"/>
    <w:rsid w:val="07595F41"/>
    <w:rsid w:val="07615EC0"/>
    <w:rsid w:val="076E24F4"/>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A955D6"/>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430B50"/>
    <w:rsid w:val="0C7B2220"/>
    <w:rsid w:val="0CC538D1"/>
    <w:rsid w:val="0CEC6050"/>
    <w:rsid w:val="0D1B775E"/>
    <w:rsid w:val="0D890E47"/>
    <w:rsid w:val="0DC64A00"/>
    <w:rsid w:val="0DFC60BA"/>
    <w:rsid w:val="0E4249F1"/>
    <w:rsid w:val="0F267EF5"/>
    <w:rsid w:val="0F2955F4"/>
    <w:rsid w:val="0F6C5A53"/>
    <w:rsid w:val="0F7C5FF6"/>
    <w:rsid w:val="0FC63FBD"/>
    <w:rsid w:val="10382D43"/>
    <w:rsid w:val="106C564D"/>
    <w:rsid w:val="107224BA"/>
    <w:rsid w:val="107B7B8F"/>
    <w:rsid w:val="107C67CE"/>
    <w:rsid w:val="1080523F"/>
    <w:rsid w:val="108F06C9"/>
    <w:rsid w:val="109D68CB"/>
    <w:rsid w:val="10A949B8"/>
    <w:rsid w:val="10C54639"/>
    <w:rsid w:val="11200D07"/>
    <w:rsid w:val="11D33670"/>
    <w:rsid w:val="11DA73AF"/>
    <w:rsid w:val="12C03E1F"/>
    <w:rsid w:val="12C60D80"/>
    <w:rsid w:val="13081C86"/>
    <w:rsid w:val="131867D4"/>
    <w:rsid w:val="131F7A3A"/>
    <w:rsid w:val="132645D0"/>
    <w:rsid w:val="13455ABC"/>
    <w:rsid w:val="1370322B"/>
    <w:rsid w:val="138C240A"/>
    <w:rsid w:val="13B27845"/>
    <w:rsid w:val="13BE469F"/>
    <w:rsid w:val="13F87121"/>
    <w:rsid w:val="141A03E1"/>
    <w:rsid w:val="143B2E0B"/>
    <w:rsid w:val="14672B11"/>
    <w:rsid w:val="14892735"/>
    <w:rsid w:val="14A846B5"/>
    <w:rsid w:val="14CC769D"/>
    <w:rsid w:val="15693159"/>
    <w:rsid w:val="157D38E3"/>
    <w:rsid w:val="15D359D7"/>
    <w:rsid w:val="15D81E0F"/>
    <w:rsid w:val="161771F3"/>
    <w:rsid w:val="16222D6D"/>
    <w:rsid w:val="163C77BE"/>
    <w:rsid w:val="16632F86"/>
    <w:rsid w:val="1679588C"/>
    <w:rsid w:val="16994962"/>
    <w:rsid w:val="16A71041"/>
    <w:rsid w:val="16AA24BF"/>
    <w:rsid w:val="16DB0266"/>
    <w:rsid w:val="16F72341"/>
    <w:rsid w:val="17680CAB"/>
    <w:rsid w:val="176E4128"/>
    <w:rsid w:val="1783371F"/>
    <w:rsid w:val="17A00AEE"/>
    <w:rsid w:val="17CD022B"/>
    <w:rsid w:val="17E277F7"/>
    <w:rsid w:val="17E62B67"/>
    <w:rsid w:val="180C0192"/>
    <w:rsid w:val="180F4499"/>
    <w:rsid w:val="18221ECE"/>
    <w:rsid w:val="18251D29"/>
    <w:rsid w:val="184A6EA2"/>
    <w:rsid w:val="18DD0A66"/>
    <w:rsid w:val="190B7894"/>
    <w:rsid w:val="199C6F1F"/>
    <w:rsid w:val="199F68F8"/>
    <w:rsid w:val="19A2789F"/>
    <w:rsid w:val="19B7100D"/>
    <w:rsid w:val="19C60B92"/>
    <w:rsid w:val="1A460CF5"/>
    <w:rsid w:val="1A515546"/>
    <w:rsid w:val="1A7F297D"/>
    <w:rsid w:val="1AB16AC1"/>
    <w:rsid w:val="1B034A52"/>
    <w:rsid w:val="1B1F34AD"/>
    <w:rsid w:val="1B5A51FC"/>
    <w:rsid w:val="1B8D5DC6"/>
    <w:rsid w:val="1BFE1D3B"/>
    <w:rsid w:val="1C2775EC"/>
    <w:rsid w:val="1C750ECE"/>
    <w:rsid w:val="1CA22168"/>
    <w:rsid w:val="1D0836D7"/>
    <w:rsid w:val="1D196139"/>
    <w:rsid w:val="1DB85900"/>
    <w:rsid w:val="1DF051AF"/>
    <w:rsid w:val="1DF21EC6"/>
    <w:rsid w:val="1E010AF7"/>
    <w:rsid w:val="1E0178EB"/>
    <w:rsid w:val="1E301173"/>
    <w:rsid w:val="1E38333E"/>
    <w:rsid w:val="1E493A93"/>
    <w:rsid w:val="1E5C7612"/>
    <w:rsid w:val="1E636E30"/>
    <w:rsid w:val="1EA40BB4"/>
    <w:rsid w:val="1F143386"/>
    <w:rsid w:val="1F43381C"/>
    <w:rsid w:val="1FA4148D"/>
    <w:rsid w:val="20121621"/>
    <w:rsid w:val="201A421D"/>
    <w:rsid w:val="20341172"/>
    <w:rsid w:val="204E554F"/>
    <w:rsid w:val="20590035"/>
    <w:rsid w:val="20C35213"/>
    <w:rsid w:val="20FC799E"/>
    <w:rsid w:val="21072664"/>
    <w:rsid w:val="21693C0A"/>
    <w:rsid w:val="22154DDD"/>
    <w:rsid w:val="22213E42"/>
    <w:rsid w:val="22336873"/>
    <w:rsid w:val="225C57F7"/>
    <w:rsid w:val="23175889"/>
    <w:rsid w:val="232C5C75"/>
    <w:rsid w:val="238C2182"/>
    <w:rsid w:val="239015D1"/>
    <w:rsid w:val="23B02530"/>
    <w:rsid w:val="23BB4E7D"/>
    <w:rsid w:val="23C172D6"/>
    <w:rsid w:val="23F04F64"/>
    <w:rsid w:val="24814CBE"/>
    <w:rsid w:val="24AC168B"/>
    <w:rsid w:val="25857F75"/>
    <w:rsid w:val="258C3BEC"/>
    <w:rsid w:val="25E576CC"/>
    <w:rsid w:val="260E3862"/>
    <w:rsid w:val="262569FC"/>
    <w:rsid w:val="26344C98"/>
    <w:rsid w:val="264B6870"/>
    <w:rsid w:val="26F56CE2"/>
    <w:rsid w:val="272D1F94"/>
    <w:rsid w:val="27435D49"/>
    <w:rsid w:val="27A34F71"/>
    <w:rsid w:val="27B36A67"/>
    <w:rsid w:val="27EB0D9B"/>
    <w:rsid w:val="286602C8"/>
    <w:rsid w:val="28665C95"/>
    <w:rsid w:val="28A64522"/>
    <w:rsid w:val="28AC323E"/>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EB5F6D"/>
    <w:rsid w:val="2CFF149A"/>
    <w:rsid w:val="2D201865"/>
    <w:rsid w:val="2D4B5CEA"/>
    <w:rsid w:val="2D652658"/>
    <w:rsid w:val="2DC80C49"/>
    <w:rsid w:val="2DCA6355"/>
    <w:rsid w:val="2DF0699F"/>
    <w:rsid w:val="2E166748"/>
    <w:rsid w:val="2E556F01"/>
    <w:rsid w:val="2E8E20B4"/>
    <w:rsid w:val="2ED06066"/>
    <w:rsid w:val="2ED1223D"/>
    <w:rsid w:val="2ED42733"/>
    <w:rsid w:val="2EE470F7"/>
    <w:rsid w:val="2F000139"/>
    <w:rsid w:val="2F561B8A"/>
    <w:rsid w:val="2F9F42DC"/>
    <w:rsid w:val="2FE04319"/>
    <w:rsid w:val="2FF37AB3"/>
    <w:rsid w:val="307350B9"/>
    <w:rsid w:val="308C7755"/>
    <w:rsid w:val="30914729"/>
    <w:rsid w:val="30BC2179"/>
    <w:rsid w:val="30FF27D2"/>
    <w:rsid w:val="31170995"/>
    <w:rsid w:val="31264A30"/>
    <w:rsid w:val="31884E67"/>
    <w:rsid w:val="31A0275E"/>
    <w:rsid w:val="31B060CA"/>
    <w:rsid w:val="31B7357A"/>
    <w:rsid w:val="31ED6B08"/>
    <w:rsid w:val="31F915C9"/>
    <w:rsid w:val="32310A09"/>
    <w:rsid w:val="3255462F"/>
    <w:rsid w:val="32610CE6"/>
    <w:rsid w:val="32631A32"/>
    <w:rsid w:val="328464CE"/>
    <w:rsid w:val="32AB70C5"/>
    <w:rsid w:val="32DC33E0"/>
    <w:rsid w:val="3309322B"/>
    <w:rsid w:val="335D0AF5"/>
    <w:rsid w:val="3370088C"/>
    <w:rsid w:val="33A3154A"/>
    <w:rsid w:val="33DC2F78"/>
    <w:rsid w:val="3419465E"/>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7E6262"/>
    <w:rsid w:val="389B3A1E"/>
    <w:rsid w:val="38EB6119"/>
    <w:rsid w:val="39DE33DA"/>
    <w:rsid w:val="39FA5B4A"/>
    <w:rsid w:val="39FE0BE9"/>
    <w:rsid w:val="3A3C1AAF"/>
    <w:rsid w:val="3A424C25"/>
    <w:rsid w:val="3A4B7CC1"/>
    <w:rsid w:val="3A51228C"/>
    <w:rsid w:val="3A552E60"/>
    <w:rsid w:val="3A5D642F"/>
    <w:rsid w:val="3A9222CC"/>
    <w:rsid w:val="3AB210FC"/>
    <w:rsid w:val="3ACE216B"/>
    <w:rsid w:val="3AD95C13"/>
    <w:rsid w:val="3B0E42D3"/>
    <w:rsid w:val="3B1E260C"/>
    <w:rsid w:val="3B261E51"/>
    <w:rsid w:val="3B973F88"/>
    <w:rsid w:val="3BCD72F7"/>
    <w:rsid w:val="3BF92417"/>
    <w:rsid w:val="3C414142"/>
    <w:rsid w:val="3CE114D9"/>
    <w:rsid w:val="3CE47DD8"/>
    <w:rsid w:val="3CF737A2"/>
    <w:rsid w:val="3CF7509A"/>
    <w:rsid w:val="3D10295A"/>
    <w:rsid w:val="3DAD2A99"/>
    <w:rsid w:val="3DFB13EA"/>
    <w:rsid w:val="3E0572FD"/>
    <w:rsid w:val="3E1A5292"/>
    <w:rsid w:val="3E5A7FE7"/>
    <w:rsid w:val="3EC8179E"/>
    <w:rsid w:val="3EF66B2E"/>
    <w:rsid w:val="3F217914"/>
    <w:rsid w:val="3F942B76"/>
    <w:rsid w:val="3FAB5A5B"/>
    <w:rsid w:val="3FD70BB0"/>
    <w:rsid w:val="3FFB55AC"/>
    <w:rsid w:val="401C5F9D"/>
    <w:rsid w:val="401C690C"/>
    <w:rsid w:val="401D7195"/>
    <w:rsid w:val="405F1BE4"/>
    <w:rsid w:val="40A51286"/>
    <w:rsid w:val="40CE3DC0"/>
    <w:rsid w:val="40D7455A"/>
    <w:rsid w:val="40E743E5"/>
    <w:rsid w:val="40F35EEC"/>
    <w:rsid w:val="4110038E"/>
    <w:rsid w:val="41734CBA"/>
    <w:rsid w:val="419C2E65"/>
    <w:rsid w:val="41AA4BF2"/>
    <w:rsid w:val="41C01B53"/>
    <w:rsid w:val="41DD7057"/>
    <w:rsid w:val="420F7A65"/>
    <w:rsid w:val="4216611A"/>
    <w:rsid w:val="423E300F"/>
    <w:rsid w:val="425656C8"/>
    <w:rsid w:val="4257273C"/>
    <w:rsid w:val="425D7213"/>
    <w:rsid w:val="42677B61"/>
    <w:rsid w:val="42756DB0"/>
    <w:rsid w:val="42AC485F"/>
    <w:rsid w:val="42B21AD2"/>
    <w:rsid w:val="42BF022A"/>
    <w:rsid w:val="42D208E8"/>
    <w:rsid w:val="42FD694D"/>
    <w:rsid w:val="42FF0BC3"/>
    <w:rsid w:val="434A6D8F"/>
    <w:rsid w:val="43FA5777"/>
    <w:rsid w:val="44044D92"/>
    <w:rsid w:val="441C1611"/>
    <w:rsid w:val="443C440B"/>
    <w:rsid w:val="443F7DBF"/>
    <w:rsid w:val="44514F52"/>
    <w:rsid w:val="446B348A"/>
    <w:rsid w:val="448965CB"/>
    <w:rsid w:val="44C5497E"/>
    <w:rsid w:val="44FA2D53"/>
    <w:rsid w:val="4571374F"/>
    <w:rsid w:val="458B1BB0"/>
    <w:rsid w:val="4611075B"/>
    <w:rsid w:val="461A2EB2"/>
    <w:rsid w:val="46214818"/>
    <w:rsid w:val="467A0297"/>
    <w:rsid w:val="468B7125"/>
    <w:rsid w:val="46C4691F"/>
    <w:rsid w:val="47841568"/>
    <w:rsid w:val="479D1D34"/>
    <w:rsid w:val="47B609C0"/>
    <w:rsid w:val="47CF543E"/>
    <w:rsid w:val="482D31EA"/>
    <w:rsid w:val="485970A0"/>
    <w:rsid w:val="48847961"/>
    <w:rsid w:val="48946B91"/>
    <w:rsid w:val="48A41906"/>
    <w:rsid w:val="48B65C71"/>
    <w:rsid w:val="48F303D7"/>
    <w:rsid w:val="492837FF"/>
    <w:rsid w:val="492E6A57"/>
    <w:rsid w:val="497D4383"/>
    <w:rsid w:val="498A4CE5"/>
    <w:rsid w:val="49B86103"/>
    <w:rsid w:val="4A0030EE"/>
    <w:rsid w:val="4AC36065"/>
    <w:rsid w:val="4AEE4B1C"/>
    <w:rsid w:val="4B560086"/>
    <w:rsid w:val="4B7501F5"/>
    <w:rsid w:val="4B8C2DEB"/>
    <w:rsid w:val="4BF80520"/>
    <w:rsid w:val="4BFA3C9F"/>
    <w:rsid w:val="4BFB5208"/>
    <w:rsid w:val="4C0E3379"/>
    <w:rsid w:val="4C107F48"/>
    <w:rsid w:val="4C30671C"/>
    <w:rsid w:val="4C3277BC"/>
    <w:rsid w:val="4C686851"/>
    <w:rsid w:val="4CB25875"/>
    <w:rsid w:val="4CC353EB"/>
    <w:rsid w:val="4CF36F3C"/>
    <w:rsid w:val="4D3739CE"/>
    <w:rsid w:val="4D4F67BA"/>
    <w:rsid w:val="4D603399"/>
    <w:rsid w:val="4D867EE1"/>
    <w:rsid w:val="4DBC4C65"/>
    <w:rsid w:val="4DD731F1"/>
    <w:rsid w:val="4DF6568D"/>
    <w:rsid w:val="4E2E1A80"/>
    <w:rsid w:val="4E550010"/>
    <w:rsid w:val="4E5F14CB"/>
    <w:rsid w:val="4E7B561B"/>
    <w:rsid w:val="4ED81ECB"/>
    <w:rsid w:val="4F3705F8"/>
    <w:rsid w:val="4F651D09"/>
    <w:rsid w:val="4FAC3540"/>
    <w:rsid w:val="4FBB12F4"/>
    <w:rsid w:val="4FCF1583"/>
    <w:rsid w:val="4FFA7625"/>
    <w:rsid w:val="501B0BF9"/>
    <w:rsid w:val="506F29A5"/>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860E2E"/>
    <w:rsid w:val="549A6BFA"/>
    <w:rsid w:val="54C61423"/>
    <w:rsid w:val="54E72921"/>
    <w:rsid w:val="55806F07"/>
    <w:rsid w:val="558F3CE2"/>
    <w:rsid w:val="55A42E61"/>
    <w:rsid w:val="55F3454C"/>
    <w:rsid w:val="55FA2961"/>
    <w:rsid w:val="55FE2696"/>
    <w:rsid w:val="565E3E0E"/>
    <w:rsid w:val="565E7F4F"/>
    <w:rsid w:val="56775789"/>
    <w:rsid w:val="56857D06"/>
    <w:rsid w:val="56914056"/>
    <w:rsid w:val="569F0E63"/>
    <w:rsid w:val="56DB613D"/>
    <w:rsid w:val="573810DA"/>
    <w:rsid w:val="57D9014C"/>
    <w:rsid w:val="57FC2169"/>
    <w:rsid w:val="58096275"/>
    <w:rsid w:val="580E4560"/>
    <w:rsid w:val="581C04F1"/>
    <w:rsid w:val="582E6EF7"/>
    <w:rsid w:val="58434392"/>
    <w:rsid w:val="584E30E6"/>
    <w:rsid w:val="58E15DD6"/>
    <w:rsid w:val="59014D02"/>
    <w:rsid w:val="597B384D"/>
    <w:rsid w:val="59903AA4"/>
    <w:rsid w:val="59996DA8"/>
    <w:rsid w:val="59AC3CE9"/>
    <w:rsid w:val="59C30F1B"/>
    <w:rsid w:val="5A0D5854"/>
    <w:rsid w:val="5A20156F"/>
    <w:rsid w:val="5A250E62"/>
    <w:rsid w:val="5A4311D3"/>
    <w:rsid w:val="5A603473"/>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BB0F9F"/>
    <w:rsid w:val="5CF55792"/>
    <w:rsid w:val="5CFD533A"/>
    <w:rsid w:val="5D893B14"/>
    <w:rsid w:val="5D9F3D30"/>
    <w:rsid w:val="5DA70699"/>
    <w:rsid w:val="5E2810D5"/>
    <w:rsid w:val="5E2B7D62"/>
    <w:rsid w:val="5E2F31A6"/>
    <w:rsid w:val="5E71411E"/>
    <w:rsid w:val="5EA06921"/>
    <w:rsid w:val="5ED5006A"/>
    <w:rsid w:val="5F576E4B"/>
    <w:rsid w:val="5F5D4EDE"/>
    <w:rsid w:val="5F7A2C30"/>
    <w:rsid w:val="5FBE370A"/>
    <w:rsid w:val="60292845"/>
    <w:rsid w:val="61027308"/>
    <w:rsid w:val="612E1A5D"/>
    <w:rsid w:val="61693E96"/>
    <w:rsid w:val="61816046"/>
    <w:rsid w:val="61881DE7"/>
    <w:rsid w:val="62182687"/>
    <w:rsid w:val="62391564"/>
    <w:rsid w:val="623E50A4"/>
    <w:rsid w:val="625D7B5F"/>
    <w:rsid w:val="62787F28"/>
    <w:rsid w:val="62816669"/>
    <w:rsid w:val="62BA0953"/>
    <w:rsid w:val="62D03A7C"/>
    <w:rsid w:val="62F16BCB"/>
    <w:rsid w:val="62F648FE"/>
    <w:rsid w:val="630A30D8"/>
    <w:rsid w:val="63341DB1"/>
    <w:rsid w:val="63447612"/>
    <w:rsid w:val="63907004"/>
    <w:rsid w:val="63A10995"/>
    <w:rsid w:val="63B7664D"/>
    <w:rsid w:val="63C23EFA"/>
    <w:rsid w:val="63C41644"/>
    <w:rsid w:val="643A070A"/>
    <w:rsid w:val="644C573D"/>
    <w:rsid w:val="647F1ACC"/>
    <w:rsid w:val="648667A7"/>
    <w:rsid w:val="64A96F56"/>
    <w:rsid w:val="64DB383A"/>
    <w:rsid w:val="65032F85"/>
    <w:rsid w:val="65136B50"/>
    <w:rsid w:val="653B0C50"/>
    <w:rsid w:val="657E2A35"/>
    <w:rsid w:val="65A94E9D"/>
    <w:rsid w:val="65AA5B01"/>
    <w:rsid w:val="65C60A92"/>
    <w:rsid w:val="662203DD"/>
    <w:rsid w:val="66615FB2"/>
    <w:rsid w:val="666B723B"/>
    <w:rsid w:val="6678045A"/>
    <w:rsid w:val="66DD6702"/>
    <w:rsid w:val="679406CB"/>
    <w:rsid w:val="67AB52F1"/>
    <w:rsid w:val="67C35C0B"/>
    <w:rsid w:val="681233D2"/>
    <w:rsid w:val="68165B0D"/>
    <w:rsid w:val="681D5EE5"/>
    <w:rsid w:val="681E3671"/>
    <w:rsid w:val="686226DB"/>
    <w:rsid w:val="68652AB3"/>
    <w:rsid w:val="6895578E"/>
    <w:rsid w:val="689F1926"/>
    <w:rsid w:val="68AD17BB"/>
    <w:rsid w:val="68D94D22"/>
    <w:rsid w:val="692B2E4A"/>
    <w:rsid w:val="692E7663"/>
    <w:rsid w:val="694303FB"/>
    <w:rsid w:val="696A0B34"/>
    <w:rsid w:val="698D6A17"/>
    <w:rsid w:val="69A233E7"/>
    <w:rsid w:val="69DA61FF"/>
    <w:rsid w:val="69EE3535"/>
    <w:rsid w:val="69F954C1"/>
    <w:rsid w:val="6A2031B6"/>
    <w:rsid w:val="6A440C53"/>
    <w:rsid w:val="6A507D0C"/>
    <w:rsid w:val="6AC61F6F"/>
    <w:rsid w:val="6ADE74F0"/>
    <w:rsid w:val="6AEF2137"/>
    <w:rsid w:val="6B1002C0"/>
    <w:rsid w:val="6B1F5CFA"/>
    <w:rsid w:val="6B723594"/>
    <w:rsid w:val="6B805156"/>
    <w:rsid w:val="6BD50977"/>
    <w:rsid w:val="6BEA2A9B"/>
    <w:rsid w:val="6BEE7B02"/>
    <w:rsid w:val="6C63003E"/>
    <w:rsid w:val="6C9C0875"/>
    <w:rsid w:val="6C9D1F03"/>
    <w:rsid w:val="6CAA3931"/>
    <w:rsid w:val="6CF31086"/>
    <w:rsid w:val="6D3933CA"/>
    <w:rsid w:val="6D7B61EC"/>
    <w:rsid w:val="6DB02CF5"/>
    <w:rsid w:val="6DC3266E"/>
    <w:rsid w:val="6DD049FF"/>
    <w:rsid w:val="6E09491E"/>
    <w:rsid w:val="6E0D3655"/>
    <w:rsid w:val="6E427AF6"/>
    <w:rsid w:val="6E5F4465"/>
    <w:rsid w:val="6E8C54DA"/>
    <w:rsid w:val="6EF11E03"/>
    <w:rsid w:val="6F111C62"/>
    <w:rsid w:val="6F2176E5"/>
    <w:rsid w:val="6F3053CA"/>
    <w:rsid w:val="6F592303"/>
    <w:rsid w:val="6F5F5B74"/>
    <w:rsid w:val="6F764C2E"/>
    <w:rsid w:val="6F9B1C65"/>
    <w:rsid w:val="6FD47A25"/>
    <w:rsid w:val="6FF44026"/>
    <w:rsid w:val="6FFB146E"/>
    <w:rsid w:val="701A5C74"/>
    <w:rsid w:val="706516C3"/>
    <w:rsid w:val="70864A71"/>
    <w:rsid w:val="70896E68"/>
    <w:rsid w:val="70CE0D31"/>
    <w:rsid w:val="71322C59"/>
    <w:rsid w:val="714556B4"/>
    <w:rsid w:val="715B60E9"/>
    <w:rsid w:val="71860FA0"/>
    <w:rsid w:val="71E96309"/>
    <w:rsid w:val="71EA1FED"/>
    <w:rsid w:val="72284A0C"/>
    <w:rsid w:val="728409C4"/>
    <w:rsid w:val="72C16204"/>
    <w:rsid w:val="72E250CB"/>
    <w:rsid w:val="730313F6"/>
    <w:rsid w:val="731E1007"/>
    <w:rsid w:val="73370D24"/>
    <w:rsid w:val="7359268C"/>
    <w:rsid w:val="739503EB"/>
    <w:rsid w:val="73A05B28"/>
    <w:rsid w:val="73BE7013"/>
    <w:rsid w:val="73C07D69"/>
    <w:rsid w:val="749720BE"/>
    <w:rsid w:val="749E2255"/>
    <w:rsid w:val="74B42AE4"/>
    <w:rsid w:val="750A429D"/>
    <w:rsid w:val="75167F59"/>
    <w:rsid w:val="752B63DB"/>
    <w:rsid w:val="754D77D2"/>
    <w:rsid w:val="755D38A7"/>
    <w:rsid w:val="755F5A0F"/>
    <w:rsid w:val="75614792"/>
    <w:rsid w:val="756672DA"/>
    <w:rsid w:val="756E5849"/>
    <w:rsid w:val="75777357"/>
    <w:rsid w:val="75784473"/>
    <w:rsid w:val="757E044C"/>
    <w:rsid w:val="75977BC3"/>
    <w:rsid w:val="75B161B3"/>
    <w:rsid w:val="75E470E3"/>
    <w:rsid w:val="760C2A1D"/>
    <w:rsid w:val="76736B32"/>
    <w:rsid w:val="76800E11"/>
    <w:rsid w:val="76E3765E"/>
    <w:rsid w:val="76FC2AFA"/>
    <w:rsid w:val="773F0836"/>
    <w:rsid w:val="77653671"/>
    <w:rsid w:val="778546CC"/>
    <w:rsid w:val="77B56730"/>
    <w:rsid w:val="77B911F9"/>
    <w:rsid w:val="77C04A8B"/>
    <w:rsid w:val="77D266D3"/>
    <w:rsid w:val="77D85DB3"/>
    <w:rsid w:val="780252A0"/>
    <w:rsid w:val="78027772"/>
    <w:rsid w:val="78671E95"/>
    <w:rsid w:val="78A50513"/>
    <w:rsid w:val="78B92B9D"/>
    <w:rsid w:val="78CC45F8"/>
    <w:rsid w:val="79385FFF"/>
    <w:rsid w:val="793B7339"/>
    <w:rsid w:val="796518DD"/>
    <w:rsid w:val="796E0C55"/>
    <w:rsid w:val="79AA0532"/>
    <w:rsid w:val="79B82D71"/>
    <w:rsid w:val="79F70999"/>
    <w:rsid w:val="79FE1DDD"/>
    <w:rsid w:val="7A075767"/>
    <w:rsid w:val="7A212062"/>
    <w:rsid w:val="7A282A11"/>
    <w:rsid w:val="7A762FE3"/>
    <w:rsid w:val="7A9E122C"/>
    <w:rsid w:val="7AB90FF6"/>
    <w:rsid w:val="7AC21562"/>
    <w:rsid w:val="7ACA60B5"/>
    <w:rsid w:val="7AD474A4"/>
    <w:rsid w:val="7B115232"/>
    <w:rsid w:val="7B233152"/>
    <w:rsid w:val="7B3E6396"/>
    <w:rsid w:val="7B416BDC"/>
    <w:rsid w:val="7B5350AD"/>
    <w:rsid w:val="7B6867EB"/>
    <w:rsid w:val="7B697C89"/>
    <w:rsid w:val="7B8D34C3"/>
    <w:rsid w:val="7B971D84"/>
    <w:rsid w:val="7BF32F03"/>
    <w:rsid w:val="7C1724A5"/>
    <w:rsid w:val="7C8E3CCF"/>
    <w:rsid w:val="7CA54112"/>
    <w:rsid w:val="7CBC5262"/>
    <w:rsid w:val="7CDD3461"/>
    <w:rsid w:val="7CE50CE4"/>
    <w:rsid w:val="7D2177E3"/>
    <w:rsid w:val="7D2E5ABF"/>
    <w:rsid w:val="7E2142A2"/>
    <w:rsid w:val="7E4F5384"/>
    <w:rsid w:val="7E5A6DFA"/>
    <w:rsid w:val="7E730D4D"/>
    <w:rsid w:val="7E7B0BF2"/>
    <w:rsid w:val="7E7C57AE"/>
    <w:rsid w:val="7E7C7A78"/>
    <w:rsid w:val="7E8D75B6"/>
    <w:rsid w:val="7E9300A0"/>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outlineLvl w:val="2"/>
    </w:pPr>
    <w:rPr>
      <w:b/>
      <w:bCs/>
      <w:sz w:val="28"/>
      <w:szCs w:val="32"/>
    </w:rPr>
  </w:style>
  <w:style w:type="paragraph" w:styleId="6">
    <w:name w:val="heading 4"/>
    <w:basedOn w:val="1"/>
    <w:next w:val="1"/>
    <w:link w:val="36"/>
    <w:unhideWhenUsed/>
    <w:qFormat/>
    <w:uiPriority w:val="9"/>
    <w:pPr>
      <w:keepNext/>
      <w:keepLines/>
      <w:outlineLvl w:val="3"/>
    </w:pPr>
    <w:rPr>
      <w:rFonts w:asciiTheme="majorHAnsi" w:hAnsiTheme="majorHAnsi" w:cstheme="majorBidi"/>
      <w:b/>
      <w:bCs/>
      <w:sz w:val="24"/>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7">
    <w:name w:val="annotation text"/>
    <w:basedOn w:val="1"/>
    <w:semiHidden/>
    <w:unhideWhenUsed/>
    <w:qFormat/>
    <w:uiPriority w:val="99"/>
  </w:style>
  <w:style w:type="paragraph" w:styleId="8">
    <w:name w:val="Body Text"/>
    <w:basedOn w:val="1"/>
    <w:next w:val="1"/>
    <w:qFormat/>
    <w:uiPriority w:val="1"/>
    <w:pPr>
      <w:spacing w:before="161"/>
      <w:ind w:left="120"/>
    </w:pPr>
    <w:rPr>
      <w:rFonts w:ascii="宋体" w:hAnsi="宋体" w:cs="宋体"/>
      <w:sz w:val="24"/>
      <w:lang w:val="zh-CN" w:bidi="zh-CN"/>
    </w:rPr>
  </w:style>
  <w:style w:type="paragraph" w:styleId="9">
    <w:name w:val="Body Text Indent"/>
    <w:basedOn w:val="1"/>
    <w:qFormat/>
    <w:uiPriority w:val="0"/>
    <w:pPr>
      <w:ind w:left="540"/>
    </w:pPr>
    <w:rPr>
      <w:rFonts w:ascii="Times New Roman" w:hAnsi="Times New Roman" w:eastAsia="宋体" w:cs="Times New Roman"/>
      <w:szCs w:val="20"/>
    </w:rPr>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7"/>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50"/>
    <w:semiHidden/>
    <w:unhideWhenUsed/>
    <w:qFormat/>
    <w:uiPriority w:val="99"/>
    <w:rPr>
      <w:sz w:val="18"/>
      <w:szCs w:val="18"/>
    </w:rPr>
  </w:style>
  <w:style w:type="paragraph" w:styleId="14">
    <w:name w:val="footer"/>
    <w:basedOn w:val="1"/>
    <w:link w:val="49"/>
    <w:unhideWhenUsed/>
    <w:qFormat/>
    <w:uiPriority w:val="99"/>
    <w:pPr>
      <w:tabs>
        <w:tab w:val="center" w:pos="4153"/>
        <w:tab w:val="right" w:pos="8306"/>
      </w:tabs>
    </w:pPr>
    <w:rPr>
      <w:sz w:val="18"/>
      <w:szCs w:val="18"/>
    </w:rPr>
  </w:style>
  <w:style w:type="paragraph" w:styleId="15">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1">
    <w:name w:val="footnote text"/>
    <w:basedOn w:val="1"/>
    <w:semiHidden/>
    <w:unhideWhenUsed/>
    <w:qFormat/>
    <w:uiPriority w:val="99"/>
    <w:rPr>
      <w:sz w:val="18"/>
    </w:rPr>
  </w:style>
  <w:style w:type="paragraph" w:styleId="22">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3">
    <w:name w:val="Normal (Web)"/>
    <w:basedOn w:val="1"/>
    <w:link w:val="52"/>
    <w:qFormat/>
    <w:uiPriority w:val="0"/>
    <w:pPr>
      <w:widowControl w:val="0"/>
      <w:adjustRightInd/>
      <w:snapToGrid/>
      <w:jc w:val="both"/>
    </w:pPr>
    <w:rPr>
      <w:rFonts w:asciiTheme="minorHAnsi" w:hAnsiTheme="minorHAnsi"/>
      <w:kern w:val="2"/>
      <w:sz w:val="24"/>
      <w:szCs w:val="24"/>
    </w:rPr>
  </w:style>
  <w:style w:type="paragraph" w:styleId="24">
    <w:name w:val="Body Text First Indent"/>
    <w:basedOn w:val="8"/>
    <w:unhideWhenUsed/>
    <w:qFormat/>
    <w:uiPriority w:val="99"/>
    <w:pPr>
      <w:ind w:firstLine="420" w:firstLineChars="100"/>
    </w:pPr>
    <w:rPr>
      <w:rFonts w:ascii="Times New Roman" w:hAnsi="Times New Roman" w:cs="Times New Roman"/>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basedOn w:val="27"/>
    <w:qFormat/>
    <w:uiPriority w:val="20"/>
    <w:rPr>
      <w:i/>
      <w:iCs/>
    </w:rPr>
  </w:style>
  <w:style w:type="character" w:styleId="29">
    <w:name w:val="Hyperlink"/>
    <w:qFormat/>
    <w:uiPriority w:val="99"/>
    <w:rPr>
      <w:rFonts w:hint="eastAsia" w:ascii="宋体" w:hAnsi="宋体" w:eastAsia="宋体" w:cs="宋体"/>
      <w:b/>
      <w:color w:val="0031C1"/>
      <w:kern w:val="0"/>
      <w:sz w:val="18"/>
      <w:szCs w:val="18"/>
      <w:u w:val="none"/>
      <w:lang w:eastAsia="en-US"/>
    </w:rPr>
  </w:style>
  <w:style w:type="character" w:styleId="30">
    <w:name w:val="annotation reference"/>
    <w:basedOn w:val="27"/>
    <w:semiHidden/>
    <w:unhideWhenUsed/>
    <w:qFormat/>
    <w:uiPriority w:val="99"/>
    <w:rPr>
      <w:sz w:val="21"/>
      <w:szCs w:val="21"/>
    </w:rPr>
  </w:style>
  <w:style w:type="character" w:styleId="31">
    <w:name w:val="footnote reference"/>
    <w:basedOn w:val="27"/>
    <w:semiHidden/>
    <w:unhideWhenUsed/>
    <w:qFormat/>
    <w:uiPriority w:val="99"/>
    <w:rPr>
      <w:vertAlign w:val="superscript"/>
    </w:rPr>
  </w:style>
  <w:style w:type="paragraph" w:customStyle="1" w:styleId="32">
    <w:name w:val="表格文字"/>
    <w:basedOn w:val="1"/>
    <w:qFormat/>
    <w:uiPriority w:val="0"/>
    <w:pPr>
      <w:adjustRightInd/>
      <w:spacing w:before="25" w:after="25"/>
    </w:pPr>
    <w:rPr>
      <w:rFonts w:ascii="Times New Roman"/>
      <w:bCs/>
      <w:spacing w:val="10"/>
      <w:szCs w:val="20"/>
    </w:rPr>
  </w:style>
  <w:style w:type="character" w:customStyle="1" w:styleId="33">
    <w:name w:val="标题 2 Char"/>
    <w:basedOn w:val="27"/>
    <w:link w:val="4"/>
    <w:qFormat/>
    <w:uiPriority w:val="9"/>
    <w:rPr>
      <w:rFonts w:asciiTheme="majorHAnsi" w:hAnsiTheme="majorHAnsi" w:eastAsiaTheme="majorEastAsia" w:cstheme="majorBidi"/>
      <w:b/>
      <w:bCs/>
      <w:sz w:val="32"/>
      <w:szCs w:val="32"/>
    </w:rPr>
  </w:style>
  <w:style w:type="character" w:customStyle="1" w:styleId="34">
    <w:name w:val="标题 3 Char"/>
    <w:basedOn w:val="27"/>
    <w:link w:val="5"/>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7"/>
    <w:link w:val="6"/>
    <w:qFormat/>
    <w:uiPriority w:val="9"/>
    <w:rPr>
      <w:rFonts w:eastAsia="宋体" w:asciiTheme="majorHAnsi" w:hAnsiTheme="majorHAns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5"/>
    <w:link w:val="43"/>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7"/>
    <w:link w:val="11"/>
    <w:semiHidden/>
    <w:qFormat/>
    <w:uiPriority w:val="99"/>
    <w:rPr>
      <w:rFonts w:ascii="宋体" w:hAnsi="Courier New" w:eastAsia="宋体" w:cs="Courier New"/>
      <w:sz w:val="21"/>
      <w:szCs w:val="21"/>
    </w:rPr>
  </w:style>
  <w:style w:type="character" w:customStyle="1" w:styleId="48">
    <w:name w:val="页眉 Char"/>
    <w:basedOn w:val="27"/>
    <w:link w:val="15"/>
    <w:qFormat/>
    <w:uiPriority w:val="99"/>
    <w:rPr>
      <w:rFonts w:ascii="Tahoma" w:hAnsi="Tahoma"/>
      <w:sz w:val="18"/>
      <w:szCs w:val="18"/>
    </w:rPr>
  </w:style>
  <w:style w:type="character" w:customStyle="1" w:styleId="49">
    <w:name w:val="页脚 Char"/>
    <w:basedOn w:val="27"/>
    <w:link w:val="14"/>
    <w:qFormat/>
    <w:uiPriority w:val="99"/>
    <w:rPr>
      <w:rFonts w:ascii="Tahoma" w:hAnsi="Tahoma"/>
      <w:sz w:val="18"/>
      <w:szCs w:val="18"/>
    </w:rPr>
  </w:style>
  <w:style w:type="character" w:customStyle="1" w:styleId="50">
    <w:name w:val="批注框文本 Char"/>
    <w:basedOn w:val="27"/>
    <w:link w:val="13"/>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2">
    <w:name w:val="普通(网站) Char"/>
    <w:link w:val="23"/>
    <w:qFormat/>
    <w:uiPriority w:val="0"/>
    <w:rPr>
      <w:rFonts w:eastAsia="宋体"/>
      <w:kern w:val="2"/>
      <w:sz w:val="24"/>
      <w:szCs w:val="24"/>
    </w:rPr>
  </w:style>
  <w:style w:type="paragraph" w:customStyle="1" w:styleId="53">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60">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61">
    <w:name w:val="无间隔1"/>
    <w:qFormat/>
    <w:uiPriority w:val="0"/>
    <w:pPr>
      <w:widowControl w:val="0"/>
      <w:jc w:val="both"/>
    </w:pPr>
    <w:rPr>
      <w:rFonts w:ascii="Calibri" w:hAnsi="Calibri" w:eastAsia="宋体" w:cs="Times New Roman"/>
      <w:kern w:val="2"/>
      <w:sz w:val="21"/>
      <w:szCs w:val="22"/>
      <w:lang w:val="en-US" w:eastAsia="zh-CN" w:bidi="ar-SA"/>
    </w:rPr>
  </w:style>
  <w:style w:type="character" w:customStyle="1" w:styleId="62">
    <w:name w:val="font131"/>
    <w:basedOn w:val="27"/>
    <w:qFormat/>
    <w:uiPriority w:val="0"/>
    <w:rPr>
      <w:rFonts w:hint="eastAsia" w:ascii="宋体" w:hAnsi="宋体" w:eastAsia="宋体" w:cs="宋体"/>
      <w:color w:val="000000"/>
      <w:sz w:val="18"/>
      <w:szCs w:val="18"/>
      <w:u w:val="none"/>
    </w:rPr>
  </w:style>
  <w:style w:type="paragraph" w:customStyle="1" w:styleId="63">
    <w:name w:val="Table Paragraph"/>
    <w:basedOn w:val="1"/>
    <w:qFormat/>
    <w:uiPriority w:val="1"/>
    <w:rPr>
      <w:rFonts w:ascii="宋体" w:hAnsi="宋体" w:eastAsia="宋体" w:cs="宋体"/>
      <w:lang w:val="zh-CN" w:eastAsia="zh-CN" w:bidi="zh-CN"/>
    </w:rPr>
  </w:style>
  <w:style w:type="character" w:customStyle="1" w:styleId="64">
    <w:name w:val="font31"/>
    <w:basedOn w:val="27"/>
    <w:qFormat/>
    <w:uiPriority w:val="0"/>
    <w:rPr>
      <w:rFonts w:hint="eastAsia" w:ascii="宋体" w:hAnsi="宋体" w:eastAsia="宋体" w:cs="宋体"/>
      <w:color w:val="000000"/>
      <w:sz w:val="21"/>
      <w:szCs w:val="21"/>
      <w:u w:val="none"/>
    </w:rPr>
  </w:style>
  <w:style w:type="character" w:customStyle="1" w:styleId="65">
    <w:name w:val="font21"/>
    <w:basedOn w:val="27"/>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35237</Words>
  <Characters>36798</Characters>
  <Lines>349</Lines>
  <Paragraphs>98</Paragraphs>
  <TotalTime>4</TotalTime>
  <ScaleCrop>false</ScaleCrop>
  <LinksUpToDate>false</LinksUpToDate>
  <CharactersWithSpaces>38190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2023-05-10T11:25:00Z</cp:lastPrinted>
  <dcterms:modified xsi:type="dcterms:W3CDTF">2024-05-28T01:40:42Z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2F3B4B1748E944D28CD5D4518EEB9CFA_13</vt:lpwstr>
  </property>
</Properties>
</file>