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GDZT2024118A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购置3套一体化压缩箱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东莞市横沥镇公用事业服务中心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购置3套一体化压缩箱</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GDZT2024118A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购置3套一体化压缩箱</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5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879"/>
        <w:gridCol w:w="614"/>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8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2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9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87"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228"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购置3套一体化压缩箱</w:t>
            </w:r>
          </w:p>
        </w:tc>
        <w:tc>
          <w:tcPr>
            <w:tcW w:w="40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97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600,000.00元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日下午14：00～14：30。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日下午14时30分。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bCs/>
          <w:color w:val="auto"/>
          <w:szCs w:val="21"/>
          <w:highlight w:val="none"/>
        </w:rPr>
      </w:pPr>
      <w:r>
        <w:rPr>
          <w:rFonts w:hint="eastAsia" w:ascii="宋体" w:hAnsi="宋体"/>
          <w:bCs/>
          <w:color w:val="auto"/>
          <w:szCs w:val="21"/>
          <w:highlight w:val="none"/>
        </w:rPr>
        <w:t xml:space="preserve">采购人联系人：陈工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color w:val="auto"/>
          <w:szCs w:val="21"/>
          <w:highlight w:val="none"/>
        </w:rPr>
        <w:t>0769-</w:t>
      </w:r>
      <w:r>
        <w:rPr>
          <w:rFonts w:hint="eastAsia" w:ascii="宋体" w:hAnsi="宋体"/>
          <w:bCs/>
          <w:color w:val="auto"/>
          <w:szCs w:val="21"/>
          <w:highlight w:val="none"/>
        </w:rPr>
        <w:t>83371790</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10"/>
        <w:rPr>
          <w:color w:val="auto"/>
          <w:sz w:val="21"/>
          <w:szCs w:val="21"/>
          <w:highlight w:val="none"/>
        </w:rPr>
      </w:pPr>
    </w:p>
    <w:p>
      <w:pPr>
        <w:pStyle w:val="2"/>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val="en-US" w:eastAsia="zh-CN"/>
              </w:rPr>
              <w:t>财政</w:t>
            </w:r>
            <w:r>
              <w:rPr>
                <w:rFonts w:hint="eastAsia" w:ascii="宋体" w:hAnsi="宋体"/>
                <w:color w:val="auto"/>
                <w:szCs w:val="21"/>
                <w:highlight w:val="none"/>
                <w:lang w:eastAsia="zh-CN"/>
              </w:rPr>
              <w:t>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rPr>
          <w:color w:val="auto"/>
          <w:highlight w:val="none"/>
        </w:rPr>
      </w:pPr>
    </w:p>
    <w:p>
      <w:pPr>
        <w:pStyle w:val="2"/>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479"/>
            <w:bookmarkStart w:id="19" w:name="_Toc29685"/>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90"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after="0" w:line="240" w:lineRule="auto"/>
              <w:ind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color w:val="auto"/>
                <w:sz w:val="21"/>
                <w:szCs w:val="21"/>
                <w:highlight w:val="none"/>
              </w:rPr>
              <w:t>项目业绩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投标人具有垃圾压缩（或环卫）类设备</w:t>
            </w:r>
            <w:r>
              <w:rPr>
                <w:rFonts w:hint="eastAsia" w:ascii="宋体" w:hAnsi="宋体" w:eastAsia="宋体" w:cs="宋体"/>
                <w:color w:val="auto"/>
                <w:sz w:val="21"/>
                <w:szCs w:val="21"/>
                <w:highlight w:val="none"/>
              </w:rPr>
              <w:t>供货业绩</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，每提供一个业绩得5分，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rPr>
              <w:t>最高得1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合同复印件加盖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pPr>
              <w:keepNext w:val="0"/>
              <w:keepLines w:val="0"/>
              <w:pageBreakBefore w:val="0"/>
              <w:tabs>
                <w:tab w:val="left" w:pos="378"/>
              </w:tabs>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5分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小时到现场，不得分。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55分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根据投标人对本项目的熟悉程度、理解及项目重点和难点的分析，以及项目重点和难点所采取的措施等进行综合评审：</w:t>
            </w:r>
          </w:p>
          <w:p>
            <w:pPr>
              <w:pStyle w:val="43"/>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43"/>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bidi w:val="0"/>
              <w:adjustRightInd w:val="0"/>
              <w:snapToGrid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无提供对项目的理解，得0分。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根据投标人项目进度安排、供货期、安装调试等</w:t>
            </w:r>
            <w:r>
              <w:rPr>
                <w:rFonts w:hint="eastAsia" w:ascii="宋体" w:hAnsi="宋体" w:eastAsia="宋体" w:cs="宋体"/>
                <w:color w:val="auto"/>
                <w:sz w:val="21"/>
                <w:szCs w:val="21"/>
                <w:highlight w:val="none"/>
                <w:lang w:val="en-US" w:eastAsia="zh-CN"/>
              </w:rPr>
              <w:t>项目实施方案进行</w:t>
            </w:r>
            <w:r>
              <w:rPr>
                <w:rFonts w:hint="eastAsia" w:ascii="宋体" w:hAnsi="宋体" w:eastAsia="宋体" w:cs="宋体"/>
                <w:color w:val="auto"/>
                <w:sz w:val="21"/>
                <w:szCs w:val="21"/>
                <w:highlight w:val="none"/>
              </w:rPr>
              <w:t>综合评审：</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项目进度安排及供货期安排非常合理，安装调试方案科学高效，有利于本项目实施，得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项目进度安排及供货期安排基本合理，安装调试方案合理，较有利于本项目实施，得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项目进度安排及供货期安排一般，安装调试方案一般，实施方案一般，得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项目进度安排及供货期安排不合理，安装调试方案较差，实施方案较差，得1分；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质量保证和技术支持</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w:t>
            </w:r>
            <w:r>
              <w:rPr>
                <w:rFonts w:hint="eastAsia" w:ascii="宋体" w:hAnsi="宋体" w:eastAsia="宋体" w:cs="宋体"/>
                <w:color w:val="auto"/>
                <w:sz w:val="21"/>
                <w:szCs w:val="21"/>
                <w:highlight w:val="none"/>
              </w:rPr>
              <w:t>据所投产品的技术支持、质量保证、培训计划、质保期内的人员驻点计划等情况进行综合评审：</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为项目提供非常充足技术支持，质量保证方案及培训计划非常完善，质保期内的人员驻点安排科学合理，得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为项目提供较充足技术支持，质量保证方案及培训计划基本完善，质保期内的人员驻点安排较科学合理，得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为项目提供技术支持、质量保证方案一般，培训计划一般，质保期内人员驻点安排欠妥，得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为项目提供技术支持、质量保证方案较差，培训计划不完善，质保期内的人员驻点安排差，得1分</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lang w:val="en-US" w:eastAsia="zh-CN"/>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snapToGrid w:val="0"/>
                <w:color w:val="auto"/>
                <w:kern w:val="2"/>
                <w:sz w:val="21"/>
                <w:szCs w:val="21"/>
                <w:highlight w:val="none"/>
              </w:rPr>
            </w:pPr>
            <w:r>
              <w:rPr>
                <w:rFonts w:hint="eastAsia" w:ascii="宋体" w:hAnsi="宋体" w:eastAsia="宋体" w:cs="宋体"/>
                <w:color w:val="auto"/>
                <w:sz w:val="21"/>
                <w:szCs w:val="21"/>
                <w:highlight w:val="none"/>
              </w:rPr>
              <w:t>售后服务</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根据投标人提供售后服务方案进行综合评</w:t>
            </w:r>
            <w:r>
              <w:rPr>
                <w:rFonts w:hint="eastAsia" w:ascii="宋体" w:hAns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方案科学完整合理，可行性强，可操作性强，针对性强，得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强，可操作性</w:t>
            </w:r>
            <w:r>
              <w:rPr>
                <w:rFonts w:hint="eastAsia" w:ascii="宋体" w:hAnsi="宋体" w:eastAsia="宋体" w:cs="宋体"/>
                <w:color w:val="auto"/>
                <w:sz w:val="21"/>
                <w:szCs w:val="21"/>
                <w:highlight w:val="none"/>
                <w:lang w:val="en-US" w:eastAsia="zh-CN"/>
              </w:rPr>
              <w:t>较强</w:t>
            </w:r>
            <w:r>
              <w:rPr>
                <w:rFonts w:hint="eastAsia" w:ascii="宋体" w:hAnsi="宋体" w:eastAsia="宋体" w:cs="宋体"/>
                <w:color w:val="auto"/>
                <w:sz w:val="21"/>
                <w:szCs w:val="21"/>
                <w:highlight w:val="none"/>
              </w:rPr>
              <w:t>，针对性</w:t>
            </w:r>
            <w:r>
              <w:rPr>
                <w:rFonts w:hint="eastAsia" w:ascii="宋体" w:hAnsi="宋体" w:eastAsia="宋体" w:cs="宋体"/>
                <w:color w:val="auto"/>
                <w:sz w:val="21"/>
                <w:szCs w:val="21"/>
                <w:highlight w:val="none"/>
                <w:lang w:val="en-US" w:eastAsia="zh-CN"/>
              </w:rPr>
              <w:t>较强</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方案基本完整，可行性一般，可操作性一般，针对性一般，得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方案不完整，可行性差，可操作性差，针对性差，得1分；</w:t>
            </w:r>
          </w:p>
          <w:p>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color w:val="auto"/>
                <w:sz w:val="21"/>
                <w:szCs w:val="21"/>
                <w:highlight w:val="none"/>
                <w:lang w:val="en-US" w:eastAsia="zh-CN"/>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after="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pStyle w:val="10"/>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82049103"/>
      <w:bookmarkStart w:id="66" w:name="_Toc12145"/>
      <w:bookmarkStart w:id="67" w:name="_Toc28866"/>
      <w:bookmarkStart w:id="68" w:name="_Toc307934854"/>
      <w:bookmarkStart w:id="69" w:name="_Toc7728"/>
      <w:bookmarkStart w:id="70" w:name="_Toc18999"/>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21747"/>
      <w:bookmarkStart w:id="74" w:name="_Toc30189"/>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27724"/>
      <w:bookmarkStart w:id="80" w:name="_Toc16535"/>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473"/>
      <w:bookmarkStart w:id="95" w:name="_Toc23678"/>
      <w:bookmarkStart w:id="96" w:name="_Toc24997"/>
      <w:bookmarkStart w:id="97" w:name="_Toc382049111"/>
      <w:bookmarkStart w:id="98" w:name="_Toc303084264"/>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9777"/>
      <w:bookmarkStart w:id="107" w:name="_Toc303084265"/>
      <w:bookmarkStart w:id="108" w:name="_Toc23477"/>
      <w:bookmarkStart w:id="109" w:name="_Toc5900"/>
      <w:bookmarkStart w:id="110" w:name="_Toc382049112"/>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4251"/>
      <w:bookmarkStart w:id="119" w:name="_Toc28458"/>
      <w:bookmarkStart w:id="120" w:name="_Toc27700"/>
      <w:r>
        <w:rPr>
          <w:rFonts w:hint="eastAsia" w:ascii="宋体" w:hAnsi="宋体"/>
          <w:color w:val="auto"/>
          <w:sz w:val="21"/>
          <w:szCs w:val="21"/>
          <w:highlight w:val="none"/>
        </w:rPr>
        <w:t>22.开标</w:t>
      </w:r>
      <w:bookmarkEnd w:id="118"/>
      <w:bookmarkEnd w:id="119"/>
      <w:bookmarkEnd w:id="120"/>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382049120"/>
      <w:bookmarkStart w:id="138" w:name="_Toc12115"/>
      <w:bookmarkStart w:id="139" w:name="_Toc20328"/>
      <w:bookmarkStart w:id="140" w:name="_Toc31141"/>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27817"/>
      <w:bookmarkStart w:id="146" w:name="_Toc17778"/>
      <w:bookmarkStart w:id="147" w:name="_Toc508284011"/>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3136"/>
      <w:bookmarkStart w:id="150" w:name="_Toc508284013"/>
      <w:bookmarkStart w:id="151" w:name="_Toc29283"/>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9009"/>
      <w:bookmarkStart w:id="157" w:name="_Toc7405"/>
      <w:bookmarkStart w:id="158" w:name="_Toc2744"/>
      <w:bookmarkStart w:id="159" w:name="_Toc25756"/>
      <w:bookmarkStart w:id="160" w:name="_Toc38204912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rPr>
            </w:pPr>
            <w:r>
              <w:rPr>
                <w:rFonts w:hint="eastAsia" w:ascii="宋体" w:hAnsi="宋体"/>
                <w:color w:val="auto"/>
                <w:szCs w:val="21"/>
                <w:highlight w:val="none"/>
                <w:lang w:val="en-US" w:eastAsia="zh-CN"/>
              </w:rPr>
              <w:t>供货期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签定合同</w:t>
            </w:r>
            <w:r>
              <w:rPr>
                <w:rFonts w:hint="eastAsia" w:ascii="宋体" w:hAnsi="宋体" w:eastAsia="宋体" w:cs="宋体"/>
                <w:color w:val="auto"/>
                <w:sz w:val="21"/>
                <w:szCs w:val="21"/>
                <w:highlight w:val="none"/>
                <w:lang w:val="en-US" w:bidi="zh-CN"/>
              </w:rPr>
              <w:t>后，待采购人向中标人签发书面发货通知函后</w:t>
            </w:r>
            <w:r>
              <w:rPr>
                <w:rFonts w:hint="eastAsia" w:ascii="宋体" w:hAnsi="宋体" w:cs="宋体"/>
                <w:color w:val="auto"/>
                <w:sz w:val="21"/>
                <w:szCs w:val="21"/>
                <w:highlight w:val="none"/>
                <w:lang w:val="zh-CN" w:bidi="zh-CN"/>
              </w:rPr>
              <w:t>45个工作日</w:t>
            </w:r>
            <w:r>
              <w:rPr>
                <w:rFonts w:hint="eastAsia" w:ascii="宋体" w:hAnsi="宋体" w:eastAsia="宋体" w:cs="宋体"/>
                <w:color w:val="auto"/>
                <w:sz w:val="21"/>
                <w:szCs w:val="21"/>
                <w:highlight w:val="none"/>
                <w:lang w:val="zh-CN" w:bidi="zh-CN"/>
              </w:rPr>
              <w:t>内交货并完成安装调试。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bidi="zh-CN"/>
              </w:rPr>
              <w:t>合同签订</w:t>
            </w:r>
            <w:r>
              <w:rPr>
                <w:rFonts w:hint="eastAsia" w:ascii="宋体" w:hAnsi="宋体" w:eastAsia="宋体" w:cs="宋体"/>
                <w:color w:val="auto"/>
                <w:sz w:val="21"/>
                <w:szCs w:val="21"/>
                <w:highlight w:val="none"/>
                <w:lang w:val="zh-CN" w:bidi="zh-CN"/>
              </w:rPr>
              <w:t>后</w:t>
            </w:r>
            <w:r>
              <w:rPr>
                <w:rFonts w:hint="eastAsia" w:ascii="宋体" w:hAnsi="宋体" w:cs="宋体"/>
                <w:color w:val="auto"/>
                <w:sz w:val="21"/>
                <w:szCs w:val="21"/>
                <w:highlight w:val="none"/>
                <w:lang w:val="en-US" w:bidi="zh-CN"/>
              </w:rPr>
              <w:t>支</w:t>
            </w:r>
            <w:r>
              <w:rPr>
                <w:rFonts w:hint="eastAsia" w:ascii="宋体" w:hAnsi="宋体" w:eastAsia="宋体" w:cs="宋体"/>
                <w:color w:val="auto"/>
                <w:sz w:val="21"/>
                <w:szCs w:val="21"/>
                <w:highlight w:val="none"/>
                <w:lang w:val="zh-CN" w:bidi="zh-CN"/>
              </w:rPr>
              <w:t>付合同金额30%，项目验收合格后待采购人办理完相关请款程序后</w:t>
            </w:r>
            <w:r>
              <w:rPr>
                <w:rFonts w:hint="eastAsia" w:ascii="宋体" w:hAnsi="宋体" w:cs="宋体"/>
                <w:color w:val="auto"/>
                <w:sz w:val="21"/>
                <w:szCs w:val="21"/>
                <w:highlight w:val="none"/>
                <w:lang w:val="en-US" w:bidi="zh-CN"/>
              </w:rPr>
              <w:t>支</w:t>
            </w:r>
            <w:r>
              <w:rPr>
                <w:rFonts w:hint="eastAsia" w:ascii="宋体" w:hAnsi="宋体" w:eastAsia="宋体" w:cs="宋体"/>
                <w:color w:val="auto"/>
                <w:sz w:val="21"/>
                <w:szCs w:val="21"/>
                <w:highlight w:val="none"/>
                <w:lang w:val="zh-CN" w:bidi="zh-CN"/>
              </w:rPr>
              <w:t>付至合同金额的</w:t>
            </w:r>
            <w:r>
              <w:rPr>
                <w:rFonts w:hint="eastAsia" w:ascii="宋体" w:hAnsi="宋体" w:eastAsia="宋体" w:cs="宋体"/>
                <w:color w:val="auto"/>
                <w:sz w:val="21"/>
                <w:szCs w:val="21"/>
                <w:highlight w:val="none"/>
                <w:lang w:val="en-US" w:bidi="zh-CN"/>
              </w:rPr>
              <w:t>100</w:t>
            </w:r>
            <w:r>
              <w:rPr>
                <w:rFonts w:hint="eastAsia" w:ascii="宋体" w:hAnsi="宋体" w:eastAsia="宋体" w:cs="宋体"/>
                <w:color w:val="auto"/>
                <w:sz w:val="21"/>
                <w:szCs w:val="21"/>
                <w:highlight w:val="none"/>
                <w:lang w:val="zh-CN" w:bidi="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72"/>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投标报价采取打包报价的方式，</w:t>
            </w:r>
            <w:r>
              <w:rPr>
                <w:rFonts w:hint="eastAsia" w:ascii="宋体" w:hAnsi="宋体" w:eastAsia="宋体" w:cs="宋体"/>
                <w:color w:val="auto"/>
                <w:sz w:val="21"/>
                <w:szCs w:val="21"/>
                <w:highlight w:val="none"/>
                <w:lang w:bidi="zh-CN"/>
              </w:rPr>
              <w:t>投标报价包括材料、工具、人工、管理费、</w:t>
            </w:r>
            <w:r>
              <w:rPr>
                <w:rFonts w:hint="eastAsia" w:ascii="宋体" w:hAnsi="宋体" w:cs="宋体"/>
                <w:color w:val="auto"/>
                <w:sz w:val="21"/>
                <w:szCs w:val="21"/>
                <w:highlight w:val="none"/>
                <w:lang w:val="en-US" w:bidi="zh-CN"/>
              </w:rPr>
              <w:t>运费、</w:t>
            </w:r>
            <w:r>
              <w:rPr>
                <w:rFonts w:hint="eastAsia" w:ascii="宋体" w:hAnsi="宋体" w:eastAsia="宋体" w:cs="宋体"/>
                <w:color w:val="auto"/>
                <w:sz w:val="21"/>
                <w:szCs w:val="21"/>
                <w:highlight w:val="none"/>
                <w:lang w:bidi="zh-CN"/>
              </w:rPr>
              <w:t xml:space="preserve">利润、税金、风险、招标代理费用等一切因素所有应该和可能发生的费用因素。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投标有效期</w:t>
            </w:r>
          </w:p>
        </w:tc>
        <w:tc>
          <w:tcPr>
            <w:tcW w:w="3851"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51" w:type="pct"/>
            <w:vAlign w:val="center"/>
          </w:tcPr>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b/>
                <w:bCs/>
                <w:color w:val="auto"/>
                <w:highlight w:val="none"/>
              </w:rPr>
              <w:t>保修期：</w:t>
            </w:r>
            <w:r>
              <w:rPr>
                <w:rFonts w:hint="eastAsia" w:ascii="宋体" w:hAnsi="宋体" w:eastAsia="宋体" w:cs="宋体"/>
                <w:color w:val="auto"/>
                <w:highlight w:val="none"/>
              </w:rPr>
              <w:t>1年（从验收合格之日起计算），质保期内实行维修、保养等“三包”。</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设备按生产厂的保修规定执行，免费保修期不少于一年。保修期自验收合格日起计算，维修保养费用计入总价。</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保修期后，中标人仍负责有偿提供不低于原厂配置的维修保养服务，收费标准不得高于报价明细和市场价。</w:t>
            </w:r>
          </w:p>
          <w:p>
            <w:pPr>
              <w:widowControl w:val="0"/>
              <w:autoSpaceDE w:val="0"/>
              <w:autoSpaceDN w:val="0"/>
              <w:adjustRightInd/>
              <w:snapToGrid/>
              <w:spacing w:after="0" w:line="288" w:lineRule="auto"/>
              <w:ind w:firstLine="422" w:firstLineChars="200"/>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安装调试与售后服务</w:t>
            </w:r>
            <w:r>
              <w:rPr>
                <w:rFonts w:hint="eastAsia" w:ascii="宋体" w:hAnsi="宋体" w:eastAsia="宋体" w:cs="宋体"/>
                <w:b/>
                <w:bCs/>
                <w:color w:val="auto"/>
                <w:highlight w:val="none"/>
                <w:lang w:eastAsia="zh-CN"/>
              </w:rPr>
              <w:t>：</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中标人须负责货物的运输、安装、调试等工作，所产生的费用由中标人负责。</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中标人须向采购人提供合同货物安装所需的材料（包括工具、设施、物料等）及技术资料以及组装/维修所需工具。</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中标人派出的安装人员应具备相关的专业知识、技术水平、相应资质和能力，熟悉本合同所述货物的规格、技术指标及安装工艺，有足够能力安装、调试本合同的货物并使之达到本合同要求；</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中标人已对采购人现场进行详细考察，完全了解现场的状况及环境要求，并承诺不因上述原因对采购人索赔；</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中标人提供的产品必须是全新的。所有产品运输到达采购单位时的包装必须是原厂完整的，由采购单位签收后，方可拆包装。有关产品必须符合国家检测标准，或具有有关质检部门出具的产品检验合格证明。</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安装调试完成后双方共同进行验收，并签署项目验收报告。</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中标人必须在测试与验收前，向采购人提供按本合同的技术规格、技术规范的要求进行的测试与验收方案。</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中标人提供的货物不符合合同的质量要求，致使货物未达到买方要求的设计性能，采购人可拒收货物或解除合同。</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测试及验收工作由采购人和/或中标人组织，验收合格后，买卖双方签署验收合格证书。</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如果中标人没有按以上要求，按采购人安排的时间进行有关工作，采购人有权在相应的付款时间段推迟付款，直至中标人完成此时间段的工作。 </w:t>
            </w:r>
          </w:p>
          <w:p>
            <w:pPr>
              <w:widowControl w:val="0"/>
              <w:autoSpaceDE w:val="0"/>
              <w:autoSpaceDN w:val="0"/>
              <w:adjustRightInd/>
              <w:snapToGrid/>
              <w:spacing w:after="0" w:line="288" w:lineRule="auto"/>
              <w:ind w:firstLine="422" w:firstLineChars="200"/>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验收方法：</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检查配套场地建设是否符合要求。</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检查设备货物配置和配套设施是否完整、齐全，是否符合各项技术要求。</w:t>
            </w:r>
          </w:p>
          <w:p>
            <w:pPr>
              <w:widowControl w:val="0"/>
              <w:autoSpaceDE w:val="0"/>
              <w:autoSpaceDN w:val="0"/>
              <w:adjustRightInd/>
              <w:snapToGrid/>
              <w:spacing w:after="0" w:line="288" w:lineRule="auto"/>
              <w:ind w:firstLine="422" w:firstLineChars="200"/>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质量保证及售后服务：</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应保证合同项下所供货物是全新的、未使用过的。中标人进一步保证，合同项下提供的全部货物没有设计、材料或工艺上的缺陷（由于按采购人的要求设计或按采购人的规格提供的材料所产生的缺陷除外），或者没有因中标人的行为或疏忽而产生的缺陷，这些缺陷是所供货物在我国现行条件下正常使用可能产生的。</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对于影响货物正常工作的必要组成部分，无论在技术规范中指出与否，中标人都应提供并在投标文件中明确列出。</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中标人必须提供24小时电话服务热线，保证在接到故障电话（或书面通知）4小时内到达故障现场，并在24小时内修复。</w:t>
            </w:r>
          </w:p>
          <w:p>
            <w:pPr>
              <w:widowControl w:val="0"/>
              <w:autoSpaceDE w:val="0"/>
              <w:autoSpaceDN w:val="0"/>
              <w:adjustRightInd/>
              <w:snapToGrid/>
              <w:spacing w:after="0" w:line="288"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应为采购人提供免费培训，具体包含现场培训和专门培训。现场培训：中标人在设备的组装、调试、验收完毕后即进行现场培训直至采购人基本掌握使用操作、维护保养技术，保证运营单位可以独立操作设备运营。专门培训：中标人就设备的组装、检验、调试、使用和维护等培训，直到采购人受训人员全部掌握运行操作、维护保养技术，并能达到正确检修、维护、排除一般故障为止。 培训方式为技术培训和操作培训。受训人员由采购人确定，培训地点主要在设备安装现场或者由双方约定，培训时间、地点由双方商讨方确定。</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10"/>
        <w:rPr>
          <w:color w:val="auto"/>
          <w:highlight w:val="none"/>
          <w:lang w:val="en-US"/>
        </w:rPr>
      </w:pPr>
    </w:p>
    <w:p>
      <w:pPr>
        <w:pStyle w:val="12"/>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13"/>
        <w:rPr>
          <w:color w:val="auto"/>
          <w:highlight w:val="none"/>
          <w:lang w:val="en-US"/>
        </w:rPr>
      </w:pPr>
    </w:p>
    <w:p>
      <w:pPr>
        <w:pStyle w:val="4"/>
        <w:numPr>
          <w:ilvl w:val="0"/>
          <w:numId w:val="0"/>
        </w:numPr>
        <w:jc w:val="center"/>
        <w:rPr>
          <w:color w:val="auto"/>
          <w:highlight w:val="none"/>
        </w:rPr>
      </w:pPr>
      <w:bookmarkStart w:id="181" w:name="_Toc19316"/>
      <w:r>
        <w:rPr>
          <w:rFonts w:hint="eastAsia" w:ascii="Tahoma" w:hAnsi="Tahoma" w:eastAsia="宋体" w:cstheme="minorBidi"/>
          <w:b/>
          <w:bCs/>
          <w:color w:val="auto"/>
          <w:sz w:val="28"/>
          <w:szCs w:val="32"/>
          <w:highlight w:val="none"/>
          <w:lang w:val="en-US" w:eastAsia="zh-CN" w:bidi="ar-SA"/>
        </w:rPr>
        <w:t>第二章</w:t>
      </w:r>
      <w:r>
        <w:rPr>
          <w:rFonts w:hint="eastAsia" w:cstheme="minorBidi"/>
          <w:b/>
          <w:bCs/>
          <w:color w:val="auto"/>
          <w:sz w:val="28"/>
          <w:szCs w:val="32"/>
          <w:highlight w:val="none"/>
          <w:lang w:val="en-US" w:eastAsia="zh-CN" w:bidi="ar-SA"/>
        </w:rPr>
        <w:t xml:space="preserve"> </w:t>
      </w:r>
      <w:r>
        <w:rPr>
          <w:rFonts w:hint="eastAsia" w:ascii="宋体" w:hAnsi="宋体"/>
          <w:color w:val="auto"/>
          <w:highlight w:val="none"/>
        </w:rPr>
        <w:t>技术需求书</w:t>
      </w:r>
      <w:bookmarkEnd w:id="181"/>
    </w:p>
    <w:p>
      <w:pPr>
        <w:pStyle w:val="5"/>
        <w:keepNext/>
        <w:keepLines/>
        <w:pageBreakBefore w:val="0"/>
        <w:widowControl/>
        <w:kinsoku/>
        <w:wordWrap/>
        <w:overflowPunct/>
        <w:topLinePunct w:val="0"/>
        <w:autoSpaceDE/>
        <w:autoSpaceDN/>
        <w:bidi w:val="0"/>
        <w:adjustRightInd w:val="0"/>
        <w:snapToGrid w:val="0"/>
        <w:spacing w:after="0"/>
        <w:textAlignment w:val="auto"/>
        <w:rPr>
          <w:rFonts w:hint="default" w:eastAsia="宋体"/>
          <w:color w:val="auto"/>
          <w:highlight w:val="none"/>
          <w:lang w:val="en-US" w:eastAsia="zh-CN"/>
        </w:rPr>
      </w:pPr>
      <w:bookmarkStart w:id="182" w:name="_Toc13112"/>
      <w:bookmarkStart w:id="183" w:name="_Toc24679"/>
      <w:bookmarkStart w:id="184" w:name="_Toc31278"/>
      <w:bookmarkStart w:id="185" w:name="_Toc14462"/>
      <w:r>
        <w:rPr>
          <w:rFonts w:hint="eastAsia"/>
          <w:color w:val="auto"/>
          <w:highlight w:val="none"/>
        </w:rPr>
        <w:t>一、</w:t>
      </w:r>
      <w:r>
        <w:rPr>
          <w:rFonts w:hint="eastAsia"/>
          <w:color w:val="auto"/>
          <w:highlight w:val="none"/>
          <w:lang w:val="en-US" w:eastAsia="zh-CN"/>
        </w:rPr>
        <w:t>设备清单</w:t>
      </w:r>
    </w:p>
    <w:tbl>
      <w:tblPr>
        <w:tblStyle w:val="29"/>
        <w:tblW w:w="7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608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jc w:val="center"/>
        </w:trPr>
        <w:tc>
          <w:tcPr>
            <w:tcW w:w="675" w:type="dxa"/>
            <w:shd w:val="clear" w:color="auto" w:fill="auto"/>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6082" w:type="dxa"/>
            <w:shd w:val="clear" w:color="auto" w:fill="auto"/>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设备名称</w:t>
            </w:r>
          </w:p>
        </w:tc>
        <w:tc>
          <w:tcPr>
            <w:tcW w:w="1093" w:type="dxa"/>
            <w:shd w:val="clear" w:color="auto" w:fill="auto"/>
            <w:noWrap/>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3" w:hRule="atLeast"/>
          <w:jc w:val="center"/>
        </w:trPr>
        <w:tc>
          <w:tcPr>
            <w:tcW w:w="67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1</w:t>
            </w:r>
          </w:p>
        </w:tc>
        <w:tc>
          <w:tcPr>
            <w:tcW w:w="6082"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color w:val="auto"/>
                <w:szCs w:val="21"/>
                <w:highlight w:val="none"/>
              </w:rPr>
              <w:t>●</w:t>
            </w:r>
            <w:r>
              <w:rPr>
                <w:rFonts w:hint="eastAsia" w:ascii="宋体" w:hAnsi="宋体" w:eastAsia="宋体" w:cs="宋体"/>
                <w:b w:val="0"/>
                <w:bCs w:val="0"/>
                <w:color w:val="auto"/>
                <w:sz w:val="21"/>
                <w:szCs w:val="21"/>
                <w:highlight w:val="none"/>
                <w:u w:val="none"/>
                <w:lang w:val="en-US" w:eastAsia="zh-CN"/>
              </w:rPr>
              <w:t>一体化压缩箱</w:t>
            </w:r>
          </w:p>
        </w:tc>
        <w:tc>
          <w:tcPr>
            <w:tcW w:w="1093"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3套</w:t>
            </w:r>
          </w:p>
        </w:tc>
      </w:tr>
    </w:tbl>
    <w:p>
      <w:pPr>
        <w:bidi w:val="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color w:val="auto"/>
          <w:sz w:val="21"/>
          <w:szCs w:val="21"/>
          <w:highlight w:val="none"/>
        </w:rPr>
      </w:pPr>
      <w:r>
        <w:rPr>
          <w:rFonts w:hint="eastAsia"/>
          <w:color w:val="auto"/>
          <w:highlight w:val="none"/>
          <w:lang w:val="en-US" w:eastAsia="zh-CN"/>
        </w:rPr>
        <w:t>二</w:t>
      </w:r>
      <w:r>
        <w:rPr>
          <w:rFonts w:hint="eastAsia"/>
          <w:color w:val="auto"/>
          <w:highlight w:val="none"/>
        </w:rPr>
        <w:t>、</w:t>
      </w:r>
      <w:r>
        <w:rPr>
          <w:rFonts w:hint="eastAsia"/>
          <w:color w:val="auto"/>
          <w:highlight w:val="none"/>
          <w:lang w:val="en-US" w:eastAsia="zh-CN"/>
        </w:rPr>
        <w:t>设备参数</w:t>
      </w:r>
    </w:p>
    <w:tbl>
      <w:tblPr>
        <w:tblStyle w:val="7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3695"/>
        <w:gridCol w:w="1752"/>
        <w:gridCol w:w="2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33" w:type="dxa"/>
            <w:vAlign w:val="top"/>
          </w:tcPr>
          <w:p>
            <w:pPr>
              <w:pStyle w:val="78"/>
              <w:spacing w:before="167" w:line="222"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序号</w:t>
            </w:r>
          </w:p>
        </w:tc>
        <w:tc>
          <w:tcPr>
            <w:tcW w:w="3695" w:type="dxa"/>
            <w:vAlign w:val="top"/>
          </w:tcPr>
          <w:p>
            <w:pPr>
              <w:pStyle w:val="78"/>
              <w:spacing w:before="167"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项目</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167" w:line="221"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单位</w:t>
            </w:r>
          </w:p>
        </w:tc>
        <w:tc>
          <w:tcPr>
            <w:tcW w:w="2146" w:type="dxa"/>
            <w:vAlign w:val="top"/>
          </w:tcPr>
          <w:p>
            <w:pPr>
              <w:pStyle w:val="78"/>
              <w:spacing w:before="168"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参数值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4"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695" w:type="dxa"/>
            <w:vAlign w:val="top"/>
          </w:tcPr>
          <w:p>
            <w:pPr>
              <w:pStyle w:val="78"/>
              <w:spacing w:before="165" w:line="22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249" w:line="149"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spacing w:before="204" w:line="188"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rPr>
              <w:t>6230</w:t>
            </w:r>
            <w:r>
              <w:rPr>
                <w:rFonts w:hint="eastAsia" w:ascii="宋体" w:hAnsi="宋体" w:cs="宋体"/>
                <w:color w:val="auto"/>
                <w:spacing w:val="-3"/>
                <w:sz w:val="21"/>
                <w:szCs w:val="21"/>
                <w:highlight w:val="none"/>
                <w:lang w:eastAsia="zh-CN"/>
              </w:rPr>
              <w:t>（</w:t>
            </w:r>
            <w:r>
              <w:rPr>
                <w:rFonts w:hint="eastAsia" w:ascii="宋体" w:hAnsi="宋体" w:cs="宋体"/>
                <w:color w:val="auto"/>
                <w:spacing w:val="-3"/>
                <w:sz w:val="21"/>
                <w:szCs w:val="21"/>
                <w:highlight w:val="none"/>
                <w:lang w:val="en-US" w:eastAsia="zh-CN"/>
              </w:rPr>
              <w:t>误差±20</w:t>
            </w:r>
            <w:r>
              <w:rPr>
                <w:rFonts w:hint="eastAsia" w:ascii="宋体" w:hAnsi="宋体" w:cs="宋体"/>
                <w:color w:val="auto"/>
                <w:spacing w:val="-3"/>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695" w:type="dxa"/>
            <w:vAlign w:val="top"/>
          </w:tcPr>
          <w:p>
            <w:pPr>
              <w:pStyle w:val="78"/>
              <w:spacing w:before="164"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宽</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248" w:line="149"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2450</w:t>
            </w:r>
            <w:r>
              <w:rPr>
                <w:rFonts w:hint="eastAsia" w:ascii="宋体" w:hAnsi="宋体" w:cs="宋体"/>
                <w:color w:val="auto"/>
                <w:spacing w:val="-3"/>
                <w:sz w:val="21"/>
                <w:szCs w:val="21"/>
                <w:highlight w:val="none"/>
                <w:lang w:eastAsia="zh-CN"/>
              </w:rPr>
              <w:t>（</w:t>
            </w:r>
            <w:r>
              <w:rPr>
                <w:rFonts w:hint="eastAsia" w:ascii="宋体" w:hAnsi="宋体" w:cs="宋体"/>
                <w:color w:val="auto"/>
                <w:spacing w:val="-3"/>
                <w:sz w:val="21"/>
                <w:szCs w:val="21"/>
                <w:highlight w:val="none"/>
                <w:lang w:val="en-US" w:eastAsia="zh-CN"/>
              </w:rPr>
              <w:t>误差±20</w:t>
            </w:r>
            <w:r>
              <w:rPr>
                <w:rFonts w:hint="eastAsia" w:ascii="宋体" w:hAnsi="宋体" w:cs="宋体"/>
                <w:color w:val="auto"/>
                <w:spacing w:val="-3"/>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5"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695" w:type="dxa"/>
            <w:vAlign w:val="top"/>
          </w:tcPr>
          <w:p>
            <w:pPr>
              <w:pStyle w:val="78"/>
              <w:spacing w:before="165"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250" w:line="148"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spacing w:before="205"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2425</w:t>
            </w:r>
            <w:r>
              <w:rPr>
                <w:rFonts w:hint="eastAsia" w:ascii="宋体" w:hAnsi="宋体" w:cs="宋体"/>
                <w:color w:val="auto"/>
                <w:spacing w:val="-3"/>
                <w:sz w:val="21"/>
                <w:szCs w:val="21"/>
                <w:highlight w:val="none"/>
                <w:lang w:eastAsia="zh-CN"/>
              </w:rPr>
              <w:t>（</w:t>
            </w:r>
            <w:r>
              <w:rPr>
                <w:rFonts w:hint="eastAsia" w:ascii="宋体" w:hAnsi="宋体" w:cs="宋体"/>
                <w:color w:val="auto"/>
                <w:spacing w:val="-3"/>
                <w:sz w:val="21"/>
                <w:szCs w:val="21"/>
                <w:highlight w:val="none"/>
                <w:lang w:val="en-US" w:eastAsia="zh-CN"/>
              </w:rPr>
              <w:t>误差±20</w:t>
            </w:r>
            <w:r>
              <w:rPr>
                <w:rFonts w:hint="eastAsia" w:ascii="宋体" w:hAnsi="宋体" w:cs="宋体"/>
                <w:color w:val="auto"/>
                <w:spacing w:val="-3"/>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695" w:type="dxa"/>
            <w:vAlign w:val="top"/>
          </w:tcPr>
          <w:p>
            <w:pPr>
              <w:pStyle w:val="78"/>
              <w:spacing w:before="164"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钩心离高度</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249" w:line="148"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9" w:line="185"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695" w:type="dxa"/>
            <w:vAlign w:val="top"/>
          </w:tcPr>
          <w:p>
            <w:pPr>
              <w:pStyle w:val="78"/>
              <w:spacing w:before="163"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底梁外宽</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248" w:line="148"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spacing w:before="205"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3" w:type="dxa"/>
            <w:vAlign w:val="top"/>
          </w:tcPr>
          <w:p>
            <w:pPr>
              <w:spacing w:before="233"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695" w:type="dxa"/>
            <w:vAlign w:val="top"/>
          </w:tcPr>
          <w:p>
            <w:pPr>
              <w:pStyle w:val="78"/>
              <w:spacing w:before="38" w:line="223" w:lineRule="auto"/>
              <w:ind w:right="413"/>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箱体顶板厚度</w:t>
            </w:r>
            <w:r>
              <w:rPr>
                <w:rFonts w:hint="eastAsia" w:ascii="宋体" w:hAnsi="宋体" w:eastAsia="宋体" w:cs="宋体"/>
                <w:color w:val="auto"/>
                <w:spacing w:val="-7"/>
                <w:sz w:val="21"/>
                <w:szCs w:val="21"/>
                <w:highlight w:val="none"/>
              </w:rPr>
              <w:t>（材料</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7"/>
                <w:sz w:val="21"/>
                <w:szCs w:val="21"/>
                <w:highlight w:val="none"/>
              </w:rPr>
              <w:t>Q345）</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line="241" w:lineRule="auto"/>
              <w:jc w:val="center"/>
              <w:textAlignment w:val="auto"/>
              <w:rPr>
                <w:rFonts w:hint="eastAsia" w:ascii="宋体" w:hAnsi="宋体" w:eastAsia="宋体" w:cs="宋体"/>
                <w:color w:val="auto"/>
                <w:sz w:val="21"/>
                <w:szCs w:val="21"/>
                <w:highlight w:val="none"/>
              </w:rPr>
            </w:pPr>
          </w:p>
          <w:p>
            <w:pPr>
              <w:pStyle w:val="78"/>
              <w:keepNext w:val="0"/>
              <w:keepLines w:val="0"/>
              <w:pageBreakBefore w:val="0"/>
              <w:widowControl/>
              <w:kinsoku/>
              <w:wordWrap/>
              <w:overflowPunct/>
              <w:topLinePunct w:val="0"/>
              <w:autoSpaceDE/>
              <w:autoSpaceDN/>
              <w:bidi w:val="0"/>
              <w:adjustRightInd w:val="0"/>
              <w:snapToGrid w:val="0"/>
              <w:spacing w:before="36" w:line="148"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pStyle w:val="78"/>
              <w:spacing w:before="193" w:line="237"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3" w:type="dxa"/>
            <w:vAlign w:val="top"/>
          </w:tcPr>
          <w:p>
            <w:pPr>
              <w:spacing w:before="239" w:line="185"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695" w:type="dxa"/>
            <w:vAlign w:val="top"/>
          </w:tcPr>
          <w:p>
            <w:pPr>
              <w:pStyle w:val="78"/>
              <w:spacing w:before="38" w:line="223" w:lineRule="auto"/>
              <w:ind w:right="21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箱体侧板和底板厚</w:t>
            </w:r>
            <w:r>
              <w:rPr>
                <w:rFonts w:hint="eastAsia" w:ascii="宋体" w:hAnsi="宋体" w:eastAsia="宋体" w:cs="宋体"/>
                <w:color w:val="auto"/>
                <w:spacing w:val="-3"/>
                <w:sz w:val="21"/>
                <w:szCs w:val="21"/>
                <w:highlight w:val="none"/>
              </w:rPr>
              <w:t>度(材料</w:t>
            </w:r>
            <w:r>
              <w:rPr>
                <w:rFonts w:hint="eastAsia" w:ascii="宋体" w:hAnsi="宋体" w:eastAsia="宋体" w:cs="宋体"/>
                <w:color w:val="auto"/>
                <w:spacing w:val="-44"/>
                <w:sz w:val="21"/>
                <w:szCs w:val="21"/>
                <w:highlight w:val="none"/>
              </w:rPr>
              <w:t xml:space="preserve"> </w:t>
            </w:r>
            <w:r>
              <w:rPr>
                <w:rFonts w:hint="eastAsia" w:ascii="宋体" w:hAnsi="宋体" w:eastAsia="宋体" w:cs="宋体"/>
                <w:color w:val="auto"/>
                <w:spacing w:val="-3"/>
                <w:sz w:val="21"/>
                <w:szCs w:val="21"/>
                <w:highlight w:val="none"/>
              </w:rPr>
              <w:t>Q345)</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line="241" w:lineRule="auto"/>
              <w:jc w:val="center"/>
              <w:textAlignment w:val="auto"/>
              <w:rPr>
                <w:rFonts w:hint="eastAsia" w:ascii="宋体" w:hAnsi="宋体" w:eastAsia="宋体" w:cs="宋体"/>
                <w:color w:val="auto"/>
                <w:sz w:val="21"/>
                <w:szCs w:val="21"/>
                <w:highlight w:val="none"/>
              </w:rPr>
            </w:pPr>
          </w:p>
          <w:p>
            <w:pPr>
              <w:pStyle w:val="78"/>
              <w:keepNext w:val="0"/>
              <w:keepLines w:val="0"/>
              <w:pageBreakBefore w:val="0"/>
              <w:widowControl/>
              <w:kinsoku/>
              <w:wordWrap/>
              <w:overflowPunct/>
              <w:topLinePunct w:val="0"/>
              <w:autoSpaceDE/>
              <w:autoSpaceDN/>
              <w:bidi w:val="0"/>
              <w:adjustRightInd w:val="0"/>
              <w:snapToGrid w:val="0"/>
              <w:spacing w:before="36" w:line="149"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1"/>
                <w:w w:val="175"/>
                <w:position w:val="1"/>
                <w:sz w:val="21"/>
                <w:szCs w:val="21"/>
                <w:highlight w:val="none"/>
              </w:rPr>
              <w:t>㎜</w:t>
            </w:r>
          </w:p>
        </w:tc>
        <w:tc>
          <w:tcPr>
            <w:tcW w:w="2146" w:type="dxa"/>
            <w:vAlign w:val="top"/>
          </w:tcPr>
          <w:p>
            <w:pPr>
              <w:pStyle w:val="78"/>
              <w:spacing w:before="194" w:line="223"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≥5和</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50"/>
                <w:sz w:val="21"/>
                <w:szCs w:val="21"/>
                <w:highlight w:val="none"/>
              </w:rPr>
              <w:t xml:space="preserve"> </w:t>
            </w:r>
            <w:r>
              <w:rPr>
                <w:rFonts w:hint="eastAsia" w:ascii="宋体" w:hAnsi="宋体" w:eastAsia="宋体" w:cs="宋体"/>
                <w:color w:val="auto"/>
                <w:spacing w:val="-9"/>
                <w:sz w:val="21"/>
                <w:szCs w:val="21"/>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8"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3695" w:type="dxa"/>
            <w:vAlign w:val="top"/>
          </w:tcPr>
          <w:p>
            <w:pPr>
              <w:pStyle w:val="78"/>
              <w:spacing w:before="166"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垃圾箱容积</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184" w:line="209"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3"/>
                <w:sz w:val="21"/>
                <w:szCs w:val="21"/>
                <w:highlight w:val="none"/>
              </w:rPr>
              <w:t>m</w:t>
            </w:r>
            <w:r>
              <w:rPr>
                <w:rFonts w:hint="eastAsia" w:ascii="宋体" w:hAnsi="宋体" w:eastAsia="宋体" w:cs="宋体"/>
                <w:color w:val="auto"/>
                <w:spacing w:val="-1"/>
                <w:position w:val="4"/>
                <w:sz w:val="21"/>
                <w:szCs w:val="21"/>
                <w:highlight w:val="none"/>
              </w:rPr>
              <w:t>3</w:t>
            </w:r>
          </w:p>
        </w:tc>
        <w:tc>
          <w:tcPr>
            <w:tcW w:w="2146" w:type="dxa"/>
            <w:vAlign w:val="top"/>
          </w:tcPr>
          <w:p>
            <w:pPr>
              <w:pStyle w:val="78"/>
              <w:spacing w:before="165" w:line="237"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3695" w:type="dxa"/>
            <w:vAlign w:val="top"/>
          </w:tcPr>
          <w:p>
            <w:pPr>
              <w:pStyle w:val="78"/>
              <w:spacing w:before="167"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上料斗容积</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185" w:line="207"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3"/>
                <w:sz w:val="21"/>
                <w:szCs w:val="21"/>
                <w:highlight w:val="none"/>
              </w:rPr>
              <w:t>m</w:t>
            </w:r>
            <w:r>
              <w:rPr>
                <w:rFonts w:hint="eastAsia" w:ascii="宋体" w:hAnsi="宋体" w:eastAsia="宋体" w:cs="宋体"/>
                <w:color w:val="auto"/>
                <w:spacing w:val="-1"/>
                <w:position w:val="4"/>
                <w:sz w:val="21"/>
                <w:szCs w:val="21"/>
                <w:highlight w:val="none"/>
              </w:rPr>
              <w:t>3</w:t>
            </w:r>
          </w:p>
        </w:tc>
        <w:tc>
          <w:tcPr>
            <w:tcW w:w="2146"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4"/>
                <w:sz w:val="21"/>
                <w:szCs w:val="21"/>
                <w:highlight w:val="none"/>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8"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10</w:t>
            </w:r>
          </w:p>
        </w:tc>
        <w:tc>
          <w:tcPr>
            <w:tcW w:w="3695" w:type="dxa"/>
            <w:vAlign w:val="top"/>
          </w:tcPr>
          <w:p>
            <w:pPr>
              <w:pStyle w:val="78"/>
              <w:spacing w:before="166"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压实密度</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131" w:line="315"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1"/>
                <w:sz w:val="21"/>
                <w:szCs w:val="21"/>
                <w:highlight w:val="none"/>
              </w:rPr>
              <w:t>T/ m</w:t>
            </w:r>
            <w:r>
              <w:rPr>
                <w:rFonts w:hint="eastAsia" w:ascii="宋体" w:hAnsi="宋体" w:eastAsia="宋体" w:cs="宋体"/>
                <w:color w:val="auto"/>
                <w:spacing w:val="-2"/>
                <w:position w:val="8"/>
                <w:sz w:val="21"/>
                <w:szCs w:val="21"/>
                <w:highlight w:val="none"/>
              </w:rPr>
              <w:t>3</w:t>
            </w:r>
          </w:p>
        </w:tc>
        <w:tc>
          <w:tcPr>
            <w:tcW w:w="2146" w:type="dxa"/>
            <w:vAlign w:val="top"/>
          </w:tcPr>
          <w:p>
            <w:pPr>
              <w:pStyle w:val="78"/>
              <w:spacing w:before="167" w:line="23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11</w:t>
            </w:r>
          </w:p>
        </w:tc>
        <w:tc>
          <w:tcPr>
            <w:tcW w:w="3695" w:type="dxa"/>
            <w:vAlign w:val="top"/>
          </w:tcPr>
          <w:p>
            <w:pPr>
              <w:pStyle w:val="78"/>
              <w:spacing w:before="166" w:line="21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最大压缩力</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11" w:line="185"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Kn</w:t>
            </w:r>
          </w:p>
        </w:tc>
        <w:tc>
          <w:tcPr>
            <w:tcW w:w="2146" w:type="dxa"/>
            <w:vAlign w:val="top"/>
          </w:tcPr>
          <w:p>
            <w:pPr>
              <w:pStyle w:val="78"/>
              <w:spacing w:before="165" w:line="237"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12</w:t>
            </w:r>
          </w:p>
        </w:tc>
        <w:tc>
          <w:tcPr>
            <w:tcW w:w="3695" w:type="dxa"/>
            <w:vAlign w:val="top"/>
          </w:tcPr>
          <w:p>
            <w:pPr>
              <w:pStyle w:val="78"/>
              <w:spacing w:before="167" w:line="21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压缩腔内耐磨导轨</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166" w:line="221"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p>
        </w:tc>
        <w:tc>
          <w:tcPr>
            <w:tcW w:w="2146" w:type="dxa"/>
            <w:vAlign w:val="top"/>
          </w:tcPr>
          <w:p>
            <w:pPr>
              <w:pStyle w:val="78"/>
              <w:spacing w:before="166"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13</w:t>
            </w:r>
          </w:p>
        </w:tc>
        <w:tc>
          <w:tcPr>
            <w:tcW w:w="3695" w:type="dxa"/>
            <w:vAlign w:val="top"/>
          </w:tcPr>
          <w:p>
            <w:pPr>
              <w:pStyle w:val="78"/>
              <w:spacing w:before="165"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箱体自重</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07" w:line="188"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KG</w:t>
            </w:r>
          </w:p>
        </w:tc>
        <w:tc>
          <w:tcPr>
            <w:tcW w:w="2146" w:type="dxa"/>
            <w:vAlign w:val="top"/>
          </w:tcPr>
          <w:p>
            <w:pPr>
              <w:pStyle w:val="78"/>
              <w:spacing w:before="165" w:line="237"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6"/>
                <w:sz w:val="21"/>
                <w:szCs w:val="21"/>
                <w:highlight w:val="none"/>
              </w:rPr>
              <w:t>5800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14</w:t>
            </w:r>
          </w:p>
        </w:tc>
        <w:tc>
          <w:tcPr>
            <w:tcW w:w="3695" w:type="dxa"/>
            <w:vAlign w:val="top"/>
          </w:tcPr>
          <w:p>
            <w:pPr>
              <w:pStyle w:val="78"/>
              <w:spacing w:before="129" w:line="361"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8"/>
                <w:position w:val="2"/>
                <w:sz w:val="21"/>
                <w:szCs w:val="21"/>
                <w:highlight w:val="none"/>
              </w:rPr>
              <w:t>电源/功率</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129" w:line="315"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380V/50HZ/7.5KW</w:t>
            </w:r>
          </w:p>
        </w:tc>
        <w:tc>
          <w:tcPr>
            <w:tcW w:w="2146" w:type="dxa"/>
            <w:vAlign w:val="top"/>
          </w:tcPr>
          <w:p>
            <w:pPr>
              <w:spacing w:before="129" w:line="315" w:lineRule="exact"/>
              <w:ind w:left="116"/>
              <w:jc w:val="center"/>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380V/50HZ/7.5KW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8"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15</w:t>
            </w:r>
          </w:p>
        </w:tc>
        <w:tc>
          <w:tcPr>
            <w:tcW w:w="3695" w:type="dxa"/>
            <w:vAlign w:val="top"/>
          </w:tcPr>
          <w:p>
            <w:pPr>
              <w:pStyle w:val="78"/>
              <w:spacing w:before="166"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空载压装循环时间</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60" w:line="164"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w:t>
            </w:r>
          </w:p>
        </w:tc>
        <w:tc>
          <w:tcPr>
            <w:tcW w:w="2146" w:type="dxa"/>
            <w:vAlign w:val="top"/>
          </w:tcPr>
          <w:p>
            <w:pPr>
              <w:spacing w:before="208"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5"/>
                <w:sz w:val="21"/>
                <w:szCs w:val="21"/>
                <w:highlight w:val="none"/>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16</w:t>
            </w:r>
          </w:p>
        </w:tc>
        <w:tc>
          <w:tcPr>
            <w:tcW w:w="3695" w:type="dxa"/>
            <w:vAlign w:val="top"/>
          </w:tcPr>
          <w:p>
            <w:pPr>
              <w:pStyle w:val="78"/>
              <w:spacing w:before="166" w:line="21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上料机构循环时间</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59" w:line="164"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w:t>
            </w:r>
          </w:p>
        </w:tc>
        <w:tc>
          <w:tcPr>
            <w:tcW w:w="2146"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3"/>
                <w:sz w:val="21"/>
                <w:szCs w:val="21"/>
                <w:highlight w:val="none"/>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6"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17</w:t>
            </w:r>
          </w:p>
        </w:tc>
        <w:tc>
          <w:tcPr>
            <w:tcW w:w="3695" w:type="dxa"/>
            <w:vAlign w:val="top"/>
          </w:tcPr>
          <w:p>
            <w:pPr>
              <w:pStyle w:val="78"/>
              <w:spacing w:before="166" w:line="222"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噪音</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166" w:line="221"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分贝</w:t>
            </w:r>
          </w:p>
        </w:tc>
        <w:tc>
          <w:tcPr>
            <w:tcW w:w="2146" w:type="dxa"/>
            <w:vAlign w:val="top"/>
          </w:tcPr>
          <w:p>
            <w:pPr>
              <w:pStyle w:val="78"/>
              <w:spacing w:before="166" w:line="237"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18</w:t>
            </w:r>
          </w:p>
        </w:tc>
        <w:tc>
          <w:tcPr>
            <w:tcW w:w="3695" w:type="dxa"/>
            <w:vAlign w:val="top"/>
          </w:tcPr>
          <w:p>
            <w:pPr>
              <w:pStyle w:val="78"/>
              <w:spacing w:before="166"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推头有效面积</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166" w:line="22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平方毫米</w:t>
            </w:r>
          </w:p>
        </w:tc>
        <w:tc>
          <w:tcPr>
            <w:tcW w:w="2146"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476x1900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19</w:t>
            </w:r>
          </w:p>
        </w:tc>
        <w:tc>
          <w:tcPr>
            <w:tcW w:w="3695" w:type="dxa"/>
            <w:vAlign w:val="top"/>
          </w:tcPr>
          <w:p>
            <w:pPr>
              <w:pStyle w:val="78"/>
              <w:spacing w:before="168"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后轮外宽</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60" w:line="164"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mm</w:t>
            </w:r>
          </w:p>
        </w:tc>
        <w:tc>
          <w:tcPr>
            <w:tcW w:w="2146" w:type="dxa"/>
            <w:vAlign w:val="top"/>
          </w:tcPr>
          <w:p>
            <w:pPr>
              <w:spacing w:before="207"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2150</w:t>
            </w:r>
            <w:r>
              <w:rPr>
                <w:rFonts w:hint="eastAsia" w:ascii="宋体" w:hAnsi="宋体" w:cs="宋体"/>
                <w:color w:val="auto"/>
                <w:spacing w:val="-3"/>
                <w:sz w:val="21"/>
                <w:szCs w:val="21"/>
                <w:highlight w:val="none"/>
                <w:lang w:eastAsia="zh-CN"/>
              </w:rPr>
              <w:t>（</w:t>
            </w:r>
            <w:r>
              <w:rPr>
                <w:rFonts w:hint="eastAsia" w:ascii="宋体" w:hAnsi="宋体" w:cs="宋体"/>
                <w:color w:val="auto"/>
                <w:spacing w:val="-3"/>
                <w:sz w:val="21"/>
                <w:szCs w:val="21"/>
                <w:highlight w:val="none"/>
                <w:lang w:val="en-US" w:eastAsia="zh-CN"/>
              </w:rPr>
              <w:t>误差±20</w:t>
            </w:r>
            <w:r>
              <w:rPr>
                <w:rFonts w:hint="eastAsia" w:ascii="宋体" w:hAnsi="宋体" w:cs="宋体"/>
                <w:color w:val="auto"/>
                <w:spacing w:val="-3"/>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33" w:type="dxa"/>
            <w:vAlign w:val="top"/>
          </w:tcPr>
          <w:p>
            <w:pPr>
              <w:spacing w:before="209"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w:t>
            </w:r>
          </w:p>
        </w:tc>
        <w:tc>
          <w:tcPr>
            <w:tcW w:w="3695" w:type="dxa"/>
            <w:vAlign w:val="top"/>
          </w:tcPr>
          <w:p>
            <w:pPr>
              <w:pStyle w:val="78"/>
              <w:spacing w:before="167"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后门锁紧方式</w:t>
            </w:r>
          </w:p>
        </w:tc>
        <w:tc>
          <w:tcPr>
            <w:tcW w:w="1752" w:type="dxa"/>
            <w:vAlign w:val="top"/>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highlight w:val="none"/>
              </w:rPr>
            </w:pPr>
          </w:p>
        </w:tc>
        <w:tc>
          <w:tcPr>
            <w:tcW w:w="2146" w:type="dxa"/>
            <w:vAlign w:val="top"/>
          </w:tcPr>
          <w:p>
            <w:pPr>
              <w:pStyle w:val="78"/>
              <w:spacing w:before="167"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自动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3" w:type="dxa"/>
            <w:vAlign w:val="top"/>
          </w:tcPr>
          <w:p>
            <w:pPr>
              <w:spacing w:before="209"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21</w:t>
            </w:r>
          </w:p>
        </w:tc>
        <w:tc>
          <w:tcPr>
            <w:tcW w:w="3695" w:type="dxa"/>
            <w:vAlign w:val="top"/>
          </w:tcPr>
          <w:p>
            <w:pPr>
              <w:pStyle w:val="78"/>
              <w:spacing w:before="169" w:line="221"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电控系统</w:t>
            </w:r>
          </w:p>
        </w:tc>
        <w:tc>
          <w:tcPr>
            <w:tcW w:w="1752" w:type="dxa"/>
            <w:vAlign w:val="top"/>
          </w:tcPr>
          <w:p>
            <w:pPr>
              <w:pStyle w:val="78"/>
              <w:keepNext w:val="0"/>
              <w:keepLines w:val="0"/>
              <w:pageBreakBefore w:val="0"/>
              <w:widowControl/>
              <w:kinsoku/>
              <w:wordWrap/>
              <w:overflowPunct/>
              <w:topLinePunct w:val="0"/>
              <w:autoSpaceDE/>
              <w:autoSpaceDN/>
              <w:bidi w:val="0"/>
              <w:adjustRightInd w:val="0"/>
              <w:snapToGrid w:val="0"/>
              <w:spacing w:before="169" w:line="22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双泵</w:t>
            </w:r>
          </w:p>
        </w:tc>
        <w:tc>
          <w:tcPr>
            <w:tcW w:w="2146" w:type="dxa"/>
            <w:vAlign w:val="top"/>
          </w:tcPr>
          <w:p>
            <w:pPr>
              <w:pStyle w:val="78"/>
              <w:spacing w:before="169"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微处理器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33" w:type="dxa"/>
            <w:vAlign w:val="top"/>
          </w:tcPr>
          <w:p>
            <w:pPr>
              <w:spacing w:before="239"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22</w:t>
            </w:r>
          </w:p>
        </w:tc>
        <w:tc>
          <w:tcPr>
            <w:tcW w:w="3695" w:type="dxa"/>
            <w:vAlign w:val="top"/>
          </w:tcPr>
          <w:p>
            <w:pPr>
              <w:pStyle w:val="78"/>
              <w:spacing w:before="40" w:line="224" w:lineRule="auto"/>
              <w:ind w:right="21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翻转架额定起重重</w:t>
            </w:r>
            <w:r>
              <w:rPr>
                <w:rFonts w:hint="eastAsia" w:ascii="宋体" w:hAnsi="宋体" w:eastAsia="宋体" w:cs="宋体"/>
                <w:color w:val="auto"/>
                <w:sz w:val="21"/>
                <w:szCs w:val="21"/>
                <w:highlight w:val="none"/>
              </w:rPr>
              <w:t>量</w:t>
            </w:r>
          </w:p>
        </w:tc>
        <w:tc>
          <w:tcPr>
            <w:tcW w:w="1752" w:type="dxa"/>
            <w:vAlign w:val="top"/>
          </w:tcPr>
          <w:p>
            <w:pPr>
              <w:keepNext w:val="0"/>
              <w:keepLines w:val="0"/>
              <w:pageBreakBefore w:val="0"/>
              <w:widowControl/>
              <w:kinsoku/>
              <w:wordWrap/>
              <w:overflowPunct/>
              <w:topLinePunct w:val="0"/>
              <w:autoSpaceDE/>
              <w:autoSpaceDN/>
              <w:bidi w:val="0"/>
              <w:adjustRightInd w:val="0"/>
              <w:snapToGrid w:val="0"/>
              <w:spacing w:before="239" w:line="188"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KG</w:t>
            </w:r>
          </w:p>
        </w:tc>
        <w:tc>
          <w:tcPr>
            <w:tcW w:w="2146" w:type="dxa"/>
            <w:vAlign w:val="top"/>
          </w:tcPr>
          <w:p>
            <w:pPr>
              <w:spacing w:before="239" w:line="1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2000</w:t>
            </w:r>
            <w:r>
              <w:rPr>
                <w:rFonts w:hint="eastAsia" w:ascii="宋体" w:hAnsi="宋体" w:cs="宋体"/>
                <w:color w:val="auto"/>
                <w:spacing w:val="-3"/>
                <w:sz w:val="21"/>
                <w:szCs w:val="21"/>
                <w:highlight w:val="none"/>
                <w:lang w:eastAsia="zh-CN"/>
              </w:rPr>
              <w:t>（</w:t>
            </w:r>
            <w:r>
              <w:rPr>
                <w:rFonts w:hint="eastAsia" w:ascii="宋体" w:hAnsi="宋体" w:cs="宋体"/>
                <w:color w:val="auto"/>
                <w:spacing w:val="-3"/>
                <w:sz w:val="21"/>
                <w:szCs w:val="21"/>
                <w:highlight w:val="none"/>
                <w:lang w:val="en-US" w:eastAsia="zh-CN"/>
              </w:rPr>
              <w:t>误差±20</w:t>
            </w:r>
            <w:r>
              <w:rPr>
                <w:rFonts w:hint="eastAsia" w:ascii="宋体" w:hAnsi="宋体" w:cs="宋体"/>
                <w:color w:val="auto"/>
                <w:spacing w:val="-3"/>
                <w:sz w:val="21"/>
                <w:szCs w:val="21"/>
                <w:highlight w:val="none"/>
                <w:lang w:eastAsia="zh-CN"/>
              </w:rPr>
              <w:t>）</w:t>
            </w:r>
          </w:p>
        </w:tc>
      </w:tr>
    </w:tbl>
    <w:p>
      <w:pPr>
        <w:bidi w:val="0"/>
        <w:rPr>
          <w:rFonts w:hint="eastAsia"/>
          <w:color w:val="auto"/>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ascii="宋体" w:hAnsi="宋体" w:cs="Times New Roman"/>
          <w:b/>
          <w:bCs/>
          <w:color w:val="auto"/>
          <w:szCs w:val="21"/>
          <w:highlight w:val="none"/>
        </w:rPr>
      </w:pPr>
      <w:r>
        <w:rPr>
          <w:rFonts w:hint="eastAsia"/>
          <w:color w:val="auto"/>
          <w:highlight w:val="none"/>
          <w:lang w:val="en-US" w:eastAsia="zh-CN"/>
        </w:rPr>
        <w:t>三</w:t>
      </w:r>
      <w:r>
        <w:rPr>
          <w:rFonts w:hint="eastAsia"/>
          <w:color w:val="auto"/>
          <w:highlight w:val="none"/>
        </w:rPr>
        <w:t>、</w:t>
      </w:r>
      <w:r>
        <w:rPr>
          <w:rFonts w:hint="eastAsia"/>
          <w:color w:val="auto"/>
          <w:highlight w:val="none"/>
          <w:lang w:val="en-US" w:eastAsia="zh-CN"/>
        </w:rPr>
        <w:t>其它要求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3、对于影响货物</w:t>
      </w:r>
      <w:bookmarkStart w:id="385" w:name="_GoBack"/>
      <w:bookmarkEnd w:id="385"/>
      <w:r>
        <w:rPr>
          <w:rFonts w:hint="eastAsia"/>
          <w:color w:val="auto"/>
          <w:sz w:val="21"/>
          <w:szCs w:val="21"/>
          <w:highlight w:val="none"/>
          <w:lang w:val="en-US"/>
        </w:rPr>
        <w:t xml:space="preserve">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bidi w:val="0"/>
        <w:rPr>
          <w:rFonts w:hint="eastAsia"/>
          <w:color w:val="auto"/>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2"/>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4"/>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8"/>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17761"/>
      <w:bookmarkStart w:id="223" w:name="_Toc22970"/>
      <w:bookmarkStart w:id="224" w:name="_Toc20910"/>
      <w:bookmarkStart w:id="225" w:name="_Toc509479530"/>
      <w:bookmarkStart w:id="226" w:name="_Toc508958703"/>
      <w:bookmarkStart w:id="227" w:name="_Toc30247"/>
      <w:bookmarkStart w:id="228" w:name="_Toc30277"/>
      <w:bookmarkStart w:id="229" w:name="_Toc509927455"/>
      <w:bookmarkStart w:id="230" w:name="_Toc508960153"/>
      <w:bookmarkStart w:id="231" w:name="_Toc510171693"/>
      <w:bookmarkStart w:id="232" w:name="_Toc508898066"/>
      <w:bookmarkStart w:id="233" w:name="_Toc509844825"/>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31520"/>
      <w:bookmarkStart w:id="235" w:name="_Toc28527"/>
      <w:bookmarkStart w:id="236" w:name="_Toc5447"/>
      <w:bookmarkStart w:id="237" w:name="_Toc509479531"/>
      <w:bookmarkStart w:id="238" w:name="_Toc508958704"/>
      <w:bookmarkStart w:id="239" w:name="_Toc508960154"/>
      <w:bookmarkStart w:id="240" w:name="_Toc509927456"/>
      <w:bookmarkStart w:id="241" w:name="_Toc21053"/>
      <w:bookmarkStart w:id="242" w:name="_Toc509844826"/>
      <w:bookmarkStart w:id="243" w:name="_Toc510171694"/>
      <w:bookmarkStart w:id="244" w:name="_Toc26216"/>
      <w:bookmarkStart w:id="245"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479532"/>
      <w:bookmarkStart w:id="247" w:name="_Toc14653"/>
      <w:bookmarkStart w:id="248" w:name="_Toc509927457"/>
      <w:bookmarkStart w:id="249" w:name="_Toc510171695"/>
      <w:bookmarkStart w:id="250" w:name="_Toc28126"/>
      <w:bookmarkStart w:id="251" w:name="_Toc9148"/>
      <w:bookmarkStart w:id="252" w:name="_Toc508958705"/>
      <w:bookmarkStart w:id="253" w:name="_Toc508960155"/>
      <w:bookmarkStart w:id="254" w:name="_Toc28626"/>
      <w:bookmarkStart w:id="255" w:name="_Toc508898068"/>
      <w:bookmarkStart w:id="256" w:name="_Toc509844827"/>
      <w:bookmarkStart w:id="257" w:name="_Toc248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2981"/>
      <w:bookmarkStart w:id="259" w:name="_Toc509844828"/>
      <w:bookmarkStart w:id="260" w:name="_Toc509927458"/>
      <w:bookmarkStart w:id="261" w:name="_Toc9837"/>
      <w:bookmarkStart w:id="262" w:name="_Toc508898069"/>
      <w:bookmarkStart w:id="263" w:name="_Toc7858"/>
      <w:bookmarkStart w:id="264" w:name="_Toc509479533"/>
      <w:bookmarkStart w:id="265" w:name="_Toc510171696"/>
      <w:bookmarkStart w:id="266" w:name="_Toc28686"/>
      <w:bookmarkStart w:id="267" w:name="_Toc28044"/>
      <w:bookmarkStart w:id="268" w:name="_Toc508958706"/>
      <w:bookmarkStart w:id="269"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289"/>
      <w:bookmarkStart w:id="271" w:name="_Toc508898070"/>
      <w:bookmarkStart w:id="272" w:name="_Toc509927459"/>
      <w:bookmarkStart w:id="273" w:name="_Toc510171697"/>
      <w:bookmarkStart w:id="274" w:name="_Toc18843"/>
      <w:bookmarkStart w:id="275" w:name="_Toc509479534"/>
      <w:bookmarkStart w:id="276" w:name="_Toc509844829"/>
      <w:bookmarkStart w:id="277" w:name="_Toc508958707"/>
      <w:bookmarkStart w:id="278" w:name="_Toc50896015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24210"/>
      <w:bookmarkStart w:id="296" w:name="_Toc17470"/>
      <w:bookmarkStart w:id="297" w:name="_Toc1511"/>
      <w:bookmarkStart w:id="298" w:name="_Toc29995"/>
      <w:bookmarkStart w:id="299" w:name="_Toc28067"/>
      <w:bookmarkStart w:id="300" w:name="_Toc5919"/>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1274"/>
      <w:bookmarkStart w:id="321" w:name="_Toc4827"/>
      <w:bookmarkStart w:id="322" w:name="_Toc6080"/>
      <w:bookmarkStart w:id="323" w:name="_Toc26078"/>
      <w:bookmarkStart w:id="324" w:name="_Toc18668"/>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9642"/>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2448"/>
            <w:bookmarkStart w:id="331" w:name="_Toc27090"/>
            <w:bookmarkStart w:id="332" w:name="_Toc15368"/>
            <w:bookmarkStart w:id="333" w:name="_Toc14815"/>
            <w:bookmarkStart w:id="334" w:name="_Toc4304"/>
            <w:bookmarkStart w:id="335" w:name="_Toc15903"/>
            <w:bookmarkStart w:id="336" w:name="_Toc16872"/>
            <w:bookmarkStart w:id="337" w:name="_Toc21739"/>
            <w:bookmarkStart w:id="338" w:name="_Toc1016"/>
            <w:bookmarkStart w:id="339" w:name="_Toc10045"/>
            <w:bookmarkStart w:id="340" w:name="_Toc2700"/>
            <w:bookmarkStart w:id="341" w:name="_Toc12049"/>
            <w:bookmarkStart w:id="342" w:name="_Toc26124"/>
            <w:bookmarkStart w:id="343" w:name="_Toc22917"/>
            <w:bookmarkStart w:id="344" w:name="_Toc8490"/>
            <w:bookmarkStart w:id="345" w:name="_Toc8312"/>
            <w:bookmarkStart w:id="346" w:name="_Toc21809"/>
            <w:bookmarkStart w:id="347" w:name="_Toc27442"/>
            <w:bookmarkStart w:id="348" w:name="_Toc24662"/>
            <w:bookmarkStart w:id="349" w:name="_Toc22879"/>
            <w:bookmarkStart w:id="350" w:name="_Toc32531"/>
            <w:bookmarkStart w:id="351" w:name="_Toc19251"/>
            <w:bookmarkStart w:id="352" w:name="_Toc7333"/>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22153"/>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27185"/>
            <w:bookmarkStart w:id="360" w:name="_Toc3701"/>
            <w:bookmarkStart w:id="361" w:name="_Toc20139"/>
            <w:bookmarkStart w:id="362" w:name="_Toc5992"/>
            <w:bookmarkStart w:id="363" w:name="_Toc5563"/>
            <w:bookmarkStart w:id="364" w:name="_Toc1912"/>
            <w:bookmarkStart w:id="365" w:name="_Toc17642"/>
            <w:bookmarkStart w:id="366" w:name="_Toc17296"/>
            <w:bookmarkStart w:id="367" w:name="_Toc20820"/>
            <w:bookmarkStart w:id="368" w:name="_Toc1330"/>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005160"/>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0818BB"/>
    <w:rsid w:val="0A25628F"/>
    <w:rsid w:val="0A844C25"/>
    <w:rsid w:val="0AA534D5"/>
    <w:rsid w:val="0AA650EB"/>
    <w:rsid w:val="0AB8066A"/>
    <w:rsid w:val="0AF47339"/>
    <w:rsid w:val="0B22594B"/>
    <w:rsid w:val="0B797387"/>
    <w:rsid w:val="0B8B2381"/>
    <w:rsid w:val="0BC044BE"/>
    <w:rsid w:val="0BDF26F7"/>
    <w:rsid w:val="0BE34502"/>
    <w:rsid w:val="0BF027CF"/>
    <w:rsid w:val="0C231357"/>
    <w:rsid w:val="0C264099"/>
    <w:rsid w:val="0C2B4952"/>
    <w:rsid w:val="0C436DE4"/>
    <w:rsid w:val="0C7B2220"/>
    <w:rsid w:val="0D0E2900"/>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7EA6803"/>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2A5937"/>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7B4174"/>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14C18"/>
    <w:rsid w:val="31F915C9"/>
    <w:rsid w:val="320D643F"/>
    <w:rsid w:val="3236546E"/>
    <w:rsid w:val="32610CE6"/>
    <w:rsid w:val="32631A32"/>
    <w:rsid w:val="328464CE"/>
    <w:rsid w:val="32AB70C5"/>
    <w:rsid w:val="32B95807"/>
    <w:rsid w:val="32DC33E0"/>
    <w:rsid w:val="32E33A84"/>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745BF"/>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723636"/>
    <w:rsid w:val="3EAC0892"/>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5FA78F5"/>
    <w:rsid w:val="4611075B"/>
    <w:rsid w:val="46214818"/>
    <w:rsid w:val="467A0297"/>
    <w:rsid w:val="468B7125"/>
    <w:rsid w:val="46C4691F"/>
    <w:rsid w:val="46C7044A"/>
    <w:rsid w:val="476D6DBE"/>
    <w:rsid w:val="47841568"/>
    <w:rsid w:val="479D1D34"/>
    <w:rsid w:val="47B609C0"/>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81F06"/>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DC7334"/>
    <w:rsid w:val="54E72921"/>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85A6483"/>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2F2DE7"/>
    <w:rsid w:val="5D7C0213"/>
    <w:rsid w:val="5D893B14"/>
    <w:rsid w:val="5D9F3D30"/>
    <w:rsid w:val="5E2810D5"/>
    <w:rsid w:val="5E2B7D62"/>
    <w:rsid w:val="5E71411E"/>
    <w:rsid w:val="5EA06921"/>
    <w:rsid w:val="5ED5006A"/>
    <w:rsid w:val="5F576E4B"/>
    <w:rsid w:val="5F5D4EDE"/>
    <w:rsid w:val="5F7A2C30"/>
    <w:rsid w:val="5F7E5DBD"/>
    <w:rsid w:val="5F9D3430"/>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2666E8"/>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016C15"/>
    <w:rsid w:val="749A7854"/>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C33113"/>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322138"/>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autoRedefine/>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autoRedefine/>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semiHidden/>
    <w:unhideWhenUsed/>
    <w:qFormat/>
    <w:uiPriority w:val="99"/>
    <w:pPr>
      <w:ind w:firstLine="420" w:firstLineChars="200"/>
    </w:pPr>
  </w:style>
  <w:style w:type="paragraph" w:styleId="9">
    <w:name w:val="annotation text"/>
    <w:basedOn w:val="1"/>
    <w:autoRedefine/>
    <w:semiHidden/>
    <w:unhideWhenUsed/>
    <w:qFormat/>
    <w:uiPriority w:val="99"/>
  </w:style>
  <w:style w:type="paragraph" w:styleId="10">
    <w:name w:val="Body Text"/>
    <w:basedOn w:val="1"/>
    <w:next w:val="11"/>
    <w:autoRedefine/>
    <w:qFormat/>
    <w:uiPriority w:val="1"/>
    <w:pPr>
      <w:spacing w:before="161"/>
      <w:ind w:left="120"/>
    </w:pPr>
    <w:rPr>
      <w:rFonts w:ascii="宋体" w:hAnsi="宋体" w:cs="宋体"/>
      <w:sz w:val="24"/>
      <w:lang w:val="zh-CN" w:bidi="zh-CN"/>
    </w:rPr>
  </w:style>
  <w:style w:type="paragraph" w:styleId="11">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12">
    <w:name w:val="Body Text Indent"/>
    <w:basedOn w:val="1"/>
    <w:next w:val="13"/>
    <w:autoRedefine/>
    <w:qFormat/>
    <w:uiPriority w:val="0"/>
    <w:pPr>
      <w:ind w:left="270" w:leftChars="270"/>
    </w:pPr>
    <w:rPr>
      <w:rFonts w:ascii="Times New Roman" w:hAnsi="Times New Roman" w:eastAsia="宋体" w:cs="Times New Roman"/>
      <w:szCs w:val="20"/>
    </w:rPr>
  </w:style>
  <w:style w:type="paragraph" w:styleId="13">
    <w:name w:val="envelope return"/>
    <w:basedOn w:val="1"/>
    <w:autoRedefine/>
    <w:qFormat/>
    <w:uiPriority w:val="0"/>
    <w:rPr>
      <w:rFonts w:ascii="Arial" w:hAnsi="Arial"/>
    </w:rPr>
  </w:style>
  <w:style w:type="paragraph" w:styleId="14">
    <w:name w:val="toc 3"/>
    <w:basedOn w:val="1"/>
    <w:next w:val="1"/>
    <w:autoRedefine/>
    <w:unhideWhenUsed/>
    <w:qFormat/>
    <w:uiPriority w:val="39"/>
    <w:pPr>
      <w:tabs>
        <w:tab w:val="right" w:leader="dot" w:pos="8296"/>
      </w:tabs>
      <w:ind w:left="838" w:leftChars="381"/>
    </w:pPr>
    <w:rPr>
      <w:szCs w:val="21"/>
    </w:rPr>
  </w:style>
  <w:style w:type="paragraph" w:styleId="15">
    <w:name w:val="Plain Text"/>
    <w:basedOn w:val="1"/>
    <w:link w:val="51"/>
    <w:autoRedefine/>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autoRedefine/>
    <w:qFormat/>
    <w:uiPriority w:val="0"/>
    <w:pPr>
      <w:ind w:firstLine="539" w:firstLineChars="174"/>
    </w:pPr>
    <w:rPr>
      <w:rFonts w:ascii="仿宋_GB2312" w:eastAsia="仿宋_GB2312"/>
      <w:sz w:val="31"/>
    </w:rPr>
  </w:style>
  <w:style w:type="paragraph" w:styleId="17">
    <w:name w:val="Balloon Text"/>
    <w:basedOn w:val="1"/>
    <w:link w:val="54"/>
    <w:autoRedefine/>
    <w:semiHidden/>
    <w:unhideWhenUsed/>
    <w:qFormat/>
    <w:uiPriority w:val="99"/>
    <w:rPr>
      <w:sz w:val="18"/>
      <w:szCs w:val="18"/>
    </w:rPr>
  </w:style>
  <w:style w:type="paragraph" w:styleId="18">
    <w:name w:val="footer"/>
    <w:basedOn w:val="1"/>
    <w:link w:val="53"/>
    <w:autoRedefine/>
    <w:unhideWhenUsed/>
    <w:qFormat/>
    <w:uiPriority w:val="99"/>
    <w:pPr>
      <w:tabs>
        <w:tab w:val="center" w:pos="4153"/>
        <w:tab w:val="right" w:pos="8306"/>
      </w:tabs>
    </w:pPr>
    <w:rPr>
      <w:sz w:val="18"/>
      <w:szCs w:val="18"/>
    </w:rPr>
  </w:style>
  <w:style w:type="paragraph" w:styleId="19">
    <w:name w:val="header"/>
    <w:basedOn w:val="1"/>
    <w:link w:val="52"/>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semiHidden/>
    <w:unhideWhenUsed/>
    <w:qFormat/>
    <w:uiPriority w:val="39"/>
  </w:style>
  <w:style w:type="paragraph" w:styleId="21">
    <w:name w:val="toc 4"/>
    <w:basedOn w:val="1"/>
    <w:next w:val="1"/>
    <w:autoRedefine/>
    <w:unhideWhenUsed/>
    <w:qFormat/>
    <w:uiPriority w:val="39"/>
    <w:pPr>
      <w:tabs>
        <w:tab w:val="right" w:leader="dot" w:pos="8296"/>
      </w:tabs>
      <w:spacing w:after="120"/>
      <w:ind w:left="1320" w:leftChars="600"/>
    </w:pPr>
  </w:style>
  <w:style w:type="paragraph" w:styleId="22">
    <w:name w:val="index heading"/>
    <w:basedOn w:val="1"/>
    <w:next w:val="23"/>
    <w:autoRedefine/>
    <w:qFormat/>
    <w:uiPriority w:val="0"/>
    <w:rPr>
      <w:rFonts w:ascii="Times New Roman" w:hAnsi="Times New Roman"/>
      <w:szCs w:val="20"/>
    </w:rPr>
  </w:style>
  <w:style w:type="paragraph" w:styleId="23">
    <w:name w:val="index 1"/>
    <w:basedOn w:val="1"/>
    <w:next w:val="1"/>
    <w:autoRedefine/>
    <w:unhideWhenUsed/>
    <w:qFormat/>
    <w:uiPriority w:val="99"/>
  </w:style>
  <w:style w:type="paragraph" w:styleId="24">
    <w:name w:val="footnote text"/>
    <w:basedOn w:val="1"/>
    <w:autoRedefine/>
    <w:semiHidden/>
    <w:unhideWhenUsed/>
    <w:qFormat/>
    <w:uiPriority w:val="99"/>
    <w:rPr>
      <w:sz w:val="18"/>
    </w:rPr>
  </w:style>
  <w:style w:type="paragraph" w:styleId="25">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autoRedefine/>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autoRedefine/>
    <w:unhideWhenUsed/>
    <w:qFormat/>
    <w:uiPriority w:val="99"/>
    <w:pPr>
      <w:ind w:firstLine="420" w:firstLineChars="100"/>
    </w:pPr>
    <w:rPr>
      <w:rFonts w:ascii="Times New Roman" w:hAnsi="Times New Roman" w:cs="Times New Roman"/>
    </w:rPr>
  </w:style>
  <w:style w:type="table" w:styleId="30">
    <w:name w:val="Table Grid"/>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autoRedefine/>
    <w:qFormat/>
    <w:uiPriority w:val="20"/>
    <w:rPr>
      <w:i/>
      <w:iCs/>
    </w:rPr>
  </w:style>
  <w:style w:type="character" w:styleId="33">
    <w:name w:val="Hyperlink"/>
    <w:autoRedefine/>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autoRedefine/>
    <w:semiHidden/>
    <w:unhideWhenUsed/>
    <w:qFormat/>
    <w:uiPriority w:val="99"/>
    <w:rPr>
      <w:sz w:val="21"/>
      <w:szCs w:val="21"/>
    </w:rPr>
  </w:style>
  <w:style w:type="character" w:styleId="35">
    <w:name w:val="footnote reference"/>
    <w:basedOn w:val="31"/>
    <w:autoRedefine/>
    <w:semiHidden/>
    <w:unhideWhenUsed/>
    <w:qFormat/>
    <w:uiPriority w:val="99"/>
    <w:rPr>
      <w:vertAlign w:val="superscript"/>
    </w:rPr>
  </w:style>
  <w:style w:type="paragraph" w:customStyle="1" w:styleId="36">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autoRedefine/>
    <w:qFormat/>
    <w:uiPriority w:val="0"/>
    <w:pPr>
      <w:adjustRightInd/>
      <w:spacing w:before="25" w:after="25"/>
    </w:pPr>
    <w:rPr>
      <w:rFonts w:ascii="Times New Roman"/>
      <w:bCs/>
      <w:spacing w:val="10"/>
      <w:szCs w:val="20"/>
    </w:rPr>
  </w:style>
  <w:style w:type="character" w:customStyle="1" w:styleId="38">
    <w:name w:val="标题 2 Char"/>
    <w:basedOn w:val="31"/>
    <w:link w:val="2"/>
    <w:autoRedefine/>
    <w:qFormat/>
    <w:uiPriority w:val="9"/>
    <w:rPr>
      <w:rFonts w:asciiTheme="majorHAnsi" w:hAnsiTheme="majorHAnsi" w:eastAsiaTheme="majorEastAsia" w:cstheme="majorBidi"/>
      <w:b/>
      <w:bCs/>
      <w:sz w:val="32"/>
      <w:szCs w:val="32"/>
    </w:rPr>
  </w:style>
  <w:style w:type="character" w:customStyle="1" w:styleId="39">
    <w:name w:val="标题 3 Char"/>
    <w:basedOn w:val="31"/>
    <w:link w:val="4"/>
    <w:autoRedefine/>
    <w:qFormat/>
    <w:uiPriority w:val="9"/>
    <w:rPr>
      <w:rFonts w:ascii="Tahoma" w:hAnsi="Tahoma" w:eastAsia="宋体"/>
      <w:b/>
      <w:bCs/>
      <w:sz w:val="28"/>
      <w:szCs w:val="32"/>
    </w:rPr>
  </w:style>
  <w:style w:type="paragraph" w:styleId="40">
    <w:name w:val="List Paragraph"/>
    <w:basedOn w:val="1"/>
    <w:autoRedefine/>
    <w:qFormat/>
    <w:uiPriority w:val="34"/>
    <w:pPr>
      <w:ind w:firstLine="420" w:firstLineChars="200"/>
    </w:pPr>
  </w:style>
  <w:style w:type="character" w:customStyle="1" w:styleId="41">
    <w:name w:val="标题 4 Char"/>
    <w:basedOn w:val="31"/>
    <w:link w:val="5"/>
    <w:autoRedefine/>
    <w:qFormat/>
    <w:uiPriority w:val="9"/>
    <w:rPr>
      <w:rFonts w:eastAsia="宋体" w:asciiTheme="majorHAnsi" w:hAnsiTheme="majorHAnsi" w:cstheme="majorBidi"/>
      <w:b/>
      <w:bCs/>
      <w:sz w:val="24"/>
      <w:szCs w:val="28"/>
    </w:rPr>
  </w:style>
  <w:style w:type="character" w:customStyle="1" w:styleId="42">
    <w:name w:val="正文缩进2格 Char"/>
    <w:link w:val="43"/>
    <w:autoRedefine/>
    <w:qFormat/>
    <w:uiPriority w:val="0"/>
    <w:rPr>
      <w:rFonts w:ascii="仿宋_GB2312" w:hAnsi="宋体" w:eastAsia="仿宋_GB2312"/>
      <w:kern w:val="2"/>
      <w:sz w:val="31"/>
    </w:rPr>
  </w:style>
  <w:style w:type="paragraph" w:customStyle="1" w:styleId="43">
    <w:name w:val="正文缩进2格"/>
    <w:basedOn w:val="1"/>
    <w:next w:val="1"/>
    <w:link w:val="42"/>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autoRedefine/>
    <w:qFormat/>
    <w:uiPriority w:val="0"/>
    <w:pPr>
      <w:ind w:left="2" w:firstLine="538" w:firstLineChars="192"/>
    </w:pPr>
    <w:rPr>
      <w:color w:val="0000FF"/>
      <w:sz w:val="28"/>
    </w:rPr>
  </w:style>
  <w:style w:type="character" w:customStyle="1" w:styleId="45">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6">
    <w:name w:val="标题1"/>
    <w:autoRedefine/>
    <w:qFormat/>
    <w:uiPriority w:val="0"/>
    <w:rPr>
      <w:rFonts w:ascii="Times New Roman" w:hAnsi="Times New Roman" w:eastAsia="宋体" w:cs="Times New Roman"/>
      <w:b/>
      <w:kern w:val="0"/>
      <w:sz w:val="24"/>
      <w:szCs w:val="20"/>
      <w:lang w:eastAsia="en-US"/>
    </w:rPr>
  </w:style>
  <w:style w:type="character" w:customStyle="1" w:styleId="47">
    <w:name w:val="标题 3.1 Char"/>
    <w:link w:val="48"/>
    <w:autoRedefine/>
    <w:qFormat/>
    <w:uiPriority w:val="0"/>
    <w:rPr>
      <w:rFonts w:ascii="宋体" w:hAnsi="宋体" w:eastAsia="宋体"/>
      <w:b/>
      <w:color w:val="FF0000"/>
      <w:kern w:val="2"/>
      <w:sz w:val="32"/>
    </w:rPr>
  </w:style>
  <w:style w:type="paragraph" w:customStyle="1" w:styleId="48">
    <w:name w:val="标题 3.1"/>
    <w:basedOn w:val="4"/>
    <w:link w:val="47"/>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autoRedefine/>
    <w:qFormat/>
    <w:uiPriority w:val="0"/>
    <w:rPr>
      <w:rFonts w:ascii="楷体_GB2312" w:hAnsi="楷体_GB2312" w:eastAsia="仿宋_GB2312"/>
      <w:sz w:val="24"/>
    </w:rPr>
  </w:style>
  <w:style w:type="character" w:customStyle="1" w:styleId="50">
    <w:name w:val="纯文本 Char"/>
    <w:autoRedefine/>
    <w:qFormat/>
    <w:uiPriority w:val="0"/>
    <w:rPr>
      <w:rFonts w:ascii="宋体" w:hAnsi="Courier New" w:eastAsia="宋体" w:cs="Times New Roman"/>
      <w:b/>
      <w:kern w:val="2"/>
      <w:sz w:val="21"/>
      <w:szCs w:val="20"/>
    </w:rPr>
  </w:style>
  <w:style w:type="character" w:customStyle="1" w:styleId="51">
    <w:name w:val="纯文本 Char1"/>
    <w:basedOn w:val="31"/>
    <w:link w:val="15"/>
    <w:autoRedefine/>
    <w:semiHidden/>
    <w:qFormat/>
    <w:uiPriority w:val="99"/>
    <w:rPr>
      <w:rFonts w:ascii="宋体" w:hAnsi="Courier New" w:eastAsia="宋体" w:cs="Courier New"/>
      <w:sz w:val="21"/>
      <w:szCs w:val="21"/>
    </w:rPr>
  </w:style>
  <w:style w:type="character" w:customStyle="1" w:styleId="52">
    <w:name w:val="页眉 Char"/>
    <w:basedOn w:val="31"/>
    <w:link w:val="19"/>
    <w:autoRedefine/>
    <w:qFormat/>
    <w:uiPriority w:val="99"/>
    <w:rPr>
      <w:rFonts w:ascii="Tahoma" w:hAnsi="Tahoma"/>
      <w:sz w:val="18"/>
      <w:szCs w:val="18"/>
    </w:rPr>
  </w:style>
  <w:style w:type="character" w:customStyle="1" w:styleId="53">
    <w:name w:val="页脚 Char"/>
    <w:basedOn w:val="31"/>
    <w:link w:val="18"/>
    <w:autoRedefine/>
    <w:qFormat/>
    <w:uiPriority w:val="99"/>
    <w:rPr>
      <w:rFonts w:ascii="Tahoma" w:hAnsi="Tahoma"/>
      <w:sz w:val="18"/>
      <w:szCs w:val="18"/>
    </w:rPr>
  </w:style>
  <w:style w:type="character" w:customStyle="1" w:styleId="54">
    <w:name w:val="批注框文本 Char"/>
    <w:basedOn w:val="31"/>
    <w:link w:val="17"/>
    <w:autoRedefine/>
    <w:semiHidden/>
    <w:qFormat/>
    <w:uiPriority w:val="99"/>
    <w:rPr>
      <w:rFonts w:ascii="Tahoma" w:hAnsi="Tahoma"/>
      <w:sz w:val="18"/>
      <w:szCs w:val="18"/>
    </w:rPr>
  </w:style>
  <w:style w:type="paragraph" w:customStyle="1" w:styleId="55">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autoRedefine/>
    <w:qFormat/>
    <w:uiPriority w:val="0"/>
    <w:rPr>
      <w:rFonts w:eastAsia="宋体"/>
      <w:kern w:val="2"/>
      <w:sz w:val="24"/>
      <w:szCs w:val="24"/>
    </w:rPr>
  </w:style>
  <w:style w:type="paragraph" w:customStyle="1" w:styleId="57">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autoRedefine/>
    <w:qFormat/>
    <w:uiPriority w:val="0"/>
    <w:rPr>
      <w:sz w:val="21"/>
      <w:szCs w:val="21"/>
    </w:rPr>
  </w:style>
  <w:style w:type="paragraph" w:customStyle="1" w:styleId="59">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autoRedefine/>
    <w:qFormat/>
    <w:uiPriority w:val="0"/>
    <w:pPr>
      <w:ind w:firstLine="0" w:firstLineChars="0"/>
    </w:pPr>
  </w:style>
  <w:style w:type="paragraph" w:customStyle="1" w:styleId="61">
    <w:name w:val="一级条标题"/>
    <w:basedOn w:val="62"/>
    <w:next w:val="63"/>
    <w:autoRedefine/>
    <w:qFormat/>
    <w:uiPriority w:val="0"/>
    <w:pPr>
      <w:tabs>
        <w:tab w:val="left" w:pos="720"/>
      </w:tabs>
      <w:spacing w:beforeLines="0" w:afterLines="0"/>
      <w:outlineLvl w:val="2"/>
    </w:pPr>
  </w:style>
  <w:style w:type="paragraph" w:customStyle="1" w:styleId="62">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autoRedefine/>
    <w:qFormat/>
    <w:uiPriority w:val="0"/>
    <w:rPr>
      <w:rFonts w:ascii="宋体" w:hAnsi="宋体" w:eastAsia="宋体" w:cs="宋体"/>
      <w:color w:val="000000"/>
      <w:sz w:val="22"/>
      <w:szCs w:val="22"/>
      <w:u w:val="none"/>
    </w:rPr>
  </w:style>
  <w:style w:type="character" w:customStyle="1" w:styleId="65">
    <w:name w:val="font41"/>
    <w:basedOn w:val="31"/>
    <w:autoRedefine/>
    <w:qFormat/>
    <w:uiPriority w:val="0"/>
    <w:rPr>
      <w:rFonts w:hint="eastAsia" w:ascii="宋体" w:hAnsi="宋体" w:eastAsia="宋体" w:cs="宋体"/>
      <w:color w:val="000000"/>
      <w:sz w:val="22"/>
      <w:szCs w:val="22"/>
      <w:u w:val="none"/>
    </w:rPr>
  </w:style>
  <w:style w:type="character" w:customStyle="1" w:styleId="66">
    <w:name w:val="font181"/>
    <w:basedOn w:val="31"/>
    <w:autoRedefine/>
    <w:qFormat/>
    <w:uiPriority w:val="0"/>
    <w:rPr>
      <w:rFonts w:hint="default" w:ascii="Times New Roman" w:hAnsi="Times New Roman" w:cs="Times New Roman"/>
      <w:color w:val="000000"/>
      <w:sz w:val="22"/>
      <w:szCs w:val="22"/>
      <w:u w:val="none"/>
    </w:rPr>
  </w:style>
  <w:style w:type="character" w:customStyle="1" w:styleId="67">
    <w:name w:val="font221"/>
    <w:basedOn w:val="31"/>
    <w:autoRedefine/>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autoRedefine/>
    <w:qFormat/>
    <w:uiPriority w:val="0"/>
    <w:rPr>
      <w:rFonts w:hint="eastAsia" w:ascii="宋体" w:hAnsi="宋体" w:eastAsia="宋体" w:cs="宋体"/>
      <w:color w:val="000000"/>
      <w:sz w:val="22"/>
      <w:szCs w:val="22"/>
      <w:u w:val="none"/>
    </w:rPr>
  </w:style>
  <w:style w:type="character" w:customStyle="1" w:styleId="69">
    <w:name w:val="font131"/>
    <w:basedOn w:val="31"/>
    <w:autoRedefine/>
    <w:qFormat/>
    <w:uiPriority w:val="0"/>
    <w:rPr>
      <w:rFonts w:hint="eastAsia" w:ascii="微软雅黑" w:hAnsi="微软雅黑" w:eastAsia="微软雅黑" w:cs="微软雅黑"/>
      <w:color w:val="000000"/>
      <w:sz w:val="22"/>
      <w:szCs w:val="22"/>
      <w:u w:val="none"/>
    </w:rPr>
  </w:style>
  <w:style w:type="paragraph" w:customStyle="1" w:styleId="70">
    <w:name w:val="*正文"/>
    <w:basedOn w:val="1"/>
    <w:autoRedefine/>
    <w:qFormat/>
    <w:uiPriority w:val="0"/>
    <w:pPr>
      <w:spacing w:after="200"/>
      <w:ind w:firstLine="200"/>
    </w:pPr>
    <w:rPr>
      <w:rFonts w:ascii="宋体" w:hAnsi="宋体"/>
      <w:sz w:val="24"/>
      <w:szCs w:val="24"/>
    </w:rPr>
  </w:style>
  <w:style w:type="paragraph" w:customStyle="1" w:styleId="71">
    <w:name w:val="列出段落2"/>
    <w:basedOn w:val="1"/>
    <w:autoRedefine/>
    <w:qFormat/>
    <w:uiPriority w:val="0"/>
    <w:pPr>
      <w:ind w:firstLine="420" w:firstLineChars="200"/>
    </w:pPr>
    <w:rPr>
      <w:rFonts w:ascii="Calibri" w:hAnsi="Calibri" w:cs="Times New Roman"/>
    </w:rPr>
  </w:style>
  <w:style w:type="paragraph" w:customStyle="1" w:styleId="72">
    <w:name w:val="Table Paragraph"/>
    <w:basedOn w:val="1"/>
    <w:autoRedefine/>
    <w:qFormat/>
    <w:uiPriority w:val="1"/>
  </w:style>
  <w:style w:type="character" w:customStyle="1" w:styleId="73">
    <w:name w:val="font61"/>
    <w:basedOn w:val="31"/>
    <w:autoRedefine/>
    <w:qFormat/>
    <w:uiPriority w:val="0"/>
    <w:rPr>
      <w:rFonts w:hint="eastAsia" w:ascii="宋体" w:hAnsi="宋体" w:eastAsia="宋体" w:cs="宋体"/>
      <w:color w:val="000000"/>
      <w:sz w:val="20"/>
      <w:szCs w:val="20"/>
      <w:u w:val="none"/>
    </w:rPr>
  </w:style>
  <w:style w:type="character" w:customStyle="1" w:styleId="74">
    <w:name w:val="font101"/>
    <w:basedOn w:val="31"/>
    <w:autoRedefine/>
    <w:qFormat/>
    <w:uiPriority w:val="0"/>
    <w:rPr>
      <w:rFonts w:hint="eastAsia" w:ascii="宋体" w:hAnsi="宋体" w:eastAsia="宋体" w:cs="宋体"/>
      <w:color w:val="70AD47"/>
      <w:sz w:val="20"/>
      <w:szCs w:val="20"/>
      <w:u w:val="none"/>
    </w:rPr>
  </w:style>
  <w:style w:type="character" w:customStyle="1" w:styleId="75">
    <w:name w:val="font31"/>
    <w:basedOn w:val="31"/>
    <w:autoRedefine/>
    <w:qFormat/>
    <w:uiPriority w:val="0"/>
    <w:rPr>
      <w:rFonts w:hint="eastAsia" w:ascii="宋体" w:hAnsi="宋体" w:eastAsia="宋体" w:cs="宋体"/>
      <w:color w:val="000000"/>
      <w:sz w:val="20"/>
      <w:szCs w:val="20"/>
      <w:u w:val="none"/>
    </w:rPr>
  </w:style>
  <w:style w:type="character" w:customStyle="1" w:styleId="76">
    <w:name w:val="font91"/>
    <w:basedOn w:val="31"/>
    <w:autoRedefine/>
    <w:qFormat/>
    <w:uiPriority w:val="0"/>
    <w:rPr>
      <w:rFonts w:hint="eastAsia" w:ascii="宋体" w:hAnsi="宋体" w:eastAsia="宋体" w:cs="宋体"/>
      <w:color w:val="000000"/>
      <w:sz w:val="22"/>
      <w:szCs w:val="22"/>
      <w:u w:val="none"/>
    </w:rPr>
  </w:style>
  <w:style w:type="character" w:customStyle="1" w:styleId="77">
    <w:name w:val="font121"/>
    <w:basedOn w:val="31"/>
    <w:autoRedefine/>
    <w:qFormat/>
    <w:uiPriority w:val="0"/>
    <w:rPr>
      <w:rFonts w:hint="default" w:ascii="Times New Roman" w:hAnsi="Times New Roman" w:cs="Times New Roman"/>
      <w:color w:val="000000"/>
      <w:sz w:val="22"/>
      <w:szCs w:val="22"/>
      <w:u w:val="none"/>
    </w:rPr>
  </w:style>
  <w:style w:type="paragraph" w:customStyle="1" w:styleId="78">
    <w:name w:val="Table Text"/>
    <w:basedOn w:val="1"/>
    <w:autoRedefine/>
    <w:semiHidden/>
    <w:qFormat/>
    <w:uiPriority w:val="0"/>
    <w:rPr>
      <w:rFonts w:ascii="宋体" w:hAnsi="宋体" w:eastAsia="宋体" w:cs="宋体"/>
      <w:sz w:val="24"/>
      <w:szCs w:val="24"/>
      <w:lang w:val="en-US" w:eastAsia="en-US" w:bidi="ar-SA"/>
    </w:rPr>
  </w:style>
  <w:style w:type="table" w:customStyle="1" w:styleId="7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76</Pages>
  <Words>31121</Words>
  <Characters>31977</Characters>
  <Lines>392</Lines>
  <Paragraphs>110</Paragraphs>
  <TotalTime>10</TotalTime>
  <ScaleCrop>false</ScaleCrop>
  <LinksUpToDate>false</LinksUpToDate>
  <CharactersWithSpaces>34183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2024-03-25T07:49:00Z</cp:lastPrinted>
  <dcterms:modified xsi:type="dcterms:W3CDTF">2024-03-29T08:41:52Z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3672EFDEB861407AABBE07CCC79D82C3_13</vt:lpwstr>
  </property>
</Properties>
</file>