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441900028-2024-00100</w:t>
      </w:r>
    </w:p>
    <w:p>
      <w:pPr>
        <w:jc w:val="center"/>
      </w:pPr>
      <w:r>
        <w:rPr>
          <w:b/>
          <w:sz w:val="24"/>
        </w:rPr>
        <w:t>采购项目编号：</w:t>
      </w:r>
      <w:r>
        <w:rPr>
          <w:b/>
          <w:sz w:val="24"/>
        </w:rPr>
        <w:t>441900028-2024-00100</w:t>
      </w:r>
    </w:p>
    <w:p>
      <w:pPr>
        <w:jc w:val="center"/>
      </w:pPr>
      <w:r>
        <w:rPr>
          <w:b/>
          <w:sz w:val="24"/>
        </w:rPr>
        <w:t>项目名称：</w:t>
      </w:r>
      <w:r>
        <w:rPr>
          <w:b/>
          <w:sz w:val="24"/>
        </w:rPr>
        <w:t>东莞市虎门镇厨余垃圾就地式收运处理项目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东莞市虎门镇公用事业服务中心</w:t>
      </w:r>
      <w:r>
        <w:rPr/>
        <w:t>的委托，采用</w:t>
      </w:r>
      <w:r>
        <w:rPr/>
        <w:t>公开招标</w:t>
      </w:r>
      <w:r>
        <w:rPr/>
        <w:t>方式组织采购</w:t>
      </w:r>
      <w:r>
        <w:rPr/>
        <w:t>东莞市虎门镇厨余垃圾就地式收运处理项目</w:t>
      </w:r>
      <w:r>
        <w:rPr/>
        <w:t>。欢迎符合资格条件的国内供应商参加投标。</w:t>
      </w:r>
    </w:p>
    <w:p>
      <w:r>
        <w:rPr>
          <w:b/>
          <w:sz w:val="28"/>
        </w:rPr>
        <w:t>一.项目概述</w:t>
      </w:r>
    </w:p>
    <w:p>
      <w:r>
        <w:rPr>
          <w:b/>
          <w:sz w:val="24"/>
        </w:rPr>
        <w:t>1.名称与编号</w:t>
      </w:r>
    </w:p>
    <w:p>
      <w:pPr>
        <w:ind w:firstLine="480"/>
      </w:pPr>
      <w:r>
        <w:rPr/>
        <w:t>项目名称：</w:t>
      </w:r>
      <w:r>
        <w:rPr/>
        <w:t>东莞市虎门镇厨余垃圾就地式收运处理项目</w:t>
      </w:r>
    </w:p>
    <w:p>
      <w:pPr>
        <w:ind w:firstLine="480"/>
      </w:pPr>
      <w:r>
        <w:rPr/>
        <w:t>采购计划编号：</w:t>
      </w:r>
      <w:r>
        <w:rPr/>
        <w:t>441900028-2024-00100</w:t>
      </w:r>
    </w:p>
    <w:p>
      <w:pPr>
        <w:ind w:firstLine="480"/>
      </w:pPr>
      <w:r>
        <w:rPr/>
        <w:t>采购项目编号：</w:t>
      </w:r>
      <w:r>
        <w:rPr/>
        <w:t>441900028-2024-00100</w:t>
      </w:r>
    </w:p>
    <w:p>
      <w:pPr>
        <w:ind w:firstLine="480"/>
      </w:pPr>
      <w:r>
        <w:rPr/>
        <w:t>采购方式：</w:t>
      </w:r>
      <w:r>
        <w:rPr/>
        <w:t>公开招标</w:t>
      </w:r>
    </w:p>
    <w:p>
      <w:pPr>
        <w:ind w:firstLine="480"/>
      </w:pPr>
      <w:r>
        <w:rPr/>
        <w:t>预算金额：</w:t>
      </w:r>
      <w:r>
        <w:rPr/>
        <w:t>36,933,000.00</w:t>
      </w:r>
      <w:r>
        <w:rPr/>
        <w:t>元</w:t>
      </w:r>
    </w:p>
    <w:p>
      <w:r>
        <w:rPr>
          <w:b/>
          <w:sz w:val="24"/>
        </w:rPr>
        <w:t>2.项目内容及需求情况（采购项目技术规格、参数及要求）</w:t>
      </w:r>
    </w:p>
    <w:p>
      <w:pPr>
        <w:ind w:firstLine="480"/>
      </w:pPr>
    </w:p>
    <w:p/>
    <w:p>
      <w:r>
        <w:rPr/>
        <w:t>采购包1(虎门镇厨余垃圾就地式收运处理项目):</w:t>
      </w:r>
    </w:p>
    <w:p>
      <w:r>
        <w:rPr/>
        <w:t>采购包预算金额：36,933,000.00元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虎门镇厨余垃圾就地式收运处理项目</w:t>
            </w:r>
          </w:p>
        </w:tc>
        <w:tc>
          <w:tcPr>
            <w:tcW w:type="dxa" w:w="977"/>
          </w:tcPr>
          <w:p>
            <w:r>
              <w:rPr/>
              <w:t>1.00(项)</w:t>
            </w:r>
          </w:p>
        </w:tc>
        <w:tc>
          <w:tcPr>
            <w:tcW w:type="dxa" w:w="977"/>
          </w:tcPr>
          <w:p>
            <w:r>
              <w:rPr/>
              <w:t>详见第二章</w:t>
            </w:r>
          </w:p>
        </w:tc>
        <w:tc>
          <w:tcPr>
            <w:tcW w:type="dxa" w:w="977"/>
          </w:tcPr>
          <w:p>
            <w:r>
              <w:rPr/>
              <w:t>36,933,000.00</w:t>
            </w:r>
          </w:p>
        </w:tc>
        <w:tc>
          <w:tcPr>
            <w:tcW w:type="dxa" w:w="977"/>
          </w:tcPr>
          <w:p>
            <w:r>
              <w:rPr/>
              <w:t>否</w:t>
            </w:r>
          </w:p>
        </w:tc>
      </w:tr>
    </w:tbl>
    <w:p/>
    <w:p>
      <w:r>
        <w:rPr/>
        <w:t>本采购包不接受联合体投标</w:t>
      </w:r>
    </w:p>
    <w:p/>
    <w:p>
      <w:r>
        <w:rPr/>
        <w:t>合同履行期限：合同签订后3年。（注：如在合同期内中标方的合同总价达到上限，则本合同在达到合同总价上限之日提前终止。）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采购包1（虎门镇厨余垃圾就地式收运处理项目）：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采购包1（虎门镇厨余垃圾就地式收运处理项目）：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0769-85513992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本项目为虎门镇厨余垃圾就地式收运处理项目。</w:t>
      </w:r>
    </w:p>
    <w:p/>
    <w:p>
      <w:pPr>
        <w:ind w:firstLine="480"/>
      </w:pPr>
    </w:p>
    <w:p/>
    <w:p>
      <w:r>
        <w:rPr/>
        <w:t>采购包1（虎门镇厨余垃圾就地式收运处理项目）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合同签订后3年。（注：如在合同期内中标方的合同总价达到上限，则本合同在达到合同总价上限之日提前终止。）</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1期：支付比例100%,根据厨余垃圾处理量，采购人按月向中标人支付服务费用。每月15号前中标人须向采购人提供上月台账及相关请款资料，经采购人审核后，按虎门镇财政支付流程进行支付。 月度最终服务费=当月厨余垃圾处理量×中标综合单价-当月扣减服务费（若有）。本项目服务经费由政府财政拨款，如因政策的影响，拨款未能及时到位，中标人不得以此为由而不履行规定的义务。 注：本项目资金来源为财政资金，相关付款程序严格遵守东莞市（或项目所在镇街）政府财政资金支付程序规定。</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履约保证金在合同期满后或质保期满后，中标人向采购人提交退回履约保证金的申请、履约保证金汇款凭证复印件、采购合同、采购项目验收报告原件、中标通知书复印件，前往采购人办理履约保证金退还手续。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报价要求，★①本项目采用综合单价报价，投标综合单价最高限价为249元/吨，投标报价不得超过249元/吨，否则作无效投标处理。 ②投标报价包括材料、工具、人工、管理费、利润、税金、风险、招标代理费用等一切因素所有应该和可能发生的费用因素。</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虎门镇厨余垃圾就地式收运处理项目</w:t>
            </w:r>
          </w:p>
        </w:tc>
        <w:tc>
          <w:tcPr>
            <w:tcW w:type="dxa" w:w="933"/>
          </w:tcPr>
          <w:p>
            <w:pPr>
              <w:jc w:val="left"/>
            </w:pPr>
            <w:r>
              <w:rPr/>
              <w:t>项</w:t>
            </w:r>
          </w:p>
        </w:tc>
        <w:tc>
          <w:tcPr>
            <w:tcW w:type="dxa" w:w="933"/>
          </w:tcPr>
          <w:p>
            <w:pPr>
              <w:jc w:val="right"/>
            </w:pPr>
            <w:r>
              <w:rPr/>
              <w:t>1.00</w:t>
            </w:r>
          </w:p>
        </w:tc>
        <w:tc>
          <w:tcPr>
            <w:tcW w:type="dxa" w:w="933"/>
          </w:tcPr>
          <w:p>
            <w:pPr>
              <w:jc w:val="right"/>
            </w:pPr>
            <w:r>
              <w:rPr/>
              <w:t>36,933,000.00</w:t>
            </w:r>
          </w:p>
        </w:tc>
        <w:tc>
          <w:tcPr>
            <w:tcW w:type="dxa" w:w="933"/>
          </w:tcPr>
          <w:p>
            <w:pPr>
              <w:jc w:val="right"/>
            </w:pPr>
            <w:r>
              <w:rPr/>
              <w:t>36,933,000.00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虎门镇厨余垃圾就地式收运处理项目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w:t>
            </w:r>
            <w:r>
              <w:rPr>
                <w:b/>
                <w:sz w:val="24"/>
              </w:rPr>
              <w:t>项目概况</w:t>
            </w:r>
          </w:p>
          <w:p>
            <w:pPr>
              <w:ind w:firstLine="442"/>
              <w:jc w:val="both"/>
            </w:pPr>
            <w:r>
              <w:rPr>
                <w:b/>
                <w:sz w:val="21"/>
              </w:rPr>
              <w:t>1.基本情况</w:t>
            </w:r>
          </w:p>
          <w:p>
            <w:pPr>
              <w:ind w:firstLine="420"/>
              <w:jc w:val="both"/>
            </w:pPr>
            <w:r>
              <w:rPr>
                <w:sz w:val="21"/>
              </w:rPr>
              <w:t>（</w:t>
            </w:r>
            <w:r>
              <w:rPr>
                <w:sz w:val="21"/>
              </w:rPr>
              <w:t>1）本项目</w:t>
            </w:r>
            <w:r>
              <w:rPr>
                <w:sz w:val="21"/>
              </w:rPr>
              <w:t>中标人主要是根据采购人工作需要，提供厨余垃圾就地处理服务</w:t>
            </w:r>
            <w:r>
              <w:rPr>
                <w:sz w:val="21"/>
              </w:rPr>
              <w:t>。</w:t>
            </w:r>
          </w:p>
          <w:p>
            <w:pPr>
              <w:ind w:firstLine="440"/>
              <w:jc w:val="both"/>
            </w:pPr>
            <w:r>
              <w:rPr>
                <w:sz w:val="21"/>
              </w:rPr>
              <w:t>（</w:t>
            </w:r>
            <w:r>
              <w:rPr>
                <w:sz w:val="21"/>
              </w:rPr>
              <w:t>2）项目内容：</w:t>
            </w:r>
            <w:r>
              <w:rPr>
                <w:sz w:val="21"/>
              </w:rPr>
              <w:t>负责实施</w:t>
            </w:r>
            <w:r>
              <w:rPr>
                <w:sz w:val="21"/>
              </w:rPr>
              <w:t>虎门镇厨余垃圾就地式收运处理</w:t>
            </w:r>
            <w:r>
              <w:rPr>
                <w:sz w:val="21"/>
              </w:rPr>
              <w:t>项目，运营模式为</w:t>
            </w:r>
            <w:r>
              <w:rPr>
                <w:sz w:val="21"/>
              </w:rPr>
              <w:t>中标人</w:t>
            </w:r>
            <w:r>
              <w:rPr>
                <w:sz w:val="21"/>
              </w:rPr>
              <w:t>提供场地和水电设施；负责投资处理设备、车辆等、建设额定处理</w:t>
            </w:r>
            <w:r>
              <w:rPr>
                <w:sz w:val="21"/>
              </w:rPr>
              <w:t>能力不低于</w:t>
            </w:r>
            <w:r>
              <w:rPr>
                <w:sz w:val="21"/>
              </w:rPr>
              <w:t>150吨</w:t>
            </w:r>
            <w:r>
              <w:rPr>
                <w:sz w:val="21"/>
              </w:rPr>
              <w:t>/日的厨余垃圾资源化处理</w:t>
            </w:r>
            <w:r>
              <w:rPr>
                <w:sz w:val="21"/>
              </w:rPr>
              <w:t>厂</w:t>
            </w:r>
            <w:r>
              <w:rPr>
                <w:sz w:val="21"/>
              </w:rPr>
              <w:t>；负责处理</w:t>
            </w:r>
            <w:r>
              <w:rPr>
                <w:sz w:val="21"/>
              </w:rPr>
              <w:t>厂</w:t>
            </w:r>
            <w:r>
              <w:rPr>
                <w:sz w:val="21"/>
              </w:rPr>
              <w:t>运营，</w:t>
            </w:r>
            <w:r>
              <w:rPr>
                <w:sz w:val="21"/>
              </w:rPr>
              <w:t>安全生产，</w:t>
            </w:r>
            <w:r>
              <w:rPr>
                <w:sz w:val="21"/>
              </w:rPr>
              <w:t>包括负责厨</w:t>
            </w:r>
            <w:r>
              <w:rPr>
                <w:sz w:val="21"/>
              </w:rPr>
              <w:t>余垃圾源头收运、配置厨余垃圾收集桶、厨余垃圾收运和处理、对不能利用的其他垃圾规范处理等，最终将厨余垃圾资源化处理，废水、废气经处理后达标排放。</w:t>
            </w:r>
          </w:p>
          <w:p>
            <w:pPr>
              <w:ind w:firstLine="440"/>
              <w:jc w:val="both"/>
            </w:pPr>
            <w:r>
              <w:rPr>
                <w:sz w:val="21"/>
              </w:rPr>
              <w:t>（</w:t>
            </w:r>
            <w:r>
              <w:rPr>
                <w:sz w:val="21"/>
              </w:rPr>
              <w:t>3</w:t>
            </w:r>
            <w:r>
              <w:rPr>
                <w:sz w:val="21"/>
              </w:rPr>
              <w:t>）</w:t>
            </w:r>
            <w:r>
              <w:rPr>
                <w:sz w:val="21"/>
              </w:rPr>
              <w:t>本项目综合单价</w:t>
            </w:r>
            <w:r>
              <w:rPr>
                <w:sz w:val="21"/>
              </w:rPr>
              <w:t>最高限价为</w:t>
            </w:r>
            <w:r>
              <w:rPr>
                <w:sz w:val="21"/>
              </w:rPr>
              <w:t>249</w:t>
            </w:r>
            <w:r>
              <w:rPr>
                <w:sz w:val="21"/>
              </w:rPr>
              <w:t>元</w:t>
            </w:r>
            <w:r>
              <w:rPr>
                <w:sz w:val="21"/>
              </w:rPr>
              <w:t>/吨</w:t>
            </w:r>
            <w:r>
              <w:rPr>
                <w:sz w:val="21"/>
              </w:rPr>
              <w:t>。</w:t>
            </w:r>
          </w:p>
          <w:p>
            <w:pPr>
              <w:ind w:firstLine="440"/>
              <w:jc w:val="both"/>
            </w:pPr>
            <w:r>
              <w:rPr>
                <w:sz w:val="21"/>
              </w:rPr>
              <w:t>（</w:t>
            </w:r>
            <w:r>
              <w:rPr>
                <w:sz w:val="21"/>
              </w:rPr>
              <w:t>4</w:t>
            </w:r>
            <w:r>
              <w:rPr>
                <w:sz w:val="21"/>
              </w:rPr>
              <w:t>）</w:t>
            </w:r>
            <w:r>
              <w:rPr>
                <w:sz w:val="21"/>
              </w:rPr>
              <w:t>本项目处理</w:t>
            </w:r>
            <w:r>
              <w:rPr>
                <w:sz w:val="21"/>
              </w:rPr>
              <w:t>厂</w:t>
            </w:r>
            <w:r>
              <w:rPr>
                <w:sz w:val="21"/>
              </w:rPr>
              <w:t>设计处理规模不低于</w:t>
            </w:r>
            <w:r>
              <w:rPr>
                <w:sz w:val="21"/>
              </w:rPr>
              <w:t>150</w:t>
            </w:r>
            <w:r>
              <w:rPr>
                <w:sz w:val="21"/>
              </w:rPr>
              <w:t>吨</w:t>
            </w:r>
            <w:r>
              <w:rPr>
                <w:sz w:val="21"/>
              </w:rPr>
              <w:t>/日</w:t>
            </w:r>
            <w:r>
              <w:rPr>
                <w:sz w:val="21"/>
              </w:rPr>
              <w:t>。</w:t>
            </w:r>
          </w:p>
          <w:p>
            <w:pPr>
              <w:ind w:firstLine="442"/>
              <w:jc w:val="both"/>
            </w:pPr>
            <w:r>
              <w:rPr>
                <w:b/>
                <w:sz w:val="21"/>
              </w:rPr>
              <w:t>2.</w:t>
            </w:r>
            <w:r>
              <w:rPr>
                <w:b/>
                <w:sz w:val="21"/>
              </w:rPr>
              <w:t>处理站点服务</w:t>
            </w:r>
            <w:r>
              <w:rPr>
                <w:b/>
                <w:sz w:val="21"/>
              </w:rPr>
              <w:t>要求</w:t>
            </w:r>
          </w:p>
          <w:p>
            <w:pPr>
              <w:ind w:firstLine="440"/>
              <w:jc w:val="both"/>
            </w:pPr>
            <w:r>
              <w:rPr>
                <w:sz w:val="21"/>
              </w:rPr>
              <w:t>（</w:t>
            </w:r>
            <w:r>
              <w:rPr>
                <w:sz w:val="21"/>
              </w:rPr>
              <w:t>1）负责本项目投资、建设和运营。</w:t>
            </w:r>
            <w:r>
              <w:rPr>
                <w:sz w:val="21"/>
              </w:rPr>
              <w:t>处理厂点</w:t>
            </w:r>
            <w:r>
              <w:rPr>
                <w:sz w:val="21"/>
              </w:rPr>
              <w:t>建设</w:t>
            </w:r>
            <w:r>
              <w:rPr>
                <w:sz w:val="21"/>
              </w:rPr>
              <w:t>1</w:t>
            </w:r>
            <w:r>
              <w:rPr>
                <w:sz w:val="21"/>
              </w:rPr>
              <w:t>个（由</w:t>
            </w:r>
            <w:r>
              <w:rPr>
                <w:sz w:val="21"/>
              </w:rPr>
              <w:t>采购人与中标人</w:t>
            </w:r>
            <w:r>
              <w:rPr>
                <w:sz w:val="21"/>
              </w:rPr>
              <w:t>共同确定）、负责投资处理设备、车辆等、建设额定处理</w:t>
            </w:r>
            <w:r>
              <w:rPr>
                <w:sz w:val="21"/>
              </w:rPr>
              <w:t>能力不低于</w:t>
            </w:r>
            <w:r>
              <w:rPr>
                <w:sz w:val="21"/>
              </w:rPr>
              <w:t>150</w:t>
            </w:r>
            <w:r>
              <w:rPr>
                <w:sz w:val="21"/>
              </w:rPr>
              <w:t>吨</w:t>
            </w:r>
            <w:r>
              <w:rPr>
                <w:sz w:val="21"/>
              </w:rPr>
              <w:t>/日的厨余垃圾资源化处理</w:t>
            </w:r>
            <w:r>
              <w:rPr>
                <w:sz w:val="21"/>
              </w:rPr>
              <w:t>厂</w:t>
            </w:r>
            <w:r>
              <w:rPr>
                <w:sz w:val="21"/>
              </w:rPr>
              <w:t>，按采购人要求做好厨余垃圾收运和处理，最终达到资源化处理。</w:t>
            </w:r>
          </w:p>
          <w:p>
            <w:pPr>
              <w:ind w:firstLine="440"/>
              <w:jc w:val="both"/>
            </w:pPr>
            <w:r>
              <w:rPr>
                <w:sz w:val="21"/>
              </w:rPr>
              <w:t>（</w:t>
            </w:r>
            <w:r>
              <w:rPr>
                <w:sz w:val="21"/>
              </w:rPr>
              <w:t>2）根据项目要求，安装除臭系统、污水处理系统、秤重系统、视频监控系统、消防设备系统等</w:t>
            </w:r>
            <w:r>
              <w:rPr>
                <w:sz w:val="21"/>
              </w:rPr>
              <w:t>，</w:t>
            </w:r>
            <w:r>
              <w:rPr>
                <w:sz w:val="21"/>
              </w:rPr>
              <w:t>并接入采购人数字监管平台</w:t>
            </w:r>
            <w:r>
              <w:rPr>
                <w:sz w:val="21"/>
              </w:rPr>
              <w:t>，</w:t>
            </w:r>
            <w:r>
              <w:rPr>
                <w:sz w:val="21"/>
              </w:rPr>
              <w:t>若采购人数字监管平台升级，须无条件进行设备升级</w:t>
            </w:r>
            <w:r>
              <w:rPr>
                <w:sz w:val="21"/>
              </w:rPr>
              <w:t>。</w:t>
            </w:r>
          </w:p>
          <w:p>
            <w:pPr>
              <w:ind w:firstLine="440"/>
              <w:jc w:val="both"/>
            </w:pPr>
            <w:r>
              <w:rPr>
                <w:sz w:val="21"/>
              </w:rPr>
              <w:t>（</w:t>
            </w:r>
            <w:r>
              <w:rPr>
                <w:sz w:val="21"/>
              </w:rPr>
              <w:t>3</w:t>
            </w:r>
            <w:r>
              <w:rPr>
                <w:sz w:val="21"/>
              </w:rPr>
              <w:t>）配置处理站高压冲洗设备一套。</w:t>
            </w:r>
          </w:p>
          <w:p>
            <w:pPr>
              <w:ind w:firstLine="440"/>
              <w:jc w:val="both"/>
            </w:pPr>
            <w:r>
              <w:rPr>
                <w:sz w:val="21"/>
              </w:rPr>
              <w:t>（</w:t>
            </w:r>
            <w:r>
              <w:rPr>
                <w:sz w:val="21"/>
              </w:rPr>
              <w:t>4</w:t>
            </w:r>
            <w:r>
              <w:rPr>
                <w:sz w:val="21"/>
              </w:rPr>
              <w:t>）</w:t>
            </w:r>
            <w:r>
              <w:rPr>
                <w:sz w:val="21"/>
              </w:rPr>
              <w:t>处理厂点</w:t>
            </w:r>
            <w:r>
              <w:rPr>
                <w:sz w:val="21"/>
              </w:rPr>
              <w:t>有专人管理，每天至少使用高压清洗机冲洗</w:t>
            </w:r>
            <w:r>
              <w:rPr>
                <w:sz w:val="21"/>
              </w:rPr>
              <w:t>2次，保证预处理设备间周边干净整洁，无污水、积水，无异味；预处理设备摆放整齐，无灰尘，无杂物；下水通道及时清掏</w:t>
            </w:r>
            <w:r>
              <w:rPr>
                <w:sz w:val="21"/>
              </w:rPr>
              <w:t>，</w:t>
            </w:r>
            <w:r>
              <w:rPr>
                <w:sz w:val="21"/>
              </w:rPr>
              <w:t>无堵塞。</w:t>
            </w:r>
          </w:p>
          <w:p>
            <w:pPr>
              <w:ind w:firstLine="440"/>
              <w:jc w:val="both"/>
            </w:pPr>
            <w:r>
              <w:rPr>
                <w:sz w:val="21"/>
              </w:rPr>
              <w:t>（</w:t>
            </w:r>
            <w:r>
              <w:rPr>
                <w:sz w:val="21"/>
              </w:rPr>
              <w:t>5</w:t>
            </w:r>
            <w:r>
              <w:rPr>
                <w:sz w:val="21"/>
              </w:rPr>
              <w:t>）每月落实除四害工作</w:t>
            </w:r>
            <w:r>
              <w:rPr>
                <w:sz w:val="21"/>
              </w:rPr>
              <w:t>2次，不得有苍蝇、蟑螂、老鼠迹等，同时做好资料登记，每月将相关记录上报采购人，采购人不定期进行检查。</w:t>
            </w:r>
          </w:p>
          <w:p>
            <w:pPr>
              <w:ind w:firstLine="440"/>
              <w:jc w:val="both"/>
            </w:pPr>
            <w:r>
              <w:rPr>
                <w:sz w:val="21"/>
              </w:rPr>
              <w:t>（</w:t>
            </w:r>
            <w:r>
              <w:rPr>
                <w:sz w:val="21"/>
              </w:rPr>
              <w:t>6</w:t>
            </w:r>
            <w:r>
              <w:rPr>
                <w:sz w:val="21"/>
              </w:rPr>
              <w:t>）不得接受未经许可的厨余垃圾（含跨区域的厨余垃圾）。</w:t>
            </w:r>
          </w:p>
          <w:p>
            <w:pPr>
              <w:ind w:firstLine="440"/>
              <w:jc w:val="both"/>
            </w:pPr>
            <w:r>
              <w:rPr>
                <w:sz w:val="21"/>
              </w:rPr>
              <w:t>（</w:t>
            </w:r>
            <w:r>
              <w:rPr>
                <w:sz w:val="21"/>
              </w:rPr>
              <w:t>7</w:t>
            </w:r>
            <w:r>
              <w:rPr>
                <w:sz w:val="21"/>
              </w:rPr>
              <w:t>）</w:t>
            </w:r>
            <w:r>
              <w:rPr>
                <w:sz w:val="21"/>
              </w:rPr>
              <w:t>处理厂点</w:t>
            </w:r>
            <w:r>
              <w:rPr>
                <w:sz w:val="21"/>
              </w:rPr>
              <w:t>要有操作规程及安全保障设施和措施，安全操作制度必须上墙。</w:t>
            </w:r>
          </w:p>
          <w:p>
            <w:pPr>
              <w:ind w:firstLine="440"/>
              <w:jc w:val="both"/>
            </w:pPr>
            <w:r>
              <w:rPr>
                <w:sz w:val="21"/>
              </w:rPr>
              <w:t>（</w:t>
            </w:r>
            <w:r>
              <w:rPr>
                <w:sz w:val="21"/>
              </w:rPr>
              <w:t>8</w:t>
            </w:r>
            <w:r>
              <w:rPr>
                <w:sz w:val="21"/>
              </w:rPr>
              <w:t>）</w:t>
            </w:r>
            <w:r>
              <w:rPr>
                <w:sz w:val="21"/>
              </w:rPr>
              <w:t>处理厂点</w:t>
            </w:r>
            <w:r>
              <w:rPr>
                <w:sz w:val="21"/>
              </w:rPr>
              <w:t>污水每季度定期进行检测，服务过程中，中标单位须保证降解过程中废水</w:t>
            </w:r>
            <w:r>
              <w:rPr>
                <w:sz w:val="21"/>
              </w:rPr>
              <w:t>、</w:t>
            </w:r>
            <w:r>
              <w:rPr>
                <w:sz w:val="21"/>
              </w:rPr>
              <w:t>废气</w:t>
            </w:r>
            <w:r>
              <w:rPr>
                <w:sz w:val="21"/>
              </w:rPr>
              <w:t>经处理后排放</w:t>
            </w:r>
            <w:r>
              <w:rPr>
                <w:sz w:val="21"/>
              </w:rPr>
              <w:t>，</w:t>
            </w:r>
            <w:r>
              <w:rPr>
                <w:sz w:val="21"/>
              </w:rPr>
              <w:t>并应保证排放的废水、废气</w:t>
            </w:r>
            <w:r>
              <w:rPr>
                <w:sz w:val="21"/>
              </w:rPr>
              <w:t>符合国家及地方相关要求</w:t>
            </w:r>
            <w:r>
              <w:rPr>
                <w:sz w:val="21"/>
              </w:rPr>
              <w:t>。</w:t>
            </w:r>
          </w:p>
          <w:p>
            <w:pPr>
              <w:ind w:firstLine="442"/>
              <w:jc w:val="both"/>
            </w:pPr>
            <w:r>
              <w:rPr>
                <w:b/>
                <w:sz w:val="21"/>
              </w:rPr>
              <w:t>3</w:t>
            </w:r>
            <w:r>
              <w:rPr>
                <w:b/>
                <w:sz w:val="21"/>
              </w:rPr>
              <w:t>.人员配置及服务要求</w:t>
            </w:r>
          </w:p>
          <w:p>
            <w:pPr>
              <w:ind w:firstLine="440"/>
              <w:jc w:val="both"/>
            </w:pPr>
            <w:r>
              <w:rPr>
                <w:sz w:val="21"/>
              </w:rPr>
              <w:t>（</w:t>
            </w:r>
            <w:r>
              <w:rPr>
                <w:sz w:val="21"/>
              </w:rPr>
              <w:t>1）配置项目经理1人、</w:t>
            </w:r>
            <w:r>
              <w:rPr>
                <w:sz w:val="21"/>
              </w:rPr>
              <w:t>车间管理员</w:t>
            </w:r>
            <w:r>
              <w:rPr>
                <w:sz w:val="21"/>
              </w:rPr>
              <w:t>1名、材料员2名、司机11名、巡查员2名，作业工人15名，如处理厂扩充经营，需相应增加项目人员</w:t>
            </w:r>
            <w:r>
              <w:rPr>
                <w:sz w:val="21"/>
              </w:rPr>
              <w:t>；</w:t>
            </w:r>
            <w:r>
              <w:rPr>
                <w:sz w:val="21"/>
              </w:rPr>
              <w:t>中标人</w:t>
            </w:r>
            <w:r>
              <w:rPr>
                <w:sz w:val="21"/>
              </w:rPr>
              <w:t>应于</w:t>
            </w:r>
            <w:r>
              <w:rPr>
                <w:sz w:val="21"/>
              </w:rPr>
              <w:t>中标</w:t>
            </w:r>
            <w:r>
              <w:rPr>
                <w:sz w:val="21"/>
              </w:rPr>
              <w:t>合同签订后</w:t>
            </w:r>
            <w:r>
              <w:rPr>
                <w:sz w:val="21"/>
              </w:rPr>
              <w:t>30日向</w:t>
            </w:r>
            <w:r>
              <w:rPr>
                <w:sz w:val="21"/>
              </w:rPr>
              <w:t>采购人</w:t>
            </w:r>
            <w:r>
              <w:rPr>
                <w:sz w:val="21"/>
              </w:rPr>
              <w:t>提供前述人员的身份信息、资质证明等相关资料</w:t>
            </w:r>
            <w:r>
              <w:rPr>
                <w:sz w:val="21"/>
              </w:rPr>
              <w:t>，</w:t>
            </w:r>
            <w:r>
              <w:rPr>
                <w:sz w:val="21"/>
              </w:rPr>
              <w:t>工资不得低于东莞市相关规定的最低工资标准。</w:t>
            </w:r>
            <w:r>
              <w:rPr>
                <w:sz w:val="21"/>
              </w:rPr>
              <w:t>采购人</w:t>
            </w:r>
            <w:r>
              <w:rPr>
                <w:sz w:val="21"/>
              </w:rPr>
              <w:t>认为不符合其要求的，可要求</w:t>
            </w:r>
            <w:r>
              <w:rPr>
                <w:sz w:val="21"/>
              </w:rPr>
              <w:t>中标人</w:t>
            </w:r>
            <w:r>
              <w:rPr>
                <w:sz w:val="21"/>
              </w:rPr>
              <w:t>服务期限内更换人员</w:t>
            </w:r>
            <w:r>
              <w:rPr>
                <w:sz w:val="21"/>
              </w:rPr>
              <w:t>，</w:t>
            </w:r>
            <w:r>
              <w:rPr>
                <w:sz w:val="21"/>
              </w:rPr>
              <w:t>并及时报备更换的人员信息</w:t>
            </w:r>
            <w:r>
              <w:rPr>
                <w:sz w:val="21"/>
              </w:rPr>
              <w:t>。</w:t>
            </w:r>
          </w:p>
          <w:p>
            <w:pPr>
              <w:ind w:firstLine="440"/>
              <w:jc w:val="both"/>
            </w:pPr>
            <w:r>
              <w:rPr>
                <w:sz w:val="21"/>
              </w:rPr>
              <w:t>（</w:t>
            </w:r>
            <w:r>
              <w:rPr>
                <w:sz w:val="21"/>
              </w:rPr>
              <w:t>2）中标人要对厨余垃圾收运工作人员实行定人、定岗、定量管理制度，需将实际上岗人员资料报采购人备案，同时统一为每个上岗人员印制附个人相片的工作证，以备采购人随时查验。</w:t>
            </w:r>
          </w:p>
          <w:p>
            <w:pPr>
              <w:ind w:firstLine="440"/>
              <w:jc w:val="both"/>
            </w:pPr>
            <w:r>
              <w:rPr>
                <w:sz w:val="21"/>
              </w:rPr>
              <w:t>（</w:t>
            </w:r>
            <w:r>
              <w:rPr>
                <w:sz w:val="21"/>
              </w:rPr>
              <w:t>3）中标人所有工作人员要统一着装</w:t>
            </w:r>
            <w:r>
              <w:rPr>
                <w:sz w:val="21"/>
              </w:rPr>
              <w:t>，</w:t>
            </w:r>
            <w:r>
              <w:rPr>
                <w:sz w:val="21"/>
              </w:rPr>
              <w:t>必须穿着工作服</w:t>
            </w:r>
            <w:r>
              <w:rPr>
                <w:sz w:val="21"/>
              </w:rPr>
              <w:t>，</w:t>
            </w:r>
            <w:r>
              <w:rPr>
                <w:sz w:val="21"/>
              </w:rPr>
              <w:t>做好防护</w:t>
            </w:r>
            <w:r>
              <w:rPr>
                <w:sz w:val="21"/>
              </w:rPr>
              <w:t>。</w:t>
            </w:r>
          </w:p>
          <w:p>
            <w:pPr>
              <w:ind w:firstLine="440"/>
              <w:jc w:val="both"/>
            </w:pPr>
            <w:r>
              <w:rPr>
                <w:sz w:val="21"/>
              </w:rPr>
              <w:t>（</w:t>
            </w:r>
            <w:r>
              <w:rPr>
                <w:sz w:val="21"/>
              </w:rPr>
              <w:t>4</w:t>
            </w:r>
            <w:r>
              <w:rPr>
                <w:sz w:val="21"/>
              </w:rPr>
              <w:t>）中标人须负责安排人员及厨余垃圾收集车辆负责包括居住区（小区、村社区）、农贸市场、文教区、医疗机构、公共机构、公共场所、工厂企业、餐饮机构等厨余垃圾收集点收集厨余垃圾，实现垃圾日产日清。不得超过约定时间或拒收厨余产生单位的厨余垃圾。</w:t>
            </w:r>
          </w:p>
          <w:p>
            <w:pPr>
              <w:ind w:firstLine="440"/>
              <w:jc w:val="both"/>
            </w:pPr>
            <w:r>
              <w:rPr>
                <w:sz w:val="21"/>
              </w:rPr>
              <w:t>（</w:t>
            </w:r>
            <w:r>
              <w:rPr>
                <w:sz w:val="21"/>
              </w:rPr>
              <w:t>5</w:t>
            </w:r>
            <w:r>
              <w:rPr>
                <w:sz w:val="21"/>
              </w:rPr>
              <w:t>）中标人在厨余垃圾清运工作时应做到安全、有序，自觉遵守采购人各项目安全管理规章制度，确保安全行车，中标人在履行</w:t>
            </w:r>
            <w:r>
              <w:rPr>
                <w:sz w:val="21"/>
              </w:rPr>
              <w:t>中标</w:t>
            </w:r>
            <w:r>
              <w:rPr>
                <w:sz w:val="21"/>
              </w:rPr>
              <w:t>合同过程中造成其员工、采购人或第三人人身或财产损害的，由中标人承担全部责任，与采购人无关，中标人不得因此影响</w:t>
            </w:r>
            <w:r>
              <w:rPr>
                <w:sz w:val="21"/>
              </w:rPr>
              <w:t>中标</w:t>
            </w:r>
            <w:r>
              <w:rPr>
                <w:sz w:val="21"/>
              </w:rPr>
              <w:t>合同的履行。</w:t>
            </w:r>
          </w:p>
          <w:p>
            <w:pPr>
              <w:ind w:firstLine="420"/>
              <w:jc w:val="both"/>
            </w:pPr>
            <w:r>
              <w:rPr>
                <w:sz w:val="21"/>
              </w:rPr>
              <w:t>（</w:t>
            </w:r>
            <w:r>
              <w:rPr>
                <w:sz w:val="21"/>
              </w:rPr>
              <w:t>6</w:t>
            </w:r>
            <w:r>
              <w:rPr>
                <w:sz w:val="21"/>
              </w:rPr>
              <w:t>）中标人负责建立产生源点位台账，并对收运处理情况和项目运营情况做好相关登记。包括但不限产生源位置、社区、规模、业主等基础信息，由中标人统一配置固定规格收集容器，签订收运协议（合同），协议（合同）明确桶数、提供容器个数、每日登记产生源收运实际桶数、重量，由双方核对确认，形成产生源点位台账，并每月</w:t>
            </w:r>
            <w:r>
              <w:rPr>
                <w:sz w:val="21"/>
              </w:rPr>
              <w:t>15</w:t>
            </w:r>
            <w:r>
              <w:rPr>
                <w:sz w:val="21"/>
              </w:rPr>
              <w:t>日前向采购人报送上月的台账。</w:t>
            </w:r>
            <w:r>
              <w:rPr>
                <w:sz w:val="21"/>
              </w:rPr>
              <w:t>中标人不得向厨余垃圾产生单位</w:t>
            </w:r>
            <w:r>
              <w:rPr>
                <w:sz w:val="21"/>
              </w:rPr>
              <w:t>收取垃圾处理费、运输费、收集容器使用费等费用，中标人为履行本项目所需的所有费用均已包含在本项目的综合单价中。</w:t>
            </w:r>
            <w:r>
              <w:rPr>
                <w:sz w:val="21"/>
              </w:rPr>
              <w:t>按营业面积、垃圾量计征生活垃圾处理费的饮食业、机关、企事业单位、工商户须单独记录产生源面积、厨余垃圾产生源等情况，实现分类管理（模板参考表格）。</w:t>
            </w:r>
            <w:r>
              <w:rPr>
                <w:sz w:val="21"/>
              </w:rPr>
              <w:t>收运过程中要遵守环境卫生作业标准和规范</w:t>
            </w:r>
            <w:r>
              <w:rPr>
                <w:sz w:val="21"/>
              </w:rPr>
              <w:t>，</w:t>
            </w:r>
            <w:r>
              <w:rPr>
                <w:sz w:val="21"/>
              </w:rPr>
              <w:t>保持收运作业区环境整洁。</w:t>
            </w:r>
          </w:p>
          <w:p>
            <w:pPr>
              <w:jc w:val="center"/>
            </w:pPr>
          </w:p>
          <w:p>
            <w:pPr>
              <w:jc w:val="center"/>
            </w:pPr>
          </w:p>
          <w:p>
            <w:pPr>
              <w:jc w:val="center"/>
            </w:pPr>
            <w:r>
              <w:rPr>
                <w:sz w:val="21"/>
              </w:rPr>
              <w:t>产生源厨余垃圾收运信息登记表</w:t>
            </w:r>
          </w:p>
          <w:tbl>
            <w:tblPr>
              <w:tblBorders>
                <w:top w:val="none" w:color="000000" w:sz="4"/>
                <w:left w:val="none" w:color="000000" w:sz="4"/>
                <w:bottom w:val="none" w:color="000000" w:sz="4"/>
                <w:right w:val="none" w:color="000000" w:sz="4"/>
                <w:insideH w:val="none"/>
                <w:insideV w:val="none"/>
              </w:tblBorders>
            </w:tblPr>
            <w:tblGrid>
              <w:gridCol w:w="503"/>
              <w:gridCol w:w="710"/>
              <w:gridCol w:w="740"/>
              <w:gridCol w:w="1313"/>
              <w:gridCol w:w="1619"/>
              <w:gridCol w:w="700"/>
            </w:tblGrid>
            <w:tr>
              <w:tc>
                <w:tcPr>
                  <w:tcW w:type="dxa" w:w="503"/>
                  <w:tcBorders>
                    <w:top w:val="single" w:color="000000" w:sz="4"/>
                    <w:left w:val="single" w:color="000000" w:sz="4"/>
                    <w:bottom w:val="single" w:color="000000" w:sz="4"/>
                    <w:right w:val="single" w:color="000000" w:sz="4"/>
                  </w:tcBorders>
                  <w:vAlign w:val="top"/>
                </w:tcPr>
                <w:p>
                  <w:pPr>
                    <w:jc w:val="center"/>
                  </w:pPr>
                  <w:r>
                    <w:rPr>
                      <w:sz w:val="21"/>
                    </w:rPr>
                    <w:t>社区</w:t>
                  </w:r>
                </w:p>
              </w:tc>
              <w:tc>
                <w:tcPr>
                  <w:tcW w:type="dxa" w:w="710"/>
                  <w:tcBorders>
                    <w:top w:val="single" w:color="000000" w:sz="4"/>
                    <w:left w:val="single" w:color="000000" w:sz="4"/>
                    <w:bottom w:val="single" w:color="000000" w:sz="4"/>
                    <w:right w:val="single" w:color="000000" w:sz="4"/>
                  </w:tcBorders>
                  <w:vAlign w:val="top"/>
                </w:tcPr>
                <w:p>
                  <w:pPr>
                    <w:jc w:val="center"/>
                  </w:pPr>
                  <w:r>
                    <w:rPr>
                      <w:sz w:val="21"/>
                    </w:rPr>
                    <w:t>单位名称</w:t>
                  </w:r>
                </w:p>
              </w:tc>
              <w:tc>
                <w:tcPr>
                  <w:tcW w:type="dxa" w:w="740"/>
                  <w:tcBorders>
                    <w:top w:val="single" w:color="000000" w:sz="4"/>
                    <w:left w:val="single" w:color="000000" w:sz="4"/>
                    <w:bottom w:val="single" w:color="000000" w:sz="4"/>
                    <w:right w:val="single" w:color="000000" w:sz="4"/>
                  </w:tcBorders>
                  <w:vAlign w:val="top"/>
                </w:tcPr>
                <w:p>
                  <w:pPr>
                    <w:jc w:val="center"/>
                  </w:pPr>
                  <w:r>
                    <w:rPr>
                      <w:sz w:val="21"/>
                    </w:rPr>
                    <w:t>地址</w:t>
                  </w:r>
                </w:p>
              </w:tc>
              <w:tc>
                <w:tcPr>
                  <w:tcW w:type="dxa" w:w="1313"/>
                  <w:tcBorders>
                    <w:top w:val="single" w:color="000000" w:sz="4"/>
                    <w:left w:val="single" w:color="000000" w:sz="4"/>
                    <w:bottom w:val="single" w:color="000000" w:sz="4"/>
                    <w:right w:val="single" w:color="000000" w:sz="4"/>
                  </w:tcBorders>
                  <w:vAlign w:val="top"/>
                </w:tcPr>
                <w:p>
                  <w:pPr>
                    <w:jc w:val="center"/>
                  </w:pPr>
                  <w:r>
                    <w:rPr>
                      <w:sz w:val="21"/>
                    </w:rPr>
                    <w:t>类型</w:t>
                  </w:r>
                </w:p>
                <w:p>
                  <w:pPr>
                    <w:jc w:val="center"/>
                  </w:pPr>
                  <w:r>
                    <w:rPr>
                      <w:sz w:val="21"/>
                    </w:rPr>
                    <w:t>（</w:t>
                  </w:r>
                  <w:r>
                    <w:rPr>
                      <w:sz w:val="21"/>
                    </w:rPr>
                    <w:t>A:50㎡以下</w:t>
                  </w:r>
                </w:p>
                <w:p>
                  <w:pPr>
                    <w:jc w:val="center"/>
                  </w:pPr>
                  <w:r>
                    <w:rPr>
                      <w:sz w:val="21"/>
                    </w:rPr>
                    <w:t>B:50-100㎡</w:t>
                  </w:r>
                </w:p>
                <w:p>
                  <w:pPr>
                    <w:jc w:val="center"/>
                  </w:pPr>
                  <w:r>
                    <w:rPr>
                      <w:sz w:val="21"/>
                    </w:rPr>
                    <w:t xml:space="preserve"> </w:t>
                  </w:r>
                  <w:r>
                    <w:rPr>
                      <w:sz w:val="21"/>
                    </w:rPr>
                    <w:t>C:100㎡以上)</w:t>
                  </w:r>
                </w:p>
              </w:tc>
              <w:tc>
                <w:tcPr>
                  <w:tcW w:type="dxa" w:w="1619"/>
                  <w:tcBorders>
                    <w:top w:val="single" w:color="000000" w:sz="4"/>
                    <w:left w:val="single" w:color="000000" w:sz="4"/>
                    <w:bottom w:val="single" w:color="000000" w:sz="4"/>
                    <w:right w:val="single" w:color="000000" w:sz="4"/>
                  </w:tcBorders>
                  <w:vAlign w:val="top"/>
                </w:tcPr>
                <w:p>
                  <w:pPr>
                    <w:jc w:val="center"/>
                  </w:pPr>
                  <w:r>
                    <w:rPr>
                      <w:sz w:val="21"/>
                    </w:rPr>
                    <w:t>厨余垃圾收集量桶数（</w:t>
                  </w:r>
                  <w:r>
                    <w:rPr>
                      <w:sz w:val="21"/>
                    </w:rPr>
                    <w:t>120L）/月</w:t>
                  </w:r>
                </w:p>
              </w:tc>
              <w:tc>
                <w:tcPr>
                  <w:tcW w:type="dxa" w:w="700"/>
                  <w:tcBorders>
                    <w:top w:val="single" w:color="000000" w:sz="4"/>
                    <w:left w:val="single" w:color="000000" w:sz="4"/>
                    <w:bottom w:val="single" w:color="000000" w:sz="4"/>
                    <w:right w:val="single" w:color="000000" w:sz="4"/>
                  </w:tcBorders>
                  <w:vAlign w:val="top"/>
                </w:tcPr>
                <w:p>
                  <w:pPr>
                    <w:jc w:val="center"/>
                  </w:pPr>
                  <w:r>
                    <w:rPr>
                      <w:sz w:val="21"/>
                    </w:rPr>
                    <w:t>营业面积</w:t>
                  </w:r>
                </w:p>
              </w:tc>
            </w:tr>
            <w:tr>
              <w:tc>
                <w:tcPr>
                  <w:tcW w:type="dxa" w:w="503"/>
                  <w:tcBorders>
                    <w:top w:val="none" w:color="000000" w:sz="4"/>
                    <w:left w:val="single" w:color="000000" w:sz="4"/>
                    <w:bottom w:val="single" w:color="000000" w:sz="4"/>
                    <w:right w:val="single" w:color="000000" w:sz="4"/>
                  </w:tcBorders>
                  <w:vAlign w:val="top"/>
                </w:tcPr>
                <w:p>
                  <w:pPr>
                    <w:jc w:val="both"/>
                  </w:pPr>
                </w:p>
              </w:tc>
              <w:tc>
                <w:tcPr>
                  <w:tcW w:type="dxa" w:w="710"/>
                  <w:tcBorders>
                    <w:top w:val="none" w:color="000000" w:sz="4"/>
                    <w:left w:val="single" w:color="000000" w:sz="4"/>
                    <w:bottom w:val="single" w:color="000000" w:sz="4"/>
                    <w:right w:val="single" w:color="000000" w:sz="4"/>
                  </w:tcBorders>
                  <w:vAlign w:val="top"/>
                </w:tcPr>
                <w:p>
                  <w:pPr>
                    <w:jc w:val="both"/>
                  </w:pPr>
                </w:p>
              </w:tc>
              <w:tc>
                <w:tcPr>
                  <w:tcW w:type="dxa" w:w="740"/>
                  <w:tcBorders>
                    <w:top w:val="none" w:color="000000" w:sz="4"/>
                    <w:left w:val="single" w:color="000000" w:sz="4"/>
                    <w:bottom w:val="single" w:color="000000" w:sz="4"/>
                    <w:right w:val="single" w:color="000000" w:sz="4"/>
                  </w:tcBorders>
                  <w:vAlign w:val="top"/>
                </w:tcPr>
                <w:p>
                  <w:pPr>
                    <w:jc w:val="both"/>
                  </w:pPr>
                </w:p>
              </w:tc>
              <w:tc>
                <w:tcPr>
                  <w:tcW w:type="dxa" w:w="1313"/>
                  <w:tcBorders>
                    <w:top w:val="none" w:color="000000" w:sz="4"/>
                    <w:left w:val="single" w:color="000000" w:sz="4"/>
                    <w:bottom w:val="single" w:color="000000" w:sz="4"/>
                    <w:right w:val="single" w:color="000000" w:sz="4"/>
                  </w:tcBorders>
                  <w:vAlign w:val="top"/>
                </w:tcPr>
                <w:p>
                  <w:pPr>
                    <w:jc w:val="both"/>
                  </w:pPr>
                </w:p>
              </w:tc>
              <w:tc>
                <w:tcPr>
                  <w:tcW w:type="dxa" w:w="1619"/>
                  <w:tcBorders>
                    <w:top w:val="none" w:color="000000" w:sz="4"/>
                    <w:left w:val="single" w:color="000000" w:sz="4"/>
                    <w:bottom w:val="single" w:color="000000" w:sz="4"/>
                    <w:right w:val="single" w:color="000000" w:sz="4"/>
                  </w:tcBorders>
                  <w:vAlign w:val="top"/>
                </w:tcPr>
                <w:p>
                  <w:pPr>
                    <w:jc w:val="both"/>
                  </w:pPr>
                </w:p>
              </w:tc>
              <w:tc>
                <w:tcPr>
                  <w:tcW w:type="dxa" w:w="700"/>
                  <w:tcBorders>
                    <w:top w:val="none" w:color="000000" w:sz="4"/>
                    <w:left w:val="single" w:color="000000" w:sz="4"/>
                    <w:bottom w:val="single" w:color="000000" w:sz="4"/>
                    <w:right w:val="single" w:color="000000" w:sz="4"/>
                  </w:tcBorders>
                  <w:vAlign w:val="top"/>
                </w:tcPr>
                <w:p>
                  <w:pPr>
                    <w:jc w:val="both"/>
                  </w:pPr>
                </w:p>
              </w:tc>
            </w:tr>
            <w:tr>
              <w:tc>
                <w:tcPr>
                  <w:tcW w:type="dxa" w:w="503"/>
                  <w:tcBorders>
                    <w:top w:val="none" w:color="000000" w:sz="4"/>
                    <w:left w:val="single" w:color="000000" w:sz="4"/>
                    <w:bottom w:val="single" w:color="000000" w:sz="4"/>
                    <w:right w:val="single" w:color="000000" w:sz="4"/>
                  </w:tcBorders>
                  <w:vAlign w:val="top"/>
                </w:tcPr>
                <w:p>
                  <w:pPr>
                    <w:jc w:val="both"/>
                  </w:pPr>
                </w:p>
              </w:tc>
              <w:tc>
                <w:tcPr>
                  <w:tcW w:type="dxa" w:w="710"/>
                  <w:tcBorders>
                    <w:top w:val="none" w:color="000000" w:sz="4"/>
                    <w:left w:val="single" w:color="000000" w:sz="4"/>
                    <w:bottom w:val="single" w:color="000000" w:sz="4"/>
                    <w:right w:val="single" w:color="000000" w:sz="4"/>
                  </w:tcBorders>
                  <w:vAlign w:val="top"/>
                </w:tcPr>
                <w:p>
                  <w:pPr>
                    <w:jc w:val="both"/>
                  </w:pPr>
                </w:p>
              </w:tc>
              <w:tc>
                <w:tcPr>
                  <w:tcW w:type="dxa" w:w="740"/>
                  <w:tcBorders>
                    <w:top w:val="none" w:color="000000" w:sz="4"/>
                    <w:left w:val="single" w:color="000000" w:sz="4"/>
                    <w:bottom w:val="single" w:color="000000" w:sz="4"/>
                    <w:right w:val="single" w:color="000000" w:sz="4"/>
                  </w:tcBorders>
                  <w:vAlign w:val="top"/>
                </w:tcPr>
                <w:p>
                  <w:pPr>
                    <w:jc w:val="both"/>
                  </w:pPr>
                </w:p>
              </w:tc>
              <w:tc>
                <w:tcPr>
                  <w:tcW w:type="dxa" w:w="1313"/>
                  <w:tcBorders>
                    <w:top w:val="none" w:color="000000" w:sz="4"/>
                    <w:left w:val="single" w:color="000000" w:sz="4"/>
                    <w:bottom w:val="single" w:color="000000" w:sz="4"/>
                    <w:right w:val="single" w:color="000000" w:sz="4"/>
                  </w:tcBorders>
                  <w:vAlign w:val="top"/>
                </w:tcPr>
                <w:p>
                  <w:pPr>
                    <w:jc w:val="both"/>
                  </w:pPr>
                </w:p>
              </w:tc>
              <w:tc>
                <w:tcPr>
                  <w:tcW w:type="dxa" w:w="1619"/>
                  <w:tcBorders>
                    <w:top w:val="none" w:color="000000" w:sz="4"/>
                    <w:left w:val="single" w:color="000000" w:sz="4"/>
                    <w:bottom w:val="single" w:color="000000" w:sz="4"/>
                    <w:right w:val="single" w:color="000000" w:sz="4"/>
                  </w:tcBorders>
                  <w:vAlign w:val="top"/>
                </w:tcPr>
                <w:p>
                  <w:pPr>
                    <w:jc w:val="both"/>
                  </w:pPr>
                </w:p>
              </w:tc>
              <w:tc>
                <w:tcPr>
                  <w:tcW w:type="dxa" w:w="700"/>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w:t>
            </w:r>
            <w:r>
              <w:rPr>
                <w:sz w:val="21"/>
              </w:rPr>
              <w:t>7</w:t>
            </w:r>
            <w:r>
              <w:rPr>
                <w:sz w:val="21"/>
              </w:rPr>
              <w:t>）</w:t>
            </w:r>
            <w:r>
              <w:rPr>
                <w:sz w:val="21"/>
              </w:rPr>
              <w:t>中标人负责处理厂的垃圾</w:t>
            </w:r>
            <w:r>
              <w:rPr>
                <w:sz w:val="21"/>
              </w:rPr>
              <w:t>收运</w:t>
            </w:r>
            <w:r>
              <w:rPr>
                <w:sz w:val="21"/>
              </w:rPr>
              <w:t>/处理及产出物</w:t>
            </w:r>
            <w:r>
              <w:rPr>
                <w:sz w:val="21"/>
              </w:rPr>
              <w:t>的</w:t>
            </w:r>
            <w:r>
              <w:rPr>
                <w:sz w:val="21"/>
              </w:rPr>
              <w:t>处理</w:t>
            </w:r>
            <w:r>
              <w:rPr>
                <w:sz w:val="21"/>
              </w:rPr>
              <w:t>和</w:t>
            </w:r>
            <w:r>
              <w:rPr>
                <w:sz w:val="21"/>
              </w:rPr>
              <w:t>费用，</w:t>
            </w:r>
            <w:r>
              <w:rPr>
                <w:sz w:val="21"/>
              </w:rPr>
              <w:t>交由有资质公司处置，达到无害化处理，并建立处理去向台账。</w:t>
            </w:r>
          </w:p>
          <w:p>
            <w:pPr>
              <w:ind w:firstLine="442"/>
              <w:jc w:val="both"/>
            </w:pPr>
            <w:r>
              <w:rPr>
                <w:b/>
                <w:sz w:val="21"/>
              </w:rPr>
              <w:t>4</w:t>
            </w:r>
            <w:r>
              <w:rPr>
                <w:b/>
                <w:sz w:val="21"/>
              </w:rPr>
              <w:t>.车辆管理要求</w:t>
            </w:r>
          </w:p>
          <w:p>
            <w:pPr>
              <w:ind w:firstLine="440"/>
              <w:jc w:val="both"/>
            </w:pPr>
            <w:r>
              <w:rPr>
                <w:sz w:val="21"/>
              </w:rPr>
              <w:t>（</w:t>
            </w:r>
            <w:r>
              <w:rPr>
                <w:sz w:val="21"/>
              </w:rPr>
              <w:t>1</w:t>
            </w:r>
            <w:r>
              <w:rPr>
                <w:sz w:val="21"/>
              </w:rPr>
              <w:t>）</w:t>
            </w:r>
            <w:r>
              <w:rPr>
                <w:sz w:val="21"/>
              </w:rPr>
              <w:t>配置</w:t>
            </w:r>
            <w:r>
              <w:rPr>
                <w:sz w:val="21"/>
              </w:rPr>
              <w:t>不少于</w:t>
            </w:r>
            <w:r>
              <w:rPr>
                <w:sz w:val="21"/>
              </w:rPr>
              <w:t>10</w:t>
            </w:r>
            <w:r>
              <w:rPr>
                <w:sz w:val="21"/>
              </w:rPr>
              <w:t>辆密闭厨余垃圾收运车</w:t>
            </w:r>
            <w:r>
              <w:rPr>
                <w:sz w:val="21"/>
              </w:rPr>
              <w:t>，</w:t>
            </w:r>
            <w:r>
              <w:rPr>
                <w:sz w:val="21"/>
              </w:rPr>
              <w:t>配置车载视频、</w:t>
            </w:r>
            <w:r>
              <w:rPr>
                <w:sz w:val="21"/>
              </w:rPr>
              <w:t>GPS车辆轨迹监控、车载计量称重系统，至少包含容量4吨、5吨、7吨、8吨的</w:t>
            </w:r>
            <w:r>
              <w:rPr>
                <w:sz w:val="21"/>
              </w:rPr>
              <w:t>密闭厨余垃圾收运车</w:t>
            </w:r>
            <w:r>
              <w:rPr>
                <w:sz w:val="21"/>
              </w:rPr>
              <w:t>，</w:t>
            </w:r>
            <w:r>
              <w:rPr>
                <w:sz w:val="21"/>
              </w:rPr>
              <w:t>满足不同产生源收运需求并根据实际情况增设</w:t>
            </w:r>
            <w:r>
              <w:rPr>
                <w:sz w:val="21"/>
              </w:rPr>
              <w:t>。</w:t>
            </w:r>
          </w:p>
          <w:p>
            <w:pPr>
              <w:ind w:firstLine="440"/>
              <w:jc w:val="both"/>
            </w:pPr>
            <w:r>
              <w:rPr>
                <w:sz w:val="21"/>
              </w:rPr>
              <w:t>（</w:t>
            </w:r>
            <w:r>
              <w:rPr>
                <w:sz w:val="21"/>
              </w:rPr>
              <w:t>2</w:t>
            </w:r>
            <w:r>
              <w:rPr>
                <w:sz w:val="21"/>
              </w:rPr>
              <w:t>）厨余垃圾收集车辆需按东莞市厨余垃圾标识喷涂标识，并车身喷涂</w:t>
            </w:r>
            <w:r>
              <w:rPr>
                <w:sz w:val="21"/>
              </w:rPr>
              <w:t>“</w:t>
            </w:r>
            <w:r>
              <w:rPr>
                <w:sz w:val="21"/>
              </w:rPr>
              <w:t>虎门镇</w:t>
            </w:r>
            <w:r>
              <w:rPr>
                <w:sz w:val="21"/>
              </w:rPr>
              <w:t>厨余垃圾收集车</w:t>
            </w:r>
            <w:r>
              <w:rPr>
                <w:sz w:val="21"/>
              </w:rPr>
              <w:t>”等相关标识</w:t>
            </w:r>
            <w:r>
              <w:rPr>
                <w:sz w:val="21"/>
              </w:rPr>
              <w:t>。</w:t>
            </w:r>
            <w:r>
              <w:rPr>
                <w:sz w:val="21"/>
              </w:rPr>
              <w:t>中标人所有厨余垃圾车辆要有统一编号、标识、监督电话</w:t>
            </w:r>
            <w:r>
              <w:rPr>
                <w:sz w:val="21"/>
              </w:rPr>
              <w:t>，</w:t>
            </w:r>
            <w:r>
              <w:rPr>
                <w:sz w:val="21"/>
              </w:rPr>
              <w:t>配置统一厨余垃圾桶。</w:t>
            </w:r>
          </w:p>
          <w:p>
            <w:pPr>
              <w:ind w:firstLine="440"/>
              <w:jc w:val="both"/>
            </w:pPr>
            <w:r>
              <w:rPr>
                <w:sz w:val="21"/>
              </w:rPr>
              <w:t>（</w:t>
            </w:r>
            <w:r>
              <w:rPr>
                <w:sz w:val="21"/>
              </w:rPr>
              <w:t>3</w:t>
            </w:r>
            <w:r>
              <w:rPr>
                <w:sz w:val="21"/>
              </w:rPr>
              <w:t>）厨余垃圾运输车辆作业时车容车貌要整洁，并保持车况良好；按规定标准保养维修。</w:t>
            </w:r>
          </w:p>
          <w:p>
            <w:pPr>
              <w:ind w:firstLine="440"/>
              <w:jc w:val="both"/>
            </w:pPr>
            <w:r>
              <w:rPr>
                <w:sz w:val="21"/>
              </w:rPr>
              <w:t>（</w:t>
            </w:r>
            <w:r>
              <w:rPr>
                <w:sz w:val="21"/>
              </w:rPr>
              <w:t>4</w:t>
            </w:r>
            <w:r>
              <w:rPr>
                <w:sz w:val="21"/>
              </w:rPr>
              <w:t>）垃圾运输车辆运输过程中要密封运输，无超载、无滴水、无沿途抛洒现象。</w:t>
            </w:r>
          </w:p>
          <w:p>
            <w:pPr>
              <w:ind w:firstLine="440"/>
              <w:jc w:val="both"/>
            </w:pPr>
            <w:r>
              <w:rPr>
                <w:sz w:val="21"/>
              </w:rPr>
              <w:t>（</w:t>
            </w:r>
            <w:r>
              <w:rPr>
                <w:sz w:val="21"/>
              </w:rPr>
              <w:t>5</w:t>
            </w:r>
            <w:r>
              <w:rPr>
                <w:sz w:val="21"/>
              </w:rPr>
              <w:t>）厨余垃圾运输车辆按规定区域路线行驶，不得行驶无备案区域路线。</w:t>
            </w:r>
          </w:p>
          <w:p>
            <w:pPr>
              <w:jc w:val="both"/>
            </w:pPr>
            <w:r>
              <w:rPr>
                <w:b/>
                <w:sz w:val="24"/>
              </w:rPr>
              <w:t>二、项目要求</w:t>
            </w:r>
          </w:p>
          <w:p>
            <w:pPr>
              <w:ind w:firstLine="440"/>
              <w:jc w:val="both"/>
            </w:pPr>
            <w:r>
              <w:rPr>
                <w:sz w:val="21"/>
              </w:rPr>
              <w:t>（</w:t>
            </w:r>
            <w:r>
              <w:rPr>
                <w:sz w:val="21"/>
              </w:rPr>
              <w:t>1）服务过程中产出的副产品由</w:t>
            </w:r>
            <w:r>
              <w:rPr>
                <w:sz w:val="21"/>
              </w:rPr>
              <w:t>中标人</w:t>
            </w:r>
            <w:r>
              <w:rPr>
                <w:sz w:val="21"/>
              </w:rPr>
              <w:t>负责进行规范处理，达到无害化、资源化利用处理，所有</w:t>
            </w:r>
            <w:r>
              <w:rPr>
                <w:sz w:val="21"/>
              </w:rPr>
              <w:t>处置</w:t>
            </w:r>
            <w:r>
              <w:rPr>
                <w:sz w:val="21"/>
              </w:rPr>
              <w:t>去向要提供有效证明</w:t>
            </w:r>
            <w:r>
              <w:rPr>
                <w:sz w:val="21"/>
              </w:rPr>
              <w:t>，</w:t>
            </w:r>
            <w:r>
              <w:rPr>
                <w:sz w:val="21"/>
              </w:rPr>
              <w:t>不得将降解副产物随意倾倒。</w:t>
            </w:r>
            <w:r>
              <w:rPr>
                <w:sz w:val="21"/>
              </w:rPr>
              <w:t>中标人</w:t>
            </w:r>
            <w:r>
              <w:rPr>
                <w:sz w:val="21"/>
              </w:rPr>
              <w:t>按规范处理产生的收益归</w:t>
            </w:r>
            <w:r>
              <w:rPr>
                <w:sz w:val="21"/>
              </w:rPr>
              <w:t>中标人</w:t>
            </w:r>
            <w:r>
              <w:rPr>
                <w:sz w:val="21"/>
              </w:rPr>
              <w:t>所有。</w:t>
            </w:r>
          </w:p>
          <w:p>
            <w:pPr>
              <w:ind w:firstLine="440"/>
              <w:jc w:val="both"/>
            </w:pPr>
            <w:r>
              <w:rPr>
                <w:sz w:val="21"/>
              </w:rPr>
              <w:t>（</w:t>
            </w:r>
            <w:r>
              <w:rPr>
                <w:sz w:val="21"/>
              </w:rPr>
              <w:t>2）针对突发事件，应及时做好应急工作。有效处理“安全生产、噪音扰民、污水处理、厨余垃圾产生物处理、设备维修、人员调配、居民投诉”等一切突发事件，不得影响政府及采购人形象和厨余垃圾处理工作。</w:t>
            </w:r>
          </w:p>
          <w:p>
            <w:pPr>
              <w:ind w:firstLine="440"/>
              <w:jc w:val="both"/>
            </w:pPr>
            <w:r>
              <w:rPr>
                <w:sz w:val="21"/>
              </w:rPr>
              <w:t>（</w:t>
            </w:r>
            <w:r>
              <w:rPr>
                <w:sz w:val="21"/>
              </w:rPr>
              <w:t>3</w:t>
            </w:r>
            <w:r>
              <w:rPr>
                <w:sz w:val="21"/>
              </w:rPr>
              <w:t>）中标人根据采购人的要求，提供厨余垃圾产品延伸至科普科教实际应用的特色服务</w:t>
            </w:r>
            <w:r>
              <w:rPr>
                <w:sz w:val="21"/>
              </w:rPr>
              <w:t>；</w:t>
            </w:r>
            <w:r>
              <w:rPr>
                <w:sz w:val="21"/>
              </w:rPr>
              <w:t>配合做好垃圾分类宣传，打造厨余垃圾宣传基地。</w:t>
            </w:r>
          </w:p>
          <w:p>
            <w:pPr>
              <w:ind w:firstLine="440"/>
              <w:jc w:val="both"/>
            </w:pPr>
            <w:r>
              <w:rPr>
                <w:sz w:val="21"/>
              </w:rPr>
              <w:t>（</w:t>
            </w:r>
            <w:r>
              <w:rPr>
                <w:sz w:val="21"/>
              </w:rPr>
              <w:t>4）中标人承诺中标后在12个月内完成办理环境影响报告书及城镇污水排入排水管网许可证、排污许可证。</w:t>
            </w:r>
          </w:p>
          <w:p>
            <w:pPr>
              <w:ind w:firstLine="420"/>
              <w:jc w:val="both"/>
            </w:pPr>
            <w:r>
              <w:rPr>
                <w:sz w:val="21"/>
              </w:rPr>
              <w:t>（</w:t>
            </w:r>
            <w:r>
              <w:rPr>
                <w:sz w:val="21"/>
              </w:rPr>
              <w:t>5</w:t>
            </w:r>
            <w:r>
              <w:rPr>
                <w:sz w:val="21"/>
              </w:rPr>
              <w:t>）中标人承诺中标后</w:t>
            </w:r>
            <w:r>
              <w:rPr>
                <w:sz w:val="21"/>
              </w:rPr>
              <w:t>60天内取得东莞市行业主管部门核发的《城市生活垃圾经营性清扫、收集、运输服务许可证》并向采购人提供原件核查，否则采购人有权单方解除</w:t>
            </w:r>
            <w:r>
              <w:rPr>
                <w:sz w:val="21"/>
              </w:rPr>
              <w:t>中标</w:t>
            </w:r>
            <w:r>
              <w:rPr>
                <w:sz w:val="21"/>
              </w:rPr>
              <w:t>合同并重新选定合作方，中标人应当赔偿采购人因此造成的全部损失。</w:t>
            </w:r>
          </w:p>
          <w:p>
            <w:pPr>
              <w:ind w:firstLine="420"/>
              <w:jc w:val="both"/>
            </w:pPr>
            <w:r>
              <w:rPr>
                <w:sz w:val="21"/>
              </w:rPr>
              <w:t>（</w:t>
            </w:r>
            <w:r>
              <w:rPr>
                <w:sz w:val="21"/>
              </w:rPr>
              <w:t>6</w:t>
            </w:r>
            <w:r>
              <w:rPr>
                <w:sz w:val="21"/>
              </w:rPr>
              <w:t>）</w:t>
            </w:r>
            <w:r>
              <w:rPr>
                <w:sz w:val="21"/>
              </w:rPr>
              <w:t>厨余垃圾处理设备为中标人所有，</w:t>
            </w:r>
            <w:r>
              <w:rPr>
                <w:sz w:val="21"/>
              </w:rPr>
              <w:t>服务</w:t>
            </w:r>
            <w:r>
              <w:rPr>
                <w:sz w:val="21"/>
              </w:rPr>
              <w:t>期满后，厨余垃圾处理设备由中标人自行处理不纳入</w:t>
            </w:r>
            <w:r>
              <w:rPr>
                <w:sz w:val="21"/>
              </w:rPr>
              <w:t>采购人</w:t>
            </w:r>
            <w:r>
              <w:rPr>
                <w:sz w:val="21"/>
              </w:rPr>
              <w:t>资产。</w:t>
            </w:r>
          </w:p>
          <w:p>
            <w:pPr>
              <w:ind w:firstLine="420"/>
              <w:jc w:val="both"/>
            </w:pPr>
            <w:r>
              <w:rPr>
                <w:sz w:val="21"/>
              </w:rPr>
              <w:t>（</w:t>
            </w:r>
            <w:r>
              <w:rPr>
                <w:sz w:val="21"/>
              </w:rPr>
              <w:t>7</w:t>
            </w:r>
            <w:r>
              <w:rPr>
                <w:sz w:val="21"/>
              </w:rPr>
              <w:t>）</w:t>
            </w:r>
            <w:r>
              <w:rPr>
                <w:sz w:val="21"/>
              </w:rPr>
              <w:t>因中标人原因导致自身或者第三方人身或财产损害，由中标人自行负担一切责任，与采购人无关。如因此造成采购人损失或被第三方索赔的，采购人有权向中标人追偿，相关费用（包括但不限于采购人的损失、第三人索偿的全部费用以及采购人因此支出之差旅费、诉讼费、律师费等维权费用）全部由中标人承</w:t>
            </w:r>
            <w:r>
              <w:rPr>
                <w:sz w:val="21"/>
              </w:rPr>
              <w:t>担。</w:t>
            </w:r>
          </w:p>
          <w:p>
            <w:pPr>
              <w:ind w:firstLine="420"/>
              <w:jc w:val="both"/>
            </w:pPr>
            <w:r>
              <w:rPr>
                <w:sz w:val="21"/>
              </w:rPr>
              <w:t>（</w:t>
            </w:r>
            <w:r>
              <w:rPr>
                <w:sz w:val="21"/>
              </w:rPr>
              <w:t>8</w:t>
            </w:r>
            <w:r>
              <w:rPr>
                <w:sz w:val="21"/>
              </w:rPr>
              <w:t>）中标人要对服务安全负责。在服务期间，中标人应进行运输、劳务等要做好一切安全保障工作，并为工人购买相关的保险，费用由中标人自理。如在服务过程中发生一切安全事故由中标人承担全部责任，与采购人无关，中标人不得因此影响中标合同的履行。</w:t>
            </w:r>
          </w:p>
          <w:p>
            <w:pPr>
              <w:ind w:firstLine="420"/>
              <w:jc w:val="both"/>
            </w:pPr>
            <w:r>
              <w:rPr>
                <w:sz w:val="21"/>
              </w:rPr>
              <w:t>（</w:t>
            </w:r>
            <w:r>
              <w:rPr>
                <w:sz w:val="21"/>
              </w:rPr>
              <w:t>9）若因中标人准备不足等原因导致厨余垃圾处理工作不能顺利开展或完成的，采购人有权终止中标合同。</w:t>
            </w:r>
          </w:p>
          <w:p>
            <w:pPr>
              <w:ind w:firstLine="420"/>
              <w:jc w:val="both"/>
            </w:pPr>
            <w:r>
              <w:rPr>
                <w:sz w:val="21"/>
              </w:rPr>
              <w:t>（</w:t>
            </w:r>
            <w:r>
              <w:rPr>
                <w:sz w:val="21"/>
              </w:rPr>
              <w:t>10）中标人需保证其具备履行该合同的能力及资质，如因处理问题导致的纠纷，由中标人承担一切责任，且中标人不得因此影响中标合同的履行，如因此导致中标合同无法正常履行的，采购人有权终止中标合同并重新</w:t>
            </w:r>
            <w:r>
              <w:rPr>
                <w:sz w:val="21"/>
              </w:rPr>
              <w:t>选定合作方，中标人应当赔偿采购人因此造成的全部损失</w:t>
            </w:r>
            <w:r>
              <w:rPr>
                <w:sz w:val="21"/>
              </w:rPr>
              <w:t>（</w:t>
            </w:r>
            <w:r>
              <w:rPr>
                <w:sz w:val="21"/>
              </w:rPr>
              <w:t>包括但不限于重新招标的服务费、垃圾处理服务费差价等）。</w:t>
            </w:r>
          </w:p>
          <w:p>
            <w:pPr>
              <w:ind w:firstLine="420"/>
              <w:jc w:val="both"/>
            </w:pPr>
            <w:r>
              <w:rPr>
                <w:sz w:val="21"/>
              </w:rPr>
              <w:t>（</w:t>
            </w:r>
            <w:r>
              <w:rPr>
                <w:sz w:val="21"/>
              </w:rPr>
              <w:t>11）中标人应严格执行国家、省市地方的法律法规、规范性文件以及行业标准，否则，由此所产生的法律责任和经济责任，全部由中标人自行承担，与采购人无关。</w:t>
            </w:r>
          </w:p>
          <w:p>
            <w:pPr>
              <w:ind w:firstLine="420"/>
              <w:jc w:val="both"/>
            </w:pPr>
            <w:r>
              <w:rPr>
                <w:sz w:val="21"/>
              </w:rPr>
              <w:t>（</w:t>
            </w:r>
            <w:r>
              <w:rPr>
                <w:sz w:val="21"/>
              </w:rPr>
              <w:t>12）中标人服务人员与采购人不存在劳动或雇佣关系。中标人服务人员不得以采购人名义开展相关服务工作。中标人应确保依法与服务人员签订劳动合同、购买社保并及时足额支付工资报酬。在服务期间，中标人服务人员在履行职责过程中产生的一切矛盾纠纷，责任与采购人无关，均由中标人承担相关的责任；服务人员如发生任何工伤或非工伤等事故，或者在履行中标合同过程中造成第三人人身或财产损害的，均由中标人处理及承担所有法律责任及赔偿责任，与采购人无关，中标人不得因此影响中标合同的履行。</w:t>
            </w:r>
          </w:p>
          <w:p>
            <w:pPr>
              <w:ind w:firstLine="420"/>
              <w:jc w:val="both"/>
            </w:pPr>
            <w:r>
              <w:rPr>
                <w:sz w:val="21"/>
              </w:rPr>
              <w:t>（</w:t>
            </w:r>
            <w:r>
              <w:rPr>
                <w:sz w:val="21"/>
              </w:rPr>
              <w:t>13）中标人负责收运虎门镇范围内公共机构、企事业单位、集贸市场、餐饮机构（含商铺）、物业小区（含城中村）等生活垃圾垃圾产生源厨余垃圾，厨余垃圾应做到应收尽收，中标人不得以量少、距离远等非正当理由而拒收。如因政策调整需要增加或减少服务范围，中标人须无条件配合并按政策调整后的工作要求履行中标合同。中标人同时要求做好厨余垃圾临时贮存点（包括但不限金洲、则徐、大宁等临时贮存点）的管理、维护。</w:t>
            </w:r>
          </w:p>
          <w:p>
            <w:pPr>
              <w:ind w:firstLine="420"/>
              <w:jc w:val="both"/>
            </w:pPr>
            <w:r>
              <w:rPr>
                <w:sz w:val="21"/>
              </w:rPr>
              <w:t>（</w:t>
            </w:r>
            <w:r>
              <w:rPr>
                <w:sz w:val="21"/>
              </w:rPr>
              <w:t>14）中标人擅自将本项目转包或分包给第三方的，采购人有权单方面终止合作协议，并保留要求中标人给予经济赔偿的权利。</w:t>
            </w:r>
          </w:p>
          <w:p>
            <w:pPr>
              <w:ind w:firstLine="420"/>
              <w:jc w:val="both"/>
            </w:pPr>
            <w:r>
              <w:rPr>
                <w:sz w:val="21"/>
              </w:rPr>
              <w:t>（</w:t>
            </w:r>
            <w:r>
              <w:rPr>
                <w:sz w:val="21"/>
              </w:rPr>
              <w:t>15）中标人服务过程中打捞经油水分离器或下水道隔油池分离处理后产生的油脂（地沟油），不纳入计费重量。</w:t>
            </w:r>
          </w:p>
          <w:p>
            <w:pPr>
              <w:ind w:firstLine="420"/>
              <w:jc w:val="both"/>
            </w:pPr>
            <w:r>
              <w:rPr>
                <w:sz w:val="21"/>
              </w:rPr>
              <w:t>（</w:t>
            </w:r>
            <w:r>
              <w:rPr>
                <w:sz w:val="21"/>
              </w:rPr>
              <w:t>16）中标人须制定应急处理方案，如因车辆、厨余垃圾处理设备故障等问题，不能正常运营，导致厨余垃圾收运、处理不及时，需中标人自行解决问题，保证厨余垃圾收运处理运作正常，不断链。</w:t>
            </w:r>
          </w:p>
          <w:p>
            <w:pPr>
              <w:jc w:val="center"/>
            </w:pPr>
            <w:r>
              <w:rPr>
                <w:b/>
                <w:sz w:val="21"/>
              </w:rPr>
              <w:t>中标人需自行购置的设备</w:t>
            </w:r>
            <w:r>
              <w:rPr>
                <w:b/>
                <w:sz w:val="21"/>
              </w:rPr>
              <w:t>及人员</w:t>
            </w:r>
            <w:r>
              <w:rPr>
                <w:b/>
                <w:sz w:val="21"/>
              </w:rPr>
              <w:t>数量和</w:t>
            </w:r>
            <w:r>
              <w:rPr>
                <w:b/>
                <w:sz w:val="21"/>
              </w:rPr>
              <w:t>需求</w:t>
            </w:r>
          </w:p>
          <w:tbl>
            <w:tblPr>
              <w:tblBorders>
                <w:top w:val="none" w:color="000000" w:sz="4"/>
                <w:left w:val="none" w:color="000000" w:sz="4"/>
                <w:bottom w:val="none" w:color="000000" w:sz="4"/>
                <w:right w:val="none" w:color="000000" w:sz="4"/>
                <w:insideH w:val="none"/>
                <w:insideV w:val="none"/>
              </w:tblBorders>
            </w:tblPr>
            <w:tblGrid>
              <w:gridCol w:w="422"/>
              <w:gridCol w:w="892"/>
              <w:gridCol w:w="2054"/>
              <w:gridCol w:w="470"/>
              <w:gridCol w:w="470"/>
              <w:gridCol w:w="1267"/>
            </w:tblGrid>
            <w:tr>
              <w:tc>
                <w:tcPr>
                  <w:tcW w:type="dxa" w:w="42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92"/>
                  <w:tcBorders>
                    <w:top w:val="single" w:color="000000" w:sz="4"/>
                    <w:left w:val="none" w:color="000000" w:sz="4"/>
                    <w:bottom w:val="single" w:color="000000" w:sz="4"/>
                    <w:right w:val="single" w:color="000000" w:sz="4"/>
                  </w:tcBorders>
                  <w:vAlign w:val="top"/>
                </w:tcPr>
                <w:p>
                  <w:pPr>
                    <w:jc w:val="center"/>
                  </w:pPr>
                  <w:r>
                    <w:rPr>
                      <w:b/>
                      <w:sz w:val="21"/>
                    </w:rPr>
                    <w:t>配套内容</w:t>
                  </w:r>
                </w:p>
              </w:tc>
              <w:tc>
                <w:tcPr>
                  <w:tcW w:type="dxa" w:w="2054"/>
                  <w:tcBorders>
                    <w:top w:val="single" w:color="000000" w:sz="4"/>
                    <w:left w:val="none" w:color="000000" w:sz="4"/>
                    <w:bottom w:val="single" w:color="000000" w:sz="4"/>
                    <w:right w:val="single" w:color="000000" w:sz="4"/>
                  </w:tcBorders>
                  <w:vAlign w:val="top"/>
                </w:tcPr>
                <w:p>
                  <w:pPr>
                    <w:jc w:val="center"/>
                  </w:pPr>
                  <w:r>
                    <w:rPr>
                      <w:b/>
                      <w:sz w:val="21"/>
                    </w:rPr>
                    <w:t>配套规格</w:t>
                  </w:r>
                </w:p>
              </w:tc>
              <w:tc>
                <w:tcPr>
                  <w:tcW w:type="dxa" w:w="470"/>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470"/>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1267"/>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92"/>
                  <w:tcBorders>
                    <w:top w:val="none" w:color="000000" w:sz="4"/>
                    <w:left w:val="none" w:color="000000" w:sz="4"/>
                    <w:bottom w:val="single" w:color="000000" w:sz="4"/>
                    <w:right w:val="single" w:color="000000" w:sz="4"/>
                  </w:tcBorders>
                  <w:vAlign w:val="top"/>
                </w:tcPr>
                <w:p>
                  <w:pPr>
                    <w:jc w:val="center"/>
                  </w:pPr>
                  <w:r>
                    <w:rPr>
                      <w:sz w:val="21"/>
                    </w:rPr>
                    <w:t>厨余垃圾处理生产线</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处理量：建设额定处理</w:t>
                  </w:r>
                  <w:r>
                    <w:rPr>
                      <w:sz w:val="21"/>
                    </w:rPr>
                    <w:t>能力不低于</w:t>
                  </w:r>
                  <w:r>
                    <w:rPr>
                      <w:sz w:val="21"/>
                    </w:rPr>
                    <w:t>150</w:t>
                  </w:r>
                  <w:r>
                    <w:rPr>
                      <w:sz w:val="21"/>
                    </w:rPr>
                    <w:t>吨</w:t>
                  </w:r>
                  <w:r>
                    <w:rPr>
                      <w:sz w:val="21"/>
                    </w:rPr>
                    <w:t>/日，包括自动上料、分拣、输送、预处理、废气和废水</w:t>
                  </w:r>
                  <w:r>
                    <w:rPr>
                      <w:sz w:val="21"/>
                    </w:rPr>
                    <w:t>、</w:t>
                  </w:r>
                  <w:r>
                    <w:rPr>
                      <w:sz w:val="21"/>
                    </w:rPr>
                    <w:t>废渣</w:t>
                  </w:r>
                  <w:r>
                    <w:rPr>
                      <w:sz w:val="21"/>
                    </w:rPr>
                    <w:t>处理、全自动控制系统</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267"/>
                  <w:tcBorders>
                    <w:top w:val="none" w:color="000000" w:sz="4"/>
                    <w:left w:val="none" w:color="000000" w:sz="4"/>
                    <w:bottom w:val="single" w:color="000000" w:sz="4"/>
                    <w:right w:val="single" w:color="000000" w:sz="4"/>
                  </w:tcBorders>
                  <w:vAlign w:val="top"/>
                </w:tcPr>
                <w:p>
                  <w:pPr>
                    <w:jc w:val="center"/>
                  </w:pP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92"/>
                  <w:tcBorders>
                    <w:top w:val="none" w:color="000000" w:sz="4"/>
                    <w:left w:val="none" w:color="000000" w:sz="4"/>
                    <w:bottom w:val="single" w:color="000000" w:sz="4"/>
                    <w:right w:val="single" w:color="000000" w:sz="4"/>
                  </w:tcBorders>
                  <w:vAlign w:val="top"/>
                </w:tcPr>
                <w:p>
                  <w:pPr>
                    <w:jc w:val="center"/>
                  </w:pPr>
                  <w:r>
                    <w:rPr>
                      <w:sz w:val="21"/>
                    </w:rPr>
                    <w:t>配套场所</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场所需配套</w:t>
                  </w:r>
                  <w:r>
                    <w:rPr>
                      <w:sz w:val="21"/>
                    </w:rPr>
                    <w:t>符合</w:t>
                  </w:r>
                  <w:r>
                    <w:rPr>
                      <w:sz w:val="21"/>
                    </w:rPr>
                    <w:t>消防、照明、通风、防火防水防盗</w:t>
                  </w:r>
                  <w:r>
                    <w:rPr>
                      <w:sz w:val="21"/>
                    </w:rPr>
                    <w:t>标准</w:t>
                  </w:r>
                  <w:r>
                    <w:rPr>
                      <w:sz w:val="21"/>
                    </w:rPr>
                    <w:t>设施等</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267"/>
                  <w:tcBorders>
                    <w:top w:val="none" w:color="000000" w:sz="4"/>
                    <w:left w:val="none" w:color="000000" w:sz="4"/>
                    <w:bottom w:val="single" w:color="000000" w:sz="4"/>
                    <w:right w:val="single" w:color="000000" w:sz="4"/>
                  </w:tcBorders>
                  <w:vAlign w:val="top"/>
                </w:tcPr>
                <w:p>
                  <w:pPr>
                    <w:jc w:val="center"/>
                  </w:pP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92"/>
                  <w:tcBorders>
                    <w:top w:val="none" w:color="000000" w:sz="4"/>
                    <w:left w:val="none" w:color="000000" w:sz="4"/>
                    <w:bottom w:val="single" w:color="000000" w:sz="4"/>
                    <w:right w:val="single" w:color="000000" w:sz="4"/>
                  </w:tcBorders>
                  <w:vAlign w:val="top"/>
                </w:tcPr>
                <w:p>
                  <w:pPr>
                    <w:jc w:val="center"/>
                  </w:pPr>
                  <w:r>
                    <w:rPr>
                      <w:sz w:val="21"/>
                    </w:rPr>
                    <w:t>密闭厨余垃圾收运车</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配置</w:t>
                  </w:r>
                  <w:r>
                    <w:rPr>
                      <w:sz w:val="21"/>
                    </w:rPr>
                    <w:t>不少于</w:t>
                  </w:r>
                  <w:r>
                    <w:rPr>
                      <w:sz w:val="21"/>
                    </w:rPr>
                    <w:t>10</w:t>
                  </w:r>
                  <w:r>
                    <w:rPr>
                      <w:sz w:val="21"/>
                    </w:rPr>
                    <w:t>辆密闭厨余垃圾收运车</w:t>
                  </w:r>
                  <w:r>
                    <w:rPr>
                      <w:sz w:val="21"/>
                    </w:rPr>
                    <w:t>，</w:t>
                  </w:r>
                  <w:r>
                    <w:rPr>
                      <w:sz w:val="21"/>
                    </w:rPr>
                    <w:t>配置</w:t>
                  </w:r>
                  <w:r>
                    <w:rPr>
                      <w:sz w:val="21"/>
                    </w:rPr>
                    <w:t>车载视频、</w:t>
                  </w:r>
                  <w:r>
                    <w:rPr>
                      <w:sz w:val="21"/>
                    </w:rPr>
                    <w:t>GPS车辆轨迹监控、装卸计量称重系统。</w:t>
                  </w:r>
                  <w:r>
                    <w:rPr>
                      <w:sz w:val="21"/>
                    </w:rPr>
                    <w:t>根据实际收集量增设</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10</w:t>
                  </w:r>
                </w:p>
              </w:tc>
              <w:tc>
                <w:tcPr>
                  <w:tcW w:type="dxa" w:w="470"/>
                  <w:tcBorders>
                    <w:top w:val="none" w:color="000000" w:sz="4"/>
                    <w:left w:val="none" w:color="000000" w:sz="4"/>
                    <w:bottom w:val="single" w:color="000000" w:sz="4"/>
                    <w:right w:val="single" w:color="000000" w:sz="4"/>
                  </w:tcBorders>
                  <w:vAlign w:val="top"/>
                </w:tcPr>
                <w:p>
                  <w:pPr>
                    <w:jc w:val="center"/>
                  </w:pPr>
                  <w:r>
                    <w:rPr>
                      <w:sz w:val="21"/>
                    </w:rPr>
                    <w:t>辆</w:t>
                  </w:r>
                </w:p>
              </w:tc>
              <w:tc>
                <w:tcPr>
                  <w:tcW w:type="dxa" w:w="1267"/>
                  <w:tcBorders>
                    <w:top w:val="none" w:color="000000" w:sz="4"/>
                    <w:left w:val="none" w:color="000000" w:sz="4"/>
                    <w:bottom w:val="single" w:color="000000" w:sz="4"/>
                    <w:right w:val="single" w:color="000000" w:sz="4"/>
                  </w:tcBorders>
                  <w:vAlign w:val="top"/>
                </w:tcPr>
                <w:p>
                  <w:pPr>
                    <w:jc w:val="center"/>
                  </w:pPr>
                  <w:r>
                    <w:rPr>
                      <w:sz w:val="21"/>
                    </w:rPr>
                    <w:t>至少包含容量</w:t>
                  </w:r>
                  <w:r>
                    <w:rPr>
                      <w:sz w:val="21"/>
                    </w:rPr>
                    <w:t>4吨、5吨、7吨、8吨的</w:t>
                  </w:r>
                  <w:r>
                    <w:rPr>
                      <w:sz w:val="21"/>
                    </w:rPr>
                    <w:t>密闭厨余垃圾收运车</w:t>
                  </w:r>
                  <w:r>
                    <w:rPr>
                      <w:sz w:val="21"/>
                    </w:rPr>
                    <w:t>，</w:t>
                  </w:r>
                  <w:r>
                    <w:rPr>
                      <w:sz w:val="21"/>
                    </w:rPr>
                    <w:t>满足不同产生源收运需求</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92"/>
                  <w:tcBorders>
                    <w:top w:val="none" w:color="000000" w:sz="4"/>
                    <w:left w:val="none" w:color="000000" w:sz="4"/>
                    <w:bottom w:val="single" w:color="000000" w:sz="4"/>
                    <w:right w:val="single" w:color="000000" w:sz="4"/>
                  </w:tcBorders>
                  <w:vAlign w:val="top"/>
                </w:tcPr>
                <w:p>
                  <w:pPr>
                    <w:jc w:val="center"/>
                  </w:pPr>
                  <w:r>
                    <w:rPr>
                      <w:sz w:val="21"/>
                    </w:rPr>
                    <w:t>人员队伍</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项目人员至少配置项目经理</w:t>
                  </w:r>
                  <w:r>
                    <w:rPr>
                      <w:sz w:val="21"/>
                    </w:rPr>
                    <w:t>1人、</w:t>
                  </w:r>
                  <w:r>
                    <w:rPr>
                      <w:sz w:val="21"/>
                    </w:rPr>
                    <w:t>车间管理员</w:t>
                  </w:r>
                  <w:r>
                    <w:rPr>
                      <w:sz w:val="21"/>
                    </w:rPr>
                    <w:t>1名、材料员2名、司机11名、巡查员2名，作业工人15名</w:t>
                  </w:r>
                  <w:r>
                    <w:rPr>
                      <w:sz w:val="21"/>
                    </w:rPr>
                    <w:t>；</w:t>
                  </w:r>
                </w:p>
              </w:tc>
              <w:tc>
                <w:tcPr>
                  <w:tcW w:type="dxa" w:w="470"/>
                  <w:tcBorders>
                    <w:top w:val="none" w:color="000000" w:sz="4"/>
                    <w:left w:val="none" w:color="000000" w:sz="4"/>
                    <w:bottom w:val="single" w:color="000000" w:sz="4"/>
                    <w:right w:val="single" w:color="000000" w:sz="4"/>
                  </w:tcBorders>
                  <w:vAlign w:val="top"/>
                </w:tcPr>
                <w:p>
                  <w:pPr>
                    <w:jc w:val="center"/>
                  </w:pPr>
                  <w:r>
                    <w:rPr>
                      <w:sz w:val="21"/>
                    </w:rPr>
                    <w:t>32</w:t>
                  </w:r>
                </w:p>
              </w:tc>
              <w:tc>
                <w:tcPr>
                  <w:tcW w:type="dxa" w:w="470"/>
                  <w:tcBorders>
                    <w:top w:val="none" w:color="000000" w:sz="4"/>
                    <w:left w:val="none" w:color="000000" w:sz="4"/>
                    <w:bottom w:val="single" w:color="000000" w:sz="4"/>
                    <w:right w:val="single" w:color="000000" w:sz="4"/>
                  </w:tcBorders>
                  <w:vAlign w:val="top"/>
                </w:tcPr>
                <w:p>
                  <w:pPr>
                    <w:jc w:val="center"/>
                  </w:pPr>
                  <w:r>
                    <w:rPr>
                      <w:sz w:val="21"/>
                    </w:rPr>
                    <w:t>人</w:t>
                  </w:r>
                </w:p>
              </w:tc>
              <w:tc>
                <w:tcPr>
                  <w:tcW w:type="dxa" w:w="1267"/>
                  <w:tcBorders>
                    <w:top w:val="none" w:color="000000" w:sz="4"/>
                    <w:left w:val="none" w:color="000000" w:sz="4"/>
                    <w:bottom w:val="single" w:color="000000" w:sz="4"/>
                    <w:right w:val="single" w:color="000000" w:sz="4"/>
                  </w:tcBorders>
                  <w:vAlign w:val="top"/>
                </w:tcPr>
                <w:p>
                  <w:pPr>
                    <w:jc w:val="center"/>
                  </w:pPr>
                  <w:r>
                    <w:rPr>
                      <w:sz w:val="21"/>
                    </w:rPr>
                    <w:t>司机需持有合格的驾驶证。</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92"/>
                  <w:tcBorders>
                    <w:top w:val="none" w:color="000000" w:sz="4"/>
                    <w:left w:val="none" w:color="000000" w:sz="4"/>
                    <w:bottom w:val="single" w:color="000000" w:sz="4"/>
                    <w:right w:val="single" w:color="000000" w:sz="4"/>
                  </w:tcBorders>
                  <w:vAlign w:val="top"/>
                </w:tcPr>
                <w:p>
                  <w:pPr>
                    <w:jc w:val="center"/>
                  </w:pPr>
                  <w:r>
                    <w:rPr>
                      <w:sz w:val="21"/>
                    </w:rPr>
                    <w:t>秤重系统</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按要求建设</w:t>
                  </w:r>
                  <w:r>
                    <w:rPr>
                      <w:sz w:val="21"/>
                    </w:rPr>
                    <w:t>30</w:t>
                  </w:r>
                  <w:r>
                    <w:rPr>
                      <w:sz w:val="21"/>
                    </w:rPr>
                    <w:t>吨以上地磅系统一套，</w:t>
                  </w:r>
                  <w:r>
                    <w:rPr>
                      <w:sz w:val="21"/>
                    </w:rPr>
                    <w:t>每半年提供一次检定证书</w:t>
                  </w:r>
                  <w:r>
                    <w:rPr>
                      <w:sz w:val="21"/>
                    </w:rPr>
                    <w:t>。</w:t>
                  </w:r>
                  <w:r>
                    <w:rPr>
                      <w:sz w:val="21"/>
                    </w:rPr>
                    <w:t>将</w:t>
                  </w:r>
                  <w:r>
                    <w:rPr>
                      <w:sz w:val="21"/>
                    </w:rPr>
                    <w:t>运行数据接入</w:t>
                  </w:r>
                  <w:r>
                    <w:rPr>
                      <w:sz w:val="21"/>
                    </w:rPr>
                    <w:t>采购人指挥中心</w:t>
                  </w:r>
                  <w:r>
                    <w:rPr>
                      <w:sz w:val="21"/>
                    </w:rPr>
                    <w:t>，接受</w:t>
                  </w:r>
                  <w:r>
                    <w:rPr>
                      <w:sz w:val="21"/>
                    </w:rPr>
                    <w:t>采购人</w:t>
                  </w:r>
                  <w:r>
                    <w:rPr>
                      <w:sz w:val="21"/>
                    </w:rPr>
                    <w:t>考核监督</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67"/>
                  <w:tcBorders>
                    <w:top w:val="none" w:color="000000" w:sz="4"/>
                    <w:left w:val="none" w:color="000000" w:sz="4"/>
                    <w:bottom w:val="single" w:color="000000" w:sz="4"/>
                    <w:right w:val="single" w:color="000000" w:sz="4"/>
                  </w:tcBorders>
                  <w:vAlign w:val="top"/>
                </w:tcPr>
                <w:p>
                  <w:pPr>
                    <w:jc w:val="center"/>
                  </w:pPr>
                  <w:r>
                    <w:rPr>
                      <w:sz w:val="21"/>
                    </w:rPr>
                    <w:t>检测费用由中标人负责。接入采购人指挥中心相关费用，由中标人负责。</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92"/>
                  <w:tcBorders>
                    <w:top w:val="none" w:color="000000" w:sz="4"/>
                    <w:left w:val="none" w:color="000000" w:sz="4"/>
                    <w:bottom w:val="single" w:color="000000" w:sz="4"/>
                    <w:right w:val="single" w:color="000000" w:sz="4"/>
                  </w:tcBorders>
                  <w:vAlign w:val="top"/>
                </w:tcPr>
                <w:p>
                  <w:pPr>
                    <w:jc w:val="center"/>
                  </w:pPr>
                  <w:r>
                    <w:rPr>
                      <w:sz w:val="21"/>
                    </w:rPr>
                    <w:t>除臭设备</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按设计要求，安装除臭设备一套</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67"/>
                  <w:tcBorders>
                    <w:top w:val="none" w:color="000000" w:sz="4"/>
                    <w:left w:val="none" w:color="000000" w:sz="4"/>
                    <w:bottom w:val="single" w:color="000000" w:sz="4"/>
                    <w:right w:val="single" w:color="000000" w:sz="4"/>
                  </w:tcBorders>
                  <w:vAlign w:val="top"/>
                </w:tcPr>
                <w:p>
                  <w:pPr>
                    <w:jc w:val="both"/>
                  </w:pPr>
                  <w:r>
                    <w:rPr>
                      <w:sz w:val="21"/>
                    </w:rPr>
                    <w:t>除臭设备能正常使用，并且定期对设备进行检查和维护</w:t>
                  </w:r>
                  <w:r>
                    <w:rPr>
                      <w:sz w:val="21"/>
                    </w:rPr>
                    <w:t>。</w:t>
                  </w: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92"/>
                  <w:tcBorders>
                    <w:top w:val="none" w:color="000000" w:sz="4"/>
                    <w:left w:val="none" w:color="000000" w:sz="4"/>
                    <w:bottom w:val="single" w:color="000000" w:sz="4"/>
                    <w:right w:val="single" w:color="000000" w:sz="4"/>
                  </w:tcBorders>
                  <w:vAlign w:val="top"/>
                </w:tcPr>
                <w:p>
                  <w:pPr>
                    <w:jc w:val="center"/>
                  </w:pPr>
                  <w:r>
                    <w:rPr>
                      <w:sz w:val="21"/>
                    </w:rPr>
                    <w:t>视频监控系统</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安装视频监控系统一套，可实现远程监控。</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67"/>
                  <w:tcBorders>
                    <w:top w:val="none" w:color="000000" w:sz="4"/>
                    <w:left w:val="none" w:color="000000" w:sz="4"/>
                    <w:bottom w:val="single" w:color="000000" w:sz="4"/>
                    <w:right w:val="single" w:color="000000" w:sz="4"/>
                  </w:tcBorders>
                  <w:vAlign w:val="top"/>
                </w:tcPr>
                <w:p>
                  <w:pPr>
                    <w:jc w:val="center"/>
                  </w:pPr>
                </w:p>
              </w:tc>
            </w:tr>
            <w:tr>
              <w:tc>
                <w:tcPr>
                  <w:tcW w:type="dxa" w:w="42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92"/>
                  <w:tcBorders>
                    <w:top w:val="none" w:color="000000" w:sz="4"/>
                    <w:left w:val="none" w:color="000000" w:sz="4"/>
                    <w:bottom w:val="single" w:color="000000" w:sz="4"/>
                    <w:right w:val="single" w:color="000000" w:sz="4"/>
                  </w:tcBorders>
                  <w:vAlign w:val="top"/>
                </w:tcPr>
                <w:p>
                  <w:pPr>
                    <w:jc w:val="center"/>
                  </w:pPr>
                  <w:r>
                    <w:rPr>
                      <w:sz w:val="21"/>
                    </w:rPr>
                    <w:t>高压清洗设备</w:t>
                  </w:r>
                </w:p>
              </w:tc>
              <w:tc>
                <w:tcPr>
                  <w:tcW w:type="dxa" w:w="2054"/>
                  <w:tcBorders>
                    <w:top w:val="none" w:color="000000" w:sz="4"/>
                    <w:left w:val="none" w:color="000000" w:sz="4"/>
                    <w:bottom w:val="single" w:color="000000" w:sz="4"/>
                    <w:right w:val="single" w:color="000000" w:sz="4"/>
                  </w:tcBorders>
                  <w:vAlign w:val="top"/>
                </w:tcPr>
                <w:p>
                  <w:pPr>
                    <w:jc w:val="center"/>
                  </w:pPr>
                  <w:r>
                    <w:rPr>
                      <w:sz w:val="21"/>
                    </w:rPr>
                    <w:t>配置高压冲洗机一套</w:t>
                  </w:r>
                </w:p>
              </w:tc>
              <w:tc>
                <w:tcPr>
                  <w:tcW w:type="dxa" w:w="470"/>
                  <w:tcBorders>
                    <w:top w:val="none" w:color="000000" w:sz="4"/>
                    <w:left w:val="none" w:color="000000" w:sz="4"/>
                    <w:bottom w:val="single" w:color="000000" w:sz="4"/>
                    <w:right w:val="single" w:color="000000" w:sz="4"/>
                  </w:tcBorders>
                  <w:vAlign w:val="top"/>
                </w:tcPr>
                <w:p>
                  <w:pPr>
                    <w:jc w:val="center"/>
                  </w:pPr>
                  <w:r>
                    <w:rPr>
                      <w:sz w:val="21"/>
                    </w:rPr>
                    <w:t>1</w:t>
                  </w:r>
                </w:p>
              </w:tc>
              <w:tc>
                <w:tcPr>
                  <w:tcW w:type="dxa" w:w="470"/>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267"/>
                  <w:tcBorders>
                    <w:top w:val="none" w:color="000000" w:sz="4"/>
                    <w:left w:val="none" w:color="000000" w:sz="4"/>
                    <w:bottom w:val="single" w:color="000000" w:sz="4"/>
                    <w:right w:val="single" w:color="000000" w:sz="4"/>
                  </w:tcBorders>
                  <w:vAlign w:val="top"/>
                </w:tcPr>
                <w:p>
                  <w:pPr>
                    <w:jc w:val="center"/>
                  </w:pPr>
                </w:p>
              </w:tc>
            </w:tr>
          </w:tbl>
          <w:p>
            <w:pPr>
              <w:ind w:firstLine="440"/>
              <w:jc w:val="both"/>
            </w:pPr>
            <w:r>
              <w:rPr>
                <w:sz w:val="21"/>
              </w:rPr>
              <w:t>备注：</w:t>
            </w:r>
          </w:p>
          <w:p>
            <w:pPr>
              <w:ind w:firstLine="440"/>
              <w:jc w:val="both"/>
            </w:pPr>
            <w:r>
              <w:rPr>
                <w:sz w:val="21"/>
              </w:rPr>
              <w:t>1.中标人负责投资建设包括但不限上表所列内容和要求，负责所有配套设备设施、车辆、站点等日常维护保养，承担包括不限于基建折旧费、电费、除臭费、设备保养费、维修费、设备折旧费、工人工资、工人福利、管理费、税金等中标人为履行</w:t>
            </w:r>
            <w:r>
              <w:rPr>
                <w:sz w:val="21"/>
              </w:rPr>
              <w:t>中标</w:t>
            </w:r>
            <w:r>
              <w:rPr>
                <w:sz w:val="21"/>
              </w:rPr>
              <w:t>合同而产生全部的费用，以及辅料、废水废气处理所需添加的除臭剂等消耗材料，收运车用油</w:t>
            </w:r>
            <w:r>
              <w:rPr>
                <w:sz w:val="21"/>
              </w:rPr>
              <w:t>/保险/年检/维修保养等、垃圾收运/处理及产出物后续终处理等所有费用，中标人需保证服务期内设备设施的正常运作，采购人支付了服务费后，不再支付任何其它费用。</w:t>
            </w:r>
          </w:p>
          <w:p>
            <w:pPr>
              <w:ind w:firstLine="440"/>
              <w:jc w:val="both"/>
            </w:pPr>
            <w:r>
              <w:rPr>
                <w:sz w:val="21"/>
              </w:rPr>
              <w:t>2.所有配套须在</w:t>
            </w:r>
            <w:r>
              <w:rPr>
                <w:sz w:val="21"/>
              </w:rPr>
              <w:t>合同签订</w:t>
            </w:r>
            <w:r>
              <w:rPr>
                <w:sz w:val="21"/>
              </w:rPr>
              <w:t>前完成投入并启动正常运营。</w:t>
            </w:r>
          </w:p>
          <w:p>
            <w:pPr>
              <w:ind w:firstLine="440"/>
              <w:jc w:val="both"/>
            </w:pPr>
            <w:r>
              <w:rPr>
                <w:sz w:val="21"/>
              </w:rPr>
              <w:t>3.上述中标人负责投资建设的建筑、设备、系统等均为中标人所有，</w:t>
            </w:r>
            <w:r>
              <w:rPr>
                <w:sz w:val="21"/>
              </w:rPr>
              <w:t>服务</w:t>
            </w:r>
            <w:r>
              <w:rPr>
                <w:sz w:val="21"/>
              </w:rPr>
              <w:t>期满后，由中标人自行处理</w:t>
            </w:r>
            <w:r>
              <w:rPr>
                <w:sz w:val="21"/>
              </w:rPr>
              <w:t>。</w:t>
            </w:r>
          </w:p>
          <w:p>
            <w:pPr>
              <w:jc w:val="both"/>
            </w:pPr>
            <w:r>
              <w:rPr>
                <w:b/>
                <w:sz w:val="24"/>
              </w:rPr>
              <w:t>三</w:t>
            </w:r>
            <w:r>
              <w:rPr>
                <w:b/>
                <w:sz w:val="24"/>
              </w:rPr>
              <w:t>、</w:t>
            </w:r>
            <w:r>
              <w:rPr>
                <w:b/>
                <w:sz w:val="24"/>
              </w:rPr>
              <w:t>退出机制</w:t>
            </w:r>
          </w:p>
          <w:p>
            <w:pPr>
              <w:ind w:firstLine="440"/>
              <w:jc w:val="both"/>
            </w:pPr>
            <w:r>
              <w:rPr>
                <w:sz w:val="21"/>
              </w:rPr>
              <w:t>（</w:t>
            </w:r>
            <w:r>
              <w:rPr>
                <w:sz w:val="21"/>
              </w:rPr>
              <w:t>1）采购人根据《</w:t>
            </w:r>
            <w:r>
              <w:rPr>
                <w:sz w:val="21"/>
              </w:rPr>
              <w:t>东莞市虎门镇厨余垃圾收运处理项目月度考核评分表</w:t>
            </w:r>
            <w:r>
              <w:rPr>
                <w:sz w:val="21"/>
              </w:rPr>
              <w:t>》对中标人进行考核，如中标人每一个自然年度内累计</w:t>
            </w:r>
            <w:r>
              <w:rPr>
                <w:sz w:val="21"/>
              </w:rPr>
              <w:t>3次或连续2次考核不合格（低于60分），采购人有权终止合同。</w:t>
            </w:r>
          </w:p>
          <w:p>
            <w:pPr>
              <w:ind w:firstLine="440"/>
              <w:jc w:val="both"/>
            </w:pPr>
            <w:r>
              <w:rPr>
                <w:sz w:val="21"/>
              </w:rPr>
              <w:t>（</w:t>
            </w:r>
            <w:r>
              <w:rPr>
                <w:sz w:val="21"/>
              </w:rPr>
              <w:t>2）采购人如发现中标人有自毁、自盗行为，采购人有权单方面终止合同，中标人承担自毁、自盗行为的相关法律责任。</w:t>
            </w:r>
          </w:p>
          <w:p>
            <w:pPr>
              <w:ind w:firstLine="440"/>
              <w:jc w:val="both"/>
            </w:pPr>
            <w:r>
              <w:rPr>
                <w:sz w:val="21"/>
              </w:rPr>
              <w:t>（</w:t>
            </w:r>
            <w:r>
              <w:rPr>
                <w:sz w:val="21"/>
              </w:rPr>
              <w:t>3）在项目服务期间，未将厨余垃圾运到厨余垃圾处理站处理，如偷倒或自行其他途径处理的或接受未经许可的厨余垃圾（含跨区域的厨余垃圾），采购人有权终止合同。</w:t>
            </w:r>
          </w:p>
          <w:p>
            <w:pPr>
              <w:jc w:val="both"/>
            </w:pPr>
            <w:r>
              <w:rPr>
                <w:b/>
                <w:sz w:val="24"/>
              </w:rPr>
              <w:t>四、项目考核要求</w:t>
            </w:r>
          </w:p>
          <w:p>
            <w:pPr>
              <w:ind w:firstLine="440"/>
              <w:jc w:val="both"/>
            </w:pPr>
            <w:r>
              <w:rPr>
                <w:sz w:val="21"/>
              </w:rPr>
              <w:t>（</w:t>
            </w:r>
            <w:r>
              <w:rPr>
                <w:sz w:val="21"/>
              </w:rPr>
              <w:t>1）采购人对中标人可进行监督、检查和指导，中标人必须无条件的服从采购人组织一些突击性任务及迎接检查活动。如发现中标人组织不当，计划不落实，导致处理服务达不到规定的，由采购人对中标人进行书面通知警告，在接到书面通知后，中标人必须在规定期限内整改。若整改后中标人依然未达要求，则根据《东莞市虎门镇厨余垃圾收运处理项目月度考核评分表》进行考核扣分。</w:t>
            </w:r>
          </w:p>
          <w:p>
            <w:pPr>
              <w:ind w:firstLine="440"/>
              <w:jc w:val="both"/>
            </w:pPr>
            <w:r>
              <w:rPr>
                <w:sz w:val="21"/>
              </w:rPr>
              <w:t>（</w:t>
            </w:r>
            <w:r>
              <w:rPr>
                <w:sz w:val="21"/>
              </w:rPr>
              <w:t>2）在项目服务期间，如发生环境污染事故或其它违反环保有关规定的事件，受到环保部门通报、处罚或新闻媒体曝光的，除中标人承担全部法律及经济责任外，对采购人造成经济及相关损失的，损失的费用需由中标人自行承担。</w:t>
            </w:r>
          </w:p>
          <w:p>
            <w:pPr>
              <w:ind w:firstLine="440"/>
              <w:jc w:val="both"/>
            </w:pPr>
            <w:r>
              <w:rPr>
                <w:sz w:val="21"/>
              </w:rPr>
              <w:t>（</w:t>
            </w:r>
            <w:r>
              <w:rPr>
                <w:sz w:val="21"/>
              </w:rPr>
              <w:t>3）在项目服务期间，由于中标人原因，造成人身安全等生产事故的，除中标人承担全部法律及经济责任外，对采购人造成经济及相关损失的，损失的费用需由中标人自行承担。</w:t>
            </w:r>
          </w:p>
          <w:p>
            <w:pPr>
              <w:ind w:firstLine="440"/>
              <w:jc w:val="both"/>
            </w:pPr>
            <w:r>
              <w:rPr>
                <w:sz w:val="21"/>
              </w:rPr>
              <w:t>（</w:t>
            </w:r>
            <w:r>
              <w:rPr>
                <w:sz w:val="21"/>
              </w:rPr>
              <w:t>4）在项目服务期间，由于中标人在收运过程中，未将厨余垃圾运到厨余垃圾处理站处理，如偷倒或自行其他途径处理的，发现情形严重的，采购人有权与中标人终止合同。</w:t>
            </w:r>
          </w:p>
          <w:p>
            <w:pPr>
              <w:jc w:val="both"/>
            </w:pPr>
            <w:r>
              <w:rPr>
                <w:b/>
                <w:sz w:val="24"/>
              </w:rPr>
              <w:t>五、考核标准</w:t>
            </w:r>
          </w:p>
          <w:p>
            <w:pPr>
              <w:jc w:val="center"/>
            </w:pPr>
            <w:r>
              <w:rPr>
                <w:b/>
                <w:sz w:val="21"/>
              </w:rPr>
              <w:t>东莞市虎门镇厨余垃圾收运处理项目</w:t>
            </w:r>
            <w:r>
              <w:rPr>
                <w:b/>
                <w:sz w:val="21"/>
              </w:rPr>
              <w:t>月度考核</w:t>
            </w:r>
            <w:r>
              <w:rPr>
                <w:b/>
                <w:sz w:val="21"/>
              </w:rPr>
              <w:t>评分表</w:t>
            </w:r>
          </w:p>
          <w:p>
            <w:pPr>
              <w:jc w:val="right"/>
            </w:pPr>
            <w:r>
              <w:rPr>
                <w:sz w:val="21"/>
              </w:rPr>
              <w:t xml:space="preserve"> </w:t>
            </w:r>
            <w:r>
              <w:rPr>
                <w:sz w:val="21"/>
              </w:rPr>
              <w:t>考评时间：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693"/>
              <w:gridCol w:w="4242"/>
              <w:gridCol w:w="641"/>
            </w:tblGrid>
            <w:tr>
              <w:tc>
                <w:tcPr>
                  <w:tcW w:type="dxa" w:w="693"/>
                  <w:tcBorders>
                    <w:top w:val="single" w:color="000000" w:sz="4"/>
                    <w:left w:val="single" w:color="000000" w:sz="4"/>
                    <w:bottom w:val="single" w:color="000000" w:sz="4"/>
                    <w:right w:val="single" w:color="000000" w:sz="4"/>
                  </w:tcBorders>
                  <w:vAlign w:val="top"/>
                </w:tcPr>
                <w:p>
                  <w:pPr>
                    <w:jc w:val="center"/>
                  </w:pPr>
                  <w:r>
                    <w:rPr>
                      <w:b/>
                      <w:sz w:val="21"/>
                    </w:rPr>
                    <w:t>检查内容</w:t>
                  </w:r>
                </w:p>
              </w:tc>
              <w:tc>
                <w:tcPr>
                  <w:tcW w:type="dxa" w:w="4242"/>
                  <w:tcBorders>
                    <w:top w:val="single" w:color="000000" w:sz="4"/>
                    <w:left w:val="single" w:color="000000" w:sz="4"/>
                    <w:bottom w:val="single" w:color="000000" w:sz="4"/>
                    <w:right w:val="single" w:color="000000" w:sz="4"/>
                  </w:tcBorders>
                  <w:vAlign w:val="top"/>
                </w:tcPr>
                <w:p>
                  <w:pPr>
                    <w:jc w:val="center"/>
                  </w:pPr>
                  <w:r>
                    <w:rPr>
                      <w:b/>
                      <w:sz w:val="21"/>
                    </w:rPr>
                    <w:t>评分标准</w:t>
                  </w:r>
                </w:p>
              </w:tc>
              <w:tc>
                <w:tcPr>
                  <w:tcW w:type="dxa" w:w="641"/>
                  <w:tcBorders>
                    <w:top w:val="single" w:color="000000" w:sz="4"/>
                    <w:left w:val="single" w:color="000000" w:sz="4"/>
                    <w:bottom w:val="single" w:color="000000" w:sz="4"/>
                    <w:right w:val="single" w:color="000000" w:sz="4"/>
                  </w:tcBorders>
                  <w:vAlign w:val="top"/>
                </w:tcPr>
                <w:p>
                  <w:pPr>
                    <w:jc w:val="center"/>
                  </w:pPr>
                  <w:r>
                    <w:rPr>
                      <w:b/>
                      <w:sz w:val="21"/>
                    </w:rPr>
                    <w:t>扣分</w:t>
                  </w:r>
                </w:p>
              </w:tc>
            </w:tr>
            <w:tr>
              <w:tc>
                <w:tcPr>
                  <w:tcW w:type="dxa" w:w="693"/>
                  <w:vMerge w:val="restart"/>
                  <w:tcBorders>
                    <w:top w:val="none" w:color="000000" w:sz="4"/>
                    <w:left w:val="single" w:color="000000" w:sz="4"/>
                    <w:bottom w:val="single" w:color="000000" w:sz="4"/>
                    <w:right w:val="single" w:color="000000" w:sz="4"/>
                  </w:tcBorders>
                  <w:vAlign w:val="top"/>
                </w:tcPr>
                <w:p>
                  <w:pPr>
                    <w:jc w:val="center"/>
                  </w:pPr>
                  <w:r>
                    <w:rPr>
                      <w:sz w:val="21"/>
                    </w:rPr>
                    <w:t>厨余</w:t>
                  </w:r>
                  <w:r>
                    <w:rPr>
                      <w:sz w:val="21"/>
                    </w:rPr>
                    <w:t>垃圾收集和运输（</w:t>
                  </w:r>
                  <w:r>
                    <w:rPr>
                      <w:sz w:val="21"/>
                    </w:rPr>
                    <w:t>30分</w:t>
                  </w:r>
                  <w:r>
                    <w:rPr>
                      <w:sz w:val="21"/>
                    </w:rPr>
                    <w:t>）</w:t>
                  </w:r>
                </w:p>
              </w:tc>
              <w:tc>
                <w:tcPr>
                  <w:tcW w:type="dxa" w:w="4242"/>
                  <w:tcBorders>
                    <w:top w:val="none" w:color="000000" w:sz="4"/>
                    <w:left w:val="single" w:color="000000" w:sz="4"/>
                    <w:bottom w:val="single" w:color="000000" w:sz="4"/>
                    <w:right w:val="single" w:color="000000" w:sz="4"/>
                  </w:tcBorders>
                  <w:vAlign w:val="top"/>
                </w:tcPr>
                <w:p>
                  <w:pPr>
                    <w:jc w:val="both"/>
                  </w:pPr>
                  <w:r>
                    <w:rPr>
                      <w:sz w:val="21"/>
                    </w:rPr>
                    <w:t>1、按要求每日将厨余垃圾运至</w:t>
                  </w:r>
                  <w:r>
                    <w:rPr>
                      <w:sz w:val="21"/>
                    </w:rPr>
                    <w:t>厨余</w:t>
                  </w:r>
                  <w:r>
                    <w:rPr>
                      <w:sz w:val="21"/>
                    </w:rPr>
                    <w:t>垃圾处理站，收运点和处理站的</w:t>
                  </w:r>
                  <w:r>
                    <w:rPr>
                      <w:sz w:val="21"/>
                    </w:rPr>
                    <w:t>厨余垃圾日产日清</w:t>
                  </w:r>
                  <w:r>
                    <w:rPr>
                      <w:sz w:val="21"/>
                    </w:rPr>
                    <w:t>，不符合每次扣</w:t>
                  </w:r>
                  <w:r>
                    <w:rPr>
                      <w:sz w:val="21"/>
                    </w:rPr>
                    <w:t>1</w:t>
                  </w:r>
                  <w:r>
                    <w:rPr>
                      <w:sz w:val="21"/>
                    </w:rPr>
                    <w:t>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2、在收集运输过程中，沿路不得</w:t>
                  </w:r>
                  <w:r>
                    <w:rPr>
                      <w:sz w:val="21"/>
                    </w:rPr>
                    <w:t>有</w:t>
                  </w:r>
                  <w:r>
                    <w:rPr>
                      <w:sz w:val="21"/>
                    </w:rPr>
                    <w:t>“</w:t>
                  </w:r>
                  <w:r>
                    <w:rPr>
                      <w:sz w:val="21"/>
                    </w:rPr>
                    <w:t>抛、洒、滴、漏</w:t>
                  </w:r>
                  <w:r>
                    <w:rPr>
                      <w:sz w:val="21"/>
                    </w:rPr>
                    <w:t>”现象。不符合的每次扣</w:t>
                  </w:r>
                  <w:r>
                    <w:rPr>
                      <w:sz w:val="21"/>
                    </w:rPr>
                    <w:t>1</w:t>
                  </w:r>
                  <w:r>
                    <w:rPr>
                      <w:sz w:val="21"/>
                    </w:rPr>
                    <w:t>分，</w:t>
                  </w:r>
                  <w:r>
                    <w:rPr>
                      <w:sz w:val="21"/>
                    </w:rPr>
                    <w:t>造成投诉的扣</w:t>
                  </w:r>
                  <w:r>
                    <w:rPr>
                      <w:sz w:val="21"/>
                    </w:rPr>
                    <w:t>5分。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3、</w:t>
                  </w:r>
                  <w:r>
                    <w:rPr>
                      <w:sz w:val="21"/>
                    </w:rPr>
                    <w:t>收运车辆按照规定保持车况良好、车容整洁</w:t>
                  </w:r>
                  <w:r>
                    <w:rPr>
                      <w:sz w:val="21"/>
                    </w:rPr>
                    <w:t>，</w:t>
                  </w:r>
                  <w:r>
                    <w:rPr>
                      <w:sz w:val="21"/>
                    </w:rPr>
                    <w:t>喷涂统一标识。</w:t>
                  </w:r>
                  <w:r>
                    <w:rPr>
                      <w:sz w:val="21"/>
                    </w:rPr>
                    <w:t>不符合的每次扣</w:t>
                  </w:r>
                  <w:r>
                    <w:rPr>
                      <w:sz w:val="21"/>
                    </w:rPr>
                    <w:t>1</w:t>
                  </w:r>
                  <w:r>
                    <w:rPr>
                      <w:sz w:val="21"/>
                    </w:rPr>
                    <w:t>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4、不得超过约定时间或</w:t>
                  </w:r>
                  <w:r>
                    <w:rPr>
                      <w:sz w:val="21"/>
                    </w:rPr>
                    <w:t>不正当理由</w:t>
                  </w:r>
                  <w:r>
                    <w:rPr>
                      <w:sz w:val="21"/>
                    </w:rPr>
                    <w:t>拒收厨余产生单位的厨余垃圾</w:t>
                  </w:r>
                  <w:r>
                    <w:rPr>
                      <w:sz w:val="21"/>
                    </w:rPr>
                    <w:t>，</w:t>
                  </w:r>
                  <w:r>
                    <w:rPr>
                      <w:sz w:val="21"/>
                    </w:rPr>
                    <w:t>或服务过程中，造成产生源点位投诉的，</w:t>
                  </w:r>
                  <w:r>
                    <w:rPr>
                      <w:sz w:val="21"/>
                    </w:rPr>
                    <w:t>每</w:t>
                  </w:r>
                  <w:r>
                    <w:rPr>
                      <w:sz w:val="21"/>
                    </w:rPr>
                    <w:t>间</w:t>
                  </w:r>
                  <w:r>
                    <w:rPr>
                      <w:sz w:val="21"/>
                    </w:rPr>
                    <w:t>扣</w:t>
                  </w:r>
                  <w:r>
                    <w:rPr>
                      <w:sz w:val="21"/>
                    </w:rPr>
                    <w:t>1</w:t>
                  </w:r>
                  <w:r>
                    <w:rPr>
                      <w:sz w:val="21"/>
                    </w:rPr>
                    <w:t>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5、收运车辆须按照规定安装GPS监控、行驶记录仪、装卸计量称重系统和视频监控系统，并接入采购人数字监管平台</w:t>
                  </w:r>
                  <w:r>
                    <w:rPr>
                      <w:sz w:val="21"/>
                    </w:rPr>
                    <w:t>，</w:t>
                  </w:r>
                  <w:r>
                    <w:rPr>
                      <w:sz w:val="21"/>
                    </w:rPr>
                    <w:t>若采购人数字监管平台升级，须无条件进行设备升级</w:t>
                  </w:r>
                  <w:r>
                    <w:rPr>
                      <w:sz w:val="21"/>
                    </w:rPr>
                    <w:t>。未按要求安装或接入的，</w:t>
                  </w:r>
                  <w:r>
                    <w:rPr>
                      <w:sz w:val="21"/>
                    </w:rPr>
                    <w:t>每项</w:t>
                  </w:r>
                  <w:r>
                    <w:rPr>
                      <w:sz w:val="21"/>
                    </w:rPr>
                    <w:t>每次扣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6、中标人须按采购人要求使用信息化收运登记系统进行管理，未按要求规范使用的，每次扣1分。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7、在收集作业后，要求收集容器桶身洁净无明显污渍，产生源收集点环境友好。</w:t>
                  </w:r>
                  <w:r>
                    <w:rPr>
                      <w:sz w:val="21"/>
                    </w:rPr>
                    <w:t>不符合的每次扣</w:t>
                  </w:r>
                  <w:r>
                    <w:rPr>
                      <w:sz w:val="21"/>
                    </w:rPr>
                    <w:t>1</w:t>
                  </w:r>
                  <w:r>
                    <w:rPr>
                      <w:sz w:val="21"/>
                    </w:rPr>
                    <w:t>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val="restart"/>
                  <w:tcBorders>
                    <w:top w:val="none" w:color="000000" w:sz="4"/>
                    <w:left w:val="single" w:color="000000" w:sz="4"/>
                    <w:bottom w:val="single" w:color="000000" w:sz="4"/>
                    <w:right w:val="single" w:color="000000" w:sz="4"/>
                  </w:tcBorders>
                  <w:vAlign w:val="top"/>
                </w:tcPr>
                <w:p>
                  <w:pPr>
                    <w:jc w:val="center"/>
                  </w:pPr>
                  <w:r>
                    <w:rPr>
                      <w:sz w:val="21"/>
                    </w:rPr>
                    <w:t>无害化处理（</w:t>
                  </w:r>
                  <w:r>
                    <w:rPr>
                      <w:sz w:val="21"/>
                    </w:rPr>
                    <w:t>30分）</w:t>
                  </w:r>
                </w:p>
              </w:tc>
              <w:tc>
                <w:tcPr>
                  <w:tcW w:type="dxa" w:w="4242"/>
                  <w:tcBorders>
                    <w:top w:val="none" w:color="000000" w:sz="4"/>
                    <w:left w:val="single" w:color="000000" w:sz="4"/>
                    <w:bottom w:val="single" w:color="000000" w:sz="4"/>
                    <w:right w:val="single" w:color="000000" w:sz="4"/>
                  </w:tcBorders>
                  <w:vAlign w:val="top"/>
                </w:tcPr>
                <w:p>
                  <w:pPr>
                    <w:jc w:val="both"/>
                  </w:pPr>
                  <w:r>
                    <w:rPr>
                      <w:sz w:val="21"/>
                    </w:rPr>
                    <w:t>1、项目</w:t>
                  </w:r>
                  <w:r>
                    <w:rPr>
                      <w:sz w:val="21"/>
                    </w:rPr>
                    <w:t>服务过程中产出的副产品</w:t>
                  </w:r>
                  <w:r>
                    <w:rPr>
                      <w:sz w:val="21"/>
                    </w:rPr>
                    <w:t>进行收集规范处理，</w:t>
                  </w:r>
                  <w:r>
                    <w:rPr>
                      <w:sz w:val="21"/>
                    </w:rPr>
                    <w:t>达到无害化、资源化利用处理</w:t>
                  </w:r>
                  <w:r>
                    <w:rPr>
                      <w:sz w:val="21"/>
                    </w:rPr>
                    <w:t>，</w:t>
                  </w:r>
                  <w:r>
                    <w:rPr>
                      <w:sz w:val="21"/>
                    </w:rPr>
                    <w:t>处置去向需建立台账，不得直接倾倒。</w:t>
                  </w:r>
                  <w:r>
                    <w:rPr>
                      <w:sz w:val="21"/>
                    </w:rPr>
                    <w:t>不符合的每次扣</w:t>
                  </w:r>
                  <w:r>
                    <w:rPr>
                      <w:sz w:val="21"/>
                    </w:rPr>
                    <w:t>2</w:t>
                  </w:r>
                  <w:r>
                    <w:rPr>
                      <w:sz w:val="21"/>
                    </w:rPr>
                    <w:t>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2</w:t>
                  </w:r>
                  <w:r>
                    <w:rPr>
                      <w:sz w:val="21"/>
                    </w:rPr>
                    <w:t>、服务过程中，中标单位须保证降解过程中废气</w:t>
                  </w:r>
                  <w:r>
                    <w:rPr>
                      <w:sz w:val="21"/>
                    </w:rPr>
                    <w:t>、</w:t>
                  </w:r>
                  <w:r>
                    <w:rPr>
                      <w:sz w:val="21"/>
                    </w:rPr>
                    <w:t>废水</w:t>
                  </w:r>
                  <w:r>
                    <w:rPr>
                      <w:sz w:val="21"/>
                    </w:rPr>
                    <w:t>的排放符合国家及地方相关要求，避免影响周边环境</w:t>
                  </w:r>
                  <w:r>
                    <w:rPr>
                      <w:sz w:val="21"/>
                    </w:rPr>
                    <w:t>。</w:t>
                  </w:r>
                  <w:r>
                    <w:rPr>
                      <w:sz w:val="21"/>
                    </w:rPr>
                    <w:t>每半年提供一次第三方检测报告，检测结果不达标或规定时间未进行检测的，每项每次扣</w:t>
                  </w:r>
                  <w:r>
                    <w:rPr>
                      <w:sz w:val="21"/>
                    </w:rPr>
                    <w:t>5分。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3</w:t>
                  </w:r>
                  <w:r>
                    <w:rPr>
                      <w:sz w:val="21"/>
                    </w:rPr>
                    <w:t>、厨余垃圾处理站运行过程中所产生的噪音，在站外</w:t>
                  </w:r>
                  <w:r>
                    <w:rPr>
                      <w:sz w:val="21"/>
                    </w:rPr>
                    <w:t>3米范围内</w:t>
                  </w:r>
                  <w:r>
                    <w:rPr>
                      <w:sz w:val="21"/>
                    </w:rPr>
                    <w:t>不得超过</w:t>
                  </w:r>
                  <w:r>
                    <w:rPr>
                      <w:sz w:val="21"/>
                    </w:rPr>
                    <w:t>85db</w:t>
                  </w:r>
                  <w:r>
                    <w:rPr>
                      <w:sz w:val="21"/>
                    </w:rPr>
                    <w:t>。</w:t>
                  </w:r>
                  <w:r>
                    <w:rPr>
                      <w:sz w:val="21"/>
                    </w:rPr>
                    <w:t>超过每次扣</w:t>
                  </w:r>
                  <w:r>
                    <w:rPr>
                      <w:sz w:val="21"/>
                    </w:rPr>
                    <w:t>2分。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4</w:t>
                  </w:r>
                  <w:r>
                    <w:rPr>
                      <w:sz w:val="21"/>
                    </w:rPr>
                    <w:t>、厨余垃圾运输车辆行驶路线不得超出</w:t>
                  </w:r>
                  <w:r>
                    <w:rPr>
                      <w:sz w:val="21"/>
                    </w:rPr>
                    <w:t>虎门</w:t>
                  </w:r>
                  <w:r>
                    <w:rPr>
                      <w:sz w:val="21"/>
                    </w:rPr>
                    <w:t>范围（固定路线除外），如要驶出</w:t>
                  </w:r>
                  <w:r>
                    <w:rPr>
                      <w:sz w:val="21"/>
                    </w:rPr>
                    <w:t>虎门</w:t>
                  </w:r>
                  <w:r>
                    <w:rPr>
                      <w:sz w:val="21"/>
                    </w:rPr>
                    <w:t>范围，须向</w:t>
                  </w:r>
                  <w:r>
                    <w:rPr>
                      <w:sz w:val="21"/>
                    </w:rPr>
                    <w:t>采购人</w:t>
                  </w:r>
                  <w:r>
                    <w:rPr>
                      <w:sz w:val="21"/>
                    </w:rPr>
                    <w:t>说明情况</w:t>
                  </w:r>
                  <w:r>
                    <w:rPr>
                      <w:sz w:val="21"/>
                    </w:rPr>
                    <w:t>；</w:t>
                  </w:r>
                  <w:r>
                    <w:rPr>
                      <w:sz w:val="21"/>
                    </w:rPr>
                    <w:t>厨余垃圾</w:t>
                  </w:r>
                  <w:r>
                    <w:rPr>
                      <w:sz w:val="21"/>
                    </w:rPr>
                    <w:t>须</w:t>
                  </w:r>
                  <w:r>
                    <w:rPr>
                      <w:sz w:val="21"/>
                    </w:rPr>
                    <w:t>运到厨余垃圾处理站处理，如偷倒或自行其他途径处理的，每发现</w:t>
                  </w:r>
                  <w:r>
                    <w:rPr>
                      <w:sz w:val="21"/>
                    </w:rPr>
                    <w:t>1次扣1</w:t>
                  </w:r>
                  <w:r>
                    <w:rPr>
                      <w:sz w:val="21"/>
                    </w:rPr>
                    <w:t>0</w:t>
                  </w:r>
                  <w:r>
                    <w:rPr>
                      <w:sz w:val="21"/>
                    </w:rPr>
                    <w:t>分</w:t>
                  </w:r>
                  <w:r>
                    <w:rPr>
                      <w:sz w:val="21"/>
                    </w:rPr>
                    <w:t>；</w:t>
                  </w:r>
                  <w:r>
                    <w:rPr>
                      <w:sz w:val="21"/>
                    </w:rPr>
                    <w:t>不得接受未经许可的厨余垃圾（含跨区域的厨余垃圾）</w:t>
                  </w:r>
                  <w:r>
                    <w:rPr>
                      <w:sz w:val="21"/>
                    </w:rPr>
                    <w:t>、</w:t>
                  </w:r>
                  <w:r>
                    <w:rPr>
                      <w:sz w:val="21"/>
                    </w:rPr>
                    <w:t>禁止非报备的厨余垃圾收运车辆进站过磅，</w:t>
                  </w:r>
                  <w:r>
                    <w:rPr>
                      <w:sz w:val="21"/>
                    </w:rPr>
                    <w:t>否则每宗</w:t>
                  </w:r>
                  <w:r>
                    <w:rPr>
                      <w:sz w:val="21"/>
                    </w:rPr>
                    <w:t>扣</w:t>
                  </w:r>
                  <w:r>
                    <w:rPr>
                      <w:sz w:val="21"/>
                    </w:rPr>
                    <w:t>10分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val="restart"/>
                  <w:tcBorders>
                    <w:top w:val="none" w:color="000000" w:sz="4"/>
                    <w:left w:val="single" w:color="000000" w:sz="4"/>
                    <w:bottom w:val="single" w:color="000000" w:sz="4"/>
                    <w:right w:val="single" w:color="000000" w:sz="4"/>
                  </w:tcBorders>
                  <w:vAlign w:val="top"/>
                </w:tcPr>
                <w:p>
                  <w:pPr>
                    <w:jc w:val="center"/>
                  </w:pPr>
                  <w:r>
                    <w:rPr>
                      <w:sz w:val="21"/>
                    </w:rPr>
                    <w:t>处理站运营管理（</w:t>
                  </w:r>
                  <w:r>
                    <w:rPr>
                      <w:sz w:val="21"/>
                    </w:rPr>
                    <w:t>40分）</w:t>
                  </w:r>
                </w:p>
              </w:tc>
              <w:tc>
                <w:tcPr>
                  <w:tcW w:type="dxa" w:w="4242"/>
                  <w:tcBorders>
                    <w:top w:val="none" w:color="000000" w:sz="4"/>
                    <w:left w:val="single" w:color="000000" w:sz="4"/>
                    <w:bottom w:val="single" w:color="000000" w:sz="4"/>
                    <w:right w:val="single" w:color="000000" w:sz="4"/>
                  </w:tcBorders>
                  <w:vAlign w:val="top"/>
                </w:tcPr>
                <w:p>
                  <w:pPr>
                    <w:jc w:val="both"/>
                  </w:pPr>
                  <w:r>
                    <w:rPr>
                      <w:sz w:val="21"/>
                    </w:rPr>
                    <w:t>1、按要求做好处理量</w:t>
                  </w:r>
                  <w:r>
                    <w:rPr>
                      <w:sz w:val="21"/>
                    </w:rPr>
                    <w:t>、</w:t>
                  </w:r>
                  <w:r>
                    <w:rPr>
                      <w:sz w:val="21"/>
                    </w:rPr>
                    <w:t>处理站垃圾</w:t>
                  </w:r>
                  <w:r>
                    <w:rPr>
                      <w:sz w:val="21"/>
                    </w:rPr>
                    <w:t>过磅在线监控，如未依照相关程序过磅称重，每次扣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2、</w:t>
                  </w:r>
                  <w:r>
                    <w:rPr>
                      <w:sz w:val="21"/>
                    </w:rPr>
                    <w:t>服务过程中，中标单位须保证</w:t>
                  </w:r>
                  <w:r>
                    <w:rPr>
                      <w:sz w:val="21"/>
                    </w:rPr>
                    <w:t>地磅监管，每半年提供一次检定证书，检测结果超出国家允许误差范围或规定时间未进行检定的，每次扣</w:t>
                  </w:r>
                  <w:r>
                    <w:rPr>
                      <w:sz w:val="21"/>
                    </w:rPr>
                    <w:t>5分。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3</w:t>
                  </w:r>
                  <w:r>
                    <w:rPr>
                      <w:sz w:val="21"/>
                    </w:rPr>
                    <w:t>、工作人员在岗位作业时，必须穿着工作服</w:t>
                  </w:r>
                  <w:r>
                    <w:rPr>
                      <w:sz w:val="21"/>
                    </w:rPr>
                    <w:t>，</w:t>
                  </w:r>
                  <w:r>
                    <w:rPr>
                      <w:sz w:val="21"/>
                    </w:rPr>
                    <w:t>做好防护，</w:t>
                  </w:r>
                  <w:r>
                    <w:rPr>
                      <w:sz w:val="21"/>
                    </w:rPr>
                    <w:t>每发现未穿着工作服作业的，每次扣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4</w:t>
                  </w:r>
                  <w:r>
                    <w:rPr>
                      <w:sz w:val="21"/>
                    </w:rPr>
                    <w:t>、处理站基础设施维护良好，每日进行清洁，出现破损及时维修处理。每发现处理站点有基础设施出现破损未得到维修的，每次每处扣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5</w:t>
                  </w:r>
                  <w:r>
                    <w:rPr>
                      <w:sz w:val="21"/>
                    </w:rPr>
                    <w:t>、有效处理</w:t>
                  </w:r>
                  <w:r>
                    <w:rPr>
                      <w:sz w:val="21"/>
                    </w:rPr>
                    <w:t>“安全生产、噪音扰民、污水处理、厨余垃圾产生物处理、设备维修、人员调配、居民投诉”等一切突发事件，不得影响采购人形象和厨余垃圾处理工作。如未及时处理，将每宗扣</w:t>
                  </w:r>
                  <w:r>
                    <w:rPr>
                      <w:sz w:val="21"/>
                    </w:rPr>
                    <w:t>5分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6</w:t>
                  </w:r>
                  <w:r>
                    <w:rPr>
                      <w:sz w:val="21"/>
                    </w:rPr>
                    <w:t>、处理站墙壁地面无大面积破损，</w:t>
                  </w:r>
                  <w:r>
                    <w:rPr>
                      <w:sz w:val="21"/>
                    </w:rPr>
                    <w:t>消防配套设施完好，消防及作业通道无杂物</w:t>
                  </w:r>
                  <w:r>
                    <w:rPr>
                      <w:sz w:val="21"/>
                    </w:rPr>
                    <w:t>堵塞</w:t>
                  </w:r>
                  <w:r>
                    <w:rPr>
                      <w:sz w:val="21"/>
                    </w:rPr>
                    <w:t>。</w:t>
                  </w:r>
                  <w:r>
                    <w:rPr>
                      <w:sz w:val="21"/>
                    </w:rPr>
                    <w:t>如有不符合规定的，每处扣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7</w:t>
                  </w:r>
                  <w:r>
                    <w:rPr>
                      <w:sz w:val="21"/>
                    </w:rPr>
                    <w:t>、处理站内</w:t>
                  </w:r>
                  <w:r>
                    <w:rPr>
                      <w:sz w:val="21"/>
                    </w:rPr>
                    <w:t>必须做好除四害（老鼠、蟑螂、蚊子、苍蝇）的防治工作。每发现站内存在四害活动，每次扣</w:t>
                  </w:r>
                  <w:r>
                    <w:rPr>
                      <w:sz w:val="21"/>
                    </w:rPr>
                    <w:t>1分.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693"/>
                  <w:vMerge/>
                  <w:tcBorders>
                    <w:top w:val="none" w:color="000000" w:sz="4"/>
                    <w:left w:val="single" w:color="000000" w:sz="4"/>
                    <w:bottom w:val="single" w:color="000000" w:sz="4"/>
                    <w:right w:val="single" w:color="000000" w:sz="4"/>
                  </w:tcBorders>
                </w:tcPr>
                <w:p/>
              </w:tc>
              <w:tc>
                <w:tcPr>
                  <w:tcW w:type="dxa" w:w="4242"/>
                  <w:tcBorders>
                    <w:top w:val="none" w:color="000000" w:sz="4"/>
                    <w:left w:val="single" w:color="000000" w:sz="4"/>
                    <w:bottom w:val="single" w:color="000000" w:sz="4"/>
                    <w:right w:val="single" w:color="000000" w:sz="4"/>
                  </w:tcBorders>
                  <w:vAlign w:val="top"/>
                </w:tcPr>
                <w:p>
                  <w:pPr>
                    <w:jc w:val="both"/>
                  </w:pPr>
                  <w:r>
                    <w:rPr>
                      <w:sz w:val="21"/>
                    </w:rPr>
                    <w:t>8</w:t>
                  </w:r>
                  <w:r>
                    <w:rPr>
                      <w:sz w:val="21"/>
                    </w:rPr>
                    <w:t>、中标人在履行</w:t>
                  </w:r>
                  <w:r>
                    <w:rPr>
                      <w:sz w:val="21"/>
                    </w:rPr>
                    <w:t>中标</w:t>
                  </w:r>
                  <w:r>
                    <w:rPr>
                      <w:sz w:val="21"/>
                    </w:rPr>
                    <w:t>合同应做到安全、有序，自觉遵守项目安全管理规章制度，中标人未按安全制度操作，每宗扣</w:t>
                  </w:r>
                  <w:r>
                    <w:rPr>
                      <w:sz w:val="21"/>
                    </w:rPr>
                    <w:t>5分</w:t>
                  </w:r>
                </w:p>
              </w:tc>
              <w:tc>
                <w:tcPr>
                  <w:tcW w:type="dxa" w:w="641"/>
                  <w:tcBorders>
                    <w:top w:val="none" w:color="000000" w:sz="4"/>
                    <w:left w:val="single" w:color="000000" w:sz="4"/>
                    <w:bottom w:val="single" w:color="000000" w:sz="4"/>
                    <w:right w:val="single" w:color="000000" w:sz="4"/>
                  </w:tcBorders>
                  <w:vAlign w:val="top"/>
                </w:tcPr>
                <w:p>
                  <w:pPr>
                    <w:jc w:val="center"/>
                  </w:pPr>
                </w:p>
              </w:tc>
            </w:tr>
            <w:tr>
              <w:tc>
                <w:tcPr>
                  <w:tcW w:type="dxa" w:w="5576"/>
                  <w:gridSpan w:val="3"/>
                  <w:tcBorders>
                    <w:top w:val="none" w:color="000000" w:sz="4"/>
                    <w:left w:val="single" w:color="000000" w:sz="4"/>
                    <w:bottom w:val="single" w:color="000000" w:sz="4"/>
                    <w:right w:val="single" w:color="000000" w:sz="4"/>
                  </w:tcBorders>
                  <w:vAlign w:val="top"/>
                </w:tcPr>
                <w:p>
                  <w:pPr>
                    <w:jc w:val="center"/>
                  </w:pPr>
                  <w:r>
                    <w:rPr>
                      <w:sz w:val="21"/>
                    </w:rPr>
                    <w:t>合计实得分（</w:t>
                  </w:r>
                  <w:r>
                    <w:rPr>
                      <w:sz w:val="21"/>
                    </w:rPr>
                    <w:t xml:space="preserve">       </w:t>
                  </w:r>
                  <w:r>
                    <w:rPr>
                      <w:sz w:val="21"/>
                    </w:rPr>
                    <w:t>）</w:t>
                  </w:r>
                  <w:r>
                    <w:rPr>
                      <w:sz w:val="21"/>
                    </w:rPr>
                    <w:t>=总分（100）－合计检查扣分（       ）</w:t>
                  </w:r>
                </w:p>
              </w:tc>
            </w:tr>
            <w:tr>
              <w:tc>
                <w:tcPr>
                  <w:tcW w:type="dxa" w:w="5576"/>
                  <w:gridSpan w:val="3"/>
                  <w:tcBorders>
                    <w:top w:val="none" w:color="000000" w:sz="4"/>
                    <w:left w:val="single" w:color="000000" w:sz="4"/>
                    <w:bottom w:val="single" w:color="000000" w:sz="4"/>
                    <w:right w:val="single" w:color="000000" w:sz="4"/>
                  </w:tcBorders>
                  <w:vAlign w:val="top"/>
                </w:tcPr>
                <w:p>
                  <w:pPr>
                    <w:jc w:val="both"/>
                  </w:pPr>
                  <w:r>
                    <w:rPr>
                      <w:sz w:val="21"/>
                    </w:rPr>
                    <w:t>初审</w:t>
                  </w:r>
                  <w:r>
                    <w:rPr>
                      <w:sz w:val="21"/>
                    </w:rPr>
                    <w:t xml:space="preserve">                   </w:t>
                  </w:r>
                  <w:r>
                    <w:rPr>
                      <w:sz w:val="21"/>
                    </w:rPr>
                    <w:t>复审</w:t>
                  </w:r>
                  <w:r>
                    <w:rPr>
                      <w:sz w:val="21"/>
                    </w:rPr>
                    <w:t xml:space="preserve">                   </w:t>
                  </w:r>
                  <w:r>
                    <w:rPr>
                      <w:sz w:val="21"/>
                    </w:rPr>
                    <w:t>分管领导</w:t>
                  </w:r>
                </w:p>
              </w:tc>
            </w:tr>
          </w:tbl>
          <w:p>
            <w:pPr>
              <w:jc w:val="both"/>
            </w:pPr>
            <w:r>
              <w:rPr>
                <w:sz w:val="21"/>
              </w:rPr>
              <w:t>检查人：</w:t>
            </w:r>
          </w:p>
          <w:p>
            <w:pPr>
              <w:ind w:firstLine="420"/>
              <w:jc w:val="both"/>
            </w:pPr>
            <w:r>
              <w:rPr>
                <w:sz w:val="21"/>
              </w:rPr>
              <w:t>备注：根据《东莞市虎门镇厨余垃圾收运处理项目</w:t>
            </w:r>
            <w:r>
              <w:rPr>
                <w:sz w:val="21"/>
              </w:rPr>
              <w:t>月度考核</w:t>
            </w:r>
            <w:r>
              <w:rPr>
                <w:sz w:val="21"/>
              </w:rPr>
              <w:t>评分表》每月对</w:t>
            </w:r>
            <w:r>
              <w:rPr>
                <w:sz w:val="21"/>
              </w:rPr>
              <w:t>中标人</w:t>
            </w:r>
            <w:r>
              <w:rPr>
                <w:sz w:val="21"/>
              </w:rPr>
              <w:t>进行考核，得分</w:t>
            </w:r>
            <w:r>
              <w:rPr>
                <w:sz w:val="21"/>
              </w:rPr>
              <w:t>90分以上，全额支付当月服务费；90分（不含）以下的，按以下方式扣除当月服务费，得分80-90分（不含）的，以90分为基数，每分扣3000元；得分80分（不含）以下的，再以80分为基数，每分扣8000元。</w:t>
            </w:r>
            <w:r>
              <w:rPr>
                <w:sz w:val="21"/>
              </w:rPr>
              <w:t>每一个自然年度内累计</w:t>
            </w:r>
            <w:r>
              <w:rPr>
                <w:sz w:val="21"/>
              </w:rPr>
              <w:t>3次或连续2次不合格（低于60分）</w:t>
            </w:r>
            <w:r>
              <w:rPr>
                <w:sz w:val="21"/>
              </w:rPr>
              <w:t>，</w:t>
            </w:r>
            <w:r>
              <w:rPr>
                <w:sz w:val="21"/>
              </w:rPr>
              <w:t>采购人</w:t>
            </w:r>
            <w:r>
              <w:rPr>
                <w:sz w:val="21"/>
              </w:rPr>
              <w:t>有权</w:t>
            </w:r>
            <w:r>
              <w:rPr>
                <w:sz w:val="21"/>
              </w:rPr>
              <w:t>终止</w:t>
            </w:r>
            <w:r>
              <w:rPr>
                <w:sz w:val="21"/>
              </w:rPr>
              <w:t>与</w:t>
            </w:r>
            <w:r>
              <w:rPr>
                <w:sz w:val="21"/>
              </w:rPr>
              <w:t>中标人</w:t>
            </w:r>
            <w:r>
              <w:rPr>
                <w:sz w:val="21"/>
              </w:rPr>
              <w:t>的合同。</w:t>
            </w:r>
            <w:r>
              <w:rPr>
                <w:sz w:val="21"/>
              </w:rPr>
              <w:t>若存在直接扣款办法中的任一情况，则在按分数扣除当月服务费基础上叠加扣减。</w:t>
            </w:r>
          </w:p>
          <w:p>
            <w:pPr>
              <w:jc w:val="both"/>
            </w:pPr>
            <w:r>
              <w:rPr>
                <w:b/>
                <w:sz w:val="24"/>
              </w:rPr>
              <w:t>六、考核评分办法</w:t>
            </w:r>
          </w:p>
          <w:p>
            <w:pPr>
              <w:ind w:firstLine="420"/>
              <w:jc w:val="left"/>
            </w:pPr>
            <w:r>
              <w:rPr>
                <w:sz w:val="21"/>
              </w:rPr>
              <w:t>1.</w:t>
            </w:r>
            <w:r>
              <w:rPr>
                <w:sz w:val="21"/>
              </w:rPr>
              <w:t>考核标准：评分考核满分为</w:t>
            </w:r>
            <w:r>
              <w:rPr>
                <w:sz w:val="21"/>
              </w:rPr>
              <w:t>100分；</w:t>
            </w:r>
          </w:p>
          <w:p>
            <w:pPr>
              <w:ind w:firstLine="420"/>
              <w:jc w:val="left"/>
            </w:pPr>
            <w:r>
              <w:rPr>
                <w:sz w:val="21"/>
              </w:rPr>
              <w:t>2.</w:t>
            </w:r>
            <w:r>
              <w:rPr>
                <w:sz w:val="21"/>
              </w:rPr>
              <w:t>考核分</w:t>
            </w:r>
            <w:r>
              <w:rPr>
                <w:sz w:val="21"/>
              </w:rPr>
              <w:t>=100-合计检查扣分；</w:t>
            </w:r>
          </w:p>
          <w:p>
            <w:pPr>
              <w:ind w:firstLine="420"/>
              <w:jc w:val="left"/>
            </w:pPr>
            <w:r>
              <w:rPr>
                <w:sz w:val="21"/>
              </w:rPr>
              <w:t>3.根据</w:t>
            </w:r>
            <w:r>
              <w:rPr>
                <w:sz w:val="21"/>
              </w:rPr>
              <w:t>《东莞市虎门镇厨余垃圾收运处理项目</w:t>
            </w:r>
            <w:r>
              <w:rPr>
                <w:sz w:val="21"/>
              </w:rPr>
              <w:t>月度考核</w:t>
            </w:r>
            <w:r>
              <w:rPr>
                <w:sz w:val="21"/>
              </w:rPr>
              <w:t>评分表》每月对</w:t>
            </w:r>
            <w:r>
              <w:rPr>
                <w:sz w:val="21"/>
              </w:rPr>
              <w:t>中标人</w:t>
            </w:r>
            <w:r>
              <w:rPr>
                <w:sz w:val="21"/>
              </w:rPr>
              <w:t>进行考核，得分</w:t>
            </w:r>
            <w:r>
              <w:rPr>
                <w:sz w:val="21"/>
              </w:rPr>
              <w:t>90</w:t>
            </w:r>
            <w:r>
              <w:rPr>
                <w:sz w:val="21"/>
              </w:rPr>
              <w:t>（</w:t>
            </w:r>
            <w:r>
              <w:rPr>
                <w:sz w:val="21"/>
              </w:rPr>
              <w:t>含</w:t>
            </w:r>
            <w:r>
              <w:rPr>
                <w:sz w:val="21"/>
              </w:rPr>
              <w:t>）</w:t>
            </w:r>
            <w:r>
              <w:rPr>
                <w:sz w:val="21"/>
              </w:rPr>
              <w:t>分以上，全额支付当月服务费；</w:t>
            </w:r>
            <w:r>
              <w:rPr>
                <w:sz w:val="21"/>
              </w:rPr>
              <w:t>90分（不含）以下的，按以下方式扣除当月服务费，得分80-90分（不含）的，以90分为基数，每分扣3000元；得分80分（不含）以下的，再以80分为基数，每分扣8000元</w:t>
            </w:r>
            <w:r>
              <w:rPr>
                <w:sz w:val="21"/>
              </w:rPr>
              <w:t>。</w:t>
            </w:r>
            <w:r>
              <w:rPr>
                <w:sz w:val="21"/>
              </w:rPr>
              <w:t>每一个自然年度内累计</w:t>
            </w:r>
            <w:r>
              <w:rPr>
                <w:sz w:val="21"/>
              </w:rPr>
              <w:t>3次或连续2次不合格（低于60分）</w:t>
            </w:r>
            <w:r>
              <w:rPr>
                <w:sz w:val="21"/>
              </w:rPr>
              <w:t>，</w:t>
            </w:r>
            <w:r>
              <w:rPr>
                <w:sz w:val="21"/>
              </w:rPr>
              <w:t>采购人</w:t>
            </w:r>
            <w:r>
              <w:rPr>
                <w:sz w:val="21"/>
              </w:rPr>
              <w:t>有权</w:t>
            </w:r>
            <w:r>
              <w:rPr>
                <w:sz w:val="21"/>
              </w:rPr>
              <w:t>终止</w:t>
            </w:r>
            <w:r>
              <w:rPr>
                <w:sz w:val="21"/>
              </w:rPr>
              <w:t>与</w:t>
            </w:r>
            <w:r>
              <w:rPr>
                <w:sz w:val="21"/>
              </w:rPr>
              <w:t>中标人</w:t>
            </w:r>
            <w:r>
              <w:rPr>
                <w:sz w:val="21"/>
              </w:rPr>
              <w:t>的合同。</w:t>
            </w:r>
          </w:p>
          <w:p>
            <w:pPr>
              <w:ind w:firstLine="420"/>
              <w:jc w:val="left"/>
            </w:pPr>
          </w:p>
          <w:tbl>
            <w:tblPr>
              <w:tblBorders>
                <w:top w:val="none" w:color="000000" w:sz="4"/>
                <w:left w:val="none" w:color="000000" w:sz="4"/>
                <w:bottom w:val="none" w:color="000000" w:sz="4"/>
                <w:right w:val="none" w:color="000000" w:sz="4"/>
                <w:insideH w:val="none"/>
                <w:insideV w:val="none"/>
              </w:tblBorders>
            </w:tblPr>
            <w:tblGrid>
              <w:gridCol w:w="916"/>
              <w:gridCol w:w="1438"/>
              <w:gridCol w:w="1222"/>
              <w:gridCol w:w="2000"/>
            </w:tblGrid>
            <w:tr>
              <w:tc>
                <w:tcPr>
                  <w:tcW w:type="dxa" w:w="916"/>
                  <w:tcBorders>
                    <w:top w:val="single" w:color="000000" w:sz="4"/>
                    <w:left w:val="single" w:color="000000" w:sz="4"/>
                    <w:bottom w:val="single" w:color="000000" w:sz="4"/>
                    <w:right w:val="single" w:color="000000" w:sz="4"/>
                  </w:tcBorders>
                  <w:vAlign w:val="top"/>
                </w:tcPr>
                <w:p>
                  <w:pPr>
                    <w:jc w:val="center"/>
                  </w:pPr>
                  <w:r>
                    <w:rPr>
                      <w:b/>
                      <w:sz w:val="21"/>
                    </w:rPr>
                    <w:t>分数</w:t>
                  </w:r>
                </w:p>
              </w:tc>
              <w:tc>
                <w:tcPr>
                  <w:tcW w:type="dxa" w:w="1438"/>
                  <w:tcBorders>
                    <w:top w:val="single" w:color="000000" w:sz="4"/>
                    <w:left w:val="none" w:color="000000" w:sz="4"/>
                    <w:bottom w:val="single" w:color="000000" w:sz="4"/>
                    <w:right w:val="single" w:color="000000" w:sz="4"/>
                  </w:tcBorders>
                  <w:vAlign w:val="top"/>
                </w:tcPr>
                <w:p>
                  <w:pPr>
                    <w:jc w:val="center"/>
                  </w:pPr>
                  <w:r>
                    <w:rPr>
                      <w:sz w:val="21"/>
                    </w:rPr>
                    <w:t>当月</w:t>
                  </w:r>
                  <w:r>
                    <w:rPr>
                      <w:sz w:val="21"/>
                    </w:rPr>
                    <w:t>扣减</w:t>
                  </w:r>
                  <w:r>
                    <w:rPr>
                      <w:sz w:val="21"/>
                    </w:rPr>
                    <w:t>服务费</w:t>
                  </w:r>
                </w:p>
              </w:tc>
              <w:tc>
                <w:tcPr>
                  <w:tcW w:type="dxa" w:w="1222"/>
                  <w:tcBorders>
                    <w:top w:val="single" w:color="000000" w:sz="4"/>
                    <w:left w:val="none" w:color="000000" w:sz="4"/>
                    <w:bottom w:val="single" w:color="000000" w:sz="4"/>
                    <w:right w:val="single" w:color="000000" w:sz="4"/>
                  </w:tcBorders>
                  <w:vAlign w:val="top"/>
                </w:tcPr>
                <w:p>
                  <w:pPr>
                    <w:jc w:val="center"/>
                  </w:pPr>
                  <w:r>
                    <w:rPr>
                      <w:b/>
                      <w:sz w:val="21"/>
                    </w:rPr>
                    <w:t>分数</w:t>
                  </w:r>
                </w:p>
              </w:tc>
              <w:tc>
                <w:tcPr>
                  <w:tcW w:type="dxa" w:w="2000"/>
                  <w:tcBorders>
                    <w:top w:val="single" w:color="000000" w:sz="4"/>
                    <w:left w:val="none" w:color="000000" w:sz="4"/>
                    <w:bottom w:val="single" w:color="000000" w:sz="4"/>
                    <w:right w:val="single" w:color="000000" w:sz="4"/>
                  </w:tcBorders>
                  <w:vAlign w:val="top"/>
                </w:tcPr>
                <w:p>
                  <w:pPr>
                    <w:jc w:val="center"/>
                  </w:pPr>
                  <w:r>
                    <w:rPr>
                      <w:sz w:val="21"/>
                    </w:rPr>
                    <w:t>当月</w:t>
                  </w:r>
                  <w:r>
                    <w:rPr>
                      <w:sz w:val="21"/>
                    </w:rPr>
                    <w:t>扣减</w:t>
                  </w:r>
                  <w:r>
                    <w:rPr>
                      <w:sz w:val="21"/>
                    </w:rPr>
                    <w:t>服务费</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90（含）以上</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83</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21000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3000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82</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24000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w:t>
                  </w:r>
                  <w:r>
                    <w:rPr>
                      <w:sz w:val="21"/>
                    </w:rPr>
                    <w:t>8</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6000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81</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27000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w:t>
                  </w:r>
                  <w:r>
                    <w:rPr>
                      <w:sz w:val="21"/>
                    </w:rPr>
                    <w:t>7</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9000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80</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30000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w:t>
                  </w:r>
                  <w:r>
                    <w:rPr>
                      <w:sz w:val="21"/>
                    </w:rPr>
                    <w:t>6</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12000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79</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38000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15000</w:t>
                  </w:r>
                </w:p>
              </w:tc>
              <w:tc>
                <w:tcPr>
                  <w:tcW w:type="dxa" w:w="1222"/>
                  <w:tcBorders>
                    <w:top w:val="none" w:color="000000" w:sz="4"/>
                    <w:left w:val="none" w:color="000000" w:sz="4"/>
                    <w:bottom w:val="single" w:color="000000" w:sz="4"/>
                    <w:right w:val="single" w:color="000000" w:sz="4"/>
                  </w:tcBorders>
                  <w:vAlign w:val="top"/>
                </w:tcPr>
                <w:p>
                  <w:pPr>
                    <w:jc w:val="center"/>
                  </w:pPr>
                  <w:r>
                    <w:rPr>
                      <w:sz w:val="21"/>
                    </w:rPr>
                    <w:t>78</w:t>
                  </w:r>
                </w:p>
              </w:tc>
              <w:tc>
                <w:tcPr>
                  <w:tcW w:type="dxa" w:w="2000"/>
                  <w:tcBorders>
                    <w:top w:val="none" w:color="000000" w:sz="4"/>
                    <w:left w:val="none" w:color="000000" w:sz="4"/>
                    <w:bottom w:val="single" w:color="000000" w:sz="4"/>
                    <w:right w:val="single" w:color="000000" w:sz="4"/>
                  </w:tcBorders>
                  <w:vAlign w:val="top"/>
                </w:tcPr>
                <w:p>
                  <w:pPr>
                    <w:jc w:val="center"/>
                  </w:pPr>
                  <w:r>
                    <w:rPr>
                      <w:sz w:val="21"/>
                    </w:rPr>
                    <w:t>46000</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438"/>
                  <w:tcBorders>
                    <w:top w:val="none" w:color="000000" w:sz="4"/>
                    <w:left w:val="none" w:color="000000" w:sz="4"/>
                    <w:bottom w:val="single" w:color="000000" w:sz="4"/>
                    <w:right w:val="single" w:color="000000" w:sz="4"/>
                  </w:tcBorders>
                  <w:vAlign w:val="top"/>
                </w:tcPr>
                <w:p>
                  <w:pPr>
                    <w:jc w:val="center"/>
                  </w:pPr>
                  <w:r>
                    <w:rPr>
                      <w:sz w:val="21"/>
                    </w:rPr>
                    <w:t>18000</w:t>
                  </w:r>
                </w:p>
              </w:tc>
              <w:tc>
                <w:tcPr>
                  <w:tcW w:type="dxa" w:w="3222"/>
                  <w:gridSpan w:val="2"/>
                  <w:tcBorders>
                    <w:top w:val="none" w:color="000000" w:sz="4"/>
                    <w:left w:val="none" w:color="000000" w:sz="4"/>
                    <w:bottom w:val="single" w:color="000000" w:sz="4"/>
                    <w:right w:val="single" w:color="000000" w:sz="4"/>
                  </w:tcBorders>
                  <w:vAlign w:val="top"/>
                </w:tcPr>
                <w:p>
                  <w:pPr>
                    <w:jc w:val="center"/>
                  </w:pPr>
                  <w:r>
                    <w:rPr>
                      <w:sz w:val="21"/>
                    </w:rPr>
                    <w:t>得分</w:t>
                  </w:r>
                  <w:r>
                    <w:rPr>
                      <w:sz w:val="21"/>
                    </w:rPr>
                    <w:t>80分（不含）以下的，再以80分为基数，每分扣8000元，以此类推</w:t>
                  </w:r>
                </w:p>
              </w:tc>
            </w:tr>
          </w:tbl>
          <w:p>
            <w:pPr>
              <w:jc w:val="both"/>
            </w:pPr>
          </w:p>
          <w:p>
            <w:pPr>
              <w:jc w:val="both"/>
            </w:pPr>
            <w:r>
              <w:rPr>
                <w:b/>
                <w:sz w:val="24"/>
              </w:rPr>
              <w:t>七、直接扣款办法</w:t>
            </w:r>
          </w:p>
          <w:p>
            <w:pPr>
              <w:ind w:firstLine="420"/>
              <w:jc w:val="both"/>
            </w:pPr>
            <w:r>
              <w:rPr>
                <w:sz w:val="21"/>
              </w:rPr>
              <w:t>1.厨余垃圾运输车辆不按指定路线行驶、未及时收运等情况，经核定属实，每次扣2000元；</w:t>
            </w:r>
          </w:p>
          <w:p>
            <w:pPr>
              <w:ind w:firstLine="420"/>
              <w:jc w:val="both"/>
            </w:pPr>
            <w:r>
              <w:rPr>
                <w:sz w:val="21"/>
              </w:rPr>
              <w:t>2.如发现厨余垃圾在收集、运输、过磅前有注水增重，或接收非虎门镇产生的厨余垃圾等行为，经核定属实，每次扣5000元；</w:t>
            </w:r>
          </w:p>
          <w:p>
            <w:pPr>
              <w:ind w:firstLine="420"/>
              <w:jc w:val="both"/>
            </w:pPr>
            <w:r>
              <w:rPr>
                <w:sz w:val="21"/>
              </w:rPr>
              <w:t>3.厨余垃圾未按规定资源化处理，如被发现收运后提供给他人用作养殖、混入其他垃圾压缩站处理等行为，经核定属实，每次扣5000元；</w:t>
            </w:r>
          </w:p>
          <w:p>
            <w:pPr>
              <w:ind w:firstLine="420"/>
              <w:jc w:val="both"/>
            </w:pPr>
            <w:r>
              <w:rPr>
                <w:sz w:val="21"/>
              </w:rPr>
              <w:t>4.不能提供资源化利用台账和不能利用部分的其他垃圾处置去向台账，或提供的台账与事实不符，存在造假情况，经核定属实，每次扣5000元；</w:t>
            </w:r>
          </w:p>
          <w:p>
            <w:pPr>
              <w:ind w:firstLine="420"/>
              <w:jc w:val="both"/>
            </w:pPr>
            <w:r>
              <w:rPr>
                <w:sz w:val="21"/>
              </w:rPr>
              <w:t>5.擅自将服务过程中打捞经油水分离器或下水道隔油池分离处理后产生的油脂（地沟油），纳入计费重量的，经核定属实，每次扣5000元；</w:t>
            </w:r>
          </w:p>
          <w:p>
            <w:pPr>
              <w:ind w:firstLine="420"/>
              <w:jc w:val="both"/>
            </w:pPr>
            <w:r>
              <w:rPr>
                <w:sz w:val="21"/>
              </w:rPr>
              <w:t>6.</w:t>
            </w:r>
            <w:r>
              <w:rPr>
                <w:sz w:val="21"/>
              </w:rPr>
              <w:t>收运车辆须按照规定安装</w:t>
            </w:r>
            <w:r>
              <w:rPr>
                <w:sz w:val="21"/>
              </w:rPr>
              <w:t>GPS监控、行驶记录仪、装卸计量称重系统和视频监控系统，并接入采购人数字监管平台。未按要求安装或接入的</w:t>
            </w:r>
            <w:r>
              <w:rPr>
                <w:sz w:val="21"/>
              </w:rPr>
              <w:t>，</w:t>
            </w:r>
            <w:r>
              <w:rPr>
                <w:sz w:val="21"/>
              </w:rPr>
              <w:t>经核定属实，每次扣</w:t>
            </w:r>
            <w:r>
              <w:rPr>
                <w:sz w:val="21"/>
              </w:rPr>
              <w:t>5000元；</w:t>
            </w:r>
          </w:p>
          <w:p>
            <w:pPr>
              <w:ind w:firstLine="420"/>
              <w:jc w:val="both"/>
            </w:pPr>
            <w:r>
              <w:rPr>
                <w:sz w:val="21"/>
              </w:rPr>
              <w:t>7、</w:t>
            </w:r>
            <w:r>
              <w:rPr>
                <w:sz w:val="21"/>
              </w:rPr>
              <w:t>中标人须按采购人要求使用信息化收运登记系统进行管理，未按要求规范</w:t>
            </w:r>
            <w:r>
              <w:rPr>
                <w:sz w:val="21"/>
              </w:rPr>
              <w:t>使用的</w:t>
            </w:r>
            <w:r>
              <w:rPr>
                <w:sz w:val="21"/>
              </w:rPr>
              <w:t>，</w:t>
            </w:r>
            <w:r>
              <w:rPr>
                <w:sz w:val="21"/>
              </w:rPr>
              <w:t>经核定属实</w:t>
            </w:r>
            <w:r>
              <w:rPr>
                <w:sz w:val="21"/>
              </w:rPr>
              <w:t>，每次扣</w:t>
            </w:r>
            <w:r>
              <w:rPr>
                <w:sz w:val="21"/>
              </w:rPr>
              <w:t>1000元；</w:t>
            </w:r>
          </w:p>
          <w:p>
            <w:pPr>
              <w:ind w:firstLine="420"/>
              <w:jc w:val="both"/>
            </w:pPr>
            <w:r>
              <w:rPr>
                <w:sz w:val="21"/>
              </w:rPr>
              <w:t>8</w:t>
            </w:r>
            <w:r>
              <w:rPr>
                <w:sz w:val="21"/>
              </w:rPr>
              <w:t>.</w:t>
            </w:r>
            <w:r>
              <w:rPr>
                <w:sz w:val="21"/>
              </w:rPr>
              <w:t>厨余垃圾</w:t>
            </w:r>
            <w:r>
              <w:rPr>
                <w:sz w:val="21"/>
              </w:rPr>
              <w:t>应做到应收尽收，</w:t>
            </w:r>
            <w:r>
              <w:rPr>
                <w:sz w:val="21"/>
              </w:rPr>
              <w:t>若发现中标人以</w:t>
            </w:r>
            <w:r>
              <w:rPr>
                <w:sz w:val="21"/>
              </w:rPr>
              <w:t>量少、距离远等非正当理由拒收，经核定属实，每次扣</w:t>
            </w:r>
            <w:r>
              <w:rPr>
                <w:sz w:val="21"/>
              </w:rPr>
              <w:t>2000元；</w:t>
            </w:r>
          </w:p>
          <w:p>
            <w:pPr>
              <w:ind w:firstLine="420"/>
              <w:jc w:val="both"/>
            </w:pPr>
            <w:r>
              <w:rPr>
                <w:sz w:val="21"/>
              </w:rPr>
              <w:t>9、</w:t>
            </w:r>
            <w:r>
              <w:rPr>
                <w:sz w:val="21"/>
              </w:rPr>
              <w:t>服务过程中，中标</w:t>
            </w:r>
            <w:r>
              <w:rPr>
                <w:sz w:val="21"/>
              </w:rPr>
              <w:t>人</w:t>
            </w:r>
            <w:r>
              <w:rPr>
                <w:sz w:val="21"/>
              </w:rPr>
              <w:t>须保证</w:t>
            </w:r>
            <w:r>
              <w:rPr>
                <w:sz w:val="21"/>
              </w:rPr>
              <w:t>地磅监管，每半年提供一次检定证书，检测结果超出国家允许误差范围或规定时间未进行检定的，经核定属实，每次扣</w:t>
            </w:r>
            <w:r>
              <w:rPr>
                <w:sz w:val="21"/>
              </w:rPr>
              <w:t>15000元。</w:t>
            </w:r>
          </w:p>
          <w:p>
            <w:pPr>
              <w:jc w:val="both"/>
            </w:pPr>
          </w:p>
          <w:p>
            <w:pPr>
              <w:jc w:val="both"/>
            </w:pPr>
          </w:p>
          <w:p>
            <w:pPr>
              <w:jc w:val="both"/>
            </w:pPr>
          </w:p>
          <w:p>
            <w:pPr>
              <w:jc w:val="center"/>
            </w:pPr>
            <w:r>
              <w:rPr>
                <w:b/>
                <w:sz w:val="21"/>
              </w:rPr>
              <w:t>东莞市虎门镇厨余垃圾收运处理项目</w:t>
            </w:r>
            <w:r>
              <w:rPr>
                <w:b/>
                <w:sz w:val="21"/>
              </w:rPr>
              <w:t>直接扣款登记表</w:t>
            </w:r>
          </w:p>
          <w:p>
            <w:pPr>
              <w:jc w:val="right"/>
            </w:pPr>
            <w:r>
              <w:rPr>
                <w:sz w:val="21"/>
              </w:rPr>
              <w:t xml:space="preserve"> </w:t>
            </w:r>
            <w:r>
              <w:rPr>
                <w:sz w:val="21"/>
              </w:rPr>
              <w:t>考</w:t>
            </w:r>
            <w:r>
              <w:rPr>
                <w:sz w:val="21"/>
              </w:rPr>
              <w:t>核</w:t>
            </w:r>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Borders>
                <w:top w:val="none" w:color="000000" w:sz="4"/>
                <w:left w:val="none" w:color="000000" w:sz="4"/>
                <w:bottom w:val="none" w:color="000000" w:sz="4"/>
                <w:right w:val="none" w:color="000000" w:sz="4"/>
                <w:insideH w:val="none"/>
                <w:insideV w:val="none"/>
              </w:tblBorders>
            </w:tblPr>
            <w:tblGrid>
              <w:gridCol w:w="3329"/>
              <w:gridCol w:w="1357"/>
              <w:gridCol w:w="901"/>
            </w:tblGrid>
            <w:tr>
              <w:tc>
                <w:tcPr>
                  <w:tcW w:type="dxa" w:w="3329"/>
                  <w:tcBorders>
                    <w:top w:val="single" w:color="000000" w:sz="4"/>
                    <w:left w:val="single" w:color="000000" w:sz="4"/>
                    <w:bottom w:val="single" w:color="000000" w:sz="4"/>
                    <w:right w:val="single" w:color="000000" w:sz="4"/>
                  </w:tcBorders>
                  <w:vAlign w:val="top"/>
                </w:tcPr>
                <w:p>
                  <w:pPr>
                    <w:jc w:val="center"/>
                  </w:pPr>
                  <w:r>
                    <w:rPr>
                      <w:b/>
                      <w:sz w:val="21"/>
                    </w:rPr>
                    <w:t>考核扣款事项</w:t>
                  </w:r>
                  <w:r>
                    <w:rPr>
                      <w:sz w:val="21"/>
                    </w:rPr>
                    <w:t>（含现场考核和视频监控</w:t>
                  </w:r>
                  <w:r>
                    <w:rPr>
                      <w:sz w:val="21"/>
                    </w:rPr>
                    <w:t>、</w:t>
                  </w:r>
                  <w:r>
                    <w:rPr>
                      <w:sz w:val="21"/>
                    </w:rPr>
                    <w:t>产生源反馈等</w:t>
                  </w:r>
                  <w:r>
                    <w:rPr>
                      <w:sz w:val="21"/>
                    </w:rPr>
                    <w:t>考核）</w:t>
                  </w:r>
                </w:p>
              </w:tc>
              <w:tc>
                <w:tcPr>
                  <w:tcW w:type="dxa" w:w="1357"/>
                  <w:tcBorders>
                    <w:top w:val="single" w:color="000000" w:sz="4"/>
                    <w:left w:val="single" w:color="000000" w:sz="4"/>
                    <w:bottom w:val="single" w:color="000000" w:sz="4"/>
                    <w:right w:val="single" w:color="000000" w:sz="4"/>
                  </w:tcBorders>
                  <w:vAlign w:val="top"/>
                </w:tcPr>
                <w:p>
                  <w:pPr>
                    <w:jc w:val="center"/>
                  </w:pPr>
                  <w:r>
                    <w:rPr>
                      <w:b/>
                      <w:sz w:val="21"/>
                    </w:rPr>
                    <w:t>扣款标准</w:t>
                  </w:r>
                </w:p>
              </w:tc>
              <w:tc>
                <w:tcPr>
                  <w:tcW w:type="dxa" w:w="901"/>
                  <w:tcBorders>
                    <w:top w:val="single" w:color="000000" w:sz="4"/>
                    <w:left w:val="single" w:color="000000" w:sz="4"/>
                    <w:bottom w:val="single" w:color="000000" w:sz="4"/>
                    <w:right w:val="single" w:color="000000" w:sz="4"/>
                  </w:tcBorders>
                  <w:vAlign w:val="top"/>
                </w:tcPr>
                <w:p>
                  <w:pPr>
                    <w:jc w:val="center"/>
                  </w:pPr>
                  <w:r>
                    <w:rPr>
                      <w:b/>
                      <w:sz w:val="21"/>
                    </w:rPr>
                    <w:t>检查扣款</w:t>
                  </w: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1、</w:t>
                  </w:r>
                  <w:r>
                    <w:rPr>
                      <w:sz w:val="21"/>
                    </w:rPr>
                    <w:t>厨余垃圾运输车辆不按指定路线行驶、未及时收运等情况。</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2000元。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2、</w:t>
                  </w:r>
                  <w:r>
                    <w:rPr>
                      <w:sz w:val="21"/>
                    </w:rPr>
                    <w:t>如发现厨余垃圾在收集、运输、过磅前有注水增重，或接收非虎门镇产生的厨余垃圾等行为。</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3、</w:t>
                  </w:r>
                  <w:r>
                    <w:rPr>
                      <w:sz w:val="21"/>
                    </w:rPr>
                    <w:t>厨余垃圾未按规定资源化处理，如被发现收运后提供给他人用作养殖、混入其他垃圾压缩站处理等行为。</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4、</w:t>
                  </w:r>
                  <w:r>
                    <w:rPr>
                      <w:sz w:val="21"/>
                    </w:rPr>
                    <w:t>不能提供资源化利用台账和不能利用部分的其他垃圾处置去向台账，或提供的台账与事实不符，存在造假情况。</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5、擅自将服务过程中打捞经油水分离器或下水道隔油池分离处理后产生的油脂（地沟油），纳入计费重量的。</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6、</w:t>
                  </w:r>
                  <w:r>
                    <w:rPr>
                      <w:sz w:val="21"/>
                    </w:rPr>
                    <w:t>收运车辆须按照规定安装</w:t>
                  </w:r>
                  <w:r>
                    <w:rPr>
                      <w:sz w:val="21"/>
                    </w:rPr>
                    <w:t>GPS监控、行驶记录仪、装卸计量称重系统和视频监控系统，并接入采购人数字监管平台。未按要求安装或接入的</w:t>
                  </w:r>
                  <w:r>
                    <w:rPr>
                      <w:sz w:val="21"/>
                    </w:rPr>
                    <w:t>。</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7、中标人须按采购人要求使用信息化收运登记系统进行管理，未按要求规范使用</w:t>
                  </w:r>
                  <w:r>
                    <w:rPr>
                      <w:sz w:val="21"/>
                    </w:rPr>
                    <w:t>的。</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w:t>
                  </w:r>
                  <w:r>
                    <w:rPr>
                      <w:sz w:val="21"/>
                    </w:rPr>
                    <w:t>，每次扣</w:t>
                  </w:r>
                  <w:r>
                    <w:rPr>
                      <w:sz w:val="21"/>
                    </w:rPr>
                    <w:t>1000</w:t>
                  </w:r>
                  <w:r>
                    <w:rPr>
                      <w:sz w:val="21"/>
                    </w:rPr>
                    <w:t>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8、</w:t>
                  </w:r>
                  <w:r>
                    <w:rPr>
                      <w:sz w:val="21"/>
                    </w:rPr>
                    <w:t>厨余垃圾</w:t>
                  </w:r>
                  <w:r>
                    <w:rPr>
                      <w:sz w:val="21"/>
                    </w:rPr>
                    <w:t>应做到应收尽收，</w:t>
                  </w:r>
                  <w:r>
                    <w:rPr>
                      <w:sz w:val="21"/>
                    </w:rPr>
                    <w:t>若发现中标人以</w:t>
                  </w:r>
                  <w:r>
                    <w:rPr>
                      <w:sz w:val="21"/>
                    </w:rPr>
                    <w:t>量少、距离远等非正当理由拒收。</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经核定属实，扣</w:t>
                  </w:r>
                  <w:r>
                    <w:rPr>
                      <w:sz w:val="21"/>
                    </w:rPr>
                    <w:t>2000元。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3329"/>
                  <w:tcBorders>
                    <w:top w:val="none" w:color="000000" w:sz="4"/>
                    <w:left w:val="single" w:color="000000" w:sz="4"/>
                    <w:bottom w:val="single" w:color="000000" w:sz="4"/>
                    <w:right w:val="single" w:color="000000" w:sz="4"/>
                  </w:tcBorders>
                  <w:vAlign w:val="top"/>
                </w:tcPr>
                <w:p>
                  <w:pPr>
                    <w:jc w:val="both"/>
                  </w:pPr>
                  <w:r>
                    <w:rPr>
                      <w:sz w:val="21"/>
                    </w:rPr>
                    <w:t>9、</w:t>
                  </w:r>
                  <w:r>
                    <w:rPr>
                      <w:sz w:val="21"/>
                    </w:rPr>
                    <w:t>服务过程中，中标单位须保证</w:t>
                  </w:r>
                  <w:r>
                    <w:rPr>
                      <w:sz w:val="21"/>
                    </w:rPr>
                    <w:t>地磅监管，每半年提供一次检定证书，检测结果超出国家允许误差范围或规定时间未进行检定的。</w:t>
                  </w:r>
                </w:p>
              </w:tc>
              <w:tc>
                <w:tcPr>
                  <w:tcW w:type="dxa" w:w="1357"/>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15000元。</w:t>
                  </w:r>
                </w:p>
              </w:tc>
              <w:tc>
                <w:tcPr>
                  <w:tcW w:type="dxa" w:w="901"/>
                  <w:tcBorders>
                    <w:top w:val="none" w:color="000000" w:sz="4"/>
                    <w:left w:val="single" w:color="000000" w:sz="4"/>
                    <w:bottom w:val="single" w:color="000000" w:sz="4"/>
                    <w:right w:val="single" w:color="000000" w:sz="4"/>
                  </w:tcBorders>
                  <w:vAlign w:val="top"/>
                </w:tcPr>
                <w:p>
                  <w:pPr>
                    <w:jc w:val="center"/>
                  </w:pPr>
                </w:p>
              </w:tc>
            </w:tr>
            <w:tr>
              <w:tc>
                <w:tcPr>
                  <w:tcW w:type="dxa" w:w="5587"/>
                  <w:gridSpan w:val="3"/>
                  <w:tcBorders>
                    <w:top w:val="none" w:color="000000" w:sz="4"/>
                    <w:left w:val="single" w:color="000000" w:sz="4"/>
                    <w:bottom w:val="single" w:color="000000" w:sz="4"/>
                    <w:right w:val="single" w:color="000000" w:sz="4"/>
                  </w:tcBorders>
                  <w:vAlign w:val="top"/>
                </w:tcPr>
                <w:p>
                  <w:pPr>
                    <w:jc w:val="center"/>
                  </w:pPr>
                  <w:r>
                    <w:rPr>
                      <w:b/>
                      <w:sz w:val="21"/>
                    </w:rPr>
                    <w:t>合计扣款</w:t>
                  </w:r>
                  <w:r>
                    <w:rPr>
                      <w:sz w:val="21"/>
                    </w:rPr>
                    <w:t>（</w:t>
                  </w:r>
                  <w:r>
                    <w:rPr>
                      <w:sz w:val="21"/>
                    </w:rPr>
                    <w:t xml:space="preserve">      </w:t>
                  </w:r>
                  <w:r>
                    <w:rPr>
                      <w:sz w:val="21"/>
                    </w:rPr>
                    <w:t>）元</w:t>
                  </w:r>
                </w:p>
              </w:tc>
            </w:tr>
            <w:tr>
              <w:tc>
                <w:tcPr>
                  <w:tcW w:type="dxa" w:w="5587"/>
                  <w:gridSpan w:val="3"/>
                  <w:tcBorders>
                    <w:top w:val="none" w:color="000000" w:sz="4"/>
                    <w:left w:val="single" w:color="000000" w:sz="4"/>
                    <w:bottom w:val="single" w:color="000000" w:sz="4"/>
                    <w:right w:val="single" w:color="000000" w:sz="4"/>
                  </w:tcBorders>
                  <w:vAlign w:val="top"/>
                </w:tcPr>
                <w:p>
                  <w:pPr>
                    <w:jc w:val="left"/>
                  </w:pPr>
                  <w:r>
                    <w:rPr>
                      <w:sz w:val="21"/>
                    </w:rPr>
                    <w:t>初审</w:t>
                  </w:r>
                  <w:r>
                    <w:rPr>
                      <w:sz w:val="21"/>
                    </w:rPr>
                    <w:t xml:space="preserve">                      </w:t>
                  </w:r>
                  <w:r>
                    <w:rPr>
                      <w:sz w:val="21"/>
                    </w:rPr>
                    <w:t>复审</w:t>
                  </w:r>
                  <w:r>
                    <w:rPr>
                      <w:sz w:val="21"/>
                    </w:rPr>
                    <w:t xml:space="preserve">                 </w:t>
                  </w:r>
                  <w:r>
                    <w:rPr>
                      <w:sz w:val="21"/>
                    </w:rPr>
                    <w:t>分管领导</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采购包1：单价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虎门镇厨余垃圾就地式收运处理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采购包1（虎门镇厨余垃圾就地式收运处理项目）：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采购包1（虎门镇厨余垃圾就地式收运处理项目）：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采购包1（虎门镇厨余垃圾就地式收运处理项目）：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采购包1(虎门镇厨余垃圾就地式收运处理项目):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技术部分65.0分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项目重点难点分析 (10.0分)</w:t>
            </w:r>
            <w:r>
              <w:rPr/>
              <w:t>，（等次分值选择：</w:t>
            </w:r>
            <w:r>
              <w:rPr/>
              <w:t>0.0;</w:t>
            </w:r>
            <w:r>
              <w:rPr/>
              <w:t>1.0;</w:t>
            </w:r>
            <w:r>
              <w:rPr/>
              <w:t>3.0;</w:t>
            </w:r>
            <w:r>
              <w:rPr/>
              <w:t>6.0;</w:t>
            </w:r>
            <w:r>
              <w:rPr/>
              <w:t>10.0;</w:t>
            </w:r>
            <w:r>
              <w:rPr/>
              <w:t>）</w:t>
            </w:r>
          </w:p>
        </w:tc>
        <w:tc>
          <w:tcPr>
            <w:tcW w:type="dxa" w:w="5076"/>
          </w:tcPr>
          <w:p>
            <w:pPr>
              <w:jc w:val="left"/>
            </w:pPr>
            <w:r>
              <w:rPr/>
              <w:t>根据各投标人对本项目的熟悉程度、理解及项目重点和难点的分析，以及根据项目重点和难点所采取的措施等进行综合评审： 对本项目的熟悉程度深入，重点和难点分析清晰具体且对应措施完善详细具体、有针对性、操作性强，得10分； 对本项目的熟悉程度深入，重点和难点分析基本清晰具体且对应措施完善详细具体、有针对性、操作性较强，得6分； 对本项目的熟悉程度一般，重点和难点分析基本合理、对应措施可行性一般，得3分； 对本项目的熟悉程度、重点和难点分析不清晰不具体，得1分； 未提供对应方案，不得分。</w:t>
            </w:r>
          </w:p>
        </w:tc>
      </w:tr>
      <w:tr>
        <w:tc>
          <w:tcPr>
            <w:tcW w:type="dxa" w:w="922"/>
            <w:gridSpan w:val="2"/>
            <w:vMerge/>
          </w:tcPr>
          <w:p/>
        </w:tc>
        <w:tc>
          <w:tcPr>
            <w:tcW w:type="dxa" w:w="2307"/>
          </w:tcPr>
          <w:p>
            <w:pPr>
              <w:jc w:val="left"/>
            </w:pPr>
            <w:r>
              <w:rPr/>
              <w:t>服务方案 (15.0分)</w:t>
            </w:r>
            <w:r>
              <w:rPr/>
              <w:t>，（等次分值选择：</w:t>
            </w:r>
            <w:r>
              <w:rPr/>
              <w:t>0.0;</w:t>
            </w:r>
            <w:r>
              <w:rPr/>
              <w:t>1.0;</w:t>
            </w:r>
            <w:r>
              <w:rPr/>
              <w:t>5.0;</w:t>
            </w:r>
            <w:r>
              <w:rPr/>
              <w:t>10.0;</w:t>
            </w:r>
            <w:r>
              <w:rPr/>
              <w:t>15.0;</w:t>
            </w:r>
            <w:r>
              <w:rPr/>
              <w:t>）</w:t>
            </w:r>
          </w:p>
        </w:tc>
        <w:tc>
          <w:tcPr>
            <w:tcW w:type="dxa" w:w="5076"/>
          </w:tcPr>
          <w:p>
            <w:pPr>
              <w:jc w:val="left"/>
            </w:pPr>
            <w:r>
              <w:rPr/>
              <w:t>根据投标人提供的服务方案（包括但不限于作业区域的作业内容、作业时间、作业方法、日常巡查及自检保障措施等）进行综合评审： 方案筹划周全、非常有时效性，有完整规划的操作流程，非常有利于项目实施，得15分； 方案筹划较周全、较有时效性，有较完整规划的操作流程，有利于项目实施，得10分； 方案筹划一般，有基本的时效性，操作流程一般，基本能满足项目要求，得5分； 方案筹划及时效性有所欠缺，操作流程不能完全满足项目要求，得1分； 未提供对应方案，不得分。</w:t>
            </w:r>
          </w:p>
        </w:tc>
      </w:tr>
      <w:tr>
        <w:tc>
          <w:tcPr>
            <w:tcW w:type="dxa" w:w="922"/>
            <w:gridSpan w:val="2"/>
            <w:vMerge/>
          </w:tcPr>
          <w:p/>
        </w:tc>
        <w:tc>
          <w:tcPr>
            <w:tcW w:type="dxa" w:w="2307"/>
          </w:tcPr>
          <w:p>
            <w:pPr>
              <w:jc w:val="left"/>
            </w:pPr>
            <w:r>
              <w:rPr/>
              <w:t>安全作业措施方案 (10.0分)</w:t>
            </w:r>
            <w:r>
              <w:rPr/>
              <w:t>，（等次分值选择：</w:t>
            </w:r>
            <w:r>
              <w:rPr/>
              <w:t>0.0;</w:t>
            </w:r>
            <w:r>
              <w:rPr/>
              <w:t>1.0;</w:t>
            </w:r>
            <w:r>
              <w:rPr/>
              <w:t>3.0;</w:t>
            </w:r>
            <w:r>
              <w:rPr/>
              <w:t>6.0;</w:t>
            </w:r>
            <w:r>
              <w:rPr/>
              <w:t>10.0;</w:t>
            </w:r>
            <w:r>
              <w:rPr/>
              <w:t>）</w:t>
            </w:r>
          </w:p>
        </w:tc>
        <w:tc>
          <w:tcPr>
            <w:tcW w:type="dxa" w:w="5076"/>
          </w:tcPr>
          <w:p>
            <w:pPr>
              <w:jc w:val="left"/>
            </w:pPr>
            <w:r>
              <w:rPr/>
              <w:t>根据投标人对本项目编制的安全作业措施方案进行综合评审： 方案详尽科学、针对性强，相应措施合理可行，有利于项目实施，得10分； 方案较详尽，针对性基本符合要求，相应的措施基本合理可行，得6分； 方案全面性一般，针对性一般，相应的措施可行性一般，得3分； 方案不全面，针对性差，相应的措施可行性差，得1分； 未提供对应方案，不得分。</w:t>
            </w:r>
          </w:p>
        </w:tc>
      </w:tr>
      <w:tr>
        <w:tc>
          <w:tcPr>
            <w:tcW w:type="dxa" w:w="922"/>
            <w:gridSpan w:val="2"/>
            <w:vMerge/>
          </w:tcPr>
          <w:p/>
        </w:tc>
        <w:tc>
          <w:tcPr>
            <w:tcW w:type="dxa" w:w="2307"/>
          </w:tcPr>
          <w:p>
            <w:pPr>
              <w:jc w:val="left"/>
            </w:pPr>
            <w:r>
              <w:rPr/>
              <w:t>质量保证措施方案 (10.0分)</w:t>
            </w:r>
            <w:r>
              <w:rPr/>
              <w:t>，（等次分值选择：</w:t>
            </w:r>
            <w:r>
              <w:rPr/>
              <w:t>0.0;</w:t>
            </w:r>
            <w:r>
              <w:rPr/>
              <w:t>1.0;</w:t>
            </w:r>
            <w:r>
              <w:rPr/>
              <w:t>3.0;</w:t>
            </w:r>
            <w:r>
              <w:rPr/>
              <w:t>6.0;</w:t>
            </w:r>
            <w:r>
              <w:rPr/>
              <w:t>10.0;</w:t>
            </w:r>
            <w:r>
              <w:rPr/>
              <w:t>）</w:t>
            </w:r>
          </w:p>
        </w:tc>
        <w:tc>
          <w:tcPr>
            <w:tcW w:type="dxa" w:w="5076"/>
          </w:tcPr>
          <w:p>
            <w:pPr>
              <w:jc w:val="left"/>
            </w:pPr>
            <w:r>
              <w:rPr/>
              <w:t>根据投标人是否能根据本项目要求提供详细的服务质量方案保证目标及分期目标，并提供具体可行、详细的保证措施等进行综合评审： 措施科学完整，质量保证目标明确及具有合理具体的分期目标，针对性强，可行性强，可操作性强，得10分； 措施基本完整，质量保证目标明确及具有分期目标，针对性一般，可行性一般，可操性一般，得6分； 措施基本完整，质量保证目标不明确，分期目标不具体，针对性差，可行性一般，可操作性一般，得3分； 措施不完整，质量保证目标不明确，分期目标不具体，针对性差，可行性差，可操作性差，得1分； 未提供对应方案，不得分。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根据投标人针对台风、暴雨等天气影响，重大接待任务，重大节假日或活动等特殊情况制定的应急方案（包括传达机制、人员和设备调配、责任分工等）进行综合评审： 应急方案详尽完整、针对性强，相应的应急措施切实有效可行，得10分； 应急方案较详尽完整、针对性较强，相应的应急措施较合理可行，得6分； 应急方案基本满足要求、针对性一般，相应的应急措施基本合理，得3分； 应急方案不能满足要求、针对性差、应急措施不合理，得1分； 未提供对应方案，不得分。</w:t>
            </w:r>
          </w:p>
        </w:tc>
      </w:tr>
      <w:tr>
        <w:tc>
          <w:tcPr>
            <w:tcW w:type="dxa" w:w="922"/>
            <w:gridSpan w:val="2"/>
            <w:vMerge/>
          </w:tcPr>
          <w:p/>
        </w:tc>
        <w:tc>
          <w:tcPr>
            <w:tcW w:type="dxa" w:w="2307"/>
          </w:tcPr>
          <w:p>
            <w:pPr>
              <w:jc w:val="left"/>
            </w:pPr>
            <w:r>
              <w:rPr/>
              <w:t>项目人员管理及配置安排 (5.0分)</w:t>
            </w:r>
            <w:r>
              <w:rPr/>
              <w:t>，（等次分值选择：</w:t>
            </w:r>
            <w:r>
              <w:rPr/>
              <w:t>0.0;</w:t>
            </w:r>
            <w:r>
              <w:rPr/>
              <w:t>1.0;</w:t>
            </w:r>
            <w:r>
              <w:rPr/>
              <w:t>3.0;</w:t>
            </w:r>
            <w:r>
              <w:rPr/>
              <w:t>5.0;</w:t>
            </w:r>
            <w:r>
              <w:rPr/>
              <w:t>）</w:t>
            </w:r>
          </w:p>
        </w:tc>
        <w:tc>
          <w:tcPr>
            <w:tcW w:type="dxa" w:w="5076"/>
          </w:tcPr>
          <w:p>
            <w:pPr>
              <w:jc w:val="left"/>
            </w:pPr>
            <w:r>
              <w:rPr/>
              <w:t>根据投标人所提供的人员管理实施方案(包括但不限于管理组织架构、人员分工、岗位责任、责任监督制度等)进行综合评审: 实施方案规范性、明确性、完整性较强,得5分； 实施方案规范性、明确性、完整性一般,得3分； 实施方案规范性、明确性、完整性较差,得1分； 未提供对应方案，不得分。</w:t>
            </w:r>
          </w:p>
        </w:tc>
      </w:tr>
      <w:tr>
        <w:tc>
          <w:tcPr>
            <w:tcW w:type="dxa" w:w="922"/>
            <w:gridSpan w:val="2"/>
            <w:vMerge/>
          </w:tcPr>
          <w:p/>
        </w:tc>
        <w:tc>
          <w:tcPr>
            <w:tcW w:type="dxa" w:w="2307"/>
          </w:tcPr>
          <w:p>
            <w:pPr>
              <w:jc w:val="left"/>
            </w:pPr>
            <w:r>
              <w:rPr/>
              <w:t>设备投入方案 (5.0分)</w:t>
            </w:r>
            <w:r>
              <w:rPr/>
              <w:t>，（等次分值选择：</w:t>
            </w:r>
            <w:r>
              <w:rPr/>
              <w:t>0.0;</w:t>
            </w:r>
            <w:r>
              <w:rPr/>
              <w:t>1.0;</w:t>
            </w:r>
            <w:r>
              <w:rPr/>
              <w:t>3.0;</w:t>
            </w:r>
            <w:r>
              <w:rPr/>
              <w:t>5.0;</w:t>
            </w:r>
            <w:r>
              <w:rPr/>
              <w:t>）</w:t>
            </w:r>
          </w:p>
        </w:tc>
        <w:tc>
          <w:tcPr>
            <w:tcW w:type="dxa" w:w="5076"/>
          </w:tcPr>
          <w:p>
            <w:pPr>
              <w:jc w:val="left"/>
            </w:pPr>
            <w:r>
              <w:rPr/>
              <w:t>根据投标人本项目的设备投入方案及投标人各种作业设备日常使用、维护保养的保障程度等进行综合评审： 方案完整合理、可行性强，完全满足或优于招标文件要求，得5分； 方案完整、可行性一般，符合招标文件要求，得3分； 方案基本完整、可行性较差，基本符合招标文件要求，得1分。 未提供对应方案，不得分。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投标人具有厨余垃圾清运或厨余垃圾清理（或合同内容含有厨余垃圾清运或厨余垃圾清理）类项目业绩，每个业绩得5分，最高得10分。 注：须提供合同复印件加盖投标人公章，不符合以上要求不得分。</w:t>
            </w:r>
          </w:p>
        </w:tc>
      </w:tr>
      <w:tr>
        <w:tc>
          <w:tcPr>
            <w:tcW w:type="dxa" w:w="922"/>
            <w:gridSpan w:val="2"/>
            <w:vMerge/>
          </w:tcPr>
          <w:p/>
        </w:tc>
        <w:tc>
          <w:tcPr>
            <w:tcW w:type="dxa" w:w="2307"/>
          </w:tcPr>
          <w:p>
            <w:pPr>
              <w:jc w:val="left"/>
            </w:pPr>
            <w:r>
              <w:rPr/>
              <w:t>服务便利性 (5.0分)</w:t>
            </w:r>
          </w:p>
        </w:tc>
        <w:tc>
          <w:tcPr>
            <w:tcW w:type="dxa" w:w="5076"/>
          </w:tcPr>
          <w:p>
            <w:pPr>
              <w:jc w:val="left"/>
            </w:pPr>
            <w:r>
              <w:rPr/>
              <w:t>根据投标人提供的服务承诺响应时间进行评审： 承诺在接到采购人通知后1小时（含）内到现场，得5分； 承诺在接到采购人通知后2小时（含）内到现场，得3分； 承诺在接到采购人通知后4小时（含）内到现场，得1分； 未承诺或其它不得分。 注：须提供服务承诺书，并加盖投标人公章，不符合以上要求不得分。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p>
    <w:p>
      <w:pPr>
        <w:jc w:val="center"/>
      </w:pPr>
    </w:p>
    <w:p>
      <w:pPr>
        <w:jc w:val="center"/>
      </w:pPr>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1"/>
        </w:rPr>
        <w:t>一、合同金额</w:t>
      </w:r>
    </w:p>
    <w:p>
      <w:pPr>
        <w:ind w:firstLine="420"/>
        <w:jc w:val="both"/>
      </w:pPr>
      <w:r>
        <w:rPr>
          <w:sz w:val="21"/>
        </w:rPr>
        <w:t>中标综合单价</w:t>
      </w:r>
      <w:r>
        <w:rPr>
          <w:sz w:val="21"/>
        </w:rPr>
        <w:t>为</w:t>
      </w:r>
      <w:r>
        <w:rPr>
          <w:sz w:val="21"/>
        </w:rPr>
        <w:t>_____</w:t>
      </w:r>
      <w:r>
        <w:rPr>
          <w:sz w:val="21"/>
        </w:rPr>
        <w:t>元</w:t>
      </w:r>
      <w:r>
        <w:rPr>
          <w:sz w:val="21"/>
        </w:rPr>
        <w:t>/吨</w:t>
      </w:r>
      <w:r>
        <w:rPr>
          <w:sz w:val="21"/>
        </w:rPr>
        <w:t>，</w:t>
      </w:r>
      <w:r>
        <w:rPr>
          <w:sz w:val="21"/>
        </w:rPr>
        <w:t>合同总价上限为</w:t>
      </w:r>
      <w:r>
        <w:rPr>
          <w:sz w:val="21"/>
          <w:u w:val="single"/>
        </w:rPr>
        <w:t xml:space="preserve">                </w:t>
      </w:r>
      <w:r>
        <w:rPr>
          <w:sz w:val="21"/>
        </w:rPr>
        <w:t>元。</w:t>
      </w:r>
      <w:r>
        <w:rPr>
          <w:sz w:val="21"/>
        </w:rPr>
        <w:t>包括材料、工具、人工、管理费、利润、税金、风险、招标代理费用等一切因素所有应该和可能发生的费用因素。如在合同期内乙方的</w:t>
      </w:r>
      <w:r>
        <w:rPr>
          <w:sz w:val="21"/>
        </w:rPr>
        <w:t>合同总价</w:t>
      </w:r>
      <w:r>
        <w:rPr>
          <w:sz w:val="21"/>
        </w:rPr>
        <w:t>达到上限，则本合同在达到</w:t>
      </w:r>
      <w:r>
        <w:rPr>
          <w:sz w:val="21"/>
        </w:rPr>
        <w:t>合同总价</w:t>
      </w:r>
      <w:r>
        <w:rPr>
          <w:sz w:val="21"/>
        </w:rPr>
        <w:t>上限之日提前终止。月度最终服务费</w:t>
      </w:r>
      <w:r>
        <w:rPr>
          <w:sz w:val="21"/>
        </w:rPr>
        <w:t>=当月厨余垃圾处理量×</w:t>
      </w:r>
      <w:r>
        <w:rPr>
          <w:sz w:val="21"/>
        </w:rPr>
        <w:t>中标</w:t>
      </w:r>
      <w:r>
        <w:rPr>
          <w:sz w:val="21"/>
        </w:rPr>
        <w:t>综合单价</w:t>
      </w:r>
      <w:r>
        <w:rPr>
          <w:sz w:val="21"/>
        </w:rPr>
        <w:t>-当月扣减服务费（若有）。</w:t>
      </w:r>
    </w:p>
    <w:p>
      <w:pPr>
        <w:jc w:val="both"/>
      </w:pPr>
      <w:r>
        <w:rPr>
          <w:b/>
          <w:sz w:val="21"/>
        </w:rPr>
        <w:t>二、服务范围</w:t>
      </w:r>
    </w:p>
    <w:p>
      <w:pPr>
        <w:jc w:val="both"/>
      </w:pPr>
      <w:r>
        <w:rPr>
          <w:b/>
          <w:sz w:val="24"/>
        </w:rPr>
        <w:t>（一）</w:t>
      </w:r>
      <w:r>
        <w:rPr>
          <w:b/>
          <w:sz w:val="24"/>
        </w:rPr>
        <w:t>项目概况</w:t>
      </w:r>
    </w:p>
    <w:p>
      <w:pPr>
        <w:ind w:firstLine="442"/>
        <w:jc w:val="both"/>
      </w:pPr>
      <w:r>
        <w:rPr>
          <w:b/>
          <w:sz w:val="21"/>
        </w:rPr>
        <w:t>1.基本情况</w:t>
      </w:r>
    </w:p>
    <w:p>
      <w:pPr>
        <w:ind w:firstLine="420"/>
        <w:jc w:val="both"/>
      </w:pPr>
      <w:r>
        <w:rPr>
          <w:sz w:val="21"/>
        </w:rPr>
        <w:t>（</w:t>
      </w:r>
      <w:r>
        <w:rPr>
          <w:sz w:val="21"/>
        </w:rPr>
        <w:t>1）本项目</w:t>
      </w:r>
      <w:r>
        <w:rPr>
          <w:sz w:val="21"/>
        </w:rPr>
        <w:t>乙方</w:t>
      </w:r>
      <w:r>
        <w:rPr>
          <w:sz w:val="21"/>
        </w:rPr>
        <w:t>主要是根据</w:t>
      </w:r>
      <w:r>
        <w:rPr>
          <w:sz w:val="21"/>
        </w:rPr>
        <w:t>甲方</w:t>
      </w:r>
      <w:r>
        <w:rPr>
          <w:sz w:val="21"/>
        </w:rPr>
        <w:t>工作需要，提供厨余垃圾就地处理服务</w:t>
      </w:r>
      <w:r>
        <w:rPr>
          <w:sz w:val="21"/>
        </w:rPr>
        <w:t>。</w:t>
      </w:r>
    </w:p>
    <w:p>
      <w:pPr>
        <w:ind w:firstLine="440"/>
        <w:jc w:val="both"/>
      </w:pPr>
      <w:r>
        <w:rPr>
          <w:sz w:val="21"/>
        </w:rPr>
        <w:t>（</w:t>
      </w:r>
      <w:r>
        <w:rPr>
          <w:sz w:val="21"/>
        </w:rPr>
        <w:t>2）项目内容：</w:t>
      </w:r>
      <w:r>
        <w:rPr>
          <w:sz w:val="21"/>
        </w:rPr>
        <w:t>负责实施</w:t>
      </w:r>
      <w:r>
        <w:rPr>
          <w:sz w:val="21"/>
        </w:rPr>
        <w:t>虎门镇厨余垃圾就地式收运处理</w:t>
      </w:r>
      <w:r>
        <w:rPr>
          <w:sz w:val="21"/>
        </w:rPr>
        <w:t>项目，运营模式为</w:t>
      </w:r>
      <w:r>
        <w:rPr>
          <w:sz w:val="21"/>
        </w:rPr>
        <w:t>乙方</w:t>
      </w:r>
      <w:r>
        <w:rPr>
          <w:sz w:val="21"/>
        </w:rPr>
        <w:t>提供场地和水电设施；负责投资处理设备、车辆等、建设额定处理</w:t>
      </w:r>
      <w:r>
        <w:rPr>
          <w:sz w:val="21"/>
        </w:rPr>
        <w:t>能力不低于</w:t>
      </w:r>
      <w:r>
        <w:rPr>
          <w:sz w:val="21"/>
        </w:rPr>
        <w:t>150吨</w:t>
      </w:r>
      <w:r>
        <w:rPr>
          <w:sz w:val="21"/>
        </w:rPr>
        <w:t>/日的厨余垃圾资源化处理</w:t>
      </w:r>
      <w:r>
        <w:rPr>
          <w:sz w:val="21"/>
        </w:rPr>
        <w:t>厂</w:t>
      </w:r>
      <w:r>
        <w:rPr>
          <w:sz w:val="21"/>
        </w:rPr>
        <w:t>；负责处理</w:t>
      </w:r>
      <w:r>
        <w:rPr>
          <w:sz w:val="21"/>
        </w:rPr>
        <w:t>厂</w:t>
      </w:r>
      <w:r>
        <w:rPr>
          <w:sz w:val="21"/>
        </w:rPr>
        <w:t>运营，</w:t>
      </w:r>
      <w:r>
        <w:rPr>
          <w:sz w:val="21"/>
        </w:rPr>
        <w:t>安全生产，</w:t>
      </w:r>
      <w:r>
        <w:rPr>
          <w:sz w:val="21"/>
        </w:rPr>
        <w:t>包括负责厨</w:t>
      </w:r>
      <w:r>
        <w:rPr>
          <w:sz w:val="21"/>
        </w:rPr>
        <w:t>余垃圾源头收运、配置厨余垃圾收集桶、厨余垃圾收运和处理、对不能利用的其他垃圾规范处理等，最终将厨余垃圾资源化处理，废水、废气经处理后达标排放。</w:t>
      </w:r>
    </w:p>
    <w:p>
      <w:pPr>
        <w:ind w:firstLine="440"/>
        <w:jc w:val="both"/>
      </w:pPr>
      <w:r>
        <w:rPr>
          <w:sz w:val="21"/>
        </w:rPr>
        <w:t>（</w:t>
      </w:r>
      <w:r>
        <w:rPr>
          <w:sz w:val="21"/>
        </w:rPr>
        <w:t>3</w:t>
      </w:r>
      <w:r>
        <w:rPr>
          <w:sz w:val="21"/>
        </w:rPr>
        <w:t>）</w:t>
      </w:r>
      <w:r>
        <w:rPr>
          <w:sz w:val="21"/>
        </w:rPr>
        <w:t>本项目综合单价</w:t>
      </w:r>
      <w:r>
        <w:rPr>
          <w:sz w:val="21"/>
        </w:rPr>
        <w:t>最高限价为</w:t>
      </w:r>
      <w:r>
        <w:rPr>
          <w:sz w:val="21"/>
        </w:rPr>
        <w:t>249</w:t>
      </w:r>
      <w:r>
        <w:rPr>
          <w:sz w:val="21"/>
        </w:rPr>
        <w:t>元</w:t>
      </w:r>
      <w:r>
        <w:rPr>
          <w:sz w:val="21"/>
        </w:rPr>
        <w:t>/吨</w:t>
      </w:r>
      <w:r>
        <w:rPr>
          <w:sz w:val="21"/>
        </w:rPr>
        <w:t>。</w:t>
      </w:r>
    </w:p>
    <w:p>
      <w:pPr>
        <w:ind w:firstLine="440"/>
        <w:jc w:val="both"/>
      </w:pPr>
      <w:r>
        <w:rPr>
          <w:sz w:val="21"/>
        </w:rPr>
        <w:t>（</w:t>
      </w:r>
      <w:r>
        <w:rPr>
          <w:sz w:val="21"/>
        </w:rPr>
        <w:t>4</w:t>
      </w:r>
      <w:r>
        <w:rPr>
          <w:sz w:val="21"/>
        </w:rPr>
        <w:t>）</w:t>
      </w:r>
      <w:r>
        <w:rPr>
          <w:sz w:val="21"/>
        </w:rPr>
        <w:t>本项目处理</w:t>
      </w:r>
      <w:r>
        <w:rPr>
          <w:sz w:val="21"/>
        </w:rPr>
        <w:t>厂</w:t>
      </w:r>
      <w:r>
        <w:rPr>
          <w:sz w:val="21"/>
        </w:rPr>
        <w:t>设计处理规模不低于</w:t>
      </w:r>
      <w:r>
        <w:rPr>
          <w:sz w:val="21"/>
        </w:rPr>
        <w:t>150</w:t>
      </w:r>
      <w:r>
        <w:rPr>
          <w:sz w:val="21"/>
        </w:rPr>
        <w:t>吨</w:t>
      </w:r>
      <w:r>
        <w:rPr>
          <w:sz w:val="21"/>
        </w:rPr>
        <w:t>/日</w:t>
      </w:r>
      <w:r>
        <w:rPr>
          <w:sz w:val="21"/>
        </w:rPr>
        <w:t>。</w:t>
      </w:r>
    </w:p>
    <w:p>
      <w:pPr>
        <w:ind w:firstLine="442"/>
        <w:jc w:val="both"/>
      </w:pPr>
      <w:r>
        <w:rPr>
          <w:b/>
          <w:sz w:val="21"/>
        </w:rPr>
        <w:t>2.</w:t>
      </w:r>
      <w:r>
        <w:rPr>
          <w:b/>
          <w:sz w:val="21"/>
        </w:rPr>
        <w:t>处理站点服务</w:t>
      </w:r>
      <w:r>
        <w:rPr>
          <w:b/>
          <w:sz w:val="21"/>
        </w:rPr>
        <w:t>要求</w:t>
      </w:r>
    </w:p>
    <w:p>
      <w:pPr>
        <w:ind w:firstLine="440"/>
        <w:jc w:val="both"/>
      </w:pPr>
      <w:r>
        <w:rPr>
          <w:sz w:val="21"/>
        </w:rPr>
        <w:t>（</w:t>
      </w:r>
      <w:r>
        <w:rPr>
          <w:sz w:val="21"/>
        </w:rPr>
        <w:t>1）负责本项目投资、建设和运营。</w:t>
      </w:r>
      <w:r>
        <w:rPr>
          <w:sz w:val="21"/>
        </w:rPr>
        <w:t>处理厂点</w:t>
      </w:r>
      <w:r>
        <w:rPr>
          <w:sz w:val="21"/>
        </w:rPr>
        <w:t>建设</w:t>
      </w:r>
      <w:r>
        <w:rPr>
          <w:sz w:val="21"/>
        </w:rPr>
        <w:t>1</w:t>
      </w:r>
      <w:r>
        <w:rPr>
          <w:sz w:val="21"/>
        </w:rPr>
        <w:t>个（由</w:t>
      </w:r>
      <w:r>
        <w:rPr>
          <w:sz w:val="21"/>
        </w:rPr>
        <w:t>甲方与乙方</w:t>
      </w:r>
      <w:r>
        <w:rPr>
          <w:sz w:val="21"/>
        </w:rPr>
        <w:t>共同确定）、负责投资处理设备、车辆等、建设额定处理</w:t>
      </w:r>
      <w:r>
        <w:rPr>
          <w:sz w:val="21"/>
        </w:rPr>
        <w:t>能力不低于</w:t>
      </w:r>
      <w:r>
        <w:rPr>
          <w:sz w:val="21"/>
        </w:rPr>
        <w:t>150</w:t>
      </w:r>
      <w:r>
        <w:rPr>
          <w:sz w:val="21"/>
        </w:rPr>
        <w:t>吨</w:t>
      </w:r>
      <w:r>
        <w:rPr>
          <w:sz w:val="21"/>
        </w:rPr>
        <w:t>/日的厨余垃圾资源化处理</w:t>
      </w:r>
      <w:r>
        <w:rPr>
          <w:sz w:val="21"/>
        </w:rPr>
        <w:t>厂</w:t>
      </w:r>
      <w:r>
        <w:rPr>
          <w:sz w:val="21"/>
        </w:rPr>
        <w:t>，按</w:t>
      </w:r>
      <w:r>
        <w:rPr>
          <w:sz w:val="21"/>
        </w:rPr>
        <w:t>甲方</w:t>
      </w:r>
      <w:r>
        <w:rPr>
          <w:sz w:val="21"/>
        </w:rPr>
        <w:t>要求做好厨余垃圾收运和处理，最终达到资源化处理。</w:t>
      </w:r>
    </w:p>
    <w:p>
      <w:pPr>
        <w:ind w:firstLine="440"/>
        <w:jc w:val="both"/>
      </w:pPr>
      <w:r>
        <w:rPr>
          <w:sz w:val="21"/>
        </w:rPr>
        <w:t>（</w:t>
      </w:r>
      <w:r>
        <w:rPr>
          <w:sz w:val="21"/>
        </w:rPr>
        <w:t>2）根据项目要求，安装除臭系统、污水处理系统、秤重系统、视频监控系统、消防设备系统等</w:t>
      </w:r>
      <w:r>
        <w:rPr>
          <w:sz w:val="21"/>
        </w:rPr>
        <w:t>，</w:t>
      </w:r>
      <w:r>
        <w:rPr>
          <w:sz w:val="21"/>
        </w:rPr>
        <w:t>若甲方数字监管平台升级，须无条件进行设备升级</w:t>
      </w:r>
      <w:r>
        <w:rPr>
          <w:sz w:val="21"/>
        </w:rPr>
        <w:t>。</w:t>
      </w:r>
    </w:p>
    <w:p>
      <w:pPr>
        <w:ind w:firstLine="440"/>
        <w:jc w:val="both"/>
      </w:pPr>
      <w:r>
        <w:rPr>
          <w:sz w:val="21"/>
        </w:rPr>
        <w:t>（</w:t>
      </w:r>
      <w:r>
        <w:rPr>
          <w:sz w:val="21"/>
        </w:rPr>
        <w:t>3</w:t>
      </w:r>
      <w:r>
        <w:rPr>
          <w:sz w:val="21"/>
        </w:rPr>
        <w:t>）配置处理站高压冲洗设备一套。</w:t>
      </w:r>
    </w:p>
    <w:p>
      <w:pPr>
        <w:ind w:firstLine="440"/>
        <w:jc w:val="both"/>
      </w:pPr>
      <w:r>
        <w:rPr>
          <w:sz w:val="21"/>
        </w:rPr>
        <w:t>（</w:t>
      </w:r>
      <w:r>
        <w:rPr>
          <w:sz w:val="21"/>
        </w:rPr>
        <w:t>4</w:t>
      </w:r>
      <w:r>
        <w:rPr>
          <w:sz w:val="21"/>
        </w:rPr>
        <w:t>）</w:t>
      </w:r>
      <w:r>
        <w:rPr>
          <w:sz w:val="21"/>
        </w:rPr>
        <w:t>处理厂点</w:t>
      </w:r>
      <w:r>
        <w:rPr>
          <w:sz w:val="21"/>
        </w:rPr>
        <w:t>有专人管理，每天至少使用高压清洗机冲洗</w:t>
      </w:r>
      <w:r>
        <w:rPr>
          <w:sz w:val="21"/>
        </w:rPr>
        <w:t>2次，保证预处理设备间周边干净整洁，无污水、积水，无异味；预处理设备摆放整齐，无灰尘，无杂物；下水通道及时清掏</w:t>
      </w:r>
      <w:r>
        <w:rPr>
          <w:sz w:val="21"/>
        </w:rPr>
        <w:t>，</w:t>
      </w:r>
      <w:r>
        <w:rPr>
          <w:sz w:val="21"/>
        </w:rPr>
        <w:t>无堵塞。</w:t>
      </w:r>
    </w:p>
    <w:p>
      <w:pPr>
        <w:ind w:firstLine="440"/>
        <w:jc w:val="both"/>
      </w:pPr>
      <w:r>
        <w:rPr>
          <w:sz w:val="21"/>
        </w:rPr>
        <w:t>（</w:t>
      </w:r>
      <w:r>
        <w:rPr>
          <w:sz w:val="21"/>
        </w:rPr>
        <w:t>5</w:t>
      </w:r>
      <w:r>
        <w:rPr>
          <w:sz w:val="21"/>
        </w:rPr>
        <w:t>）每月落实除四害工作</w:t>
      </w:r>
      <w:r>
        <w:rPr>
          <w:sz w:val="21"/>
        </w:rPr>
        <w:t>2次，不得有苍蝇、蟑螂、老鼠迹等，同时做好资料登记，每月将相关记录上报</w:t>
      </w:r>
      <w:r>
        <w:rPr>
          <w:sz w:val="21"/>
        </w:rPr>
        <w:t>甲方</w:t>
      </w:r>
      <w:r>
        <w:rPr>
          <w:sz w:val="21"/>
        </w:rPr>
        <w:t>，</w:t>
      </w:r>
      <w:r>
        <w:rPr>
          <w:sz w:val="21"/>
        </w:rPr>
        <w:t>甲方</w:t>
      </w:r>
      <w:r>
        <w:rPr>
          <w:sz w:val="21"/>
        </w:rPr>
        <w:t>不定期进行检查。</w:t>
      </w:r>
    </w:p>
    <w:p>
      <w:pPr>
        <w:ind w:firstLine="440"/>
        <w:jc w:val="both"/>
      </w:pPr>
      <w:r>
        <w:rPr>
          <w:sz w:val="21"/>
        </w:rPr>
        <w:t>（</w:t>
      </w:r>
      <w:r>
        <w:rPr>
          <w:sz w:val="21"/>
        </w:rPr>
        <w:t>6</w:t>
      </w:r>
      <w:r>
        <w:rPr>
          <w:sz w:val="21"/>
        </w:rPr>
        <w:t>）不得接受未经许可的厨余垃圾（含跨区域的厨余垃圾）。</w:t>
      </w:r>
    </w:p>
    <w:p>
      <w:pPr>
        <w:ind w:firstLine="440"/>
        <w:jc w:val="both"/>
      </w:pPr>
      <w:r>
        <w:rPr>
          <w:sz w:val="21"/>
        </w:rPr>
        <w:t>（</w:t>
      </w:r>
      <w:r>
        <w:rPr>
          <w:sz w:val="21"/>
        </w:rPr>
        <w:t>7</w:t>
      </w:r>
      <w:r>
        <w:rPr>
          <w:sz w:val="21"/>
        </w:rPr>
        <w:t>）</w:t>
      </w:r>
      <w:r>
        <w:rPr>
          <w:sz w:val="21"/>
        </w:rPr>
        <w:t>处理厂点</w:t>
      </w:r>
      <w:r>
        <w:rPr>
          <w:sz w:val="21"/>
        </w:rPr>
        <w:t>要有操作规程及安全保障设施和措施，安全操作制度必须上墙。</w:t>
      </w:r>
    </w:p>
    <w:p>
      <w:pPr>
        <w:ind w:firstLine="440"/>
        <w:jc w:val="both"/>
      </w:pPr>
      <w:r>
        <w:rPr>
          <w:sz w:val="21"/>
        </w:rPr>
        <w:t>（</w:t>
      </w:r>
      <w:r>
        <w:rPr>
          <w:sz w:val="21"/>
        </w:rPr>
        <w:t>8</w:t>
      </w:r>
      <w:r>
        <w:rPr>
          <w:sz w:val="21"/>
        </w:rPr>
        <w:t>）</w:t>
      </w:r>
      <w:r>
        <w:rPr>
          <w:sz w:val="21"/>
        </w:rPr>
        <w:t>处理厂点</w:t>
      </w:r>
      <w:r>
        <w:rPr>
          <w:sz w:val="21"/>
        </w:rPr>
        <w:t>污水每季度定期进行检测，服务过程中，</w:t>
      </w:r>
      <w:r>
        <w:rPr>
          <w:sz w:val="21"/>
        </w:rPr>
        <w:t>乙方</w:t>
      </w:r>
      <w:r>
        <w:rPr>
          <w:sz w:val="21"/>
        </w:rPr>
        <w:t>须保证降解过程中废水经处理后排放</w:t>
      </w:r>
      <w:r>
        <w:rPr>
          <w:sz w:val="21"/>
        </w:rPr>
        <w:t>，</w:t>
      </w:r>
      <w:r>
        <w:rPr>
          <w:sz w:val="21"/>
        </w:rPr>
        <w:t>并应保证排放的废水</w:t>
      </w:r>
      <w:r>
        <w:rPr>
          <w:sz w:val="21"/>
        </w:rPr>
        <w:t>符合国家及地方相关要求</w:t>
      </w:r>
      <w:r>
        <w:rPr>
          <w:sz w:val="21"/>
        </w:rPr>
        <w:t>。</w:t>
      </w:r>
    </w:p>
    <w:p>
      <w:pPr>
        <w:ind w:firstLine="442"/>
        <w:jc w:val="both"/>
      </w:pPr>
      <w:r>
        <w:rPr>
          <w:b/>
          <w:sz w:val="21"/>
        </w:rPr>
        <w:t>3</w:t>
      </w:r>
      <w:r>
        <w:rPr>
          <w:b/>
          <w:sz w:val="21"/>
        </w:rPr>
        <w:t>.人员配置及服务要求</w:t>
      </w:r>
    </w:p>
    <w:p>
      <w:pPr>
        <w:ind w:firstLine="440"/>
        <w:jc w:val="both"/>
      </w:pPr>
      <w:r>
        <w:rPr>
          <w:sz w:val="21"/>
        </w:rPr>
        <w:t>（</w:t>
      </w:r>
      <w:r>
        <w:rPr>
          <w:sz w:val="21"/>
        </w:rPr>
        <w:t>1）配置项目经理1人、</w:t>
      </w:r>
      <w:r>
        <w:rPr>
          <w:sz w:val="21"/>
        </w:rPr>
        <w:t>车间管理员</w:t>
      </w:r>
      <w:r>
        <w:rPr>
          <w:sz w:val="21"/>
        </w:rPr>
        <w:t>1名、材料员2名、司机11名、巡查员2名，作业工人15名，如处理厂扩充经营，需相应增加项目人员</w:t>
      </w:r>
      <w:r>
        <w:rPr>
          <w:sz w:val="21"/>
        </w:rPr>
        <w:t>；</w:t>
      </w:r>
      <w:r>
        <w:rPr>
          <w:sz w:val="21"/>
        </w:rPr>
        <w:t>乙方</w:t>
      </w:r>
      <w:r>
        <w:rPr>
          <w:sz w:val="21"/>
        </w:rPr>
        <w:t>应于本合同签订后</w:t>
      </w:r>
      <w:r>
        <w:rPr>
          <w:sz w:val="21"/>
        </w:rPr>
        <w:t>30日向</w:t>
      </w:r>
      <w:r>
        <w:rPr>
          <w:sz w:val="21"/>
        </w:rPr>
        <w:t>甲方</w:t>
      </w:r>
      <w:r>
        <w:rPr>
          <w:sz w:val="21"/>
        </w:rPr>
        <w:t>提供前述人员的身份信息、资质证明等相关资料</w:t>
      </w:r>
      <w:r>
        <w:rPr>
          <w:sz w:val="21"/>
        </w:rPr>
        <w:t>，</w:t>
      </w:r>
      <w:r>
        <w:rPr>
          <w:sz w:val="21"/>
        </w:rPr>
        <w:t>工资不得低于东莞市相关规定的最低工资标准。</w:t>
      </w:r>
      <w:r>
        <w:rPr>
          <w:sz w:val="21"/>
        </w:rPr>
        <w:t>甲方</w:t>
      </w:r>
      <w:r>
        <w:rPr>
          <w:sz w:val="21"/>
        </w:rPr>
        <w:t>认为不符合其要求的，可要求</w:t>
      </w:r>
      <w:r>
        <w:rPr>
          <w:sz w:val="21"/>
        </w:rPr>
        <w:t>乙方</w:t>
      </w:r>
      <w:r>
        <w:rPr>
          <w:sz w:val="21"/>
        </w:rPr>
        <w:t>服务期限内更换人员</w:t>
      </w:r>
      <w:r>
        <w:rPr>
          <w:sz w:val="21"/>
        </w:rPr>
        <w:t>，</w:t>
      </w:r>
      <w:r>
        <w:rPr>
          <w:sz w:val="21"/>
        </w:rPr>
        <w:t>并及时报备更换的人员信息</w:t>
      </w:r>
      <w:r>
        <w:rPr>
          <w:sz w:val="21"/>
        </w:rPr>
        <w:t>。</w:t>
      </w:r>
    </w:p>
    <w:p>
      <w:pPr>
        <w:ind w:firstLine="440"/>
        <w:jc w:val="both"/>
      </w:pPr>
      <w:r>
        <w:rPr>
          <w:sz w:val="21"/>
        </w:rPr>
        <w:t>（</w:t>
      </w:r>
      <w:r>
        <w:rPr>
          <w:sz w:val="21"/>
        </w:rPr>
        <w:t>2）</w:t>
      </w:r>
      <w:r>
        <w:rPr>
          <w:sz w:val="21"/>
        </w:rPr>
        <w:t>乙方</w:t>
      </w:r>
      <w:r>
        <w:rPr>
          <w:sz w:val="21"/>
        </w:rPr>
        <w:t>要对厨余垃圾收运工作人员实行定人、定岗、定量管理制度，需将实际上岗人员资料报</w:t>
      </w:r>
      <w:r>
        <w:rPr>
          <w:sz w:val="21"/>
        </w:rPr>
        <w:t>甲方</w:t>
      </w:r>
      <w:r>
        <w:rPr>
          <w:sz w:val="21"/>
        </w:rPr>
        <w:t>备案，同时统一为每个上岗人员印制附个人相片的工作证，以备</w:t>
      </w:r>
      <w:r>
        <w:rPr>
          <w:sz w:val="21"/>
        </w:rPr>
        <w:t>甲方</w:t>
      </w:r>
      <w:r>
        <w:rPr>
          <w:sz w:val="21"/>
        </w:rPr>
        <w:t>随时查验。</w:t>
      </w:r>
    </w:p>
    <w:p>
      <w:pPr>
        <w:ind w:firstLine="440"/>
        <w:jc w:val="both"/>
      </w:pPr>
      <w:r>
        <w:rPr>
          <w:sz w:val="21"/>
        </w:rPr>
        <w:t>（</w:t>
      </w:r>
      <w:r>
        <w:rPr>
          <w:sz w:val="21"/>
        </w:rPr>
        <w:t>3）</w:t>
      </w:r>
      <w:r>
        <w:rPr>
          <w:sz w:val="21"/>
        </w:rPr>
        <w:t>乙方</w:t>
      </w:r>
      <w:r>
        <w:rPr>
          <w:sz w:val="21"/>
        </w:rPr>
        <w:t>所有工作人员要统一着装</w:t>
      </w:r>
      <w:r>
        <w:rPr>
          <w:sz w:val="21"/>
        </w:rPr>
        <w:t>，</w:t>
      </w:r>
      <w:r>
        <w:rPr>
          <w:sz w:val="21"/>
        </w:rPr>
        <w:t>必须穿着工作服</w:t>
      </w:r>
      <w:r>
        <w:rPr>
          <w:sz w:val="21"/>
        </w:rPr>
        <w:t>，</w:t>
      </w:r>
      <w:r>
        <w:rPr>
          <w:sz w:val="21"/>
        </w:rPr>
        <w:t>做好防护</w:t>
      </w:r>
      <w:r>
        <w:rPr>
          <w:sz w:val="21"/>
        </w:rPr>
        <w:t>。</w:t>
      </w:r>
    </w:p>
    <w:p>
      <w:pPr>
        <w:ind w:firstLine="440"/>
        <w:jc w:val="both"/>
      </w:pPr>
      <w:r>
        <w:rPr>
          <w:sz w:val="21"/>
        </w:rPr>
        <w:t>（</w:t>
      </w:r>
      <w:r>
        <w:rPr>
          <w:sz w:val="21"/>
        </w:rPr>
        <w:t>4</w:t>
      </w:r>
      <w:r>
        <w:rPr>
          <w:sz w:val="21"/>
        </w:rPr>
        <w:t>）</w:t>
      </w:r>
      <w:r>
        <w:rPr>
          <w:sz w:val="21"/>
        </w:rPr>
        <w:t>乙方</w:t>
      </w:r>
      <w:r>
        <w:rPr>
          <w:sz w:val="21"/>
        </w:rPr>
        <w:t>须负责安排人员及厨余垃圾收集车辆负责包括居住区（小区、村社区）、农贸市场、文教区、医疗机构、公共机构、公共场所、工厂企业、餐饮机构等厨余垃圾收集点收集厨余垃圾，实现垃圾日产日清。不得超过约定时间或拒收厨余产生单位的厨余垃圾。</w:t>
      </w:r>
    </w:p>
    <w:p>
      <w:pPr>
        <w:ind w:firstLine="440"/>
        <w:jc w:val="both"/>
      </w:pPr>
      <w:r>
        <w:rPr>
          <w:sz w:val="21"/>
        </w:rPr>
        <w:t>（</w:t>
      </w:r>
      <w:r>
        <w:rPr>
          <w:sz w:val="21"/>
        </w:rPr>
        <w:t>5</w:t>
      </w:r>
      <w:r>
        <w:rPr>
          <w:sz w:val="21"/>
        </w:rPr>
        <w:t>）</w:t>
      </w:r>
      <w:r>
        <w:rPr>
          <w:sz w:val="21"/>
        </w:rPr>
        <w:t>乙方</w:t>
      </w:r>
      <w:r>
        <w:rPr>
          <w:sz w:val="21"/>
        </w:rPr>
        <w:t>在厨余垃圾清运工作时应做到安全、有序，自觉遵守</w:t>
      </w:r>
      <w:r>
        <w:rPr>
          <w:sz w:val="21"/>
        </w:rPr>
        <w:t>甲方</w:t>
      </w:r>
      <w:r>
        <w:rPr>
          <w:sz w:val="21"/>
        </w:rPr>
        <w:t>各项目安全管理规章制度，确保安全行车，</w:t>
      </w:r>
      <w:r>
        <w:rPr>
          <w:sz w:val="21"/>
        </w:rPr>
        <w:t>乙方</w:t>
      </w:r>
      <w:r>
        <w:rPr>
          <w:sz w:val="21"/>
        </w:rPr>
        <w:t>在履行本合同过程中造成其员工、</w:t>
      </w:r>
      <w:r>
        <w:rPr>
          <w:sz w:val="21"/>
        </w:rPr>
        <w:t>甲方</w:t>
      </w:r>
      <w:r>
        <w:rPr>
          <w:sz w:val="21"/>
        </w:rPr>
        <w:t>或第三人人身或财产损害的，由</w:t>
      </w:r>
      <w:r>
        <w:rPr>
          <w:sz w:val="21"/>
        </w:rPr>
        <w:t>乙方</w:t>
      </w:r>
      <w:r>
        <w:rPr>
          <w:sz w:val="21"/>
        </w:rPr>
        <w:t>承担全部责任，与</w:t>
      </w:r>
      <w:r>
        <w:rPr>
          <w:sz w:val="21"/>
        </w:rPr>
        <w:t>甲方</w:t>
      </w:r>
      <w:r>
        <w:rPr>
          <w:sz w:val="21"/>
        </w:rPr>
        <w:t>无关，</w:t>
      </w:r>
      <w:r>
        <w:rPr>
          <w:sz w:val="21"/>
        </w:rPr>
        <w:t>乙方</w:t>
      </w:r>
      <w:r>
        <w:rPr>
          <w:sz w:val="21"/>
        </w:rPr>
        <w:t>不得因此影响本合同的履行。</w:t>
      </w:r>
    </w:p>
    <w:p>
      <w:pPr>
        <w:ind w:firstLine="420"/>
        <w:jc w:val="both"/>
      </w:pPr>
      <w:r>
        <w:rPr>
          <w:sz w:val="21"/>
        </w:rPr>
        <w:t>（</w:t>
      </w:r>
      <w:r>
        <w:rPr>
          <w:sz w:val="21"/>
        </w:rPr>
        <w:t>6</w:t>
      </w:r>
      <w:r>
        <w:rPr>
          <w:sz w:val="21"/>
        </w:rPr>
        <w:t>）乙方负责建立产生源点位台账，并对收运处理情况和项目运营情况做好相关登记。包括但不限产生源位置、社区、规模、业主等基础信息，由乙方统一配置固定规格收集容器，签订收运协议（合同），协议（合同）明确桶数、提供容器个数、每日登记产生源收运实际桶数，重量，由双方核对确认，形成产生源点位台账，并每月</w:t>
      </w:r>
      <w:r>
        <w:rPr>
          <w:sz w:val="21"/>
        </w:rPr>
        <w:t>15</w:t>
      </w:r>
      <w:r>
        <w:rPr>
          <w:sz w:val="21"/>
        </w:rPr>
        <w:t>日前向甲方报送上月的台账。</w:t>
      </w:r>
      <w:r>
        <w:rPr>
          <w:sz w:val="21"/>
        </w:rPr>
        <w:t>乙方</w:t>
      </w:r>
      <w:r>
        <w:rPr>
          <w:sz w:val="21"/>
        </w:rPr>
        <w:t>不得向厨余垃圾产生单位</w:t>
      </w:r>
      <w:r>
        <w:rPr>
          <w:sz w:val="21"/>
        </w:rPr>
        <w:t>收取垃圾处理费、运输费、收集容器使用费等费用，乙方为履行本项目所需的所有费用均已包含在本项目的综合单价中。</w:t>
      </w:r>
      <w:r>
        <w:rPr>
          <w:sz w:val="21"/>
        </w:rPr>
        <w:t>按营业面积、垃圾量计征生活垃圾处理费的饮食业、机关、企事业单位、工商户须单独记录产生源面积、厨余垃圾产生源等情况，实现分类管理（模板参考表格）。</w:t>
      </w:r>
      <w:r>
        <w:rPr>
          <w:sz w:val="21"/>
        </w:rPr>
        <w:t>收运过程中要遵守环境卫生作业标准和规范</w:t>
      </w:r>
      <w:r>
        <w:rPr>
          <w:sz w:val="21"/>
        </w:rPr>
        <w:t>，</w:t>
      </w:r>
      <w:r>
        <w:rPr>
          <w:sz w:val="21"/>
        </w:rPr>
        <w:t>保持收运作业区环境整洁。</w:t>
      </w:r>
    </w:p>
    <w:p>
      <w:pPr>
        <w:jc w:val="center"/>
      </w:pPr>
      <w:r>
        <w:rPr>
          <w:sz w:val="21"/>
        </w:rPr>
        <w:t>产生源厨余垃圾收运信息登记表</w:t>
      </w:r>
    </w:p>
    <w:tbl>
      <w:tblPr>
        <w:tblW w:w="0" w:type="auto"/>
        <w:tblBorders>
          <w:top w:val="none" w:color="000000" w:sz="4"/>
          <w:left w:val="none" w:color="000000" w:sz="4"/>
          <w:bottom w:val="none" w:color="000000" w:sz="4"/>
          <w:right w:val="none" w:color="000000" w:sz="4"/>
          <w:insideH w:val="none"/>
          <w:insideV w:val="none"/>
        </w:tblBorders>
      </w:tblPr>
      <w:tblGrid>
        <w:gridCol w:w="747"/>
        <w:gridCol w:w="1054"/>
        <w:gridCol w:w="1098"/>
        <w:gridCol w:w="1948"/>
        <w:gridCol w:w="2402"/>
        <w:gridCol w:w="1040"/>
      </w:tblGrid>
      <w:tr>
        <w:tc>
          <w:tcPr>
            <w:tcW w:type="dxa" w:w="747"/>
            <w:tcBorders>
              <w:top w:val="single" w:color="000000" w:sz="4"/>
              <w:left w:val="single" w:color="000000" w:sz="4"/>
              <w:bottom w:val="single" w:color="000000" w:sz="4"/>
              <w:right w:val="single" w:color="000000" w:sz="4"/>
            </w:tcBorders>
            <w:vAlign w:val="top"/>
          </w:tcPr>
          <w:p>
            <w:pPr>
              <w:jc w:val="center"/>
            </w:pPr>
            <w:r>
              <w:rPr>
                <w:sz w:val="21"/>
              </w:rPr>
              <w:t>社区</w:t>
            </w:r>
          </w:p>
        </w:tc>
        <w:tc>
          <w:tcPr>
            <w:tcW w:type="dxa" w:w="1054"/>
            <w:tcBorders>
              <w:top w:val="single" w:color="000000" w:sz="4"/>
              <w:left w:val="single" w:color="000000" w:sz="4"/>
              <w:bottom w:val="single" w:color="000000" w:sz="4"/>
              <w:right w:val="single" w:color="000000" w:sz="4"/>
            </w:tcBorders>
            <w:vAlign w:val="top"/>
          </w:tcPr>
          <w:p>
            <w:pPr>
              <w:jc w:val="center"/>
            </w:pPr>
            <w:r>
              <w:rPr>
                <w:sz w:val="21"/>
              </w:rPr>
              <w:t>单位名称</w:t>
            </w:r>
          </w:p>
        </w:tc>
        <w:tc>
          <w:tcPr>
            <w:tcW w:type="dxa" w:w="1098"/>
            <w:tcBorders>
              <w:top w:val="single" w:color="000000" w:sz="4"/>
              <w:left w:val="single" w:color="000000" w:sz="4"/>
              <w:bottom w:val="single" w:color="000000" w:sz="4"/>
              <w:right w:val="single" w:color="000000" w:sz="4"/>
            </w:tcBorders>
            <w:vAlign w:val="top"/>
          </w:tcPr>
          <w:p>
            <w:pPr>
              <w:jc w:val="center"/>
            </w:pPr>
            <w:r>
              <w:rPr>
                <w:sz w:val="21"/>
              </w:rPr>
              <w:t>地址</w:t>
            </w:r>
          </w:p>
        </w:tc>
        <w:tc>
          <w:tcPr>
            <w:tcW w:type="dxa" w:w="1948"/>
            <w:tcBorders>
              <w:top w:val="single" w:color="000000" w:sz="4"/>
              <w:left w:val="single" w:color="000000" w:sz="4"/>
              <w:bottom w:val="single" w:color="000000" w:sz="4"/>
              <w:right w:val="single" w:color="000000" w:sz="4"/>
            </w:tcBorders>
            <w:vAlign w:val="top"/>
          </w:tcPr>
          <w:p>
            <w:pPr>
              <w:jc w:val="center"/>
            </w:pPr>
            <w:r>
              <w:rPr>
                <w:sz w:val="21"/>
              </w:rPr>
              <w:t>类型</w:t>
            </w:r>
          </w:p>
          <w:p>
            <w:pPr>
              <w:jc w:val="center"/>
            </w:pPr>
            <w:r>
              <w:rPr>
                <w:sz w:val="21"/>
              </w:rPr>
              <w:t>（</w:t>
            </w:r>
            <w:r>
              <w:rPr>
                <w:sz w:val="21"/>
              </w:rPr>
              <w:t>A:50㎡以下</w:t>
            </w:r>
          </w:p>
          <w:p>
            <w:pPr>
              <w:jc w:val="center"/>
            </w:pPr>
            <w:r>
              <w:rPr>
                <w:sz w:val="21"/>
              </w:rPr>
              <w:t>B:50-100㎡</w:t>
            </w:r>
          </w:p>
          <w:p>
            <w:pPr>
              <w:jc w:val="center"/>
            </w:pPr>
            <w:r>
              <w:rPr>
                <w:sz w:val="21"/>
              </w:rPr>
              <w:t xml:space="preserve"> </w:t>
            </w:r>
            <w:r>
              <w:rPr>
                <w:sz w:val="21"/>
              </w:rPr>
              <w:t>C:100㎡以上)</w:t>
            </w:r>
          </w:p>
        </w:tc>
        <w:tc>
          <w:tcPr>
            <w:tcW w:type="dxa" w:w="2402"/>
            <w:tcBorders>
              <w:top w:val="single" w:color="000000" w:sz="4"/>
              <w:left w:val="single" w:color="000000" w:sz="4"/>
              <w:bottom w:val="single" w:color="000000" w:sz="4"/>
              <w:right w:val="single" w:color="000000" w:sz="4"/>
            </w:tcBorders>
            <w:vAlign w:val="top"/>
          </w:tcPr>
          <w:p>
            <w:pPr>
              <w:jc w:val="center"/>
            </w:pPr>
            <w:r>
              <w:rPr>
                <w:sz w:val="21"/>
              </w:rPr>
              <w:t>厨余垃圾收集量桶数（</w:t>
            </w:r>
            <w:r>
              <w:rPr>
                <w:sz w:val="21"/>
              </w:rPr>
              <w:t>120L）/月</w:t>
            </w:r>
          </w:p>
        </w:tc>
        <w:tc>
          <w:tcPr>
            <w:tcW w:type="dxa" w:w="1040"/>
            <w:tcBorders>
              <w:top w:val="single" w:color="000000" w:sz="4"/>
              <w:left w:val="single" w:color="000000" w:sz="4"/>
              <w:bottom w:val="single" w:color="000000" w:sz="4"/>
              <w:right w:val="single" w:color="000000" w:sz="4"/>
            </w:tcBorders>
            <w:vAlign w:val="top"/>
          </w:tcPr>
          <w:p>
            <w:pPr>
              <w:jc w:val="center"/>
            </w:pPr>
            <w:r>
              <w:rPr>
                <w:sz w:val="21"/>
              </w:rPr>
              <w:t>营业面积</w:t>
            </w:r>
          </w:p>
        </w:tc>
      </w:tr>
      <w:tr>
        <w:tc>
          <w:tcPr>
            <w:tcW w:type="dxa" w:w="747"/>
            <w:tcBorders>
              <w:top w:val="none" w:color="000000" w:sz="4"/>
              <w:left w:val="single" w:color="000000" w:sz="4"/>
              <w:bottom w:val="single" w:color="000000" w:sz="4"/>
              <w:right w:val="single" w:color="000000" w:sz="4"/>
            </w:tcBorders>
            <w:vAlign w:val="top"/>
          </w:tcPr>
          <w:p>
            <w:pPr>
              <w:jc w:val="both"/>
            </w:pPr>
          </w:p>
        </w:tc>
        <w:tc>
          <w:tcPr>
            <w:tcW w:type="dxa" w:w="1054"/>
            <w:tcBorders>
              <w:top w:val="none" w:color="000000" w:sz="4"/>
              <w:left w:val="single" w:color="000000" w:sz="4"/>
              <w:bottom w:val="single" w:color="000000" w:sz="4"/>
              <w:right w:val="single" w:color="000000" w:sz="4"/>
            </w:tcBorders>
            <w:vAlign w:val="top"/>
          </w:tcPr>
          <w:p>
            <w:pPr>
              <w:jc w:val="both"/>
            </w:pPr>
          </w:p>
        </w:tc>
        <w:tc>
          <w:tcPr>
            <w:tcW w:type="dxa" w:w="1098"/>
            <w:tcBorders>
              <w:top w:val="none" w:color="000000" w:sz="4"/>
              <w:left w:val="single" w:color="000000" w:sz="4"/>
              <w:bottom w:val="single" w:color="000000" w:sz="4"/>
              <w:right w:val="single" w:color="000000" w:sz="4"/>
            </w:tcBorders>
            <w:vAlign w:val="top"/>
          </w:tcPr>
          <w:p>
            <w:pPr>
              <w:jc w:val="both"/>
            </w:pPr>
          </w:p>
        </w:tc>
        <w:tc>
          <w:tcPr>
            <w:tcW w:type="dxa" w:w="1948"/>
            <w:tcBorders>
              <w:top w:val="none" w:color="000000" w:sz="4"/>
              <w:left w:val="single" w:color="000000" w:sz="4"/>
              <w:bottom w:val="single" w:color="000000" w:sz="4"/>
              <w:right w:val="single" w:color="000000" w:sz="4"/>
            </w:tcBorders>
            <w:vAlign w:val="top"/>
          </w:tcPr>
          <w:p>
            <w:pPr>
              <w:jc w:val="both"/>
            </w:pPr>
          </w:p>
        </w:tc>
        <w:tc>
          <w:tcPr>
            <w:tcW w:type="dxa" w:w="2402"/>
            <w:tcBorders>
              <w:top w:val="none" w:color="000000" w:sz="4"/>
              <w:left w:val="single" w:color="000000" w:sz="4"/>
              <w:bottom w:val="single" w:color="000000" w:sz="4"/>
              <w:right w:val="single" w:color="000000" w:sz="4"/>
            </w:tcBorders>
            <w:vAlign w:val="top"/>
          </w:tcPr>
          <w:p>
            <w:pPr>
              <w:jc w:val="both"/>
            </w:pPr>
          </w:p>
        </w:tc>
        <w:tc>
          <w:tcPr>
            <w:tcW w:type="dxa" w:w="1040"/>
            <w:tcBorders>
              <w:top w:val="none" w:color="000000" w:sz="4"/>
              <w:left w:val="single" w:color="000000" w:sz="4"/>
              <w:bottom w:val="single" w:color="000000" w:sz="4"/>
              <w:right w:val="single" w:color="000000" w:sz="4"/>
            </w:tcBorders>
            <w:vAlign w:val="top"/>
          </w:tcPr>
          <w:p>
            <w:pPr>
              <w:jc w:val="both"/>
            </w:pPr>
          </w:p>
        </w:tc>
      </w:tr>
      <w:tr>
        <w:tc>
          <w:tcPr>
            <w:tcW w:type="dxa" w:w="747"/>
            <w:tcBorders>
              <w:top w:val="none" w:color="000000" w:sz="4"/>
              <w:left w:val="single" w:color="000000" w:sz="4"/>
              <w:bottom w:val="single" w:color="000000" w:sz="4"/>
              <w:right w:val="single" w:color="000000" w:sz="4"/>
            </w:tcBorders>
            <w:vAlign w:val="top"/>
          </w:tcPr>
          <w:p>
            <w:pPr>
              <w:jc w:val="both"/>
            </w:pPr>
          </w:p>
        </w:tc>
        <w:tc>
          <w:tcPr>
            <w:tcW w:type="dxa" w:w="1054"/>
            <w:tcBorders>
              <w:top w:val="none" w:color="000000" w:sz="4"/>
              <w:left w:val="single" w:color="000000" w:sz="4"/>
              <w:bottom w:val="single" w:color="000000" w:sz="4"/>
              <w:right w:val="single" w:color="000000" w:sz="4"/>
            </w:tcBorders>
            <w:vAlign w:val="top"/>
          </w:tcPr>
          <w:p>
            <w:pPr>
              <w:jc w:val="both"/>
            </w:pPr>
          </w:p>
        </w:tc>
        <w:tc>
          <w:tcPr>
            <w:tcW w:type="dxa" w:w="1098"/>
            <w:tcBorders>
              <w:top w:val="none" w:color="000000" w:sz="4"/>
              <w:left w:val="single" w:color="000000" w:sz="4"/>
              <w:bottom w:val="single" w:color="000000" w:sz="4"/>
              <w:right w:val="single" w:color="000000" w:sz="4"/>
            </w:tcBorders>
            <w:vAlign w:val="top"/>
          </w:tcPr>
          <w:p>
            <w:pPr>
              <w:jc w:val="both"/>
            </w:pPr>
          </w:p>
        </w:tc>
        <w:tc>
          <w:tcPr>
            <w:tcW w:type="dxa" w:w="1948"/>
            <w:tcBorders>
              <w:top w:val="none" w:color="000000" w:sz="4"/>
              <w:left w:val="single" w:color="000000" w:sz="4"/>
              <w:bottom w:val="single" w:color="000000" w:sz="4"/>
              <w:right w:val="single" w:color="000000" w:sz="4"/>
            </w:tcBorders>
            <w:vAlign w:val="top"/>
          </w:tcPr>
          <w:p>
            <w:pPr>
              <w:jc w:val="both"/>
            </w:pPr>
          </w:p>
        </w:tc>
        <w:tc>
          <w:tcPr>
            <w:tcW w:type="dxa" w:w="2402"/>
            <w:tcBorders>
              <w:top w:val="none" w:color="000000" w:sz="4"/>
              <w:left w:val="single" w:color="000000" w:sz="4"/>
              <w:bottom w:val="single" w:color="000000" w:sz="4"/>
              <w:right w:val="single" w:color="000000" w:sz="4"/>
            </w:tcBorders>
            <w:vAlign w:val="top"/>
          </w:tcPr>
          <w:p>
            <w:pPr>
              <w:jc w:val="both"/>
            </w:pPr>
          </w:p>
        </w:tc>
        <w:tc>
          <w:tcPr>
            <w:tcW w:type="dxa" w:w="1040"/>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w:t>
      </w:r>
      <w:r>
        <w:rPr>
          <w:sz w:val="21"/>
        </w:rPr>
        <w:t>7</w:t>
      </w:r>
      <w:r>
        <w:rPr>
          <w:sz w:val="21"/>
        </w:rPr>
        <w:t>）</w:t>
      </w:r>
      <w:r>
        <w:rPr>
          <w:sz w:val="21"/>
        </w:rPr>
        <w:t>乙方负责处理厂的垃圾</w:t>
      </w:r>
      <w:r>
        <w:rPr>
          <w:sz w:val="21"/>
        </w:rPr>
        <w:t>收运</w:t>
      </w:r>
      <w:r>
        <w:rPr>
          <w:sz w:val="21"/>
        </w:rPr>
        <w:t>/处理及产出物</w:t>
      </w:r>
      <w:r>
        <w:rPr>
          <w:sz w:val="21"/>
        </w:rPr>
        <w:t>的</w:t>
      </w:r>
      <w:r>
        <w:rPr>
          <w:sz w:val="21"/>
        </w:rPr>
        <w:t>处理</w:t>
      </w:r>
      <w:r>
        <w:rPr>
          <w:sz w:val="21"/>
        </w:rPr>
        <w:t>和</w:t>
      </w:r>
      <w:r>
        <w:rPr>
          <w:sz w:val="21"/>
        </w:rPr>
        <w:t>费用，</w:t>
      </w:r>
      <w:r>
        <w:rPr>
          <w:sz w:val="21"/>
        </w:rPr>
        <w:t>交由有资质公司处置，达到无害化处理，并建立处理去向台账。</w:t>
      </w:r>
    </w:p>
    <w:p>
      <w:pPr>
        <w:ind w:firstLine="442"/>
        <w:jc w:val="both"/>
      </w:pPr>
      <w:r>
        <w:rPr>
          <w:b/>
          <w:sz w:val="21"/>
        </w:rPr>
        <w:t>4</w:t>
      </w:r>
      <w:r>
        <w:rPr>
          <w:b/>
          <w:sz w:val="21"/>
        </w:rPr>
        <w:t>.车辆管理要求</w:t>
      </w:r>
    </w:p>
    <w:p>
      <w:pPr>
        <w:ind w:firstLine="440"/>
        <w:jc w:val="both"/>
      </w:pPr>
      <w:r>
        <w:rPr>
          <w:sz w:val="21"/>
        </w:rPr>
        <w:t>（</w:t>
      </w:r>
      <w:r>
        <w:rPr>
          <w:sz w:val="21"/>
        </w:rPr>
        <w:t>1</w:t>
      </w:r>
      <w:r>
        <w:rPr>
          <w:sz w:val="21"/>
        </w:rPr>
        <w:t>）</w:t>
      </w:r>
      <w:r>
        <w:rPr>
          <w:sz w:val="21"/>
        </w:rPr>
        <w:t>配置</w:t>
      </w:r>
      <w:r>
        <w:rPr>
          <w:sz w:val="21"/>
        </w:rPr>
        <w:t>不少于</w:t>
      </w:r>
      <w:r>
        <w:rPr>
          <w:sz w:val="21"/>
        </w:rPr>
        <w:t>10</w:t>
      </w:r>
      <w:r>
        <w:rPr>
          <w:sz w:val="21"/>
        </w:rPr>
        <w:t>辆密闭厨余垃圾收运车</w:t>
      </w:r>
      <w:r>
        <w:rPr>
          <w:sz w:val="21"/>
        </w:rPr>
        <w:t>，</w:t>
      </w:r>
      <w:r>
        <w:rPr>
          <w:sz w:val="21"/>
        </w:rPr>
        <w:t>配置车载视频、</w:t>
      </w:r>
      <w:r>
        <w:rPr>
          <w:sz w:val="21"/>
        </w:rPr>
        <w:t>GPS车辆轨迹监控、车载计量称重系统，至少包含容量4吨、5吨、7吨、8吨的</w:t>
      </w:r>
      <w:r>
        <w:rPr>
          <w:sz w:val="21"/>
        </w:rPr>
        <w:t>密闭厨余垃圾收运车</w:t>
      </w:r>
      <w:r>
        <w:rPr>
          <w:sz w:val="21"/>
        </w:rPr>
        <w:t>，</w:t>
      </w:r>
      <w:r>
        <w:rPr>
          <w:sz w:val="21"/>
        </w:rPr>
        <w:t>满足不同产生源收运需求并根据实际情况增设</w:t>
      </w:r>
      <w:r>
        <w:rPr>
          <w:sz w:val="21"/>
        </w:rPr>
        <w:t>。</w:t>
      </w:r>
    </w:p>
    <w:p>
      <w:pPr>
        <w:ind w:firstLine="440"/>
        <w:jc w:val="both"/>
      </w:pPr>
      <w:r>
        <w:rPr>
          <w:sz w:val="21"/>
        </w:rPr>
        <w:t>（</w:t>
      </w:r>
      <w:r>
        <w:rPr>
          <w:sz w:val="21"/>
        </w:rPr>
        <w:t>2</w:t>
      </w:r>
      <w:r>
        <w:rPr>
          <w:sz w:val="21"/>
        </w:rPr>
        <w:t>）厨余垃圾收集车辆需按东莞市厨余垃圾标识喷涂标识，并车身喷涂</w:t>
      </w:r>
      <w:r>
        <w:rPr>
          <w:sz w:val="21"/>
        </w:rPr>
        <w:t>“</w:t>
      </w:r>
      <w:r>
        <w:rPr>
          <w:sz w:val="21"/>
        </w:rPr>
        <w:t>虎门镇</w:t>
      </w:r>
      <w:r>
        <w:rPr>
          <w:sz w:val="21"/>
        </w:rPr>
        <w:t>厨余垃圾收集车</w:t>
      </w:r>
      <w:r>
        <w:rPr>
          <w:sz w:val="21"/>
        </w:rPr>
        <w:t>”等相关标识</w:t>
      </w:r>
      <w:r>
        <w:rPr>
          <w:sz w:val="21"/>
        </w:rPr>
        <w:t>。乙方</w:t>
      </w:r>
      <w:r>
        <w:rPr>
          <w:sz w:val="21"/>
        </w:rPr>
        <w:t>所有厨余垃圾车辆要有统一编号、标识、监督电话</w:t>
      </w:r>
      <w:r>
        <w:rPr>
          <w:sz w:val="21"/>
        </w:rPr>
        <w:t>，</w:t>
      </w:r>
      <w:r>
        <w:rPr>
          <w:sz w:val="21"/>
        </w:rPr>
        <w:t>配置统一厨余垃圾桶。</w:t>
      </w:r>
    </w:p>
    <w:p>
      <w:pPr>
        <w:ind w:firstLine="440"/>
        <w:jc w:val="both"/>
      </w:pPr>
      <w:r>
        <w:rPr>
          <w:sz w:val="21"/>
        </w:rPr>
        <w:t>（</w:t>
      </w:r>
      <w:r>
        <w:rPr>
          <w:sz w:val="21"/>
        </w:rPr>
        <w:t>3</w:t>
      </w:r>
      <w:r>
        <w:rPr>
          <w:sz w:val="21"/>
        </w:rPr>
        <w:t>）厨余垃圾运输车辆作业时车容车貌要整洁，并保持车况良好；按规定标准保养维修。</w:t>
      </w:r>
    </w:p>
    <w:p>
      <w:pPr>
        <w:ind w:firstLine="440"/>
        <w:jc w:val="both"/>
      </w:pPr>
      <w:r>
        <w:rPr>
          <w:sz w:val="21"/>
        </w:rPr>
        <w:t>（</w:t>
      </w:r>
      <w:r>
        <w:rPr>
          <w:sz w:val="21"/>
        </w:rPr>
        <w:t>4</w:t>
      </w:r>
      <w:r>
        <w:rPr>
          <w:sz w:val="21"/>
        </w:rPr>
        <w:t>）垃圾运输车辆运输过程中要密封运输，无超载、无滴水、无沿途抛洒现象。</w:t>
      </w:r>
    </w:p>
    <w:p>
      <w:pPr>
        <w:ind w:firstLine="440"/>
        <w:jc w:val="both"/>
      </w:pPr>
      <w:r>
        <w:rPr>
          <w:sz w:val="21"/>
        </w:rPr>
        <w:t>（</w:t>
      </w:r>
      <w:r>
        <w:rPr>
          <w:sz w:val="21"/>
        </w:rPr>
        <w:t>5</w:t>
      </w:r>
      <w:r>
        <w:rPr>
          <w:sz w:val="21"/>
        </w:rPr>
        <w:t>）厨余垃圾运输车辆按规定区域路线行驶，不得行驶无备案区域路线。</w:t>
      </w:r>
    </w:p>
    <w:p>
      <w:pPr>
        <w:jc w:val="both"/>
      </w:pPr>
      <w:r>
        <w:rPr>
          <w:b/>
          <w:sz w:val="24"/>
        </w:rPr>
        <w:t>（</w:t>
      </w:r>
      <w:r>
        <w:rPr>
          <w:b/>
          <w:sz w:val="24"/>
        </w:rPr>
        <w:t>二</w:t>
      </w:r>
      <w:r>
        <w:rPr>
          <w:b/>
          <w:sz w:val="24"/>
        </w:rPr>
        <w:t>）</w:t>
      </w:r>
      <w:r>
        <w:rPr>
          <w:b/>
          <w:sz w:val="24"/>
        </w:rPr>
        <w:t>项目要求</w:t>
      </w:r>
    </w:p>
    <w:p>
      <w:pPr>
        <w:ind w:firstLine="440"/>
        <w:jc w:val="both"/>
      </w:pPr>
      <w:r>
        <w:rPr>
          <w:sz w:val="21"/>
        </w:rPr>
        <w:t>（</w:t>
      </w:r>
      <w:r>
        <w:rPr>
          <w:sz w:val="21"/>
        </w:rPr>
        <w:t>1）服务过程中产出的副产品由</w:t>
      </w:r>
      <w:r>
        <w:rPr>
          <w:sz w:val="21"/>
        </w:rPr>
        <w:t>乙方</w:t>
      </w:r>
      <w:r>
        <w:rPr>
          <w:sz w:val="21"/>
        </w:rPr>
        <w:t>负责进行规范处理，达到无害化、资源化利用处理，所有</w:t>
      </w:r>
      <w:r>
        <w:rPr>
          <w:sz w:val="21"/>
        </w:rPr>
        <w:t>处置</w:t>
      </w:r>
      <w:r>
        <w:rPr>
          <w:sz w:val="21"/>
        </w:rPr>
        <w:t>去向要提供有效证明</w:t>
      </w:r>
      <w:r>
        <w:rPr>
          <w:sz w:val="21"/>
        </w:rPr>
        <w:t>，</w:t>
      </w:r>
      <w:r>
        <w:rPr>
          <w:sz w:val="21"/>
        </w:rPr>
        <w:t>不得将降解副产物随意倾倒。</w:t>
      </w:r>
      <w:r>
        <w:rPr>
          <w:sz w:val="21"/>
        </w:rPr>
        <w:t>乙方</w:t>
      </w:r>
      <w:r>
        <w:rPr>
          <w:sz w:val="21"/>
        </w:rPr>
        <w:t>按规范处理产生的收益归</w:t>
      </w:r>
      <w:r>
        <w:rPr>
          <w:sz w:val="21"/>
        </w:rPr>
        <w:t>乙方</w:t>
      </w:r>
      <w:r>
        <w:rPr>
          <w:sz w:val="21"/>
        </w:rPr>
        <w:t>所有。</w:t>
      </w:r>
    </w:p>
    <w:p>
      <w:pPr>
        <w:ind w:firstLine="440"/>
        <w:jc w:val="both"/>
      </w:pPr>
      <w:r>
        <w:rPr>
          <w:sz w:val="21"/>
        </w:rPr>
        <w:t>（</w:t>
      </w:r>
      <w:r>
        <w:rPr>
          <w:sz w:val="21"/>
        </w:rPr>
        <w:t>2）针对突发事件，应及时做好应急工作。有效处理“安全生产、噪音扰民、污水处理、厨余垃圾产生物处理、设备维修、人员调配、居民投诉”等一切突发事件，不得影响政府及</w:t>
      </w:r>
      <w:r>
        <w:rPr>
          <w:sz w:val="21"/>
        </w:rPr>
        <w:t>甲方</w:t>
      </w:r>
      <w:r>
        <w:rPr>
          <w:sz w:val="21"/>
        </w:rPr>
        <w:t>形象和厨余垃圾处理工作。</w:t>
      </w:r>
    </w:p>
    <w:p>
      <w:pPr>
        <w:ind w:firstLine="440"/>
        <w:jc w:val="both"/>
      </w:pPr>
      <w:r>
        <w:rPr>
          <w:sz w:val="21"/>
        </w:rPr>
        <w:t>（</w:t>
      </w:r>
      <w:r>
        <w:rPr>
          <w:sz w:val="21"/>
        </w:rPr>
        <w:t>3</w:t>
      </w:r>
      <w:r>
        <w:rPr>
          <w:sz w:val="21"/>
        </w:rPr>
        <w:t>）</w:t>
      </w:r>
      <w:r>
        <w:rPr>
          <w:sz w:val="21"/>
        </w:rPr>
        <w:t>乙方</w:t>
      </w:r>
      <w:r>
        <w:rPr>
          <w:sz w:val="21"/>
        </w:rPr>
        <w:t>根据</w:t>
      </w:r>
      <w:r>
        <w:rPr>
          <w:sz w:val="21"/>
        </w:rPr>
        <w:t>甲方</w:t>
      </w:r>
      <w:r>
        <w:rPr>
          <w:sz w:val="21"/>
        </w:rPr>
        <w:t>的要求，提供厨余垃圾产品延伸至科普科教实际应用的特色服务</w:t>
      </w:r>
      <w:r>
        <w:rPr>
          <w:sz w:val="21"/>
        </w:rPr>
        <w:t>；</w:t>
      </w:r>
      <w:r>
        <w:rPr>
          <w:sz w:val="21"/>
        </w:rPr>
        <w:t>配合做好垃圾分类宣传，打造厨余垃圾宣传基地。</w:t>
      </w:r>
    </w:p>
    <w:p>
      <w:pPr>
        <w:ind w:firstLine="440"/>
        <w:jc w:val="both"/>
      </w:pPr>
      <w:r>
        <w:rPr>
          <w:sz w:val="21"/>
        </w:rPr>
        <w:t>（</w:t>
      </w:r>
      <w:r>
        <w:rPr>
          <w:sz w:val="21"/>
        </w:rPr>
        <w:t>4）乙方承诺中标后在12个月内完成办理环境影响报告书及城镇污水排入排水管网许可证、排污许可证。</w:t>
      </w:r>
    </w:p>
    <w:p>
      <w:pPr>
        <w:ind w:firstLine="420"/>
        <w:jc w:val="both"/>
      </w:pPr>
      <w:r>
        <w:rPr>
          <w:sz w:val="21"/>
        </w:rPr>
        <w:t>（</w:t>
      </w:r>
      <w:r>
        <w:rPr>
          <w:sz w:val="21"/>
        </w:rPr>
        <w:t>5</w:t>
      </w:r>
      <w:r>
        <w:rPr>
          <w:sz w:val="21"/>
        </w:rPr>
        <w:t>）</w:t>
      </w:r>
      <w:r>
        <w:rPr>
          <w:sz w:val="21"/>
        </w:rPr>
        <w:t>乙方</w:t>
      </w:r>
      <w:r>
        <w:rPr>
          <w:sz w:val="21"/>
        </w:rPr>
        <w:t>承诺中标后</w:t>
      </w:r>
      <w:r>
        <w:rPr>
          <w:sz w:val="21"/>
        </w:rPr>
        <w:t>60天内取得东莞市行业主管部门核发的《城市生活垃圾经营性清扫、收集、运输服务许可证》并向</w:t>
      </w:r>
      <w:r>
        <w:rPr>
          <w:sz w:val="21"/>
        </w:rPr>
        <w:t>甲方</w:t>
      </w:r>
      <w:r>
        <w:rPr>
          <w:sz w:val="21"/>
        </w:rPr>
        <w:t>提供原件核查，否则</w:t>
      </w:r>
      <w:r>
        <w:rPr>
          <w:sz w:val="21"/>
        </w:rPr>
        <w:t>甲方</w:t>
      </w:r>
      <w:r>
        <w:rPr>
          <w:sz w:val="21"/>
        </w:rPr>
        <w:t>有权单方解除本合同并重新选定合作方，</w:t>
      </w:r>
      <w:r>
        <w:rPr>
          <w:sz w:val="21"/>
        </w:rPr>
        <w:t>乙方</w:t>
      </w:r>
      <w:r>
        <w:rPr>
          <w:sz w:val="21"/>
        </w:rPr>
        <w:t>应当赔偿</w:t>
      </w:r>
      <w:r>
        <w:rPr>
          <w:sz w:val="21"/>
        </w:rPr>
        <w:t>甲方</w:t>
      </w:r>
      <w:r>
        <w:rPr>
          <w:sz w:val="21"/>
        </w:rPr>
        <w:t>因此造成的全部损失。</w:t>
      </w:r>
    </w:p>
    <w:p>
      <w:pPr>
        <w:ind w:firstLine="420"/>
        <w:jc w:val="both"/>
      </w:pPr>
      <w:r>
        <w:rPr>
          <w:sz w:val="21"/>
        </w:rPr>
        <w:t>（</w:t>
      </w:r>
      <w:r>
        <w:rPr>
          <w:sz w:val="21"/>
        </w:rPr>
        <w:t>6</w:t>
      </w:r>
      <w:r>
        <w:rPr>
          <w:sz w:val="21"/>
        </w:rPr>
        <w:t>）</w:t>
      </w:r>
      <w:r>
        <w:rPr>
          <w:sz w:val="21"/>
        </w:rPr>
        <w:t>厨余垃圾处理设备为</w:t>
      </w:r>
      <w:r>
        <w:rPr>
          <w:sz w:val="21"/>
        </w:rPr>
        <w:t>乙方</w:t>
      </w:r>
      <w:r>
        <w:rPr>
          <w:sz w:val="21"/>
        </w:rPr>
        <w:t>所有，</w:t>
      </w:r>
      <w:r>
        <w:rPr>
          <w:sz w:val="21"/>
        </w:rPr>
        <w:t>服务</w:t>
      </w:r>
      <w:r>
        <w:rPr>
          <w:sz w:val="21"/>
        </w:rPr>
        <w:t>期满后，厨余垃圾处理设备由</w:t>
      </w:r>
      <w:r>
        <w:rPr>
          <w:sz w:val="21"/>
        </w:rPr>
        <w:t>乙方</w:t>
      </w:r>
      <w:r>
        <w:rPr>
          <w:sz w:val="21"/>
        </w:rPr>
        <w:t>自行处理不纳入</w:t>
      </w:r>
      <w:r>
        <w:rPr>
          <w:sz w:val="21"/>
        </w:rPr>
        <w:t>甲方</w:t>
      </w:r>
      <w:r>
        <w:rPr>
          <w:sz w:val="21"/>
        </w:rPr>
        <w:t>资产。</w:t>
      </w:r>
    </w:p>
    <w:p>
      <w:pPr>
        <w:ind w:firstLine="420"/>
        <w:jc w:val="both"/>
      </w:pPr>
      <w:r>
        <w:rPr>
          <w:sz w:val="21"/>
        </w:rPr>
        <w:t>（</w:t>
      </w:r>
      <w:r>
        <w:rPr>
          <w:sz w:val="21"/>
        </w:rPr>
        <w:t>7</w:t>
      </w:r>
      <w:r>
        <w:rPr>
          <w:sz w:val="21"/>
        </w:rPr>
        <w:t>）</w:t>
      </w:r>
      <w:r>
        <w:rPr>
          <w:sz w:val="21"/>
        </w:rPr>
        <w:t>因</w:t>
      </w:r>
      <w:r>
        <w:rPr>
          <w:sz w:val="21"/>
        </w:rPr>
        <w:t>乙方</w:t>
      </w:r>
      <w:r>
        <w:rPr>
          <w:sz w:val="21"/>
        </w:rPr>
        <w:t>原因导致自身或者第三方人身或财产损害，由</w:t>
      </w:r>
      <w:r>
        <w:rPr>
          <w:sz w:val="21"/>
        </w:rPr>
        <w:t>乙方</w:t>
      </w:r>
      <w:r>
        <w:rPr>
          <w:sz w:val="21"/>
        </w:rPr>
        <w:t>自行负担一切责任，与</w:t>
      </w:r>
      <w:r>
        <w:rPr>
          <w:sz w:val="21"/>
        </w:rPr>
        <w:t>甲方</w:t>
      </w:r>
      <w:r>
        <w:rPr>
          <w:sz w:val="21"/>
        </w:rPr>
        <w:t>无关。如因此造成</w:t>
      </w:r>
      <w:r>
        <w:rPr>
          <w:sz w:val="21"/>
        </w:rPr>
        <w:t>甲方</w:t>
      </w:r>
      <w:r>
        <w:rPr>
          <w:sz w:val="21"/>
        </w:rPr>
        <w:t>损失或被第三方索赔的，</w:t>
      </w:r>
      <w:r>
        <w:rPr>
          <w:sz w:val="21"/>
        </w:rPr>
        <w:t>甲方</w:t>
      </w:r>
      <w:r>
        <w:rPr>
          <w:sz w:val="21"/>
        </w:rPr>
        <w:t>有权向</w:t>
      </w:r>
      <w:r>
        <w:rPr>
          <w:sz w:val="21"/>
        </w:rPr>
        <w:t>乙方</w:t>
      </w:r>
      <w:r>
        <w:rPr>
          <w:sz w:val="21"/>
        </w:rPr>
        <w:t>追偿，相关费用（包括但不限于</w:t>
      </w:r>
      <w:r>
        <w:rPr>
          <w:sz w:val="21"/>
        </w:rPr>
        <w:t>甲方</w:t>
      </w:r>
      <w:r>
        <w:rPr>
          <w:sz w:val="21"/>
        </w:rPr>
        <w:t>的损失、第三人索偿的全部费用以及</w:t>
      </w:r>
      <w:r>
        <w:rPr>
          <w:sz w:val="21"/>
        </w:rPr>
        <w:t>甲方</w:t>
      </w:r>
      <w:r>
        <w:rPr>
          <w:sz w:val="21"/>
        </w:rPr>
        <w:t>因此支出之差旅费、诉讼费、律师费等维权费用）全部由</w:t>
      </w:r>
      <w:r>
        <w:rPr>
          <w:sz w:val="21"/>
        </w:rPr>
        <w:t>乙方</w:t>
      </w:r>
      <w:r>
        <w:rPr>
          <w:sz w:val="21"/>
        </w:rPr>
        <w:t>承</w:t>
      </w:r>
      <w:r>
        <w:rPr>
          <w:sz w:val="21"/>
        </w:rPr>
        <w:t>担。</w:t>
      </w:r>
    </w:p>
    <w:p>
      <w:pPr>
        <w:ind w:firstLine="420"/>
        <w:jc w:val="both"/>
      </w:pPr>
      <w:r>
        <w:rPr>
          <w:sz w:val="21"/>
        </w:rPr>
        <w:t>（</w:t>
      </w:r>
      <w:r>
        <w:rPr>
          <w:sz w:val="21"/>
        </w:rPr>
        <w:t>8</w:t>
      </w:r>
      <w:r>
        <w:rPr>
          <w:sz w:val="21"/>
        </w:rPr>
        <w:t>）乙方要对服务安全负责。在服务期间，乙方应进行运输、劳务等要做好一切安全保障工作，并为工人购买相关的保险，费用由乙方自理。如在服务过程中发生一切安全事故由乙方承担全部责任，与甲方无关，乙方不得因此影响本合同的履行。</w:t>
      </w:r>
    </w:p>
    <w:p>
      <w:pPr>
        <w:ind w:firstLine="420"/>
        <w:jc w:val="both"/>
      </w:pPr>
      <w:r>
        <w:rPr>
          <w:sz w:val="21"/>
        </w:rPr>
        <w:t>（</w:t>
      </w:r>
      <w:r>
        <w:rPr>
          <w:sz w:val="21"/>
        </w:rPr>
        <w:t>9）若因乙方准备不足等原因导致厨余垃圾处理工作不能顺利开展或完成的，甲方有权终止本合同。</w:t>
      </w:r>
    </w:p>
    <w:p>
      <w:pPr>
        <w:ind w:firstLine="420"/>
        <w:jc w:val="both"/>
      </w:pPr>
      <w:r>
        <w:rPr>
          <w:sz w:val="21"/>
        </w:rPr>
        <w:t>（</w:t>
      </w:r>
      <w:r>
        <w:rPr>
          <w:sz w:val="21"/>
        </w:rPr>
        <w:t>10）乙方需保证其具备履行该合同的能力及资质，如因处理问题导致的纠纷，由乙方承担一切责任，且乙方不得因此影响本合同的履行，如因此导致本合同无法正常履行的，甲方有权终止本合同并重新</w:t>
      </w:r>
      <w:r>
        <w:rPr>
          <w:sz w:val="21"/>
        </w:rPr>
        <w:t>选定合作方，</w:t>
      </w:r>
      <w:r>
        <w:rPr>
          <w:sz w:val="21"/>
        </w:rPr>
        <w:t>乙方</w:t>
      </w:r>
      <w:r>
        <w:rPr>
          <w:sz w:val="21"/>
        </w:rPr>
        <w:t>应当赔偿</w:t>
      </w:r>
      <w:r>
        <w:rPr>
          <w:sz w:val="21"/>
        </w:rPr>
        <w:t>甲方</w:t>
      </w:r>
      <w:r>
        <w:rPr>
          <w:sz w:val="21"/>
        </w:rPr>
        <w:t>因此造成的全部损失</w:t>
      </w:r>
      <w:r>
        <w:rPr>
          <w:sz w:val="21"/>
        </w:rPr>
        <w:t>（</w:t>
      </w:r>
      <w:r>
        <w:rPr>
          <w:sz w:val="21"/>
        </w:rPr>
        <w:t>包括但不限于重新招标的服务费、垃圾处理服务费差价等）。</w:t>
      </w:r>
    </w:p>
    <w:p>
      <w:pPr>
        <w:ind w:firstLine="420"/>
        <w:jc w:val="both"/>
      </w:pPr>
      <w:r>
        <w:rPr>
          <w:sz w:val="21"/>
        </w:rPr>
        <w:t>（</w:t>
      </w:r>
      <w:r>
        <w:rPr>
          <w:sz w:val="21"/>
        </w:rPr>
        <w:t>11）乙方应严格执行国家、省市地方的法律法规、规范性文件以及行业标准，否则，由此所产生的法律责任和经济责任，全部由乙方自行承担，与甲方无关。</w:t>
      </w:r>
    </w:p>
    <w:p>
      <w:pPr>
        <w:ind w:firstLine="420"/>
        <w:jc w:val="both"/>
      </w:pPr>
      <w:r>
        <w:rPr>
          <w:sz w:val="21"/>
        </w:rPr>
        <w:t>（</w:t>
      </w:r>
      <w:r>
        <w:rPr>
          <w:sz w:val="21"/>
        </w:rPr>
        <w:t>12）乙方服务人员与甲方不存在劳动或雇佣关系。乙方服务人员不得以甲方名义开展相关服务工作。乙方应确保依法与服务人员签订劳动合同、购买社保并及时足额支付工资报酬。在服务期间，乙方服务人员在履行职责过程中产生的一切矛盾纠纷，责任与甲方无关，均由乙方承担相关的责任；服务人员如发生任何工伤或非工伤等事故，或者在履行本合同过程中造成第三人人身或财产损害的，均由乙方处理及承担所有法律责任及赔偿责任，与甲方无关，乙方不得因此影响本合同的履行。</w:t>
      </w:r>
    </w:p>
    <w:p>
      <w:pPr>
        <w:ind w:firstLine="420"/>
        <w:jc w:val="both"/>
      </w:pPr>
      <w:r>
        <w:rPr>
          <w:sz w:val="21"/>
        </w:rPr>
        <w:t>（</w:t>
      </w:r>
      <w:r>
        <w:rPr>
          <w:sz w:val="21"/>
        </w:rPr>
        <w:t>13）乙方负责收运虎门镇范围内公共机构、企事业单位、集贸市场、餐饮机构（含商铺）、物业小区（含城中村）等生活垃圾垃圾产生源厨余垃圾，厨余垃圾应做到应收尽收，乙方不得以量少、距离远等非正当理由而拒收。如因政策调整需要增加或减少服务范围，乙方须无条件配合并按政策调整后的工作要求履行本合同。乙方同时要求做好厨余垃圾临时贮存点（包括但不限金洲、则徐、大宁等临时贮存点）的管理、维护。</w:t>
      </w:r>
    </w:p>
    <w:p>
      <w:pPr>
        <w:ind w:firstLine="420"/>
        <w:jc w:val="both"/>
      </w:pPr>
      <w:r>
        <w:rPr>
          <w:sz w:val="21"/>
        </w:rPr>
        <w:t>（</w:t>
      </w:r>
      <w:r>
        <w:rPr>
          <w:sz w:val="21"/>
        </w:rPr>
        <w:t>14）乙方擅自将本项目转包或分包给第三方的，甲方有权单方面终止合作协议，并保留要求乙方给予经济赔偿的权利。</w:t>
      </w:r>
    </w:p>
    <w:p>
      <w:pPr>
        <w:ind w:firstLine="420"/>
        <w:jc w:val="both"/>
      </w:pPr>
      <w:r>
        <w:rPr>
          <w:sz w:val="21"/>
        </w:rPr>
        <w:t>（</w:t>
      </w:r>
      <w:r>
        <w:rPr>
          <w:sz w:val="21"/>
        </w:rPr>
        <w:t>15）乙方服务过程中打捞经油水分离器或下水道隔油池分离处理后产生的油脂（地沟油），不纳入计费重量。</w:t>
      </w:r>
    </w:p>
    <w:p>
      <w:pPr>
        <w:ind w:firstLine="420"/>
        <w:jc w:val="both"/>
      </w:pPr>
      <w:r>
        <w:rPr>
          <w:sz w:val="21"/>
        </w:rPr>
        <w:t>（</w:t>
      </w:r>
      <w:r>
        <w:rPr>
          <w:sz w:val="21"/>
        </w:rPr>
        <w:t>16）乙方须制定应急处理方案，如因车辆、厨余垃圾处理设备故障等问题，不能正常运营，导致厨余垃圾收运、处理不及时，需乙方自行解决问题，保证厨余垃圾收运处理运作正常，不断链。</w:t>
      </w:r>
    </w:p>
    <w:p>
      <w:pPr>
        <w:ind w:firstLine="420"/>
        <w:jc w:val="both"/>
      </w:pPr>
    </w:p>
    <w:p>
      <w:pPr>
        <w:jc w:val="center"/>
      </w:pPr>
      <w:r>
        <w:rPr>
          <w:b/>
          <w:sz w:val="21"/>
        </w:rPr>
        <w:t>乙方</w:t>
      </w:r>
      <w:r>
        <w:rPr>
          <w:b/>
          <w:sz w:val="21"/>
        </w:rPr>
        <w:t>需自行购置的设备</w:t>
      </w:r>
      <w:r>
        <w:rPr>
          <w:b/>
          <w:sz w:val="21"/>
        </w:rPr>
        <w:t>及人员</w:t>
      </w:r>
      <w:r>
        <w:rPr>
          <w:b/>
          <w:sz w:val="21"/>
        </w:rPr>
        <w:t>数量和</w:t>
      </w:r>
      <w:r>
        <w:rPr>
          <w:b/>
          <w:sz w:val="21"/>
        </w:rPr>
        <w:t>需求</w:t>
      </w:r>
    </w:p>
    <w:tbl>
      <w:tblPr>
        <w:tblW w:w="0" w:type="auto"/>
        <w:tblBorders>
          <w:top w:val="none" w:color="000000" w:sz="4"/>
          <w:left w:val="none" w:color="000000" w:sz="4"/>
          <w:bottom w:val="none" w:color="000000" w:sz="4"/>
          <w:right w:val="none" w:color="000000" w:sz="4"/>
          <w:insideH w:val="none"/>
          <w:insideV w:val="none"/>
        </w:tblBorders>
      </w:tblPr>
      <w:tblGrid>
        <w:gridCol w:w="626"/>
        <w:gridCol w:w="1324"/>
        <w:gridCol w:w="3048"/>
        <w:gridCol w:w="698"/>
        <w:gridCol w:w="698"/>
        <w:gridCol w:w="1880"/>
      </w:tblGrid>
      <w:tr>
        <w:tc>
          <w:tcPr>
            <w:tcW w:type="dxa" w:w="62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24"/>
            <w:tcBorders>
              <w:top w:val="single" w:color="000000" w:sz="4"/>
              <w:left w:val="none" w:color="000000" w:sz="4"/>
              <w:bottom w:val="single" w:color="000000" w:sz="4"/>
              <w:right w:val="single" w:color="000000" w:sz="4"/>
            </w:tcBorders>
            <w:vAlign w:val="top"/>
          </w:tcPr>
          <w:p>
            <w:pPr>
              <w:jc w:val="center"/>
            </w:pPr>
            <w:r>
              <w:rPr>
                <w:b/>
                <w:sz w:val="21"/>
              </w:rPr>
              <w:t>配套内容</w:t>
            </w:r>
          </w:p>
        </w:tc>
        <w:tc>
          <w:tcPr>
            <w:tcW w:type="dxa" w:w="3048"/>
            <w:tcBorders>
              <w:top w:val="single" w:color="000000" w:sz="4"/>
              <w:left w:val="none" w:color="000000" w:sz="4"/>
              <w:bottom w:val="single" w:color="000000" w:sz="4"/>
              <w:right w:val="single" w:color="000000" w:sz="4"/>
            </w:tcBorders>
            <w:vAlign w:val="top"/>
          </w:tcPr>
          <w:p>
            <w:pPr>
              <w:jc w:val="center"/>
            </w:pPr>
            <w:r>
              <w:rPr>
                <w:b/>
                <w:sz w:val="21"/>
              </w:rPr>
              <w:t>配套规格</w:t>
            </w:r>
          </w:p>
        </w:tc>
        <w:tc>
          <w:tcPr>
            <w:tcW w:type="dxa" w:w="698"/>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98"/>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1880"/>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厨余垃圾处理生产线</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处理量：建设额定处理</w:t>
            </w:r>
            <w:r>
              <w:rPr>
                <w:sz w:val="21"/>
              </w:rPr>
              <w:t>能力不低于</w:t>
            </w:r>
            <w:r>
              <w:rPr>
                <w:sz w:val="21"/>
              </w:rPr>
              <w:t>150</w:t>
            </w:r>
            <w:r>
              <w:rPr>
                <w:sz w:val="21"/>
              </w:rPr>
              <w:t>吨</w:t>
            </w:r>
            <w:r>
              <w:rPr>
                <w:sz w:val="21"/>
              </w:rPr>
              <w:t>/日，包括自动上料、分拣、输送、预处理、废气和废水</w:t>
            </w:r>
            <w:r>
              <w:rPr>
                <w:sz w:val="21"/>
              </w:rPr>
              <w:t>、</w:t>
            </w:r>
            <w:r>
              <w:rPr>
                <w:sz w:val="21"/>
              </w:rPr>
              <w:t>废渣</w:t>
            </w:r>
            <w:r>
              <w:rPr>
                <w:sz w:val="21"/>
              </w:rPr>
              <w:t>处理、全自动控制系统</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880"/>
            <w:tcBorders>
              <w:top w:val="none" w:color="000000" w:sz="4"/>
              <w:left w:val="none" w:color="000000" w:sz="4"/>
              <w:bottom w:val="single" w:color="000000" w:sz="4"/>
              <w:right w:val="single" w:color="000000" w:sz="4"/>
            </w:tcBorders>
            <w:vAlign w:val="top"/>
          </w:tcPr>
          <w:p>
            <w:pPr>
              <w:jc w:val="center"/>
            </w:pP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配套场所</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场所需配套</w:t>
            </w:r>
            <w:r>
              <w:rPr>
                <w:sz w:val="21"/>
              </w:rPr>
              <w:t>符合</w:t>
            </w:r>
            <w:r>
              <w:rPr>
                <w:sz w:val="21"/>
              </w:rPr>
              <w:t>消防、照明、通风、防火防水防盗</w:t>
            </w:r>
            <w:r>
              <w:rPr>
                <w:sz w:val="21"/>
              </w:rPr>
              <w:t>标准</w:t>
            </w:r>
            <w:r>
              <w:rPr>
                <w:sz w:val="21"/>
              </w:rPr>
              <w:t>设施等</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880"/>
            <w:tcBorders>
              <w:top w:val="none" w:color="000000" w:sz="4"/>
              <w:left w:val="none" w:color="000000" w:sz="4"/>
              <w:bottom w:val="single" w:color="000000" w:sz="4"/>
              <w:right w:val="single" w:color="000000" w:sz="4"/>
            </w:tcBorders>
            <w:vAlign w:val="top"/>
          </w:tcPr>
          <w:p>
            <w:pPr>
              <w:jc w:val="center"/>
            </w:pP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密闭厨余垃圾收运车</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配置</w:t>
            </w:r>
            <w:r>
              <w:rPr>
                <w:sz w:val="21"/>
              </w:rPr>
              <w:t>不少于</w:t>
            </w:r>
            <w:r>
              <w:rPr>
                <w:sz w:val="21"/>
              </w:rPr>
              <w:t>10</w:t>
            </w:r>
            <w:r>
              <w:rPr>
                <w:sz w:val="21"/>
              </w:rPr>
              <w:t>辆密闭厨余垃圾收运车</w:t>
            </w:r>
            <w:r>
              <w:rPr>
                <w:sz w:val="21"/>
              </w:rPr>
              <w:t>，</w:t>
            </w:r>
            <w:r>
              <w:rPr>
                <w:sz w:val="21"/>
              </w:rPr>
              <w:t>配置</w:t>
            </w:r>
            <w:r>
              <w:rPr>
                <w:sz w:val="21"/>
              </w:rPr>
              <w:t>车载视频、</w:t>
            </w:r>
            <w:r>
              <w:rPr>
                <w:sz w:val="21"/>
              </w:rPr>
              <w:t>GPS车辆轨迹监控、装卸计量称重系统。</w:t>
            </w:r>
            <w:r>
              <w:rPr>
                <w:sz w:val="21"/>
              </w:rPr>
              <w:t>根据实际收集量增设</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10</w:t>
            </w:r>
          </w:p>
        </w:tc>
        <w:tc>
          <w:tcPr>
            <w:tcW w:type="dxa" w:w="698"/>
            <w:tcBorders>
              <w:top w:val="none" w:color="000000" w:sz="4"/>
              <w:left w:val="none" w:color="000000" w:sz="4"/>
              <w:bottom w:val="single" w:color="000000" w:sz="4"/>
              <w:right w:val="single" w:color="000000" w:sz="4"/>
            </w:tcBorders>
            <w:vAlign w:val="top"/>
          </w:tcPr>
          <w:p>
            <w:pPr>
              <w:jc w:val="center"/>
            </w:pPr>
            <w:r>
              <w:rPr>
                <w:sz w:val="21"/>
              </w:rPr>
              <w:t>辆</w:t>
            </w:r>
          </w:p>
        </w:tc>
        <w:tc>
          <w:tcPr>
            <w:tcW w:type="dxa" w:w="1880"/>
            <w:tcBorders>
              <w:top w:val="none" w:color="000000" w:sz="4"/>
              <w:left w:val="none" w:color="000000" w:sz="4"/>
              <w:bottom w:val="single" w:color="000000" w:sz="4"/>
              <w:right w:val="single" w:color="000000" w:sz="4"/>
            </w:tcBorders>
            <w:vAlign w:val="top"/>
          </w:tcPr>
          <w:p>
            <w:pPr>
              <w:jc w:val="center"/>
            </w:pPr>
            <w:r>
              <w:rPr>
                <w:sz w:val="21"/>
              </w:rPr>
              <w:t>至少包含容量</w:t>
            </w:r>
            <w:r>
              <w:rPr>
                <w:sz w:val="21"/>
              </w:rPr>
              <w:t>4吨、5吨、7吨、8吨的</w:t>
            </w:r>
            <w:r>
              <w:rPr>
                <w:sz w:val="21"/>
              </w:rPr>
              <w:t>密闭厨余垃圾收运车</w:t>
            </w:r>
            <w:r>
              <w:rPr>
                <w:sz w:val="21"/>
              </w:rPr>
              <w:t>，</w:t>
            </w:r>
            <w:r>
              <w:rPr>
                <w:sz w:val="21"/>
              </w:rPr>
              <w:t>满足不同产生源收运需求</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人员队伍</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项目人员至少配置项目经理</w:t>
            </w:r>
            <w:r>
              <w:rPr>
                <w:sz w:val="21"/>
              </w:rPr>
              <w:t>1人、</w:t>
            </w:r>
            <w:r>
              <w:rPr>
                <w:sz w:val="21"/>
              </w:rPr>
              <w:t>车间管理员</w:t>
            </w:r>
            <w:r>
              <w:rPr>
                <w:sz w:val="21"/>
              </w:rPr>
              <w:t>1名、材料员2名、司机11名、巡查员2名，作业工人15名</w:t>
            </w:r>
            <w:r>
              <w:rPr>
                <w:sz w:val="21"/>
              </w:rPr>
              <w:t>；</w:t>
            </w:r>
          </w:p>
        </w:tc>
        <w:tc>
          <w:tcPr>
            <w:tcW w:type="dxa" w:w="698"/>
            <w:tcBorders>
              <w:top w:val="none" w:color="000000" w:sz="4"/>
              <w:left w:val="none" w:color="000000" w:sz="4"/>
              <w:bottom w:val="single" w:color="000000" w:sz="4"/>
              <w:right w:val="single" w:color="000000" w:sz="4"/>
            </w:tcBorders>
            <w:vAlign w:val="top"/>
          </w:tcPr>
          <w:p>
            <w:pPr>
              <w:jc w:val="center"/>
            </w:pPr>
            <w:r>
              <w:rPr>
                <w:sz w:val="21"/>
              </w:rPr>
              <w:t>32</w:t>
            </w:r>
          </w:p>
        </w:tc>
        <w:tc>
          <w:tcPr>
            <w:tcW w:type="dxa" w:w="698"/>
            <w:tcBorders>
              <w:top w:val="none" w:color="000000" w:sz="4"/>
              <w:left w:val="none" w:color="000000" w:sz="4"/>
              <w:bottom w:val="single" w:color="000000" w:sz="4"/>
              <w:right w:val="single" w:color="000000" w:sz="4"/>
            </w:tcBorders>
            <w:vAlign w:val="top"/>
          </w:tcPr>
          <w:p>
            <w:pPr>
              <w:jc w:val="center"/>
            </w:pPr>
            <w:r>
              <w:rPr>
                <w:sz w:val="21"/>
              </w:rPr>
              <w:t>人</w:t>
            </w:r>
          </w:p>
        </w:tc>
        <w:tc>
          <w:tcPr>
            <w:tcW w:type="dxa" w:w="1880"/>
            <w:tcBorders>
              <w:top w:val="none" w:color="000000" w:sz="4"/>
              <w:left w:val="none" w:color="000000" w:sz="4"/>
              <w:bottom w:val="single" w:color="000000" w:sz="4"/>
              <w:right w:val="single" w:color="000000" w:sz="4"/>
            </w:tcBorders>
            <w:vAlign w:val="top"/>
          </w:tcPr>
          <w:p>
            <w:pPr>
              <w:jc w:val="center"/>
            </w:pPr>
            <w:r>
              <w:rPr>
                <w:sz w:val="21"/>
              </w:rPr>
              <w:t>司机需持有合格的驾驶证。</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秤重系统</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按要求建设</w:t>
            </w:r>
            <w:r>
              <w:rPr>
                <w:sz w:val="21"/>
              </w:rPr>
              <w:t>30</w:t>
            </w:r>
            <w:r>
              <w:rPr>
                <w:sz w:val="21"/>
              </w:rPr>
              <w:t>吨以上地磅系统一套，</w:t>
            </w:r>
            <w:r>
              <w:rPr>
                <w:sz w:val="21"/>
              </w:rPr>
              <w:t>每半年提供一次检定证书</w:t>
            </w:r>
            <w:r>
              <w:rPr>
                <w:sz w:val="21"/>
              </w:rPr>
              <w:t>。</w:t>
            </w:r>
            <w:r>
              <w:rPr>
                <w:sz w:val="21"/>
              </w:rPr>
              <w:t>将</w:t>
            </w:r>
            <w:r>
              <w:rPr>
                <w:sz w:val="21"/>
              </w:rPr>
              <w:t>运行数据接入</w:t>
            </w:r>
            <w:r>
              <w:rPr>
                <w:sz w:val="21"/>
              </w:rPr>
              <w:t>甲方指挥中心</w:t>
            </w:r>
            <w:r>
              <w:rPr>
                <w:sz w:val="21"/>
              </w:rPr>
              <w:t>，接受</w:t>
            </w:r>
            <w:r>
              <w:rPr>
                <w:sz w:val="21"/>
              </w:rPr>
              <w:t>甲方</w:t>
            </w:r>
            <w:r>
              <w:rPr>
                <w:sz w:val="21"/>
              </w:rPr>
              <w:t>考核监督</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80"/>
            <w:tcBorders>
              <w:top w:val="none" w:color="000000" w:sz="4"/>
              <w:left w:val="none" w:color="000000" w:sz="4"/>
              <w:bottom w:val="single" w:color="000000" w:sz="4"/>
              <w:right w:val="single" w:color="000000" w:sz="4"/>
            </w:tcBorders>
            <w:vAlign w:val="top"/>
          </w:tcPr>
          <w:p>
            <w:pPr>
              <w:jc w:val="center"/>
            </w:pPr>
            <w:r>
              <w:rPr>
                <w:sz w:val="21"/>
              </w:rPr>
              <w:t>检测费用由乙方负责。接入甲方指挥中心相关费用，由乙方负责。</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除臭设备</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按设计要求，安装除臭设备一套</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80"/>
            <w:tcBorders>
              <w:top w:val="none" w:color="000000" w:sz="4"/>
              <w:left w:val="none" w:color="000000" w:sz="4"/>
              <w:bottom w:val="single" w:color="000000" w:sz="4"/>
              <w:right w:val="single" w:color="000000" w:sz="4"/>
            </w:tcBorders>
            <w:vAlign w:val="top"/>
          </w:tcPr>
          <w:p>
            <w:pPr>
              <w:jc w:val="both"/>
            </w:pPr>
            <w:r>
              <w:rPr>
                <w:sz w:val="21"/>
              </w:rPr>
              <w:t>除臭设备能正常使用，并且定期对设备进行检查和维护</w:t>
            </w:r>
            <w:r>
              <w:rPr>
                <w:sz w:val="21"/>
              </w:rPr>
              <w:t>。</w:t>
            </w: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视频监控系统</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安装视频监控系统一套，可实现远程监控。</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80"/>
            <w:tcBorders>
              <w:top w:val="none" w:color="000000" w:sz="4"/>
              <w:left w:val="none" w:color="000000" w:sz="4"/>
              <w:bottom w:val="single" w:color="000000" w:sz="4"/>
              <w:right w:val="single" w:color="000000" w:sz="4"/>
            </w:tcBorders>
            <w:vAlign w:val="top"/>
          </w:tcPr>
          <w:p>
            <w:pPr>
              <w:jc w:val="center"/>
            </w:pPr>
          </w:p>
        </w:tc>
      </w:tr>
      <w:tr>
        <w:tc>
          <w:tcPr>
            <w:tcW w:type="dxa" w:w="62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24"/>
            <w:tcBorders>
              <w:top w:val="none" w:color="000000" w:sz="4"/>
              <w:left w:val="none" w:color="000000" w:sz="4"/>
              <w:bottom w:val="single" w:color="000000" w:sz="4"/>
              <w:right w:val="single" w:color="000000" w:sz="4"/>
            </w:tcBorders>
            <w:vAlign w:val="top"/>
          </w:tcPr>
          <w:p>
            <w:pPr>
              <w:jc w:val="center"/>
            </w:pPr>
            <w:r>
              <w:rPr>
                <w:sz w:val="21"/>
              </w:rPr>
              <w:t>高压清洗设备</w:t>
            </w:r>
          </w:p>
        </w:tc>
        <w:tc>
          <w:tcPr>
            <w:tcW w:type="dxa" w:w="3048"/>
            <w:tcBorders>
              <w:top w:val="none" w:color="000000" w:sz="4"/>
              <w:left w:val="none" w:color="000000" w:sz="4"/>
              <w:bottom w:val="single" w:color="000000" w:sz="4"/>
              <w:right w:val="single" w:color="000000" w:sz="4"/>
            </w:tcBorders>
            <w:vAlign w:val="top"/>
          </w:tcPr>
          <w:p>
            <w:pPr>
              <w:jc w:val="center"/>
            </w:pPr>
            <w:r>
              <w:rPr>
                <w:sz w:val="21"/>
              </w:rPr>
              <w:t>配置高压冲洗机一套</w:t>
            </w:r>
          </w:p>
        </w:tc>
        <w:tc>
          <w:tcPr>
            <w:tcW w:type="dxa" w:w="698"/>
            <w:tcBorders>
              <w:top w:val="none" w:color="000000" w:sz="4"/>
              <w:left w:val="none" w:color="000000" w:sz="4"/>
              <w:bottom w:val="single" w:color="000000" w:sz="4"/>
              <w:right w:val="single" w:color="000000" w:sz="4"/>
            </w:tcBorders>
            <w:vAlign w:val="top"/>
          </w:tcPr>
          <w:p>
            <w:pPr>
              <w:jc w:val="center"/>
            </w:pPr>
            <w:r>
              <w:rPr>
                <w:sz w:val="21"/>
              </w:rPr>
              <w:t>1</w:t>
            </w:r>
          </w:p>
        </w:tc>
        <w:tc>
          <w:tcPr>
            <w:tcW w:type="dxa" w:w="698"/>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80"/>
            <w:tcBorders>
              <w:top w:val="none" w:color="000000" w:sz="4"/>
              <w:left w:val="none" w:color="000000" w:sz="4"/>
              <w:bottom w:val="single" w:color="000000" w:sz="4"/>
              <w:right w:val="single" w:color="000000" w:sz="4"/>
            </w:tcBorders>
            <w:vAlign w:val="top"/>
          </w:tcPr>
          <w:p>
            <w:pPr>
              <w:jc w:val="center"/>
            </w:pPr>
          </w:p>
        </w:tc>
      </w:tr>
    </w:tbl>
    <w:p>
      <w:pPr>
        <w:ind w:firstLine="440"/>
        <w:jc w:val="both"/>
      </w:pPr>
      <w:r>
        <w:rPr>
          <w:sz w:val="21"/>
        </w:rPr>
        <w:t>备注：</w:t>
      </w:r>
    </w:p>
    <w:p>
      <w:pPr>
        <w:ind w:firstLine="440"/>
        <w:jc w:val="both"/>
      </w:pPr>
      <w:r>
        <w:rPr>
          <w:sz w:val="21"/>
        </w:rPr>
        <w:t>1.</w:t>
      </w:r>
      <w:r>
        <w:rPr>
          <w:sz w:val="21"/>
        </w:rPr>
        <w:t>乙方</w:t>
      </w:r>
      <w:r>
        <w:rPr>
          <w:sz w:val="21"/>
        </w:rPr>
        <w:t>负责投资建设包括但不限上表所列内容和要求，负责所有配套设备设施、车辆、站点等日常维护保养，承担包括不限于基建折旧费、电费、除臭费、设备保养费、维修费、设备折旧费、工人工资、工人福利、管理费、税金等</w:t>
      </w:r>
      <w:r>
        <w:rPr>
          <w:sz w:val="21"/>
        </w:rPr>
        <w:t>乙方</w:t>
      </w:r>
      <w:r>
        <w:rPr>
          <w:sz w:val="21"/>
        </w:rPr>
        <w:t>为履行本合同而产生全部的费用，以及辅料、废水废气处理所需添加的除臭剂等消耗材料，收运车用油</w:t>
      </w:r>
      <w:r>
        <w:rPr>
          <w:sz w:val="21"/>
        </w:rPr>
        <w:t>/保险/年检/维修保养等、垃圾收运/处理及产出物后续终处理等所有费用，</w:t>
      </w:r>
      <w:r>
        <w:rPr>
          <w:sz w:val="21"/>
        </w:rPr>
        <w:t>乙方</w:t>
      </w:r>
      <w:r>
        <w:rPr>
          <w:sz w:val="21"/>
        </w:rPr>
        <w:t>需保证服务期内设备设施的正常运作，</w:t>
      </w:r>
      <w:r>
        <w:rPr>
          <w:sz w:val="21"/>
        </w:rPr>
        <w:t>甲方</w:t>
      </w:r>
      <w:r>
        <w:rPr>
          <w:sz w:val="21"/>
        </w:rPr>
        <w:t>支付了服务费后，不再支付任何其它费用。</w:t>
      </w:r>
    </w:p>
    <w:p>
      <w:pPr>
        <w:ind w:firstLine="440"/>
        <w:jc w:val="both"/>
      </w:pPr>
      <w:r>
        <w:rPr>
          <w:sz w:val="21"/>
        </w:rPr>
        <w:t>2.所有配套须在</w:t>
      </w:r>
      <w:r>
        <w:rPr>
          <w:sz w:val="21"/>
        </w:rPr>
        <w:t>合同签订</w:t>
      </w:r>
      <w:r>
        <w:rPr>
          <w:sz w:val="21"/>
        </w:rPr>
        <w:t>前完成投入并启动正常运营。</w:t>
      </w:r>
    </w:p>
    <w:p>
      <w:pPr>
        <w:ind w:firstLine="440"/>
        <w:jc w:val="both"/>
      </w:pPr>
      <w:r>
        <w:rPr>
          <w:sz w:val="21"/>
        </w:rPr>
        <w:t>3.上述</w:t>
      </w:r>
      <w:r>
        <w:rPr>
          <w:sz w:val="21"/>
        </w:rPr>
        <w:t>乙方</w:t>
      </w:r>
      <w:r>
        <w:rPr>
          <w:sz w:val="21"/>
        </w:rPr>
        <w:t>负责投资建设的建筑、设备、系统等均为</w:t>
      </w:r>
      <w:r>
        <w:rPr>
          <w:sz w:val="21"/>
        </w:rPr>
        <w:t>乙方</w:t>
      </w:r>
      <w:r>
        <w:rPr>
          <w:sz w:val="21"/>
        </w:rPr>
        <w:t>所有，</w:t>
      </w:r>
      <w:r>
        <w:rPr>
          <w:sz w:val="21"/>
        </w:rPr>
        <w:t>服务</w:t>
      </w:r>
      <w:r>
        <w:rPr>
          <w:sz w:val="21"/>
        </w:rPr>
        <w:t>期满后，由</w:t>
      </w:r>
      <w:r>
        <w:rPr>
          <w:sz w:val="21"/>
        </w:rPr>
        <w:t>乙方</w:t>
      </w:r>
      <w:r>
        <w:rPr>
          <w:sz w:val="21"/>
        </w:rPr>
        <w:t>自行处理</w:t>
      </w:r>
      <w:r>
        <w:rPr>
          <w:sz w:val="21"/>
        </w:rPr>
        <w:t>。</w:t>
      </w:r>
    </w:p>
    <w:p>
      <w:pPr>
        <w:jc w:val="both"/>
      </w:pPr>
      <w:r>
        <w:rPr>
          <w:b/>
          <w:sz w:val="24"/>
        </w:rPr>
        <w:t>（三）退出机制</w:t>
      </w:r>
    </w:p>
    <w:p>
      <w:pPr>
        <w:ind w:firstLine="440"/>
        <w:jc w:val="both"/>
      </w:pPr>
      <w:r>
        <w:rPr>
          <w:sz w:val="21"/>
        </w:rPr>
        <w:t>（</w:t>
      </w:r>
      <w:r>
        <w:rPr>
          <w:sz w:val="21"/>
        </w:rPr>
        <w:t>1）甲方根据《</w:t>
      </w:r>
      <w:r>
        <w:rPr>
          <w:sz w:val="21"/>
        </w:rPr>
        <w:t>东莞市虎门镇厨余垃圾收运处理项目月度考核评分表</w:t>
      </w:r>
      <w:r>
        <w:rPr>
          <w:sz w:val="21"/>
        </w:rPr>
        <w:t>》对乙方进行考核，如乙方每一个自然年度内累计</w:t>
      </w:r>
      <w:r>
        <w:rPr>
          <w:sz w:val="21"/>
        </w:rPr>
        <w:t>3次或连续2次不合格（低于60分），甲方有权终止合同。</w:t>
      </w:r>
    </w:p>
    <w:p>
      <w:pPr>
        <w:ind w:firstLine="440"/>
        <w:jc w:val="both"/>
      </w:pPr>
      <w:r>
        <w:rPr>
          <w:sz w:val="21"/>
        </w:rPr>
        <w:t>（</w:t>
      </w:r>
      <w:r>
        <w:rPr>
          <w:sz w:val="21"/>
        </w:rPr>
        <w:t>2）甲方如发现乙方有自毁、自盗行为，甲方有权单方面终止合同，乙方承担自毁、自盗行为的相关法律责任。</w:t>
      </w:r>
    </w:p>
    <w:p>
      <w:pPr>
        <w:ind w:firstLine="440"/>
        <w:jc w:val="both"/>
      </w:pPr>
      <w:r>
        <w:rPr>
          <w:sz w:val="21"/>
        </w:rPr>
        <w:t>（</w:t>
      </w:r>
      <w:r>
        <w:rPr>
          <w:sz w:val="21"/>
        </w:rPr>
        <w:t>3）在项目服务期间，未将厨余垃圾运到厨余垃圾处理站处理，如偷倒或自行其他途径处理的或接受未经许可的厨余垃圾（含跨区域的厨余垃圾），甲方有权终止合同。</w:t>
      </w:r>
    </w:p>
    <w:p>
      <w:pPr>
        <w:jc w:val="both"/>
      </w:pPr>
      <w:r>
        <w:rPr>
          <w:b/>
          <w:sz w:val="24"/>
        </w:rPr>
        <w:t>（四）项目考核要求</w:t>
      </w:r>
    </w:p>
    <w:p>
      <w:pPr>
        <w:ind w:firstLine="440"/>
        <w:jc w:val="both"/>
      </w:pPr>
      <w:r>
        <w:rPr>
          <w:sz w:val="21"/>
        </w:rPr>
        <w:t>（</w:t>
      </w:r>
      <w:r>
        <w:rPr>
          <w:sz w:val="21"/>
        </w:rPr>
        <w:t>1）甲方对乙方可进行监督、检查和指导，乙方必须无条件的服从甲方组织一些突击性任务及迎接检查活动。如发现乙方组织不当，计划不落实，导致处理服务达不到规定的，由甲方对乙方进行书面通知警告，在接到书面通知后，乙方必须在规定期限内整改。若整改后乙方依然未达要求，则根据《东莞市虎门镇厨余垃圾收运处理项目月度考核评分表》进行考核扣分。</w:t>
      </w:r>
    </w:p>
    <w:p>
      <w:pPr>
        <w:ind w:firstLine="440"/>
        <w:jc w:val="both"/>
      </w:pPr>
      <w:r>
        <w:rPr>
          <w:sz w:val="21"/>
        </w:rPr>
        <w:t>（</w:t>
      </w:r>
      <w:r>
        <w:rPr>
          <w:sz w:val="21"/>
        </w:rPr>
        <w:t>2）在项目服务期间，如发生环境污染事故或其它违反环保有关规定的事件，受到环保部门通报、处罚或新闻媒体曝光的，除乙方承担全部法律及经济责任外，对甲方造成经济及相关损失的，损失的费用需由乙方自行承担。</w:t>
      </w:r>
    </w:p>
    <w:p>
      <w:pPr>
        <w:ind w:firstLine="440"/>
        <w:jc w:val="both"/>
      </w:pPr>
      <w:r>
        <w:rPr>
          <w:sz w:val="21"/>
        </w:rPr>
        <w:t>（</w:t>
      </w:r>
      <w:r>
        <w:rPr>
          <w:sz w:val="21"/>
        </w:rPr>
        <w:t>3）在项目服务期间，由于乙方原因，造成人身安全等生产事故的，除乙方承担全部法律及经济责任外，对甲方造成经济及相关损失的，损失的费用需由乙方自行承担。</w:t>
      </w:r>
    </w:p>
    <w:p>
      <w:pPr>
        <w:ind w:firstLine="440"/>
        <w:jc w:val="both"/>
      </w:pPr>
      <w:r>
        <w:rPr>
          <w:sz w:val="21"/>
        </w:rPr>
        <w:t>（</w:t>
      </w:r>
      <w:r>
        <w:rPr>
          <w:sz w:val="21"/>
        </w:rPr>
        <w:t>4）在项目服务期间，由于乙方在收运过程中，未将厨余垃圾运到厨余垃圾处理站处理，如偷倒或自行其他途径处理的，发现情形严重的，甲方有权与乙方终止合同。</w:t>
      </w:r>
    </w:p>
    <w:p>
      <w:pPr>
        <w:jc w:val="both"/>
      </w:pPr>
      <w:r>
        <w:rPr>
          <w:b/>
          <w:sz w:val="24"/>
        </w:rPr>
        <w:t>（五）考核标准</w:t>
      </w:r>
    </w:p>
    <w:p>
      <w:pPr>
        <w:jc w:val="center"/>
      </w:pPr>
      <w:r>
        <w:rPr>
          <w:b/>
          <w:sz w:val="21"/>
        </w:rPr>
        <w:t>东莞市虎门镇厨余垃圾收运处理项目</w:t>
      </w:r>
      <w:r>
        <w:rPr>
          <w:b/>
          <w:sz w:val="21"/>
        </w:rPr>
        <w:t>月度考核</w:t>
      </w:r>
      <w:r>
        <w:rPr>
          <w:b/>
          <w:sz w:val="21"/>
        </w:rPr>
        <w:t>评分表</w:t>
      </w:r>
    </w:p>
    <w:p>
      <w:pPr>
        <w:jc w:val="right"/>
      </w:pPr>
      <w:r>
        <w:rPr>
          <w:sz w:val="21"/>
        </w:rPr>
        <w:t xml:space="preserve"> </w:t>
      </w:r>
      <w:r>
        <w:rPr>
          <w:sz w:val="21"/>
        </w:rPr>
        <w:t>考评时间：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005"/>
        <w:gridCol w:w="6150"/>
        <w:gridCol w:w="930"/>
      </w:tblGrid>
      <w:tr>
        <w:tc>
          <w:tcPr>
            <w:tcW w:type="dxa" w:w="1005"/>
            <w:tcBorders>
              <w:top w:val="single" w:color="000000" w:sz="4"/>
              <w:left w:val="single" w:color="000000" w:sz="4"/>
              <w:bottom w:val="single" w:color="000000" w:sz="4"/>
              <w:right w:val="single" w:color="000000" w:sz="4"/>
            </w:tcBorders>
            <w:vAlign w:val="top"/>
          </w:tcPr>
          <w:p>
            <w:pPr>
              <w:jc w:val="center"/>
            </w:pPr>
            <w:r>
              <w:rPr>
                <w:b/>
                <w:sz w:val="21"/>
              </w:rPr>
              <w:t>检查内容</w:t>
            </w:r>
          </w:p>
        </w:tc>
        <w:tc>
          <w:tcPr>
            <w:tcW w:type="dxa" w:w="6150"/>
            <w:tcBorders>
              <w:top w:val="single" w:color="000000" w:sz="4"/>
              <w:left w:val="single" w:color="000000" w:sz="4"/>
              <w:bottom w:val="single" w:color="000000" w:sz="4"/>
              <w:right w:val="single" w:color="000000" w:sz="4"/>
            </w:tcBorders>
            <w:vAlign w:val="top"/>
          </w:tcPr>
          <w:p>
            <w:pPr>
              <w:jc w:val="center"/>
            </w:pPr>
            <w:r>
              <w:rPr>
                <w:b/>
                <w:sz w:val="21"/>
              </w:rPr>
              <w:t>评分标准</w:t>
            </w:r>
          </w:p>
        </w:tc>
        <w:tc>
          <w:tcPr>
            <w:tcW w:type="dxa" w:w="930"/>
            <w:tcBorders>
              <w:top w:val="single" w:color="000000" w:sz="4"/>
              <w:left w:val="single" w:color="000000" w:sz="4"/>
              <w:bottom w:val="single" w:color="000000" w:sz="4"/>
              <w:right w:val="single" w:color="000000" w:sz="4"/>
            </w:tcBorders>
            <w:vAlign w:val="top"/>
          </w:tcPr>
          <w:p>
            <w:pPr>
              <w:jc w:val="center"/>
            </w:pPr>
            <w:r>
              <w:rPr>
                <w:b/>
                <w:sz w:val="21"/>
              </w:rPr>
              <w:t>扣分</w:t>
            </w:r>
          </w:p>
        </w:tc>
      </w:tr>
      <w:tr>
        <w:tc>
          <w:tcPr>
            <w:tcW w:type="dxa" w:w="1005"/>
            <w:vMerge w:val="restart"/>
            <w:tcBorders>
              <w:top w:val="none" w:color="000000" w:sz="4"/>
              <w:left w:val="single" w:color="000000" w:sz="4"/>
              <w:bottom w:val="single" w:color="000000" w:sz="4"/>
              <w:right w:val="single" w:color="000000" w:sz="4"/>
            </w:tcBorders>
            <w:vAlign w:val="top"/>
          </w:tcPr>
          <w:p>
            <w:pPr>
              <w:jc w:val="center"/>
            </w:pPr>
            <w:r>
              <w:rPr>
                <w:sz w:val="21"/>
              </w:rPr>
              <w:t>厨余</w:t>
            </w:r>
            <w:r>
              <w:rPr>
                <w:sz w:val="21"/>
              </w:rPr>
              <w:t>垃圾收集和运输（</w:t>
            </w:r>
            <w:r>
              <w:rPr>
                <w:sz w:val="21"/>
              </w:rPr>
              <w:t>30分</w:t>
            </w:r>
            <w:r>
              <w:rPr>
                <w:sz w:val="21"/>
              </w:rPr>
              <w:t>）</w:t>
            </w:r>
          </w:p>
        </w:tc>
        <w:tc>
          <w:tcPr>
            <w:tcW w:type="dxa" w:w="6150"/>
            <w:tcBorders>
              <w:top w:val="none" w:color="000000" w:sz="4"/>
              <w:left w:val="single" w:color="000000" w:sz="4"/>
              <w:bottom w:val="single" w:color="000000" w:sz="4"/>
              <w:right w:val="single" w:color="000000" w:sz="4"/>
            </w:tcBorders>
            <w:vAlign w:val="top"/>
          </w:tcPr>
          <w:p>
            <w:pPr>
              <w:jc w:val="both"/>
            </w:pPr>
            <w:r>
              <w:rPr>
                <w:sz w:val="21"/>
              </w:rPr>
              <w:t>1、按要求每日将厨余垃圾运至</w:t>
            </w:r>
            <w:r>
              <w:rPr>
                <w:sz w:val="21"/>
              </w:rPr>
              <w:t>厨余</w:t>
            </w:r>
            <w:r>
              <w:rPr>
                <w:sz w:val="21"/>
              </w:rPr>
              <w:t>垃圾处理站，收运点和处理站的</w:t>
            </w:r>
            <w:r>
              <w:rPr>
                <w:sz w:val="21"/>
              </w:rPr>
              <w:t>厨余垃圾日产日清</w:t>
            </w:r>
            <w:r>
              <w:rPr>
                <w:sz w:val="21"/>
              </w:rPr>
              <w:t>，不符合每次扣</w:t>
            </w:r>
            <w:r>
              <w:rPr>
                <w:sz w:val="21"/>
              </w:rPr>
              <w:t>1</w:t>
            </w:r>
            <w:r>
              <w:rPr>
                <w:sz w:val="21"/>
              </w:rPr>
              <w:t>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2、在收集运输过程中，沿路不得</w:t>
            </w:r>
            <w:r>
              <w:rPr>
                <w:sz w:val="21"/>
              </w:rPr>
              <w:t>有</w:t>
            </w:r>
            <w:r>
              <w:rPr>
                <w:sz w:val="21"/>
              </w:rPr>
              <w:t>“</w:t>
            </w:r>
            <w:r>
              <w:rPr>
                <w:sz w:val="21"/>
              </w:rPr>
              <w:t>抛、洒、滴、漏</w:t>
            </w:r>
            <w:r>
              <w:rPr>
                <w:sz w:val="21"/>
              </w:rPr>
              <w:t>”现象。不符合的每次扣</w:t>
            </w:r>
            <w:r>
              <w:rPr>
                <w:sz w:val="21"/>
              </w:rPr>
              <w:t>1</w:t>
            </w:r>
            <w:r>
              <w:rPr>
                <w:sz w:val="21"/>
              </w:rPr>
              <w:t>分，</w:t>
            </w:r>
            <w:r>
              <w:rPr>
                <w:sz w:val="21"/>
              </w:rPr>
              <w:t>造成投诉的扣</w:t>
            </w:r>
            <w:r>
              <w:rPr>
                <w:sz w:val="21"/>
              </w:rPr>
              <w:t>5分。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3、</w:t>
            </w:r>
            <w:r>
              <w:rPr>
                <w:sz w:val="21"/>
              </w:rPr>
              <w:t>收运车辆按照规定保持车况良好、车容整洁</w:t>
            </w:r>
            <w:r>
              <w:rPr>
                <w:sz w:val="21"/>
              </w:rPr>
              <w:t>，</w:t>
            </w:r>
            <w:r>
              <w:rPr>
                <w:sz w:val="21"/>
              </w:rPr>
              <w:t>喷涂统一标识。</w:t>
            </w:r>
            <w:r>
              <w:rPr>
                <w:sz w:val="21"/>
              </w:rPr>
              <w:t>不符合的每次扣</w:t>
            </w:r>
            <w:r>
              <w:rPr>
                <w:sz w:val="21"/>
              </w:rPr>
              <w:t>1</w:t>
            </w:r>
            <w:r>
              <w:rPr>
                <w:sz w:val="21"/>
              </w:rPr>
              <w:t>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4、不得超过约定时间或</w:t>
            </w:r>
            <w:r>
              <w:rPr>
                <w:sz w:val="21"/>
              </w:rPr>
              <w:t>不正当理由</w:t>
            </w:r>
            <w:r>
              <w:rPr>
                <w:sz w:val="21"/>
              </w:rPr>
              <w:t>拒收厨余产生单位的厨余垃圾</w:t>
            </w:r>
            <w:r>
              <w:rPr>
                <w:sz w:val="21"/>
              </w:rPr>
              <w:t>，</w:t>
            </w:r>
            <w:r>
              <w:rPr>
                <w:sz w:val="21"/>
              </w:rPr>
              <w:t>或服务过程中，造成产生源点位投诉的，</w:t>
            </w:r>
            <w:r>
              <w:rPr>
                <w:sz w:val="21"/>
              </w:rPr>
              <w:t>每</w:t>
            </w:r>
            <w:r>
              <w:rPr>
                <w:sz w:val="21"/>
              </w:rPr>
              <w:t>间</w:t>
            </w:r>
            <w:r>
              <w:rPr>
                <w:sz w:val="21"/>
              </w:rPr>
              <w:t>扣</w:t>
            </w:r>
            <w:r>
              <w:rPr>
                <w:sz w:val="21"/>
              </w:rPr>
              <w:t>1</w:t>
            </w:r>
            <w:r>
              <w:rPr>
                <w:sz w:val="21"/>
              </w:rPr>
              <w:t>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5、收运车辆须按照规定安装GPS监控、行驶记录仪、装卸计量称重系统和视频监控系统，并接入</w:t>
            </w:r>
            <w:r>
              <w:rPr>
                <w:sz w:val="21"/>
              </w:rPr>
              <w:t>甲方</w:t>
            </w:r>
            <w:r>
              <w:rPr>
                <w:sz w:val="21"/>
              </w:rPr>
              <w:t>数字监管平台</w:t>
            </w:r>
            <w:r>
              <w:rPr>
                <w:sz w:val="21"/>
              </w:rPr>
              <w:t>，</w:t>
            </w:r>
            <w:r>
              <w:rPr>
                <w:sz w:val="21"/>
              </w:rPr>
              <w:t>若甲方数字监管平台升级，须无条件进行设备升级</w:t>
            </w:r>
            <w:r>
              <w:rPr>
                <w:sz w:val="21"/>
              </w:rPr>
              <w:t>。未按要求安装或接入的，</w:t>
            </w:r>
            <w:r>
              <w:rPr>
                <w:sz w:val="21"/>
              </w:rPr>
              <w:t>每项</w:t>
            </w:r>
            <w:r>
              <w:rPr>
                <w:sz w:val="21"/>
              </w:rPr>
              <w:t>每次扣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6、乙方须按甲方要求使用信息化收运登记系统进行管理，未按要求规范使用的，每次扣1分。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7、在收集作业后，要求收集容器桶身洁净无明显污渍，产生源收集点环境友好。</w:t>
            </w:r>
            <w:r>
              <w:rPr>
                <w:sz w:val="21"/>
              </w:rPr>
              <w:t>不符合的每次扣</w:t>
            </w:r>
            <w:r>
              <w:rPr>
                <w:sz w:val="21"/>
              </w:rPr>
              <w:t>1</w:t>
            </w:r>
            <w:r>
              <w:rPr>
                <w:sz w:val="21"/>
              </w:rPr>
              <w:t>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val="restart"/>
            <w:tcBorders>
              <w:top w:val="none" w:color="000000" w:sz="4"/>
              <w:left w:val="single" w:color="000000" w:sz="4"/>
              <w:bottom w:val="single" w:color="000000" w:sz="4"/>
              <w:right w:val="single" w:color="000000" w:sz="4"/>
            </w:tcBorders>
            <w:vAlign w:val="top"/>
          </w:tcPr>
          <w:p>
            <w:pPr>
              <w:jc w:val="center"/>
            </w:pPr>
            <w:r>
              <w:rPr>
                <w:sz w:val="21"/>
              </w:rPr>
              <w:t>无害化处理（</w:t>
            </w:r>
            <w:r>
              <w:rPr>
                <w:sz w:val="21"/>
              </w:rPr>
              <w:t>30分）</w:t>
            </w:r>
          </w:p>
        </w:tc>
        <w:tc>
          <w:tcPr>
            <w:tcW w:type="dxa" w:w="6150"/>
            <w:tcBorders>
              <w:top w:val="none" w:color="000000" w:sz="4"/>
              <w:left w:val="single" w:color="000000" w:sz="4"/>
              <w:bottom w:val="single" w:color="000000" w:sz="4"/>
              <w:right w:val="single" w:color="000000" w:sz="4"/>
            </w:tcBorders>
            <w:vAlign w:val="top"/>
          </w:tcPr>
          <w:p>
            <w:pPr>
              <w:jc w:val="both"/>
            </w:pPr>
            <w:r>
              <w:rPr>
                <w:sz w:val="21"/>
              </w:rPr>
              <w:t>1、项目</w:t>
            </w:r>
            <w:r>
              <w:rPr>
                <w:sz w:val="21"/>
              </w:rPr>
              <w:t>服务过程中产出的副产品</w:t>
            </w:r>
            <w:r>
              <w:rPr>
                <w:sz w:val="21"/>
              </w:rPr>
              <w:t>进行收集规范处理，</w:t>
            </w:r>
            <w:r>
              <w:rPr>
                <w:sz w:val="21"/>
              </w:rPr>
              <w:t>达到无害化、资源化利用处理</w:t>
            </w:r>
            <w:r>
              <w:rPr>
                <w:sz w:val="21"/>
              </w:rPr>
              <w:t>，</w:t>
            </w:r>
            <w:r>
              <w:rPr>
                <w:sz w:val="21"/>
              </w:rPr>
              <w:t>处置去向需建立台账，不得直接倾倒。</w:t>
            </w:r>
            <w:r>
              <w:rPr>
                <w:sz w:val="21"/>
              </w:rPr>
              <w:t>不符合的每次扣</w:t>
            </w:r>
            <w:r>
              <w:rPr>
                <w:sz w:val="21"/>
              </w:rPr>
              <w:t>2</w:t>
            </w:r>
            <w:r>
              <w:rPr>
                <w:sz w:val="21"/>
              </w:rPr>
              <w:t>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2</w:t>
            </w:r>
            <w:r>
              <w:rPr>
                <w:sz w:val="21"/>
              </w:rPr>
              <w:t>、服务过程中，</w:t>
            </w:r>
            <w:r>
              <w:rPr>
                <w:sz w:val="21"/>
              </w:rPr>
              <w:t>乙方</w:t>
            </w:r>
            <w:r>
              <w:rPr>
                <w:sz w:val="21"/>
              </w:rPr>
              <w:t>须保证降解过程中废气</w:t>
            </w:r>
            <w:r>
              <w:rPr>
                <w:sz w:val="21"/>
              </w:rPr>
              <w:t>、</w:t>
            </w:r>
            <w:r>
              <w:rPr>
                <w:sz w:val="21"/>
              </w:rPr>
              <w:t>废水</w:t>
            </w:r>
            <w:r>
              <w:rPr>
                <w:sz w:val="21"/>
              </w:rPr>
              <w:t>的排放符合国家及地方相关要求，避免影响周边环境</w:t>
            </w:r>
            <w:r>
              <w:rPr>
                <w:sz w:val="21"/>
              </w:rPr>
              <w:t>。</w:t>
            </w:r>
            <w:r>
              <w:rPr>
                <w:sz w:val="21"/>
              </w:rPr>
              <w:t>每半年提供一次第三方检测报告，检测结果不达标或规定时间未进行检测的，每项每次扣</w:t>
            </w:r>
            <w:r>
              <w:rPr>
                <w:sz w:val="21"/>
              </w:rPr>
              <w:t>5分。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3</w:t>
            </w:r>
            <w:r>
              <w:rPr>
                <w:sz w:val="21"/>
              </w:rPr>
              <w:t>、厨余垃圾处理站运行过程中所产生的噪音，在站外</w:t>
            </w:r>
            <w:r>
              <w:rPr>
                <w:sz w:val="21"/>
              </w:rPr>
              <w:t>3米范围内</w:t>
            </w:r>
            <w:r>
              <w:rPr>
                <w:sz w:val="21"/>
              </w:rPr>
              <w:t>不得超过</w:t>
            </w:r>
            <w:r>
              <w:rPr>
                <w:sz w:val="21"/>
              </w:rPr>
              <w:t>85db</w:t>
            </w:r>
            <w:r>
              <w:rPr>
                <w:sz w:val="21"/>
              </w:rPr>
              <w:t>。</w:t>
            </w:r>
            <w:r>
              <w:rPr>
                <w:sz w:val="21"/>
              </w:rPr>
              <w:t>超过每次扣</w:t>
            </w:r>
            <w:r>
              <w:rPr>
                <w:sz w:val="21"/>
              </w:rPr>
              <w:t>2分。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4</w:t>
            </w:r>
            <w:r>
              <w:rPr>
                <w:sz w:val="21"/>
              </w:rPr>
              <w:t>、厨余垃圾运输车辆行驶路线不得超出</w:t>
            </w:r>
            <w:r>
              <w:rPr>
                <w:sz w:val="21"/>
              </w:rPr>
              <w:t>虎门</w:t>
            </w:r>
            <w:r>
              <w:rPr>
                <w:sz w:val="21"/>
              </w:rPr>
              <w:t>范围（固定路线除外），如要驶出</w:t>
            </w:r>
            <w:r>
              <w:rPr>
                <w:sz w:val="21"/>
              </w:rPr>
              <w:t>虎门</w:t>
            </w:r>
            <w:r>
              <w:rPr>
                <w:sz w:val="21"/>
              </w:rPr>
              <w:t>范围，须向</w:t>
            </w:r>
            <w:r>
              <w:rPr>
                <w:sz w:val="21"/>
              </w:rPr>
              <w:t>甲方</w:t>
            </w:r>
            <w:r>
              <w:rPr>
                <w:sz w:val="21"/>
              </w:rPr>
              <w:t>说明情况</w:t>
            </w:r>
            <w:r>
              <w:rPr>
                <w:sz w:val="21"/>
              </w:rPr>
              <w:t>；</w:t>
            </w:r>
            <w:r>
              <w:rPr>
                <w:sz w:val="21"/>
              </w:rPr>
              <w:t>厨余垃圾</w:t>
            </w:r>
            <w:r>
              <w:rPr>
                <w:sz w:val="21"/>
              </w:rPr>
              <w:t>须</w:t>
            </w:r>
            <w:r>
              <w:rPr>
                <w:sz w:val="21"/>
              </w:rPr>
              <w:t>运到厨余垃圾处理站处理，如偷倒或自行其他途径处理的，每发现</w:t>
            </w:r>
            <w:r>
              <w:rPr>
                <w:sz w:val="21"/>
              </w:rPr>
              <w:t>1次扣1</w:t>
            </w:r>
            <w:r>
              <w:rPr>
                <w:sz w:val="21"/>
              </w:rPr>
              <w:t>0</w:t>
            </w:r>
            <w:r>
              <w:rPr>
                <w:sz w:val="21"/>
              </w:rPr>
              <w:t>分</w:t>
            </w:r>
            <w:r>
              <w:rPr>
                <w:sz w:val="21"/>
              </w:rPr>
              <w:t>；</w:t>
            </w:r>
            <w:r>
              <w:rPr>
                <w:sz w:val="21"/>
              </w:rPr>
              <w:t>不得接受未经许可的厨余垃圾（含跨区域的厨余垃圾）</w:t>
            </w:r>
            <w:r>
              <w:rPr>
                <w:sz w:val="21"/>
              </w:rPr>
              <w:t>、</w:t>
            </w:r>
            <w:r>
              <w:rPr>
                <w:sz w:val="21"/>
              </w:rPr>
              <w:t>禁止非报备的厨余垃圾收运车辆进站过磅，</w:t>
            </w:r>
            <w:r>
              <w:rPr>
                <w:sz w:val="21"/>
              </w:rPr>
              <w:t>否则每宗</w:t>
            </w:r>
            <w:r>
              <w:rPr>
                <w:sz w:val="21"/>
              </w:rPr>
              <w:t>扣</w:t>
            </w:r>
            <w:r>
              <w:rPr>
                <w:sz w:val="21"/>
              </w:rPr>
              <w:t>10分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val="restart"/>
            <w:tcBorders>
              <w:top w:val="none" w:color="000000" w:sz="4"/>
              <w:left w:val="single" w:color="000000" w:sz="4"/>
              <w:bottom w:val="single" w:color="000000" w:sz="4"/>
              <w:right w:val="single" w:color="000000" w:sz="4"/>
            </w:tcBorders>
            <w:vAlign w:val="top"/>
          </w:tcPr>
          <w:p>
            <w:pPr>
              <w:jc w:val="center"/>
            </w:pPr>
            <w:r>
              <w:rPr>
                <w:sz w:val="21"/>
              </w:rPr>
              <w:t>处理站运营管理（</w:t>
            </w:r>
            <w:r>
              <w:rPr>
                <w:sz w:val="21"/>
              </w:rPr>
              <w:t>40分）</w:t>
            </w:r>
          </w:p>
        </w:tc>
        <w:tc>
          <w:tcPr>
            <w:tcW w:type="dxa" w:w="6150"/>
            <w:tcBorders>
              <w:top w:val="none" w:color="000000" w:sz="4"/>
              <w:left w:val="single" w:color="000000" w:sz="4"/>
              <w:bottom w:val="single" w:color="000000" w:sz="4"/>
              <w:right w:val="single" w:color="000000" w:sz="4"/>
            </w:tcBorders>
            <w:vAlign w:val="top"/>
          </w:tcPr>
          <w:p>
            <w:pPr>
              <w:jc w:val="both"/>
            </w:pPr>
            <w:r>
              <w:rPr>
                <w:sz w:val="21"/>
              </w:rPr>
              <w:t>1、按要求做好处理量</w:t>
            </w:r>
            <w:r>
              <w:rPr>
                <w:sz w:val="21"/>
              </w:rPr>
              <w:t>、</w:t>
            </w:r>
            <w:r>
              <w:rPr>
                <w:sz w:val="21"/>
              </w:rPr>
              <w:t>处理站垃圾</w:t>
            </w:r>
            <w:r>
              <w:rPr>
                <w:sz w:val="21"/>
              </w:rPr>
              <w:t>过磅在线监控，如未依照相关程序过磅称重，每次扣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2、</w:t>
            </w:r>
            <w:r>
              <w:rPr>
                <w:sz w:val="21"/>
              </w:rPr>
              <w:t>服务过程中，</w:t>
            </w:r>
            <w:r>
              <w:rPr>
                <w:sz w:val="21"/>
              </w:rPr>
              <w:t>乙方</w:t>
            </w:r>
            <w:r>
              <w:rPr>
                <w:sz w:val="21"/>
              </w:rPr>
              <w:t>须保证</w:t>
            </w:r>
            <w:r>
              <w:rPr>
                <w:sz w:val="21"/>
              </w:rPr>
              <w:t>地磅监管，每半年提供一次检定证书，检测结果超出国家允许误差范围或规定时间未进行检定的，每次扣</w:t>
            </w:r>
            <w:r>
              <w:rPr>
                <w:sz w:val="21"/>
              </w:rPr>
              <w:t>5分。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3</w:t>
            </w:r>
            <w:r>
              <w:rPr>
                <w:sz w:val="21"/>
              </w:rPr>
              <w:t>、工作人员在岗位作业时，必须穿着工作服</w:t>
            </w:r>
            <w:r>
              <w:rPr>
                <w:sz w:val="21"/>
              </w:rPr>
              <w:t>，</w:t>
            </w:r>
            <w:r>
              <w:rPr>
                <w:sz w:val="21"/>
              </w:rPr>
              <w:t>做好防护，</w:t>
            </w:r>
            <w:r>
              <w:rPr>
                <w:sz w:val="21"/>
              </w:rPr>
              <w:t>每发现未穿着工作服作业的，每次扣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4</w:t>
            </w:r>
            <w:r>
              <w:rPr>
                <w:sz w:val="21"/>
              </w:rPr>
              <w:t>、处理站基础设施维护良好，每日进行清洁，出现破损及时维修处理。每发现处理站点有基础设施出现破损未得到维修的，每次每处扣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5</w:t>
            </w:r>
            <w:r>
              <w:rPr>
                <w:sz w:val="21"/>
              </w:rPr>
              <w:t>、有效处理</w:t>
            </w:r>
            <w:r>
              <w:rPr>
                <w:sz w:val="21"/>
              </w:rPr>
              <w:t>“安全生产、噪音扰民、污水处理、厨余垃圾产生物处理、设备维修、人员调配、居民投诉”等一切突发事件，不得影响</w:t>
            </w:r>
            <w:r>
              <w:rPr>
                <w:sz w:val="21"/>
              </w:rPr>
              <w:t>甲方</w:t>
            </w:r>
            <w:r>
              <w:rPr>
                <w:sz w:val="21"/>
              </w:rPr>
              <w:t>形象和厨余垃圾处理工作。如未及时处理，将每宗扣</w:t>
            </w:r>
            <w:r>
              <w:rPr>
                <w:sz w:val="21"/>
              </w:rPr>
              <w:t>5分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6</w:t>
            </w:r>
            <w:r>
              <w:rPr>
                <w:sz w:val="21"/>
              </w:rPr>
              <w:t>、处理站墙壁地面无大面积破损，</w:t>
            </w:r>
            <w:r>
              <w:rPr>
                <w:sz w:val="21"/>
              </w:rPr>
              <w:t>消防配套设施完好，消防及作业通道无杂物</w:t>
            </w:r>
            <w:r>
              <w:rPr>
                <w:sz w:val="21"/>
              </w:rPr>
              <w:t>堵塞</w:t>
            </w:r>
            <w:r>
              <w:rPr>
                <w:sz w:val="21"/>
              </w:rPr>
              <w:t>。</w:t>
            </w:r>
            <w:r>
              <w:rPr>
                <w:sz w:val="21"/>
              </w:rPr>
              <w:t>如有不符合规定的，每处扣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7</w:t>
            </w:r>
            <w:r>
              <w:rPr>
                <w:sz w:val="21"/>
              </w:rPr>
              <w:t>、处理站内</w:t>
            </w:r>
            <w:r>
              <w:rPr>
                <w:sz w:val="21"/>
              </w:rPr>
              <w:t>必须做好除四害（老鼠、蟑螂、蚊子、苍蝇）的防治工作。每发现站内存在四害活动，每次扣</w:t>
            </w:r>
            <w:r>
              <w:rPr>
                <w:sz w:val="21"/>
              </w:rPr>
              <w:t>1分.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1005"/>
            <w:vMerge/>
            <w:tcBorders>
              <w:top w:val="none" w:color="000000" w:sz="4"/>
              <w:left w:val="single" w:color="000000" w:sz="4"/>
              <w:bottom w:val="single" w:color="000000" w:sz="4"/>
              <w:right w:val="single" w:color="000000" w:sz="4"/>
            </w:tcBorders>
          </w:tcPr>
          <w:p/>
        </w:tc>
        <w:tc>
          <w:tcPr>
            <w:tcW w:type="dxa" w:w="6150"/>
            <w:tcBorders>
              <w:top w:val="none" w:color="000000" w:sz="4"/>
              <w:left w:val="single" w:color="000000" w:sz="4"/>
              <w:bottom w:val="single" w:color="000000" w:sz="4"/>
              <w:right w:val="single" w:color="000000" w:sz="4"/>
            </w:tcBorders>
            <w:vAlign w:val="top"/>
          </w:tcPr>
          <w:p>
            <w:pPr>
              <w:jc w:val="both"/>
            </w:pPr>
            <w:r>
              <w:rPr>
                <w:sz w:val="21"/>
              </w:rPr>
              <w:t>8</w:t>
            </w:r>
            <w:r>
              <w:rPr>
                <w:sz w:val="21"/>
              </w:rPr>
              <w:t>、</w:t>
            </w:r>
            <w:r>
              <w:rPr>
                <w:sz w:val="21"/>
              </w:rPr>
              <w:t>乙方</w:t>
            </w:r>
            <w:r>
              <w:rPr>
                <w:sz w:val="21"/>
              </w:rPr>
              <w:t>在履行本合同应做到安全、有序，自觉遵守项目安全管理规章制度，</w:t>
            </w:r>
            <w:r>
              <w:rPr>
                <w:sz w:val="21"/>
              </w:rPr>
              <w:t>乙方</w:t>
            </w:r>
            <w:r>
              <w:rPr>
                <w:sz w:val="21"/>
              </w:rPr>
              <w:t>未按安全制度操作，每宗扣</w:t>
            </w:r>
            <w:r>
              <w:rPr>
                <w:sz w:val="21"/>
              </w:rPr>
              <w:t>5分</w:t>
            </w:r>
          </w:p>
        </w:tc>
        <w:tc>
          <w:tcPr>
            <w:tcW w:type="dxa" w:w="930"/>
            <w:tcBorders>
              <w:top w:val="none" w:color="000000" w:sz="4"/>
              <w:left w:val="single" w:color="000000" w:sz="4"/>
              <w:bottom w:val="single" w:color="000000" w:sz="4"/>
              <w:right w:val="single" w:color="000000" w:sz="4"/>
            </w:tcBorders>
            <w:vAlign w:val="top"/>
          </w:tcPr>
          <w:p>
            <w:pPr>
              <w:jc w:val="center"/>
            </w:pPr>
          </w:p>
        </w:tc>
      </w:tr>
      <w:tr>
        <w:tc>
          <w:tcPr>
            <w:tcW w:type="dxa" w:w="8085"/>
            <w:gridSpan w:val="3"/>
            <w:tcBorders>
              <w:top w:val="none" w:color="000000" w:sz="4"/>
              <w:left w:val="single" w:color="000000" w:sz="4"/>
              <w:bottom w:val="single" w:color="000000" w:sz="4"/>
              <w:right w:val="single" w:color="000000" w:sz="4"/>
            </w:tcBorders>
            <w:vAlign w:val="top"/>
          </w:tcPr>
          <w:p>
            <w:pPr>
              <w:jc w:val="center"/>
            </w:pPr>
            <w:r>
              <w:rPr>
                <w:sz w:val="21"/>
              </w:rPr>
              <w:t>合计实得分（</w:t>
            </w:r>
            <w:r>
              <w:rPr>
                <w:sz w:val="21"/>
              </w:rPr>
              <w:t xml:space="preserve">       </w:t>
            </w:r>
            <w:r>
              <w:rPr>
                <w:sz w:val="21"/>
              </w:rPr>
              <w:t>）</w:t>
            </w:r>
            <w:r>
              <w:rPr>
                <w:sz w:val="21"/>
              </w:rPr>
              <w:t>=总分（100）－合计检查扣分（       ）</w:t>
            </w:r>
          </w:p>
        </w:tc>
      </w:tr>
      <w:tr>
        <w:tc>
          <w:tcPr>
            <w:tcW w:type="dxa" w:w="8085"/>
            <w:gridSpan w:val="3"/>
            <w:tcBorders>
              <w:top w:val="none" w:color="000000" w:sz="4"/>
              <w:left w:val="single" w:color="000000" w:sz="4"/>
              <w:bottom w:val="single" w:color="000000" w:sz="4"/>
              <w:right w:val="single" w:color="000000" w:sz="4"/>
            </w:tcBorders>
            <w:vAlign w:val="top"/>
          </w:tcPr>
          <w:p>
            <w:pPr>
              <w:jc w:val="both"/>
            </w:pPr>
            <w:r>
              <w:rPr>
                <w:sz w:val="21"/>
              </w:rPr>
              <w:t>初审</w:t>
            </w:r>
            <w:r>
              <w:rPr>
                <w:sz w:val="21"/>
              </w:rPr>
              <w:t xml:space="preserve">                   </w:t>
            </w:r>
            <w:r>
              <w:rPr>
                <w:sz w:val="21"/>
              </w:rPr>
              <w:t>复审</w:t>
            </w:r>
            <w:r>
              <w:rPr>
                <w:sz w:val="21"/>
              </w:rPr>
              <w:t xml:space="preserve">                   </w:t>
            </w:r>
            <w:r>
              <w:rPr>
                <w:sz w:val="21"/>
              </w:rPr>
              <w:t>分管领导</w:t>
            </w:r>
          </w:p>
        </w:tc>
      </w:tr>
    </w:tbl>
    <w:p>
      <w:pPr>
        <w:jc w:val="both"/>
      </w:pPr>
      <w:r>
        <w:rPr>
          <w:sz w:val="21"/>
        </w:rPr>
        <w:t>检查人：</w:t>
      </w:r>
    </w:p>
    <w:p>
      <w:pPr>
        <w:ind w:firstLine="420"/>
        <w:jc w:val="both"/>
      </w:pPr>
      <w:r>
        <w:rPr>
          <w:sz w:val="21"/>
        </w:rPr>
        <w:t>备注：根据《东莞市虎门镇厨余垃圾收运处理项目</w:t>
      </w:r>
      <w:r>
        <w:rPr>
          <w:sz w:val="21"/>
        </w:rPr>
        <w:t>月度考核</w:t>
      </w:r>
      <w:r>
        <w:rPr>
          <w:sz w:val="21"/>
        </w:rPr>
        <w:t>评分表》每月对</w:t>
      </w:r>
      <w:r>
        <w:rPr>
          <w:sz w:val="21"/>
        </w:rPr>
        <w:t>乙方</w:t>
      </w:r>
      <w:r>
        <w:rPr>
          <w:sz w:val="21"/>
        </w:rPr>
        <w:t>进行考核，得分</w:t>
      </w:r>
      <w:r>
        <w:rPr>
          <w:sz w:val="21"/>
        </w:rPr>
        <w:t>90分以上，全额支付当月服务费；90分（不含）以下的，按以下方式扣除当月服务费，得分80-90分（不含）的，以90分为基数，每分扣3000元；得分80分（不含）以下的，再以80分为基数，每分扣8000元。</w:t>
      </w:r>
      <w:r>
        <w:rPr>
          <w:sz w:val="21"/>
        </w:rPr>
        <w:t>每一个自然年度内累计</w:t>
      </w:r>
      <w:r>
        <w:rPr>
          <w:sz w:val="21"/>
        </w:rPr>
        <w:t>3次或连续2次不合格（低于60分）</w:t>
      </w:r>
      <w:r>
        <w:rPr>
          <w:sz w:val="21"/>
        </w:rPr>
        <w:t>，</w:t>
      </w:r>
      <w:r>
        <w:rPr>
          <w:sz w:val="21"/>
        </w:rPr>
        <w:t>甲方</w:t>
      </w:r>
      <w:r>
        <w:rPr>
          <w:sz w:val="21"/>
        </w:rPr>
        <w:t>有权</w:t>
      </w:r>
      <w:r>
        <w:rPr>
          <w:sz w:val="21"/>
        </w:rPr>
        <w:t>终止</w:t>
      </w:r>
      <w:r>
        <w:rPr>
          <w:sz w:val="21"/>
        </w:rPr>
        <w:t>与</w:t>
      </w:r>
      <w:r>
        <w:rPr>
          <w:sz w:val="21"/>
        </w:rPr>
        <w:t>乙方</w:t>
      </w:r>
      <w:r>
        <w:rPr>
          <w:sz w:val="21"/>
        </w:rPr>
        <w:t>的合同。</w:t>
      </w:r>
      <w:r>
        <w:rPr>
          <w:sz w:val="21"/>
        </w:rPr>
        <w:t>若存在直接扣款办法中的任一情况，则在按分数扣除当月服务费基础上叠加扣减。</w:t>
      </w:r>
    </w:p>
    <w:p>
      <w:pPr>
        <w:jc w:val="both"/>
      </w:pPr>
      <w:r>
        <w:rPr>
          <w:b/>
          <w:sz w:val="24"/>
        </w:rPr>
        <w:t>（六）考核评分办法</w:t>
      </w:r>
    </w:p>
    <w:p>
      <w:pPr>
        <w:ind w:firstLine="420"/>
        <w:jc w:val="left"/>
      </w:pPr>
      <w:r>
        <w:rPr>
          <w:sz w:val="21"/>
        </w:rPr>
        <w:t>1.</w:t>
      </w:r>
      <w:r>
        <w:rPr>
          <w:sz w:val="21"/>
        </w:rPr>
        <w:t>考核标准：评分考核满分为</w:t>
      </w:r>
      <w:r>
        <w:rPr>
          <w:sz w:val="21"/>
        </w:rPr>
        <w:t>100分；</w:t>
      </w:r>
    </w:p>
    <w:p>
      <w:pPr>
        <w:ind w:firstLine="420"/>
        <w:jc w:val="left"/>
      </w:pPr>
      <w:r>
        <w:rPr>
          <w:sz w:val="21"/>
        </w:rPr>
        <w:t>2.</w:t>
      </w:r>
      <w:r>
        <w:rPr>
          <w:sz w:val="21"/>
        </w:rPr>
        <w:t>考核分</w:t>
      </w:r>
      <w:r>
        <w:rPr>
          <w:sz w:val="21"/>
        </w:rPr>
        <w:t>=100-合计检查扣分；</w:t>
      </w:r>
    </w:p>
    <w:p>
      <w:pPr>
        <w:ind w:firstLine="420"/>
        <w:jc w:val="left"/>
      </w:pPr>
      <w:r>
        <w:rPr>
          <w:sz w:val="21"/>
        </w:rPr>
        <w:t>3.根据</w:t>
      </w:r>
      <w:r>
        <w:rPr>
          <w:sz w:val="21"/>
        </w:rPr>
        <w:t>《东莞市虎门镇厨余垃圾收运处理项目</w:t>
      </w:r>
      <w:r>
        <w:rPr>
          <w:sz w:val="21"/>
        </w:rPr>
        <w:t>月度考核</w:t>
      </w:r>
      <w:r>
        <w:rPr>
          <w:sz w:val="21"/>
        </w:rPr>
        <w:t>评分表》每月对</w:t>
      </w:r>
      <w:r>
        <w:rPr>
          <w:sz w:val="21"/>
        </w:rPr>
        <w:t>乙方</w:t>
      </w:r>
      <w:r>
        <w:rPr>
          <w:sz w:val="21"/>
        </w:rPr>
        <w:t>进行考核，得分</w:t>
      </w:r>
      <w:r>
        <w:rPr>
          <w:sz w:val="21"/>
        </w:rPr>
        <w:t>90</w:t>
      </w:r>
      <w:r>
        <w:rPr>
          <w:sz w:val="21"/>
        </w:rPr>
        <w:t>（</w:t>
      </w:r>
      <w:r>
        <w:rPr>
          <w:sz w:val="21"/>
        </w:rPr>
        <w:t>含</w:t>
      </w:r>
      <w:r>
        <w:rPr>
          <w:sz w:val="21"/>
        </w:rPr>
        <w:t>）</w:t>
      </w:r>
      <w:r>
        <w:rPr>
          <w:sz w:val="21"/>
        </w:rPr>
        <w:t>分以上，全额支付当月服务费；</w:t>
      </w:r>
      <w:r>
        <w:rPr>
          <w:sz w:val="21"/>
        </w:rPr>
        <w:t>90分（不含）以下的，按以下方式扣除当月服务费，得分80-90分（不含）的，以90分为基数，每分扣3000元；得分80分（不含）以下的，再以80分为基数，每分扣8000元</w:t>
      </w:r>
      <w:r>
        <w:rPr>
          <w:sz w:val="21"/>
        </w:rPr>
        <w:t>。</w:t>
      </w:r>
      <w:r>
        <w:rPr>
          <w:sz w:val="21"/>
        </w:rPr>
        <w:t>每一个自然年度内累计</w:t>
      </w:r>
      <w:r>
        <w:rPr>
          <w:sz w:val="21"/>
        </w:rPr>
        <w:t>3次或连续2次不合格（低于60分）</w:t>
      </w:r>
      <w:r>
        <w:rPr>
          <w:sz w:val="21"/>
        </w:rPr>
        <w:t>，</w:t>
      </w:r>
      <w:r>
        <w:rPr>
          <w:sz w:val="21"/>
        </w:rPr>
        <w:t>甲方</w:t>
      </w:r>
      <w:r>
        <w:rPr>
          <w:sz w:val="21"/>
        </w:rPr>
        <w:t>有权</w:t>
      </w:r>
      <w:r>
        <w:rPr>
          <w:sz w:val="21"/>
        </w:rPr>
        <w:t>终止</w:t>
      </w:r>
      <w:r>
        <w:rPr>
          <w:sz w:val="21"/>
        </w:rPr>
        <w:t>与</w:t>
      </w:r>
      <w:r>
        <w:rPr>
          <w:sz w:val="21"/>
        </w:rPr>
        <w:t>乙方</w:t>
      </w:r>
      <w:r>
        <w:rPr>
          <w:sz w:val="21"/>
        </w:rPr>
        <w:t>的合同。</w:t>
      </w:r>
    </w:p>
    <w:tbl>
      <w:tblPr>
        <w:tblW w:w="0" w:type="auto"/>
        <w:tblBorders>
          <w:top w:val="none" w:color="000000" w:sz="4"/>
          <w:left w:val="none" w:color="000000" w:sz="4"/>
          <w:bottom w:val="none" w:color="000000" w:sz="4"/>
          <w:right w:val="none" w:color="000000" w:sz="4"/>
          <w:insideH w:val="none"/>
          <w:insideV w:val="none"/>
        </w:tblBorders>
      </w:tblPr>
      <w:tblGrid>
        <w:gridCol w:w="1359"/>
        <w:gridCol w:w="2134"/>
        <w:gridCol w:w="1813"/>
        <w:gridCol w:w="2968"/>
      </w:tblGrid>
      <w:tr>
        <w:tc>
          <w:tcPr>
            <w:tcW w:type="dxa" w:w="1359"/>
            <w:tcBorders>
              <w:top w:val="single" w:color="000000" w:sz="4"/>
              <w:left w:val="single" w:color="000000" w:sz="4"/>
              <w:bottom w:val="single" w:color="000000" w:sz="4"/>
              <w:right w:val="single" w:color="000000" w:sz="4"/>
            </w:tcBorders>
            <w:vAlign w:val="top"/>
          </w:tcPr>
          <w:p>
            <w:pPr>
              <w:jc w:val="center"/>
            </w:pPr>
            <w:r>
              <w:rPr>
                <w:b/>
                <w:sz w:val="21"/>
              </w:rPr>
              <w:t>分数</w:t>
            </w:r>
          </w:p>
        </w:tc>
        <w:tc>
          <w:tcPr>
            <w:tcW w:type="dxa" w:w="2134"/>
            <w:tcBorders>
              <w:top w:val="single" w:color="000000" w:sz="4"/>
              <w:left w:val="none" w:color="000000" w:sz="4"/>
              <w:bottom w:val="single" w:color="000000" w:sz="4"/>
              <w:right w:val="single" w:color="000000" w:sz="4"/>
            </w:tcBorders>
            <w:vAlign w:val="top"/>
          </w:tcPr>
          <w:p>
            <w:pPr>
              <w:jc w:val="center"/>
            </w:pPr>
            <w:r>
              <w:rPr>
                <w:sz w:val="21"/>
              </w:rPr>
              <w:t>当月</w:t>
            </w:r>
            <w:r>
              <w:rPr>
                <w:sz w:val="21"/>
              </w:rPr>
              <w:t>扣减</w:t>
            </w:r>
            <w:r>
              <w:rPr>
                <w:sz w:val="21"/>
              </w:rPr>
              <w:t>服务费</w:t>
            </w:r>
          </w:p>
        </w:tc>
        <w:tc>
          <w:tcPr>
            <w:tcW w:type="dxa" w:w="1813"/>
            <w:tcBorders>
              <w:top w:val="single" w:color="000000" w:sz="4"/>
              <w:left w:val="none" w:color="000000" w:sz="4"/>
              <w:bottom w:val="single" w:color="000000" w:sz="4"/>
              <w:right w:val="single" w:color="000000" w:sz="4"/>
            </w:tcBorders>
            <w:vAlign w:val="top"/>
          </w:tcPr>
          <w:p>
            <w:pPr>
              <w:jc w:val="center"/>
            </w:pPr>
            <w:r>
              <w:rPr>
                <w:b/>
                <w:sz w:val="21"/>
              </w:rPr>
              <w:t>分数</w:t>
            </w:r>
          </w:p>
        </w:tc>
        <w:tc>
          <w:tcPr>
            <w:tcW w:type="dxa" w:w="2968"/>
            <w:tcBorders>
              <w:top w:val="single" w:color="000000" w:sz="4"/>
              <w:left w:val="none" w:color="000000" w:sz="4"/>
              <w:bottom w:val="single" w:color="000000" w:sz="4"/>
              <w:right w:val="single" w:color="000000" w:sz="4"/>
            </w:tcBorders>
            <w:vAlign w:val="top"/>
          </w:tcPr>
          <w:p>
            <w:pPr>
              <w:jc w:val="center"/>
            </w:pPr>
            <w:r>
              <w:rPr>
                <w:sz w:val="21"/>
              </w:rPr>
              <w:t>当月</w:t>
            </w:r>
            <w:r>
              <w:rPr>
                <w:sz w:val="21"/>
              </w:rPr>
              <w:t>扣减</w:t>
            </w:r>
            <w:r>
              <w:rPr>
                <w:sz w:val="21"/>
              </w:rPr>
              <w:t>服务费</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90（含）以上</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83</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21000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3000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82</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24000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w:t>
            </w:r>
            <w:r>
              <w:rPr>
                <w:sz w:val="21"/>
              </w:rPr>
              <w:t>8</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6000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81</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27000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w:t>
            </w:r>
            <w:r>
              <w:rPr>
                <w:sz w:val="21"/>
              </w:rPr>
              <w:t>7</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9000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80</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30000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w:t>
            </w:r>
            <w:r>
              <w:rPr>
                <w:sz w:val="21"/>
              </w:rPr>
              <w:t>6</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12000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79</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38000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15000</w:t>
            </w:r>
          </w:p>
        </w:tc>
        <w:tc>
          <w:tcPr>
            <w:tcW w:type="dxa" w:w="1813"/>
            <w:tcBorders>
              <w:top w:val="none" w:color="000000" w:sz="4"/>
              <w:left w:val="none" w:color="000000" w:sz="4"/>
              <w:bottom w:val="single" w:color="000000" w:sz="4"/>
              <w:right w:val="single" w:color="000000" w:sz="4"/>
            </w:tcBorders>
            <w:vAlign w:val="top"/>
          </w:tcPr>
          <w:p>
            <w:pPr>
              <w:jc w:val="center"/>
            </w:pPr>
            <w:r>
              <w:rPr>
                <w:sz w:val="21"/>
              </w:rPr>
              <w:t>78</w:t>
            </w:r>
          </w:p>
        </w:tc>
        <w:tc>
          <w:tcPr>
            <w:tcW w:type="dxa" w:w="2968"/>
            <w:tcBorders>
              <w:top w:val="none" w:color="000000" w:sz="4"/>
              <w:left w:val="none" w:color="000000" w:sz="4"/>
              <w:bottom w:val="single" w:color="000000" w:sz="4"/>
              <w:right w:val="single" w:color="000000" w:sz="4"/>
            </w:tcBorders>
            <w:vAlign w:val="top"/>
          </w:tcPr>
          <w:p>
            <w:pPr>
              <w:jc w:val="center"/>
            </w:pPr>
            <w:r>
              <w:rPr>
                <w:sz w:val="21"/>
              </w:rPr>
              <w:t>46000</w:t>
            </w:r>
          </w:p>
        </w:tc>
      </w:tr>
      <w:tr>
        <w:tc>
          <w:tcPr>
            <w:tcW w:type="dxa" w:w="1359"/>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2134"/>
            <w:tcBorders>
              <w:top w:val="none" w:color="000000" w:sz="4"/>
              <w:left w:val="none" w:color="000000" w:sz="4"/>
              <w:bottom w:val="single" w:color="000000" w:sz="4"/>
              <w:right w:val="single" w:color="000000" w:sz="4"/>
            </w:tcBorders>
            <w:vAlign w:val="top"/>
          </w:tcPr>
          <w:p>
            <w:pPr>
              <w:jc w:val="center"/>
            </w:pPr>
            <w:r>
              <w:rPr>
                <w:sz w:val="21"/>
              </w:rPr>
              <w:t>18000</w:t>
            </w:r>
          </w:p>
        </w:tc>
        <w:tc>
          <w:tcPr>
            <w:tcW w:type="dxa" w:w="4781"/>
            <w:gridSpan w:val="2"/>
            <w:tcBorders>
              <w:top w:val="none" w:color="000000" w:sz="4"/>
              <w:left w:val="none" w:color="000000" w:sz="4"/>
              <w:bottom w:val="single" w:color="000000" w:sz="4"/>
              <w:right w:val="single" w:color="000000" w:sz="4"/>
            </w:tcBorders>
            <w:vAlign w:val="top"/>
          </w:tcPr>
          <w:p>
            <w:pPr>
              <w:jc w:val="center"/>
            </w:pPr>
            <w:r>
              <w:rPr>
                <w:sz w:val="21"/>
              </w:rPr>
              <w:t>得分</w:t>
            </w:r>
            <w:r>
              <w:rPr>
                <w:sz w:val="21"/>
              </w:rPr>
              <w:t>80分（不含）以下的，再以80分为基数，每分扣8000元，以此类推</w:t>
            </w:r>
          </w:p>
        </w:tc>
      </w:tr>
    </w:tbl>
    <w:p>
      <w:pPr>
        <w:jc w:val="both"/>
      </w:pPr>
    </w:p>
    <w:p>
      <w:pPr>
        <w:jc w:val="both"/>
      </w:pPr>
      <w:r>
        <w:rPr>
          <w:b/>
          <w:sz w:val="24"/>
        </w:rPr>
        <w:t>（七）直接扣款办法</w:t>
      </w:r>
    </w:p>
    <w:p>
      <w:pPr>
        <w:ind w:firstLine="420"/>
        <w:jc w:val="both"/>
      </w:pPr>
      <w:r>
        <w:rPr>
          <w:sz w:val="21"/>
        </w:rPr>
        <w:t>1.厨余垃圾运输车辆不按指定路线行驶、未及时收运等情况，经核定属实，每次扣2000元；</w:t>
      </w:r>
    </w:p>
    <w:p>
      <w:pPr>
        <w:ind w:firstLine="420"/>
        <w:jc w:val="both"/>
      </w:pPr>
      <w:r>
        <w:rPr>
          <w:sz w:val="21"/>
        </w:rPr>
        <w:t>2.如发现厨余垃圾在收集、运输、过磅前有注水增重，或接收非虎门镇产生的厨余垃圾等行为，经核定属实，每次扣5000元；</w:t>
      </w:r>
    </w:p>
    <w:p>
      <w:pPr>
        <w:ind w:firstLine="420"/>
        <w:jc w:val="both"/>
      </w:pPr>
      <w:r>
        <w:rPr>
          <w:sz w:val="21"/>
        </w:rPr>
        <w:t>3.厨余垃圾未按规定资源化处理，如被发现收运后提供给他人用作养殖、混入其他垃圾压缩站处理等行为，经核定属实，每次扣5000元；</w:t>
      </w:r>
    </w:p>
    <w:p>
      <w:pPr>
        <w:ind w:firstLine="420"/>
        <w:jc w:val="both"/>
      </w:pPr>
      <w:r>
        <w:rPr>
          <w:sz w:val="21"/>
        </w:rPr>
        <w:t>4.不能提供资源化利用台账和不能利用部分的其他垃圾处置去向台账，或提供的台账与事实不符，存在造假情况，经核定属实，每次扣5000元；</w:t>
      </w:r>
    </w:p>
    <w:p>
      <w:pPr>
        <w:ind w:firstLine="420"/>
        <w:jc w:val="both"/>
      </w:pPr>
      <w:r>
        <w:rPr>
          <w:sz w:val="21"/>
        </w:rPr>
        <w:t>5.擅自将服务过程中打捞经油水分离器或下水道隔油池分离处理后产生的油脂（地沟油），纳入计费重量的，经核定属实，每次扣5000元；</w:t>
      </w:r>
    </w:p>
    <w:p>
      <w:pPr>
        <w:ind w:firstLine="420"/>
        <w:jc w:val="both"/>
      </w:pPr>
      <w:r>
        <w:rPr>
          <w:sz w:val="21"/>
        </w:rPr>
        <w:t>6.</w:t>
      </w:r>
      <w:r>
        <w:rPr>
          <w:sz w:val="21"/>
        </w:rPr>
        <w:t>收运车辆须按照规定安装</w:t>
      </w:r>
      <w:r>
        <w:rPr>
          <w:sz w:val="21"/>
        </w:rPr>
        <w:t>GPS监控、行驶记录仪、装卸计量称重系统和视频监控系统，并接入</w:t>
      </w:r>
      <w:r>
        <w:rPr>
          <w:sz w:val="21"/>
        </w:rPr>
        <w:t>甲方</w:t>
      </w:r>
      <w:r>
        <w:rPr>
          <w:sz w:val="21"/>
        </w:rPr>
        <w:t>数字监管平台。未按要求安装或接入的</w:t>
      </w:r>
      <w:r>
        <w:rPr>
          <w:sz w:val="21"/>
        </w:rPr>
        <w:t>，</w:t>
      </w:r>
      <w:r>
        <w:rPr>
          <w:sz w:val="21"/>
        </w:rPr>
        <w:t>经核定属实，每次扣</w:t>
      </w:r>
      <w:r>
        <w:rPr>
          <w:sz w:val="21"/>
        </w:rPr>
        <w:t>5000元；</w:t>
      </w:r>
    </w:p>
    <w:p>
      <w:pPr>
        <w:ind w:firstLine="420"/>
        <w:jc w:val="both"/>
      </w:pPr>
      <w:r>
        <w:rPr>
          <w:sz w:val="21"/>
        </w:rPr>
        <w:t>7、</w:t>
      </w:r>
      <w:r>
        <w:rPr>
          <w:sz w:val="21"/>
        </w:rPr>
        <w:t>乙方</w:t>
      </w:r>
      <w:r>
        <w:rPr>
          <w:sz w:val="21"/>
        </w:rPr>
        <w:t>须按</w:t>
      </w:r>
      <w:r>
        <w:rPr>
          <w:sz w:val="21"/>
        </w:rPr>
        <w:t>甲方</w:t>
      </w:r>
      <w:r>
        <w:rPr>
          <w:sz w:val="21"/>
        </w:rPr>
        <w:t>要求使用信息化收运登记系统进行管理，未按要求规范</w:t>
      </w:r>
      <w:r>
        <w:rPr>
          <w:sz w:val="21"/>
        </w:rPr>
        <w:t>使用的</w:t>
      </w:r>
      <w:r>
        <w:rPr>
          <w:sz w:val="21"/>
        </w:rPr>
        <w:t>，</w:t>
      </w:r>
      <w:r>
        <w:rPr>
          <w:sz w:val="21"/>
        </w:rPr>
        <w:t>经核定属实</w:t>
      </w:r>
      <w:r>
        <w:rPr>
          <w:sz w:val="21"/>
        </w:rPr>
        <w:t>，每次扣</w:t>
      </w:r>
      <w:r>
        <w:rPr>
          <w:sz w:val="21"/>
        </w:rPr>
        <w:t>1000元；</w:t>
      </w:r>
    </w:p>
    <w:p>
      <w:pPr>
        <w:ind w:firstLine="420"/>
        <w:jc w:val="both"/>
      </w:pPr>
      <w:r>
        <w:rPr>
          <w:sz w:val="21"/>
        </w:rPr>
        <w:t>8</w:t>
      </w:r>
      <w:r>
        <w:rPr>
          <w:sz w:val="21"/>
        </w:rPr>
        <w:t>.</w:t>
      </w:r>
      <w:r>
        <w:rPr>
          <w:sz w:val="21"/>
        </w:rPr>
        <w:t>厨余垃圾</w:t>
      </w:r>
      <w:r>
        <w:rPr>
          <w:sz w:val="21"/>
        </w:rPr>
        <w:t>应做到应收尽收，</w:t>
      </w:r>
      <w:r>
        <w:rPr>
          <w:sz w:val="21"/>
        </w:rPr>
        <w:t>若发现乙方以</w:t>
      </w:r>
      <w:r>
        <w:rPr>
          <w:sz w:val="21"/>
        </w:rPr>
        <w:t>量少、距离远等非正当理由拒收，经核定属实，每次扣</w:t>
      </w:r>
      <w:r>
        <w:rPr>
          <w:sz w:val="21"/>
        </w:rPr>
        <w:t>2000元；</w:t>
      </w:r>
    </w:p>
    <w:p>
      <w:pPr>
        <w:ind w:firstLine="420"/>
        <w:jc w:val="both"/>
      </w:pPr>
      <w:r>
        <w:rPr>
          <w:sz w:val="21"/>
        </w:rPr>
        <w:t>9、</w:t>
      </w:r>
      <w:r>
        <w:rPr>
          <w:sz w:val="21"/>
        </w:rPr>
        <w:t>服务过程中，</w:t>
      </w:r>
      <w:r>
        <w:rPr>
          <w:sz w:val="21"/>
        </w:rPr>
        <w:t>乙方</w:t>
      </w:r>
      <w:r>
        <w:rPr>
          <w:sz w:val="21"/>
        </w:rPr>
        <w:t>须保证</w:t>
      </w:r>
      <w:r>
        <w:rPr>
          <w:sz w:val="21"/>
        </w:rPr>
        <w:t>地磅监管，每半年提供一次检定证书，检测结果超出国家允许误差范围或规定时间未进行检定的，经核定属实，每次扣</w:t>
      </w:r>
      <w:r>
        <w:rPr>
          <w:sz w:val="21"/>
        </w:rPr>
        <w:t>15000元。</w:t>
      </w:r>
    </w:p>
    <w:p>
      <w:pPr>
        <w:jc w:val="both"/>
      </w:pPr>
    </w:p>
    <w:p>
      <w:pPr>
        <w:jc w:val="center"/>
      </w:pPr>
      <w:r>
        <w:rPr>
          <w:b/>
          <w:sz w:val="21"/>
        </w:rPr>
        <w:t>东莞市虎门镇厨余垃圾收运处理项目</w:t>
      </w:r>
      <w:r>
        <w:rPr>
          <w:b/>
          <w:sz w:val="21"/>
        </w:rPr>
        <w:t>直接扣款登记表</w:t>
      </w:r>
    </w:p>
    <w:p>
      <w:pPr>
        <w:jc w:val="right"/>
      </w:pPr>
      <w:r>
        <w:rPr>
          <w:sz w:val="21"/>
        </w:rPr>
        <w:t xml:space="preserve"> </w:t>
      </w:r>
      <w:r>
        <w:rPr>
          <w:sz w:val="21"/>
        </w:rPr>
        <w:t>考</w:t>
      </w:r>
      <w:r>
        <w:rPr>
          <w:sz w:val="21"/>
        </w:rPr>
        <w:t>核</w:t>
      </w:r>
      <w:r>
        <w:rPr>
          <w:sz w:val="21"/>
        </w:rPr>
        <w:t>时间：</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4939"/>
        <w:gridCol w:w="2014"/>
        <w:gridCol w:w="1337"/>
      </w:tblGrid>
      <w:tr>
        <w:tc>
          <w:tcPr>
            <w:tcW w:type="dxa" w:w="4939"/>
            <w:tcBorders>
              <w:top w:val="single" w:color="000000" w:sz="4"/>
              <w:left w:val="single" w:color="000000" w:sz="4"/>
              <w:bottom w:val="single" w:color="000000" w:sz="4"/>
              <w:right w:val="single" w:color="000000" w:sz="4"/>
            </w:tcBorders>
            <w:vAlign w:val="top"/>
          </w:tcPr>
          <w:p>
            <w:pPr>
              <w:jc w:val="center"/>
            </w:pPr>
            <w:r>
              <w:rPr>
                <w:b/>
                <w:sz w:val="21"/>
              </w:rPr>
              <w:t>考核扣款事项</w:t>
            </w:r>
            <w:r>
              <w:rPr>
                <w:sz w:val="21"/>
              </w:rPr>
              <w:t>（含现场考核和视频监控</w:t>
            </w:r>
            <w:r>
              <w:rPr>
                <w:sz w:val="21"/>
              </w:rPr>
              <w:t>、</w:t>
            </w:r>
            <w:r>
              <w:rPr>
                <w:sz w:val="21"/>
              </w:rPr>
              <w:t>产生源反馈等</w:t>
            </w:r>
            <w:r>
              <w:rPr>
                <w:sz w:val="21"/>
              </w:rPr>
              <w:t>考核）</w:t>
            </w:r>
          </w:p>
        </w:tc>
        <w:tc>
          <w:tcPr>
            <w:tcW w:type="dxa" w:w="2014"/>
            <w:tcBorders>
              <w:top w:val="single" w:color="000000" w:sz="4"/>
              <w:left w:val="single" w:color="000000" w:sz="4"/>
              <w:bottom w:val="single" w:color="000000" w:sz="4"/>
              <w:right w:val="single" w:color="000000" w:sz="4"/>
            </w:tcBorders>
            <w:vAlign w:val="top"/>
          </w:tcPr>
          <w:p>
            <w:pPr>
              <w:jc w:val="center"/>
            </w:pPr>
            <w:r>
              <w:rPr>
                <w:b/>
                <w:sz w:val="21"/>
              </w:rPr>
              <w:t>扣款标准</w:t>
            </w:r>
          </w:p>
        </w:tc>
        <w:tc>
          <w:tcPr>
            <w:tcW w:type="dxa" w:w="1337"/>
            <w:tcBorders>
              <w:top w:val="single" w:color="000000" w:sz="4"/>
              <w:left w:val="single" w:color="000000" w:sz="4"/>
              <w:bottom w:val="single" w:color="000000" w:sz="4"/>
              <w:right w:val="single" w:color="000000" w:sz="4"/>
            </w:tcBorders>
            <w:vAlign w:val="top"/>
          </w:tcPr>
          <w:p>
            <w:pPr>
              <w:jc w:val="center"/>
            </w:pPr>
            <w:r>
              <w:rPr>
                <w:b/>
                <w:sz w:val="21"/>
              </w:rPr>
              <w:t>检查扣款</w:t>
            </w: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1、</w:t>
            </w:r>
            <w:r>
              <w:rPr>
                <w:sz w:val="21"/>
              </w:rPr>
              <w:t>厨余垃圾运输车辆不按指定路线行驶、未及时收运等情况。</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2000元。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2、</w:t>
            </w:r>
            <w:r>
              <w:rPr>
                <w:sz w:val="21"/>
              </w:rPr>
              <w:t>如发现厨余垃圾在收集、运输、过磅前有注水增重，或接收非虎门镇产生的厨余垃圾等行为。</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3、</w:t>
            </w:r>
            <w:r>
              <w:rPr>
                <w:sz w:val="21"/>
              </w:rPr>
              <w:t>厨余垃圾未按规定资源化处理，如被发现收运后提供给他人用作养殖、混入其他垃圾压缩站处理等行为。</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4、</w:t>
            </w:r>
            <w:r>
              <w:rPr>
                <w:sz w:val="21"/>
              </w:rPr>
              <w:t>不能提供资源化利用台账和不能利用部分的其他垃圾处置去向台账，或提供的台账与事实不符，存在造假情况。</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5、擅自将服务过程中打捞经油水分离器或下水道隔油池分离处理后产生的油脂（地沟油），纳入计费重量的。</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6、</w:t>
            </w:r>
            <w:r>
              <w:rPr>
                <w:sz w:val="21"/>
              </w:rPr>
              <w:t>收运车辆须按照规定安装</w:t>
            </w:r>
            <w:r>
              <w:rPr>
                <w:sz w:val="21"/>
              </w:rPr>
              <w:t>GPS监控、行驶记录仪、装卸计量称重系统和视频监控系统，并接入</w:t>
            </w:r>
            <w:r>
              <w:rPr>
                <w:sz w:val="21"/>
              </w:rPr>
              <w:t>甲方</w:t>
            </w:r>
            <w:r>
              <w:rPr>
                <w:sz w:val="21"/>
              </w:rPr>
              <w:t>数字监管平台。未按要求安装或接入的</w:t>
            </w:r>
            <w:r>
              <w:rPr>
                <w:sz w:val="21"/>
              </w:rPr>
              <w:t>。</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7、乙方须按甲方要求使用信息化收运登记系统进行管理，未按要求规范使用</w:t>
            </w:r>
            <w:r>
              <w:rPr>
                <w:sz w:val="21"/>
              </w:rPr>
              <w:t>的。</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w:t>
            </w:r>
            <w:r>
              <w:rPr>
                <w:sz w:val="21"/>
              </w:rPr>
              <w:t>，每次扣</w:t>
            </w:r>
            <w:r>
              <w:rPr>
                <w:sz w:val="21"/>
              </w:rPr>
              <w:t>1000</w:t>
            </w:r>
            <w:r>
              <w:rPr>
                <w:sz w:val="21"/>
              </w:rPr>
              <w:t>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8、</w:t>
            </w:r>
            <w:r>
              <w:rPr>
                <w:sz w:val="21"/>
              </w:rPr>
              <w:t>厨余垃圾</w:t>
            </w:r>
            <w:r>
              <w:rPr>
                <w:sz w:val="21"/>
              </w:rPr>
              <w:t>应做到应收尽收，</w:t>
            </w:r>
            <w:r>
              <w:rPr>
                <w:sz w:val="21"/>
              </w:rPr>
              <w:t>若发现乙方以</w:t>
            </w:r>
            <w:r>
              <w:rPr>
                <w:sz w:val="21"/>
              </w:rPr>
              <w:t>量少、距离远等非正当理由拒收。</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经核定属实，扣</w:t>
            </w:r>
            <w:r>
              <w:rPr>
                <w:sz w:val="21"/>
              </w:rPr>
              <w:t>2000元。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4939"/>
            <w:tcBorders>
              <w:top w:val="none" w:color="000000" w:sz="4"/>
              <w:left w:val="single" w:color="000000" w:sz="4"/>
              <w:bottom w:val="single" w:color="000000" w:sz="4"/>
              <w:right w:val="single" w:color="000000" w:sz="4"/>
            </w:tcBorders>
            <w:vAlign w:val="top"/>
          </w:tcPr>
          <w:p>
            <w:pPr>
              <w:jc w:val="both"/>
            </w:pPr>
            <w:r>
              <w:rPr>
                <w:sz w:val="21"/>
              </w:rPr>
              <w:t>9、</w:t>
            </w:r>
            <w:r>
              <w:rPr>
                <w:sz w:val="21"/>
              </w:rPr>
              <w:t>服务过程中，</w:t>
            </w:r>
            <w:r>
              <w:rPr>
                <w:sz w:val="21"/>
              </w:rPr>
              <w:t>乙方</w:t>
            </w:r>
            <w:r>
              <w:rPr>
                <w:sz w:val="21"/>
              </w:rPr>
              <w:t>须保证</w:t>
            </w:r>
            <w:r>
              <w:rPr>
                <w:sz w:val="21"/>
              </w:rPr>
              <w:t>地磅监管，每半年提供一次检定证书，检测结果超出国家允许误差范围或规定时间未进行检定的。</w:t>
            </w:r>
          </w:p>
        </w:tc>
        <w:tc>
          <w:tcPr>
            <w:tcW w:type="dxa" w:w="2014"/>
            <w:tcBorders>
              <w:top w:val="none" w:color="000000" w:sz="4"/>
              <w:left w:val="single" w:color="000000" w:sz="4"/>
              <w:bottom w:val="single" w:color="000000" w:sz="4"/>
              <w:right w:val="single" w:color="000000" w:sz="4"/>
            </w:tcBorders>
            <w:vAlign w:val="top"/>
          </w:tcPr>
          <w:p>
            <w:pPr>
              <w:jc w:val="center"/>
            </w:pPr>
            <w:r>
              <w:rPr>
                <w:sz w:val="21"/>
              </w:rPr>
              <w:t>经核定属实，每次扣</w:t>
            </w:r>
            <w:r>
              <w:rPr>
                <w:sz w:val="21"/>
              </w:rPr>
              <w:t>15000元。</w:t>
            </w:r>
          </w:p>
        </w:tc>
        <w:tc>
          <w:tcPr>
            <w:tcW w:type="dxa" w:w="1337"/>
            <w:tcBorders>
              <w:top w:val="none" w:color="000000" w:sz="4"/>
              <w:left w:val="single" w:color="000000" w:sz="4"/>
              <w:bottom w:val="single" w:color="000000" w:sz="4"/>
              <w:right w:val="single" w:color="000000" w:sz="4"/>
            </w:tcBorders>
            <w:vAlign w:val="top"/>
          </w:tcPr>
          <w:p>
            <w:pPr>
              <w:jc w:val="center"/>
            </w:pPr>
          </w:p>
        </w:tc>
      </w:tr>
      <w:tr>
        <w:tc>
          <w:tcPr>
            <w:tcW w:type="dxa" w:w="8290"/>
            <w:gridSpan w:val="3"/>
            <w:tcBorders>
              <w:top w:val="none" w:color="000000" w:sz="4"/>
              <w:left w:val="single" w:color="000000" w:sz="4"/>
              <w:bottom w:val="single" w:color="000000" w:sz="4"/>
              <w:right w:val="single" w:color="000000" w:sz="4"/>
            </w:tcBorders>
            <w:vAlign w:val="top"/>
          </w:tcPr>
          <w:p>
            <w:pPr>
              <w:jc w:val="center"/>
            </w:pPr>
            <w:r>
              <w:rPr>
                <w:b/>
                <w:sz w:val="21"/>
              </w:rPr>
              <w:t>合计扣款</w:t>
            </w:r>
            <w:r>
              <w:rPr>
                <w:sz w:val="21"/>
              </w:rPr>
              <w:t>（</w:t>
            </w:r>
            <w:r>
              <w:rPr>
                <w:sz w:val="21"/>
              </w:rPr>
              <w:t xml:space="preserve">      </w:t>
            </w:r>
            <w:r>
              <w:rPr>
                <w:sz w:val="21"/>
              </w:rPr>
              <w:t>）元</w:t>
            </w:r>
          </w:p>
        </w:tc>
      </w:tr>
      <w:tr>
        <w:tc>
          <w:tcPr>
            <w:tcW w:type="dxa" w:w="8290"/>
            <w:gridSpan w:val="3"/>
            <w:tcBorders>
              <w:top w:val="none" w:color="000000" w:sz="4"/>
              <w:left w:val="single" w:color="000000" w:sz="4"/>
              <w:bottom w:val="single" w:color="000000" w:sz="4"/>
              <w:right w:val="single" w:color="000000" w:sz="4"/>
            </w:tcBorders>
            <w:vAlign w:val="top"/>
          </w:tcPr>
          <w:p>
            <w:pPr>
              <w:jc w:val="left"/>
            </w:pPr>
            <w:r>
              <w:rPr>
                <w:sz w:val="21"/>
              </w:rPr>
              <w:t>初审</w:t>
            </w:r>
            <w:r>
              <w:rPr>
                <w:sz w:val="21"/>
              </w:rPr>
              <w:t xml:space="preserve">                      </w:t>
            </w:r>
            <w:r>
              <w:rPr>
                <w:sz w:val="21"/>
              </w:rPr>
              <w:t>复审</w:t>
            </w:r>
            <w:r>
              <w:rPr>
                <w:sz w:val="21"/>
              </w:rPr>
              <w:t xml:space="preserve">                 </w:t>
            </w:r>
            <w:r>
              <w:rPr>
                <w:sz w:val="21"/>
              </w:rPr>
              <w:t>分管领导</w:t>
            </w:r>
          </w:p>
        </w:tc>
      </w:tr>
    </w:tbl>
    <w:p>
      <w:pPr>
        <w:jc w:val="both"/>
      </w:pPr>
      <w:r>
        <w:rPr>
          <w:b/>
          <w:sz w:val="21"/>
        </w:rPr>
        <w:t>三、甲方乙方的权利和义务</w:t>
      </w:r>
    </w:p>
    <w:p>
      <w:pPr>
        <w:ind w:firstLine="420"/>
        <w:jc w:val="both"/>
      </w:pPr>
      <w:r>
        <w:rPr>
          <w:sz w:val="21"/>
        </w:rPr>
        <w:t>1.甲方</w:t>
      </w:r>
      <w:r>
        <w:rPr>
          <w:sz w:val="21"/>
        </w:rPr>
        <w:t>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w:t>
      </w:r>
      <w:r>
        <w:rPr>
          <w:sz w:val="21"/>
        </w:rPr>
        <w:t>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1）乙方必须根据采购文件及有关的技术要求、国家现行有关设计标准、技术规范、规程、甲方要求完成合同约定范围内的全部任务，并按规定向甲方交付成果，确保质量与进度。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b/>
          <w:sz w:val="21"/>
        </w:rPr>
        <w:t>四、服务期间及服务地点（项目完成期限）</w:t>
      </w:r>
    </w:p>
    <w:p>
      <w:pPr>
        <w:ind w:firstLine="420"/>
        <w:jc w:val="both"/>
      </w:pPr>
      <w:r>
        <w:rPr>
          <w:sz w:val="21"/>
        </w:rPr>
        <w:t>1.服务期限：</w:t>
      </w:r>
      <w:r>
        <w:rPr>
          <w:sz w:val="21"/>
        </w:rPr>
        <w:t>合同签订后</w:t>
      </w:r>
      <w:r>
        <w:rPr>
          <w:sz w:val="21"/>
        </w:rPr>
        <w:t>3年</w:t>
      </w:r>
      <w:r>
        <w:rPr>
          <w:sz w:val="21"/>
        </w:rPr>
        <w:t>。</w:t>
      </w:r>
      <w:r>
        <w:rPr>
          <w:sz w:val="21"/>
        </w:rPr>
        <w:t>（</w:t>
      </w:r>
      <w:r>
        <w:rPr>
          <w:sz w:val="21"/>
        </w:rPr>
        <w:t>注：</w:t>
      </w:r>
      <w:r>
        <w:rPr>
          <w:sz w:val="21"/>
        </w:rPr>
        <w:t>如在合同期内</w:t>
      </w:r>
      <w:r>
        <w:rPr>
          <w:sz w:val="21"/>
        </w:rPr>
        <w:t>乙方</w:t>
      </w:r>
      <w:r>
        <w:rPr>
          <w:sz w:val="21"/>
        </w:rPr>
        <w:t>的</w:t>
      </w:r>
      <w:r>
        <w:rPr>
          <w:sz w:val="21"/>
        </w:rPr>
        <w:t>合同总价</w:t>
      </w:r>
      <w:r>
        <w:rPr>
          <w:sz w:val="21"/>
        </w:rPr>
        <w:t>达到上限，则本合同在达到</w:t>
      </w:r>
      <w:r>
        <w:rPr>
          <w:sz w:val="21"/>
        </w:rPr>
        <w:t>合同总价</w:t>
      </w:r>
      <w:r>
        <w:rPr>
          <w:sz w:val="21"/>
        </w:rPr>
        <w:t>上限之日提前终止。</w:t>
      </w:r>
      <w:r>
        <w:rPr>
          <w:sz w:val="21"/>
        </w:rPr>
        <w:t>）</w:t>
      </w:r>
    </w:p>
    <w:p>
      <w:pPr>
        <w:ind w:firstLine="420"/>
        <w:jc w:val="both"/>
      </w:pPr>
      <w:r>
        <w:rPr>
          <w:sz w:val="21"/>
        </w:rPr>
        <w:t>2.服务地点：甲方指定地点。</w:t>
      </w:r>
    </w:p>
    <w:p>
      <w:pPr>
        <w:ind w:firstLine="420"/>
        <w:jc w:val="both"/>
      </w:pPr>
      <w:r>
        <w:rPr>
          <w:sz w:val="21"/>
        </w:rPr>
        <w:t>3.委托服务期间自______年______月______日至______年______月______日止。</w:t>
      </w:r>
    </w:p>
    <w:p>
      <w:pPr>
        <w:jc w:val="both"/>
      </w:pPr>
      <w:r>
        <w:rPr>
          <w:b/>
          <w:sz w:val="21"/>
        </w:rPr>
        <w:t>五、付款方式</w:t>
      </w:r>
    </w:p>
    <w:p>
      <w:pPr>
        <w:ind w:firstLine="420"/>
        <w:jc w:val="both"/>
      </w:pPr>
      <w:r>
        <w:rPr>
          <w:sz w:val="21"/>
        </w:rPr>
        <w:t>1.</w:t>
      </w:r>
      <w:r>
        <w:rPr>
          <w:sz w:val="21"/>
        </w:rPr>
        <w:t>根据厨余垃圾</w:t>
      </w:r>
      <w:r>
        <w:rPr>
          <w:sz w:val="21"/>
        </w:rPr>
        <w:t>处理量</w:t>
      </w:r>
      <w:r>
        <w:rPr>
          <w:sz w:val="21"/>
        </w:rPr>
        <w:t>，</w:t>
      </w:r>
      <w:r>
        <w:rPr>
          <w:sz w:val="21"/>
        </w:rPr>
        <w:t>甲方</w:t>
      </w:r>
      <w:r>
        <w:rPr>
          <w:sz w:val="21"/>
        </w:rPr>
        <w:t>按月向</w:t>
      </w:r>
      <w:r>
        <w:rPr>
          <w:sz w:val="21"/>
        </w:rPr>
        <w:t>乙方</w:t>
      </w:r>
      <w:r>
        <w:rPr>
          <w:sz w:val="21"/>
        </w:rPr>
        <w:t>支付服务费用。每月</w:t>
      </w:r>
      <w:r>
        <w:rPr>
          <w:sz w:val="21"/>
        </w:rPr>
        <w:t>1</w:t>
      </w:r>
      <w:r>
        <w:rPr>
          <w:sz w:val="21"/>
        </w:rPr>
        <w:t>5</w:t>
      </w:r>
      <w:r>
        <w:rPr>
          <w:sz w:val="21"/>
        </w:rPr>
        <w:t>号前</w:t>
      </w:r>
      <w:r>
        <w:rPr>
          <w:sz w:val="21"/>
        </w:rPr>
        <w:t>乙方</w:t>
      </w:r>
      <w:r>
        <w:rPr>
          <w:sz w:val="21"/>
        </w:rPr>
        <w:t>须向甲方提供上月台账及相关请款资料，经甲方审核后</w:t>
      </w:r>
      <w:r>
        <w:rPr>
          <w:sz w:val="21"/>
        </w:rPr>
        <w:t>，按虎门镇财政支付流程进行支付</w:t>
      </w:r>
      <w:r>
        <w:rPr>
          <w:sz w:val="21"/>
        </w:rPr>
        <w:t>。</w:t>
      </w:r>
    </w:p>
    <w:p>
      <w:pPr>
        <w:ind w:firstLine="420"/>
        <w:jc w:val="both"/>
      </w:pPr>
      <w:r>
        <w:rPr>
          <w:sz w:val="21"/>
        </w:rPr>
        <w:t>2.</w:t>
      </w:r>
      <w:r>
        <w:rPr>
          <w:sz w:val="21"/>
        </w:rPr>
        <w:t>月度最终服务费</w:t>
      </w:r>
      <w:r>
        <w:rPr>
          <w:sz w:val="21"/>
        </w:rPr>
        <w:t>=当月厨余垃圾处理量</w:t>
      </w:r>
      <w:r>
        <w:rPr>
          <w:sz w:val="21"/>
        </w:rPr>
        <w:t>×</w:t>
      </w:r>
      <w:r>
        <w:rPr>
          <w:sz w:val="21"/>
        </w:rPr>
        <w:t>中标</w:t>
      </w:r>
      <w:r>
        <w:rPr>
          <w:sz w:val="21"/>
        </w:rPr>
        <w:t>综合单价</w:t>
      </w:r>
      <w:r>
        <w:rPr>
          <w:sz w:val="21"/>
        </w:rPr>
        <w:t>-</w:t>
      </w:r>
      <w:r>
        <w:rPr>
          <w:sz w:val="21"/>
        </w:rPr>
        <w:t>当月扣减服务费</w:t>
      </w:r>
      <w:r>
        <w:rPr>
          <w:sz w:val="21"/>
        </w:rPr>
        <w:t>（若有）</w:t>
      </w:r>
      <w:r>
        <w:rPr>
          <w:sz w:val="21"/>
        </w:rPr>
        <w:t>。本项目服务经费由政府财政拨款，如因政策的影响，拨款未能及时到位，乙方不得以此为由而不履行规定的义务。</w:t>
      </w:r>
    </w:p>
    <w:p>
      <w:pPr>
        <w:ind w:firstLine="420"/>
        <w:jc w:val="both"/>
      </w:pPr>
      <w:r>
        <w:rPr>
          <w:sz w:val="21"/>
        </w:rPr>
        <w:t>3.</w:t>
      </w:r>
      <w:r>
        <w:rPr>
          <w:sz w:val="21"/>
        </w:rPr>
        <w:t>以上每笔款项支付前，乙方应向甲方提出付款申请及所需的材料和等额有效的发票，乙方提供的发票必须符合国家税务规定，不得使用假发票、套开发票，否则乙方应无条件更换发票，向甲方支付票面金额</w:t>
      </w:r>
      <w:r>
        <w:rPr>
          <w:sz w:val="21"/>
        </w:rPr>
        <w:t>10%的违约金。乙方怠于或者拒绝提供资料或者办理手续的，甲方有权暂缓付款，乙方不得以此为由拒绝履行本合同义务。</w:t>
      </w:r>
    </w:p>
    <w:p>
      <w:pPr>
        <w:ind w:firstLine="420"/>
        <w:jc w:val="both"/>
      </w:pPr>
      <w:r>
        <w:rPr>
          <w:sz w:val="21"/>
        </w:rPr>
        <w:t>注：本项目资金来源为财政资金，相关付款程序严格遵守东莞市（或项目所在镇街）政府财政资金支付程序规定。甲方的付款时间为向政府采购支付部门提出办理财政支付申请手续的时间（不含政府财政支付部门审核的时间），甲方在规定时间内提出支付申请手续但因政府财政支付部门流程原因未在该付款时间内支付的不视为甲方逾期付款。</w:t>
      </w:r>
    </w:p>
    <w:p>
      <w:pPr>
        <w:ind w:firstLine="420"/>
        <w:jc w:val="both"/>
      </w:pPr>
      <w:r>
        <w:rPr>
          <w:sz w:val="21"/>
        </w:rPr>
        <w:t>4.乙方为增值税一般纳税人，本合同发票开票税率采用一般计税法。如遇国家税率政策调整，根据不含税金额按照最新税率开票。如乙方在合同履行过程中纳税人资质发生了变更，乙方须在变更后3个工作日内通知甲方。若乙方无法按照预算编制的计税法开出相应税率的发票的，乙方须补回对应差额的费用给甲方或甲方在支付款项时直接将差额扣除。</w:t>
      </w:r>
    </w:p>
    <w:p>
      <w:pPr>
        <w:ind w:firstLine="420"/>
        <w:jc w:val="both"/>
      </w:pPr>
      <w:r>
        <w:rPr>
          <w:sz w:val="21"/>
        </w:rPr>
        <w:t>5.乙方指定的收款账户见于合同签署处，甲方向该乙方指定收款账户支付本合同款项，即视为乙方已实际收取。如因乙方未提供正确、有效的申请付款资料、账户信息、提供账户后擅自变更账户等导致甲方无法付款、付款错误或未按期付款的，不视为甲方违约；由此导致甲方损失的，还应予以赔偿。</w:t>
      </w:r>
    </w:p>
    <w:p>
      <w:pPr>
        <w:jc w:val="both"/>
      </w:pPr>
      <w:r>
        <w:rPr>
          <w:b/>
          <w:sz w:val="21"/>
        </w:rPr>
        <w:t>六、</w:t>
      </w:r>
      <w:r>
        <w:rPr>
          <w:b/>
          <w:sz w:val="21"/>
        </w:rPr>
        <w:t>验收要求</w:t>
      </w:r>
    </w:p>
    <w:p>
      <w:pPr>
        <w:ind w:firstLine="420"/>
        <w:jc w:val="both"/>
      </w:pPr>
      <w:r>
        <w:rPr>
          <w:sz w:val="21"/>
        </w:rPr>
        <w:t>按国家及相关行业标准进行验收。</w:t>
      </w:r>
    </w:p>
    <w:p>
      <w:pPr>
        <w:jc w:val="both"/>
      </w:pPr>
      <w:r>
        <w:rPr>
          <w:b/>
          <w:sz w:val="21"/>
        </w:rPr>
        <w:t>七、</w:t>
      </w:r>
      <w:r>
        <w:rPr>
          <w:b/>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jc w:val="both"/>
      </w:pPr>
      <w:r>
        <w:rPr>
          <w:b/>
          <w:sz w:val="21"/>
        </w:rPr>
        <w:t>八、保密</w:t>
      </w:r>
    </w:p>
    <w:p>
      <w:pPr>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乙方应与乙方的工作人员签订不低于本保密条款的保密协议。本保密条款长期有效，不受协议解除</w:t>
      </w:r>
      <w:r>
        <w:rPr>
          <w:sz w:val="21"/>
        </w:rPr>
        <w:t>/终止影响。</w:t>
      </w:r>
    </w:p>
    <w:p>
      <w:pPr>
        <w:jc w:val="both"/>
      </w:pPr>
      <w:r>
        <w:rPr>
          <w:b/>
          <w:sz w:val="21"/>
        </w:rPr>
        <w:t>九、违约责任与赔偿损失</w:t>
      </w:r>
    </w:p>
    <w:p>
      <w:pPr>
        <w:ind w:firstLine="420"/>
        <w:jc w:val="both"/>
      </w:pPr>
      <w:r>
        <w:rPr>
          <w:sz w:val="21"/>
        </w:rPr>
        <w:t>1.无论合同是否履行完毕，乙方未按照合同约定和招标文件规定履行或者验收后被甲方、财政部门或审计部门发现相关问题的，均视为乙方违约，甲方无需向乙方支付任何款项（已支付的，乙方应立即退还甲方），一切损失由乙方承担，乙</w:t>
      </w:r>
      <w:r>
        <w:rPr>
          <w:sz w:val="21"/>
        </w:rPr>
        <w:t>还</w:t>
      </w:r>
      <w:r>
        <w:rPr>
          <w:sz w:val="21"/>
        </w:rPr>
        <w:t>方须向甲方支付本合同总价</w:t>
      </w:r>
      <w:r>
        <w:rPr>
          <w:sz w:val="21"/>
        </w:rPr>
        <w:t>5%的</w:t>
      </w:r>
      <w:r>
        <w:rPr>
          <w:sz w:val="21"/>
        </w:rPr>
        <w:t>违约金</w:t>
      </w:r>
      <w:r>
        <w:rPr>
          <w:sz w:val="21"/>
        </w:rPr>
        <w:t>。若合同履行尚未结束的，甲方有权随时解除合同。若本条约定的违约条款与本合同其他条款存在冲突的，则优先选择适用赔付金额较高的约定的计付标准。</w:t>
      </w:r>
    </w:p>
    <w:p>
      <w:pPr>
        <w:ind w:firstLine="420"/>
        <w:jc w:val="both"/>
      </w:pPr>
      <w:r>
        <w:rPr>
          <w:sz w:val="21"/>
        </w:rPr>
        <w:t>2.乙方未能按本合同规定或甲方要求的期限提供服务</w:t>
      </w:r>
      <w:r>
        <w:rPr>
          <w:sz w:val="21"/>
        </w:rPr>
        <w:t>或乙方擅自中止服务的</w:t>
      </w:r>
      <w:r>
        <w:rPr>
          <w:sz w:val="21"/>
        </w:rPr>
        <w:t>，从逾期之日起每日按本合同总价</w:t>
      </w:r>
      <w:r>
        <w:rPr>
          <w:sz w:val="21"/>
        </w:rPr>
        <w:t>3‰的数额向甲方支付违约金；逾期半个月以上的，甲方有权终止合同，由此造成的甲方经济损失由乙方承担。</w:t>
      </w:r>
    </w:p>
    <w:p>
      <w:pPr>
        <w:ind w:firstLine="420"/>
        <w:jc w:val="both"/>
      </w:pPr>
      <w:r>
        <w:rPr>
          <w:sz w:val="21"/>
        </w:rPr>
        <w:t>3. 乙方提供的服务不满足甲方要求，须按甲方要求限期返工整改，直至满足甲方要求，由此产生的费用由乙方自行承担。</w:t>
      </w:r>
    </w:p>
    <w:p>
      <w:pPr>
        <w:ind w:firstLine="420"/>
        <w:jc w:val="both"/>
      </w:pPr>
      <w:r>
        <w:rPr>
          <w:sz w:val="21"/>
        </w:rPr>
        <w:t>4.</w:t>
      </w:r>
      <w:r>
        <w:rPr>
          <w:sz w:val="21"/>
        </w:rPr>
        <w:t>如因乙方违反本合同项下之义务，或未及时处理相关纠纷导致甲方垫付人员工资、经济补偿金、赔偿金、供应商货款等款项的，乙方除应向甲方返还相应款项外，还应自垫付发生之日起按垫付款每日</w:t>
      </w:r>
      <w:r>
        <w:rPr>
          <w:sz w:val="21"/>
        </w:rPr>
        <w:t>1%的标准向甲方支付违约金。甲方有权从应支付给乙方的费用、履约保证金中直接扣减违约金、垫付款等乙方应付款项，乙方对此不持异议。</w:t>
      </w:r>
    </w:p>
    <w:p>
      <w:pPr>
        <w:ind w:firstLine="420"/>
        <w:jc w:val="both"/>
      </w:pPr>
      <w:r>
        <w:rPr>
          <w:sz w:val="21"/>
        </w:rPr>
        <w:t>5.</w:t>
      </w:r>
      <w:r>
        <w:rPr>
          <w:sz w:val="21"/>
        </w:rPr>
        <w:t>乙方违反本合同规定的，</w:t>
      </w:r>
      <w:r>
        <w:rPr>
          <w:sz w:val="21"/>
        </w:rPr>
        <w:t>除赔偿甲方</w:t>
      </w:r>
      <w:r>
        <w:rPr>
          <w:sz w:val="21"/>
        </w:rPr>
        <w:t>的直接经济损失</w:t>
      </w:r>
      <w:r>
        <w:rPr>
          <w:sz w:val="21"/>
        </w:rPr>
        <w:t>外，</w:t>
      </w:r>
      <w:r>
        <w:rPr>
          <w:sz w:val="21"/>
        </w:rPr>
        <w:t>还应赔偿甲方为实现本合同项下权利而产生的律师费、保全费、公证费、担保费、鉴定费、专家论证费、向第三方支付的赔偿金</w:t>
      </w:r>
      <w:r>
        <w:rPr>
          <w:sz w:val="21"/>
        </w:rPr>
        <w:t>/违约金等一切费用。</w:t>
      </w:r>
    </w:p>
    <w:p>
      <w:pPr>
        <w:ind w:firstLine="420"/>
        <w:jc w:val="both"/>
      </w:pPr>
      <w:r>
        <w:rPr>
          <w:sz w:val="21"/>
        </w:rPr>
        <w:t>6.</w:t>
      </w:r>
      <w:r>
        <w:rPr>
          <w:sz w:val="21"/>
        </w:rPr>
        <w:t>其它违约责任按</w:t>
      </w:r>
      <w:r>
        <w:rPr>
          <w:sz w:val="21"/>
        </w:rPr>
        <w:t>本合同其他条款、招标投标文件及</w:t>
      </w:r>
      <w:r>
        <w:rPr>
          <w:sz w:val="21"/>
        </w:rPr>
        <w:t>《中华人民共和国民法典</w:t>
      </w:r>
      <w:r>
        <w:rPr>
          <w:sz w:val="21"/>
        </w:rPr>
        <w:t>(合同编)》处理。</w:t>
      </w:r>
    </w:p>
    <w:p>
      <w:pPr>
        <w:jc w:val="both"/>
      </w:pPr>
      <w:r>
        <w:rPr>
          <w:b/>
          <w:sz w:val="21"/>
        </w:rPr>
        <w:t>十、争议的解决</w:t>
      </w:r>
    </w:p>
    <w:p>
      <w:pPr>
        <w:ind w:firstLine="420"/>
        <w:jc w:val="both"/>
      </w:pPr>
      <w:r>
        <w:rPr>
          <w:sz w:val="21"/>
        </w:rPr>
        <w:t>合同执行过程中发生的任何争议，如双方不能通过友好协商解决，任何一方可以向甲方所在地人民法院提起诉讼。</w:t>
      </w:r>
    </w:p>
    <w:p>
      <w:pPr>
        <w:jc w:val="both"/>
      </w:pPr>
      <w:r>
        <w:rPr>
          <w:b/>
          <w:sz w:val="21"/>
        </w:rPr>
        <w:t>十一、不可抗力</w:t>
      </w:r>
    </w:p>
    <w:p>
      <w:pPr>
        <w:ind w:firstLine="420"/>
        <w:jc w:val="both"/>
      </w:pPr>
      <w:r>
        <w:rPr>
          <w:sz w:val="21"/>
        </w:rPr>
        <w:t>任何一方由于不可抗力原因不能履行合同时，应在不可抗力事件结束后</w:t>
      </w:r>
      <w:r>
        <w:rPr>
          <w:sz w:val="21"/>
        </w:rPr>
        <w:t>1日内向对方通报，以减轻</w:t>
      </w:r>
      <w:r>
        <w:rPr>
          <w:sz w:val="21"/>
        </w:rPr>
        <w:t>可能</w:t>
      </w:r>
      <w:r>
        <w:rPr>
          <w:sz w:val="21"/>
        </w:rPr>
        <w:t>给对方造成的损失，在取得有关机构的不可抗力证明或双方谅解确认后，允许延期履行或修订合同，并根据情况可部分或全部免于承担违约责任。</w:t>
      </w:r>
    </w:p>
    <w:p>
      <w:pPr>
        <w:ind w:firstLine="420"/>
        <w:jc w:val="both"/>
      </w:pPr>
      <w:r>
        <w:rPr>
          <w:sz w:val="21"/>
        </w:rPr>
        <w:t>因不可抗力或者政策变动或者财政拨款延迟、未到位导致合同无法履行的，双方均免责，但应及时处理合同终止事宜。</w:t>
      </w:r>
    </w:p>
    <w:p>
      <w:pPr>
        <w:jc w:val="both"/>
      </w:pPr>
      <w:r>
        <w:rPr>
          <w:b/>
          <w:sz w:val="21"/>
        </w:rPr>
        <w:t>十二、税费</w:t>
      </w:r>
    </w:p>
    <w:p>
      <w:pPr>
        <w:ind w:firstLine="420"/>
        <w:jc w:val="both"/>
      </w:pPr>
      <w:r>
        <w:rPr>
          <w:sz w:val="21"/>
        </w:rPr>
        <w:t>在中国境内、外发生的与本合同执行有关的一切税费均由乙方负担。</w:t>
      </w:r>
    </w:p>
    <w:p>
      <w:pPr>
        <w:jc w:val="both"/>
      </w:pPr>
      <w:r>
        <w:rPr>
          <w:b/>
          <w:sz w:val="21"/>
        </w:rPr>
        <w:t>十三、其它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w:t>
      </w:r>
      <w:r>
        <w:rPr>
          <w:sz w:val="21"/>
        </w:rPr>
        <w:t>成为</w:t>
      </w:r>
      <w:r>
        <w:rPr>
          <w:sz w:val="21"/>
        </w:rPr>
        <w:t>本合同的有效组成部分。</w:t>
      </w:r>
    </w:p>
    <w:p>
      <w:pPr>
        <w:ind w:firstLine="420"/>
        <w:jc w:val="both"/>
      </w:pPr>
      <w:r>
        <w:rPr>
          <w:sz w:val="21"/>
        </w:rPr>
        <w:t>3.除本合同另有约定外，与履行本合同有关通知均应按照合同中所载的联系方式以书面形式作出。合同中所载的联系方式亦为法院法律文书的送达地址。如以邮寄方式发送，以发件人寄出邮件后3日视为送达日期（无论收件人实际收件时间、是否实际收到、无法送达或退件）；以电子邮件形式发出的通知，送达之日即视为送达。对方应对送达地址负责，如一方地址、电话、传真号码有变更，应在变更当日内书面通知对方，否则，应承担相应责任。</w:t>
      </w:r>
    </w:p>
    <w:p>
      <w:pPr>
        <w:ind w:firstLine="420"/>
        <w:jc w:val="both"/>
      </w:pPr>
      <w:r>
        <w:rPr>
          <w:sz w:val="21"/>
        </w:rPr>
        <w:t>4.除甲方事先</w:t>
      </w:r>
      <w:r>
        <w:rPr>
          <w:sz w:val="21"/>
        </w:rPr>
        <w:t>书面</w:t>
      </w:r>
      <w:r>
        <w:rPr>
          <w:sz w:val="21"/>
        </w:rPr>
        <w:t>同意外，乙方不得部分或全部转让其应履行的合同项下的义务。</w:t>
      </w:r>
    </w:p>
    <w:p>
      <w:pPr>
        <w:jc w:val="both"/>
      </w:pPr>
      <w:r>
        <w:rPr>
          <w:b/>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w:t>
      </w:r>
      <w:r>
        <w:rPr>
          <w:sz w:val="21"/>
        </w:rPr>
        <w:t>式</w:t>
      </w:r>
      <w:r>
        <w:rPr>
          <w:sz w:val="21"/>
        </w:rPr>
        <w:t xml:space="preserve">   </w:t>
      </w:r>
      <w:r>
        <w:rPr>
          <w:sz w:val="21"/>
        </w:rPr>
        <w:t>份</w:t>
      </w:r>
      <w:r>
        <w:rPr>
          <w:sz w:val="21"/>
        </w:rPr>
        <w:t>，</w:t>
      </w:r>
      <w:r>
        <w:rPr>
          <w:sz w:val="21"/>
        </w:rPr>
        <w:t>具有同等效力</w:t>
      </w:r>
      <w:r>
        <w:rPr>
          <w:sz w:val="21"/>
        </w:rPr>
        <w:t>。</w:t>
      </w:r>
    </w:p>
    <w:p>
      <w:pPr>
        <w:jc w:val="both"/>
      </w:pPr>
      <w:r>
        <w:rPr>
          <w:sz w:val="24"/>
        </w:rPr>
        <w:t>（</w:t>
      </w:r>
      <w:r>
        <w:rPr>
          <w:sz w:val="24"/>
        </w:rPr>
        <w:t>以下无正文，为签章页）</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地址：</w:t>
            </w:r>
          </w:p>
        </w:tc>
        <w:tc>
          <w:tcPr>
            <w:tcW w:type="dxa" w:w="4153"/>
            <w:tcBorders>
              <w:top w:val="none" w:color="000000" w:sz="4"/>
              <w:left w:val="none" w:color="000000" w:sz="4"/>
              <w:bottom w:val="none" w:color="000000" w:sz="4"/>
              <w:right w:val="none" w:color="000000" w:sz="4"/>
            </w:tcBorders>
            <w:vAlign w:val="top"/>
          </w:tcPr>
          <w:p>
            <w:pPr>
              <w:jc w:val="left"/>
            </w:pPr>
            <w:r>
              <w:rPr>
                <w:sz w:val="21"/>
              </w:rPr>
              <w:t>地址：</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电话：</w:t>
            </w:r>
          </w:p>
        </w:tc>
        <w:tc>
          <w:tcPr>
            <w:tcW w:type="dxa" w:w="4153"/>
            <w:tcBorders>
              <w:top w:val="none" w:color="000000" w:sz="4"/>
              <w:left w:val="none" w:color="000000" w:sz="4"/>
              <w:bottom w:val="none" w:color="000000" w:sz="4"/>
              <w:right w:val="none" w:color="000000" w:sz="4"/>
            </w:tcBorders>
            <w:vAlign w:val="top"/>
          </w:tcPr>
          <w:p>
            <w:pPr>
              <w:jc w:val="left"/>
            </w:pPr>
            <w:r>
              <w:rPr>
                <w:sz w:val="21"/>
              </w:rPr>
              <w:t>电话：</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签订</w:t>
            </w:r>
            <w:r>
              <w:rPr>
                <w:sz w:val="21"/>
              </w:rPr>
              <w:t>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签订</w:t>
            </w:r>
            <w:r>
              <w:rPr>
                <w:sz w:val="21"/>
              </w:rPr>
              <w:t>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签订</w:t>
            </w:r>
            <w:r>
              <w:rPr>
                <w:sz w:val="21"/>
              </w:rPr>
              <w:t>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441900028-2024-00100</w:t>
      </w:r>
    </w:p>
    <w:p>
      <w:pPr>
        <w:jc w:val="center"/>
      </w:pPr>
      <w:r>
        <w:rPr>
          <w:b/>
          <w:sz w:val="24"/>
        </w:rPr>
        <w:t>采购项目编号：</w:t>
      </w:r>
      <w:r>
        <w:rPr>
          <w:b/>
          <w:sz w:val="24"/>
        </w:rPr>
        <w:t>441900028-2024-00100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东莞市虎门镇厨余垃圾就地式收运处理项目</w:t>
      </w:r>
      <w:r>
        <w:rPr>
          <w:u w:val="single"/>
        </w:rPr>
        <w:t>”</w:t>
      </w:r>
      <w:r>
        <w:rPr/>
        <w:t>项目的招标[采购项目编号为：</w:t>
      </w:r>
      <w:r>
        <w:rPr>
          <w:u w:val="single"/>
        </w:rPr>
        <w:t>441900028-2024-00100</w:t>
      </w:r>
      <w:r>
        <w:rPr/>
        <w:t>]，我方愿参与投标。</w:t>
      </w:r>
    </w:p>
    <w:p>
      <w:pPr>
        <w:ind w:firstLine="480"/>
      </w:pPr>
      <w:r>
        <w:rPr/>
        <w:t>我方确认收到贵方提供的</w:t>
      </w:r>
      <w:r>
        <w:rPr>
          <w:u w:val="single"/>
        </w:rPr>
        <w:t>“</w:t>
      </w:r>
      <w:r>
        <w:rPr>
          <w:u w:val="single"/>
        </w:rPr>
        <w:t>东莞市虎门镇厨余垃圾就地式收运处理项目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东莞市虎门镇厨余垃圾就地式收运处理项目</w:t>
      </w:r>
      <w:r>
        <w:rPr/>
        <w:t>”项目采购[采购项目编号为</w:t>
      </w:r>
      <w:r>
        <w:rPr/>
        <w:t>441900028-2024-00100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东莞市虎门镇厨余垃圾就地式收运处理项目</w:t>
      </w:r>
      <w:r>
        <w:rPr/>
        <w:t>招标中获中标（采购项目编号：</w:t>
      </w:r>
      <w:r>
        <w:rPr/>
        <w:t>441900028-2024-00100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东莞市虎门镇厨余垃圾就地式收运处理项目</w:t>
      </w:r>
      <w:r>
        <w:rPr/>
        <w:t>”项目（采购项目编号：</w:t>
      </w:r>
      <w:r>
        <w:rPr/>
        <w:t>441900028-2024-00100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