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441901-2024-00663</w:t>
      </w:r>
    </w:p>
    <w:p>
      <w:pPr>
        <w:jc w:val="center"/>
      </w:pPr>
      <w:r>
        <w:rPr>
          <w:b/>
          <w:sz w:val="24"/>
        </w:rPr>
        <w:t>采购项目编号：</w:t>
      </w:r>
      <w:r>
        <w:rPr>
          <w:b/>
          <w:sz w:val="24"/>
        </w:rPr>
        <w:t>441901-2024-00663</w:t>
      </w:r>
    </w:p>
    <w:p>
      <w:pPr>
        <w:jc w:val="center"/>
      </w:pPr>
      <w:r>
        <w:rPr>
          <w:b/>
          <w:sz w:val="24"/>
        </w:rPr>
        <w:t>项目名称：</w:t>
      </w:r>
      <w:r>
        <w:rPr>
          <w:b/>
          <w:sz w:val="24"/>
        </w:rPr>
        <w:t>广东省无线电移动监测站能力提升项目-东莞市移动监测站升级改造</w:t>
      </w:r>
    </w:p>
    <w:p>
      <w:pPr>
        <w:jc w:val="center"/>
      </w:pPr>
      <w:r>
        <w:rPr>
          <w:b/>
          <w:sz w:val="24"/>
        </w:rPr>
        <w:t>采购人：</w:t>
      </w:r>
      <w:r>
        <w:rPr>
          <w:b/>
          <w:sz w:val="24"/>
        </w:rPr>
        <w:t>东莞市无线电监测站</w:t>
      </w:r>
    </w:p>
    <w:p>
      <w:pPr>
        <w:jc w:val="center"/>
      </w:pPr>
      <w:r>
        <w:rPr>
          <w:b/>
          <w:sz w:val="24"/>
        </w:rPr>
        <w:t>采购代理机构：</w:t>
      </w:r>
      <w:r>
        <w:rPr>
          <w:b/>
          <w:sz w:val="24"/>
        </w:rPr>
        <w:t>广东政通招标有限公司</w:t>
      </w:r>
    </w:p>
    <w:p>
      <w:pPr>
        <w:ind w:firstLine="480"/>
      </w:pPr>
    </w:p>
    <w:p>
      <w:r>
        <w:rPr/>
        <w:t xml:space="preserve"> </w:t>
      </w:r>
    </w:p>
    <w:p/>
    <w:p>
      <w:pPr>
        <w:jc w:val="center"/>
      </w:pPr>
      <w:r>
        <w:rPr>
          <w:b/>
          <w:sz w:val="36"/>
        </w:rPr>
        <w:t>第一章投标邀请</w:t>
      </w:r>
    </w:p>
    <w:p>
      <w:pPr>
        <w:ind w:firstLine="480"/>
      </w:pPr>
      <w:r>
        <w:rPr/>
        <w:t>广东政通招标有限公司</w:t>
      </w:r>
      <w:r>
        <w:rPr/>
        <w:t>受</w:t>
      </w:r>
      <w:r>
        <w:rPr/>
        <w:t>东莞市无线电监测站</w:t>
      </w:r>
      <w:r>
        <w:rPr/>
        <w:t>的委托，采用</w:t>
      </w:r>
      <w:r>
        <w:rPr/>
        <w:t>公开招标</w:t>
      </w:r>
      <w:r>
        <w:rPr/>
        <w:t>方式组织采购</w:t>
      </w:r>
      <w:r>
        <w:rPr/>
        <w:t>广东省无线电移动监测站能力提升项目-东莞市移动监测站升级改造</w:t>
      </w:r>
      <w:r>
        <w:rPr/>
        <w:t>。欢迎符合资格条件的国内供应商参加投标。</w:t>
      </w:r>
    </w:p>
    <w:p>
      <w:r>
        <w:rPr>
          <w:b/>
          <w:sz w:val="28"/>
        </w:rPr>
        <w:t>一.项目概述</w:t>
      </w:r>
    </w:p>
    <w:p>
      <w:r>
        <w:rPr>
          <w:b/>
          <w:sz w:val="24"/>
        </w:rPr>
        <w:t>1.名称与编号</w:t>
      </w:r>
    </w:p>
    <w:p>
      <w:pPr>
        <w:ind w:firstLine="480"/>
      </w:pPr>
      <w:r>
        <w:rPr/>
        <w:t>项目名称：</w:t>
      </w:r>
      <w:r>
        <w:rPr/>
        <w:t>广东省无线电移动监测站能力提升项目-东莞市移动监测站升级改造</w:t>
      </w:r>
    </w:p>
    <w:p>
      <w:pPr>
        <w:ind w:firstLine="480"/>
      </w:pPr>
      <w:r>
        <w:rPr/>
        <w:t>采购计划编号：</w:t>
      </w:r>
      <w:r>
        <w:rPr/>
        <w:t>441901-2024-00663</w:t>
      </w:r>
    </w:p>
    <w:p>
      <w:pPr>
        <w:ind w:firstLine="480"/>
      </w:pPr>
      <w:r>
        <w:rPr/>
        <w:t>采购项目编号：</w:t>
      </w:r>
      <w:r>
        <w:rPr/>
        <w:t>441901-2024-00663</w:t>
      </w:r>
    </w:p>
    <w:p>
      <w:pPr>
        <w:ind w:firstLine="480"/>
      </w:pPr>
      <w:r>
        <w:rPr/>
        <w:t>采购方式：</w:t>
      </w:r>
      <w:r>
        <w:rPr/>
        <w:t>公开招标</w:t>
      </w:r>
    </w:p>
    <w:p>
      <w:pPr>
        <w:ind w:firstLine="480"/>
      </w:pPr>
      <w:r>
        <w:rPr/>
        <w:t>预算金额：</w:t>
      </w:r>
      <w:r>
        <w:rPr/>
        <w:t>2,500,000.00</w:t>
      </w:r>
      <w:r>
        <w:rPr/>
        <w:t>元</w:t>
      </w:r>
    </w:p>
    <w:p>
      <w:r>
        <w:rPr>
          <w:b/>
          <w:sz w:val="24"/>
        </w:rPr>
        <w:t>2.项目内容及需求情况（采购项目技术规格、参数及要求）</w:t>
      </w:r>
    </w:p>
    <w:p>
      <w:pPr>
        <w:ind w:firstLine="480"/>
      </w:pPr>
    </w:p>
    <w:p/>
    <w:p>
      <w:r>
        <w:rPr/>
        <w:t>采购包1(广东省无线电移动监测站能力提升项目-东莞市移动监测站升级改造):</w:t>
      </w:r>
    </w:p>
    <w:p>
      <w:r>
        <w:rPr/>
        <w:t>采购包预算金额：2,500,000.00元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场强干扰测量仪器及测量接收机</w:t>
            </w:r>
          </w:p>
        </w:tc>
        <w:tc>
          <w:tcPr>
            <w:tcW w:type="dxa" w:w="2052"/>
          </w:tcPr>
          <w:p>
            <w:r>
              <w:rPr/>
              <w:t>广东省无线电移动监测站能力提升项目-东莞市移动监测站升级改造</w:t>
            </w:r>
          </w:p>
        </w:tc>
        <w:tc>
          <w:tcPr>
            <w:tcW w:type="dxa" w:w="977"/>
          </w:tcPr>
          <w:p>
            <w:r>
              <w:rPr/>
              <w:t>1.00(项)</w:t>
            </w:r>
          </w:p>
        </w:tc>
        <w:tc>
          <w:tcPr>
            <w:tcW w:type="dxa" w:w="977"/>
          </w:tcPr>
          <w:p>
            <w:r>
              <w:rPr/>
              <w:t>详见第二章</w:t>
            </w:r>
          </w:p>
        </w:tc>
        <w:tc>
          <w:tcPr>
            <w:tcW w:type="dxa" w:w="977"/>
          </w:tcPr>
          <w:p>
            <w:r>
              <w:rPr/>
              <w:t>2,500,000.00</w:t>
            </w:r>
          </w:p>
        </w:tc>
        <w:tc>
          <w:tcPr>
            <w:tcW w:type="dxa" w:w="977"/>
          </w:tcPr>
          <w:p>
            <w:r>
              <w:rPr/>
              <w:t>否</w:t>
            </w:r>
          </w:p>
        </w:tc>
      </w:tr>
    </w:tbl>
    <w:p/>
    <w:p>
      <w:r>
        <w:rPr/>
        <w:t>本采购包不接受联合体投标</w:t>
      </w:r>
    </w:p>
    <w:p/>
    <w:p>
      <w:r>
        <w:rPr/>
        <w:t>合同履行期限：合同签订之日起5个月内完成（包括生产、供货、安装、第三方测试）。</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2）有依法缴纳税收和社会保障资金的良好记录：投标（响应）文件中提供《资格条件承诺函》，可参考公告附件格式。</w:t>
      </w:r>
    </w:p>
    <w:p/>
    <w:p>
      <w:r>
        <w:rPr/>
        <w:t>3）具有良好的商业信誉和健全的财务会计制度：投标（响应）文件中提供《资格条件承诺函》，可参考公告附件格式。</w:t>
      </w:r>
    </w:p>
    <w:p/>
    <w:p>
      <w:r>
        <w:rPr/>
        <w:t>4）履行合同所必需的设备和专业技术能力：投标（响应）文件中提供《资格条件承诺函》，可参考公告附件格式。</w:t>
      </w:r>
    </w:p>
    <w:p/>
    <w:p>
      <w:r>
        <w:rPr/>
        <w:t>5）参加采购活动前3年内，在经营活动中没有重大违法记录：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采购包1（广东省无线电移动监测站能力提升项目-东莞市移动监测站升级改造）：</w:t>
      </w:r>
      <w:r>
        <w:rPr/>
        <w:t>本项目不属于专门面向中小企业采购项目。</w:t>
      </w:r>
    </w:p>
    <w:p/>
    <w:p>
      <w:r>
        <w:rPr>
          <w:b/>
          <w:sz w:val="24"/>
        </w:rPr>
        <w:t>3.本项目特定的资格要求：</w:t>
      </w:r>
    </w:p>
    <w:p>
      <w:pPr>
        <w:ind w:firstLine="480"/>
      </w:pPr>
    </w:p>
    <w:p/>
    <w:p>
      <w:r>
        <w:rPr/>
        <w:t>采购包1（广东省无线电移动监测站能力提升项目-东莞市移动监测站升级改造）：</w:t>
      </w:r>
    </w:p>
    <w:p/>
    <w:p>
      <w:r>
        <w:rPr/>
        <w:t>1)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东莞市无线电监测站</w:t>
      </w:r>
    </w:p>
    <w:p>
      <w:pPr>
        <w:ind w:firstLine="480"/>
      </w:pPr>
      <w:r>
        <w:rPr/>
        <w:t>地址：</w:t>
      </w:r>
      <w:r>
        <w:rPr/>
        <w:t>东莞市南城街道莞太路23号鸿禧商业大厦16楼</w:t>
      </w:r>
    </w:p>
    <w:p>
      <w:pPr>
        <w:ind w:firstLine="480"/>
      </w:pPr>
      <w:r>
        <w:rPr/>
        <w:t>联系方式：</w:t>
      </w:r>
      <w:r>
        <w:rPr/>
        <w:t>0769-86999517</w:t>
      </w:r>
    </w:p>
    <w:p>
      <w:r>
        <w:rPr>
          <w:b/>
          <w:sz w:val="24"/>
        </w:rPr>
        <w:t>2.采购代理机构信息</w:t>
      </w:r>
    </w:p>
    <w:p>
      <w:pPr>
        <w:ind w:firstLine="480"/>
      </w:pPr>
      <w:r>
        <w:rPr/>
        <w:t>名称：</w:t>
      </w:r>
      <w:r>
        <w:rPr/>
        <w:t>广东政通招标有限公司</w:t>
      </w:r>
    </w:p>
    <w:p>
      <w:pPr>
        <w:ind w:firstLine="480"/>
      </w:pPr>
      <w:r>
        <w:rPr/>
        <w:t>地址：</w:t>
      </w:r>
      <w:r>
        <w:rPr/>
        <w:t>东莞市南城街道鸿福路199号410、411室</w:t>
      </w:r>
    </w:p>
    <w:p>
      <w:pPr>
        <w:ind w:firstLine="480"/>
      </w:pPr>
      <w:r>
        <w:rPr/>
        <w:t>联系方式：</w:t>
      </w:r>
      <w:r>
        <w:rPr/>
        <w:t>0769-22881803</w:t>
      </w:r>
    </w:p>
    <w:p>
      <w:r>
        <w:rPr>
          <w:b/>
          <w:sz w:val="24"/>
        </w:rPr>
        <w:t>3.项目联系方式</w:t>
      </w:r>
    </w:p>
    <w:p>
      <w:pPr>
        <w:ind w:firstLine="480"/>
      </w:pPr>
      <w:r>
        <w:rPr/>
        <w:t>项目联系人：</w:t>
      </w:r>
      <w:r>
        <w:rPr/>
        <w:t>杨先生</w:t>
      </w:r>
    </w:p>
    <w:p>
      <w:pPr>
        <w:ind w:firstLine="480"/>
      </w:pPr>
      <w:r>
        <w:rPr/>
        <w:t>电话：</w:t>
      </w:r>
      <w:r>
        <w:rPr/>
        <w:t>0769-22881803</w:t>
      </w:r>
    </w:p>
    <w:p>
      <w:r>
        <w:rPr>
          <w:b/>
          <w:sz w:val="24"/>
        </w:rPr>
        <w:t>4.技术支持联系方式</w:t>
      </w:r>
    </w:p>
    <w:p>
      <w:pPr>
        <w:ind w:firstLine="480"/>
      </w:pPr>
      <w:r>
        <w:rPr/>
        <w:t>云平台联系方式：020-88696588</w:t>
      </w:r>
    </w:p>
    <w:p>
      <w:r>
        <w:rPr/>
        <w:t>采购代理机构：</w:t>
      </w:r>
      <w:r>
        <w:rPr/>
        <w:t>广东政通招标有限公司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sz w:val="21"/>
        </w:rPr>
        <w:t>本项目主要是对东莞市投入使用近十多年的移动监测站</w:t>
      </w:r>
      <w:r>
        <w:rPr>
          <w:sz w:val="21"/>
        </w:rPr>
        <w:t>(泰雷兹EsmeraldaXE无线电监测测向设备和丰田霸道4000型装载平台)进行升级改造，系统升级改造后，东莞市移动监测站的监测频率达到30GHz，系统功能和技术指标满足《省级无线电监测设施建设规范和技术要求(试行)》对一类移动监测站的相关要求，能够提升东莞市移动监测技术手段及能力水平，能够与东莞市无线电监测网和广东省无线电监测网联网，满足无线电管理工作需要，加强东莞市电磁环境实时监控力度，进一步扩大无线电监测测向覆盖范围、提高无线电干扰查处的能力、保证合法无线电业务正常开展，为东莞市无线电管理工作提供决策依据，为东莞市社会经济的快速发展保驾护航。</w:t>
      </w:r>
    </w:p>
    <w:p/>
    <w:p>
      <w:pPr>
        <w:ind w:firstLine="480"/>
      </w:pPr>
    </w:p>
    <w:p/>
    <w:p>
      <w:r>
        <w:rPr/>
        <w:t>采购包1（广东省无线电移动监测站能力提升项目-东莞市移动监测站升级改造）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合同签订之日起5个月内完成（包括生产、供货、安装、第三方测试）。</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1期：支付比例100%,支付期次如下： 第一期：合同签订后，采购人在收到中标人提交的正式发票后，十个工作日内支付合同金额55%； 第二期：项目初验合格后，采购人在收到中标人提交的正式发票后，十个工作日内支付至合同金额的80%； 第三期：项目终验合格后，采购人在收到中标人提交的正式发票后，十个工作日内支付至合同金额的100%</w:t>
            </w:r>
          </w:p>
        </w:tc>
      </w:tr>
      <w:tr>
        <w:tc>
          <w:tcPr>
            <w:tcW w:type="dxa" w:w="4153"/>
          </w:tcPr>
          <w:p>
            <w:r>
              <w:rPr/>
              <w:t>验收要求</w:t>
            </w:r>
          </w:p>
        </w:tc>
        <w:tc>
          <w:tcPr>
            <w:tcW w:type="dxa" w:w="4153"/>
          </w:tcPr>
          <w:p/>
          <w:p/>
          <w:p/>
          <w:p>
            <w:r>
              <w:rPr/>
              <w:t>1期：1、验收要求： （1）验收时，中标人交付的宽带监测系统和宽带测向系统需提供满足相关能力及资质要求的第三方机构的检测报告。 （2）验收测试，中标人负责制定验收测试方案，依据相关规范和文件对系统进行了全面测试，包括系统技术指标、功能测试等。 （3）中标人需要提供完备的验收文档。 2、验收期次要求如下： 第一期：产品试运行一周后进行初验； 第二期：产品试运行一个月后进行终验。 3、项目验收标准： （1）项目验收由采购人组织5（含）人以上的专家组进行验收。 （2）对验收不合格的部分，中标人应在采购人规定时间内及时整改完善直至合格。</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1、报价要求，投标报价采取打包报价的方式，投标报价包括材料、工具、人工、管理费、利润、税金、风险、招标代理费用等一切因素所有应该和可能发生的费用因素。</w:t>
            </w:r>
          </w:p>
          <w:p/>
          <w:p>
            <w:r>
              <w:rPr/>
              <w:t>2、售后服务要求，（1）质保期3年，非人为因素及不可抗力情况下，一切维修换件保养费用由中标人承担。维修期不少于十年，中标人保证所售设备自停产之日起至少五年的备件供应，维修期内中标人可收取一定比例的维护费用。 （2）中标人质保期内需提供免费的升空监测和干扰查找服务，可提供技术先进的升空无线电监测系统进行应急技术保障和现场支持。 （3）售后服务响应时间：24小时内到现场。 （4）中标人应承诺对软件进行正常免费升级。</w:t>
            </w:r>
          </w:p>
          <w:p/>
          <w:p>
            <w:r>
              <w:rPr/>
              <w:t>3、其他要求，投标人应充分结合本招标文件上下文了解项目招标需求、采购文件未尽事宜，将在合同签订或项目执行过程中双方协商确定，供应商须无条件满足采购单位的合理要求。</w:t>
            </w:r>
          </w:p>
        </w:tc>
      </w:tr>
    </w:tbl>
    <w:p>
      <w:r>
        <w:rPr>
          <w:b/>
        </w:rPr>
        <w:t>2.技术标准与要求</w:t>
      </w:r>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场强干扰测量仪器及测量接收机</w:t>
            </w:r>
          </w:p>
        </w:tc>
        <w:tc>
          <w:tcPr>
            <w:tcW w:type="dxa" w:w="831"/>
          </w:tcPr>
          <w:p>
            <w:pPr>
              <w:jc w:val="left"/>
            </w:pPr>
            <w:r>
              <w:rPr/>
              <w:t>广东省无线电移动监测站能力提升项目-东莞市移动监测站升级改造</w:t>
            </w:r>
          </w:p>
        </w:tc>
        <w:tc>
          <w:tcPr>
            <w:tcW w:type="dxa" w:w="831"/>
          </w:tcPr>
          <w:p>
            <w:pPr>
              <w:jc w:val="left"/>
            </w:pPr>
            <w:r>
              <w:rPr/>
              <w:t>项</w:t>
            </w:r>
          </w:p>
        </w:tc>
        <w:tc>
          <w:tcPr>
            <w:tcW w:type="dxa" w:w="831"/>
          </w:tcPr>
          <w:p>
            <w:pPr>
              <w:jc w:val="right"/>
            </w:pPr>
            <w:r>
              <w:rPr/>
              <w:t>1.00</w:t>
            </w:r>
          </w:p>
        </w:tc>
        <w:tc>
          <w:tcPr>
            <w:tcW w:type="dxa" w:w="831"/>
          </w:tcPr>
          <w:p>
            <w:pPr>
              <w:jc w:val="right"/>
            </w:pPr>
            <w:r>
              <w:rPr/>
              <w:t>2,500,000.00</w:t>
            </w:r>
          </w:p>
        </w:tc>
        <w:tc>
          <w:tcPr>
            <w:tcW w:type="dxa" w:w="831"/>
          </w:tcPr>
          <w:p>
            <w:pPr>
              <w:jc w:val="right"/>
            </w:pPr>
            <w:r>
              <w:rPr/>
              <w:t>2,500,000.00</w:t>
            </w:r>
          </w:p>
        </w:tc>
        <w:tc>
          <w:tcPr>
            <w:tcW w:type="dxa" w:w="831"/>
          </w:tcPr>
          <w:p>
            <w:r>
              <w:rPr/>
              <w:t>工业</w:t>
            </w:r>
          </w:p>
        </w:tc>
        <w:tc>
          <w:tcPr>
            <w:tcW w:type="dxa" w:w="831"/>
          </w:tcPr>
          <w:p>
            <w:r>
              <w:rPr/>
              <w:t>详见附表一</w:t>
            </w:r>
          </w:p>
        </w:tc>
      </w:tr>
    </w:tbl>
    <w:p/>
    <w:p>
      <w:r>
        <w:rPr>
          <w:b/>
        </w:rPr>
        <w:t>附表</w:t>
      </w:r>
      <w:r>
        <w:rPr>
          <w:b/>
        </w:rPr>
        <w:t>一</w:t>
      </w:r>
      <w:r>
        <w:rPr>
          <w:b/>
        </w:rPr>
        <w:t>：</w:t>
      </w:r>
      <w:r>
        <w:rPr>
          <w:b/>
        </w:rPr>
        <w:t>广东省无线电移动监测站能力提升项目-东莞市移动监测站升级改造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4"/>
              </w:rPr>
              <w:t>一、采购项目内容</w:t>
            </w:r>
          </w:p>
          <w:p>
            <w:pPr>
              <w:ind w:firstLine="422"/>
            </w:pPr>
            <w:r>
              <w:rPr>
                <w:b/>
                <w:sz w:val="21"/>
              </w:rPr>
              <w:t>（一）采购项目概况简介</w:t>
            </w:r>
          </w:p>
          <w:p>
            <w:pPr>
              <w:ind w:firstLine="420"/>
              <w:jc w:val="both"/>
            </w:pPr>
            <w:r>
              <w:rPr>
                <w:sz w:val="21"/>
              </w:rPr>
              <w:t>本项目主要是对东莞市投入使用近十多年的移动监测站</w:t>
            </w:r>
            <w:r>
              <w:rPr>
                <w:sz w:val="21"/>
              </w:rPr>
              <w:t>(泰雷兹EsmeraldaXE无线电监测测向设备和丰田霸道4000型装载平台)进行升级改造，系统升级改造后，东莞市移动监测站的监测频率达到30GHz，系统功能和技术指标满足《省级无线电监测设施建设规范和技术要求(试行)》对一类移动监测站的相关要求，能够提升东莞市移动监测技术手段及能力水平，能够与东莞市无线电监测网和广东省无线电监测网联网，满足无线电管理工作需要，加强东莞市电磁环境实时监控力度，进一步扩大无线电监测测向覆盖范围、提高无线电干扰查处的能力、保证合法无线电业务正常开展，为东莞市无线电管理工作提供决策依据，为东莞市社会经济的快速发展保驾护航。</w:t>
            </w:r>
          </w:p>
          <w:p>
            <w:pPr>
              <w:ind w:firstLine="422"/>
            </w:pPr>
            <w:r>
              <w:rPr>
                <w:b/>
                <w:sz w:val="21"/>
              </w:rPr>
              <w:t>（二）采购货物或服务要求：</w:t>
            </w:r>
          </w:p>
          <w:p>
            <w:pPr>
              <w:ind w:firstLine="422"/>
              <w:jc w:val="both"/>
            </w:pPr>
            <w:r>
              <w:rPr>
                <w:b/>
                <w:sz w:val="21"/>
              </w:rPr>
              <w:t>1、项目建设内容</w:t>
            </w:r>
          </w:p>
          <w:p>
            <w:pPr>
              <w:ind w:firstLine="420"/>
              <w:jc w:val="both"/>
            </w:pPr>
            <w:r>
              <w:rPr>
                <w:sz w:val="21"/>
              </w:rPr>
              <w:t>东莞市移动监测站升级改造监测测向系统设备主要采用宽带监测系统和宽带测向系统，实现对</w:t>
            </w:r>
            <w:r>
              <w:rPr>
                <w:sz w:val="21"/>
              </w:rPr>
              <w:t>20MHz～30GHz频段信号进行监测，实现对20M～18GHz频段信号进行测向。移动监测站升级改造系统设备主要由天馈系统、监测系统、测向系统、控制系统、电源系统、网络系统、软件及辅助设备等组成。监测系统由宽带监测接收机、监测天线、馈线等组成。测向系统由宽带测向接收机、双极化测向天线阵、馈线等组成。</w:t>
            </w:r>
          </w:p>
          <w:p>
            <w:pPr>
              <w:ind w:firstLine="420"/>
              <w:jc w:val="both"/>
            </w:pPr>
            <w:r>
              <w:rPr>
                <w:sz w:val="21"/>
              </w:rPr>
              <w:t>2、项目技术内容及要求</w:t>
            </w:r>
          </w:p>
          <w:p>
            <w:pPr>
              <w:ind w:firstLine="632"/>
              <w:jc w:val="both"/>
            </w:pPr>
            <w:r>
              <w:rPr>
                <w:b/>
                <w:sz w:val="21"/>
              </w:rPr>
              <w:t>1）技术标准</w:t>
            </w:r>
          </w:p>
          <w:p>
            <w:pPr>
              <w:ind w:firstLine="420"/>
              <w:jc w:val="both"/>
            </w:pPr>
            <w:r>
              <w:rPr>
                <w:sz w:val="21"/>
              </w:rPr>
              <w:t>（</w:t>
            </w:r>
            <w:r>
              <w:rPr>
                <w:sz w:val="21"/>
              </w:rPr>
              <w:t>1）《中华人民共和国无线电管理条例》（2016年版）</w:t>
            </w:r>
          </w:p>
          <w:p>
            <w:pPr>
              <w:ind w:firstLine="420"/>
              <w:jc w:val="both"/>
            </w:pPr>
            <w:r>
              <w:rPr>
                <w:sz w:val="21"/>
              </w:rPr>
              <w:t>（</w:t>
            </w:r>
            <w:r>
              <w:rPr>
                <w:sz w:val="21"/>
              </w:rPr>
              <w:t>2）《广东省无线电管理“十四五”规划》（2021年）</w:t>
            </w:r>
          </w:p>
          <w:p>
            <w:pPr>
              <w:ind w:firstLine="420"/>
              <w:jc w:val="both"/>
            </w:pPr>
            <w:r>
              <w:rPr>
                <w:sz w:val="21"/>
              </w:rPr>
              <w:t>（</w:t>
            </w:r>
            <w:r>
              <w:rPr>
                <w:sz w:val="21"/>
              </w:rPr>
              <w:t>3）《广东省无线电管理“十四五”技术设施建设指导意见》（2021年）</w:t>
            </w:r>
          </w:p>
          <w:p>
            <w:pPr>
              <w:ind w:firstLine="420"/>
              <w:jc w:val="both"/>
            </w:pPr>
            <w:r>
              <w:rPr>
                <w:sz w:val="21"/>
              </w:rPr>
              <w:t>（</w:t>
            </w:r>
            <w:r>
              <w:rPr>
                <w:sz w:val="21"/>
              </w:rPr>
              <w:t>4）《省级无线电监测设施建设规范和技术要求（试行）》（2019年）</w:t>
            </w:r>
          </w:p>
          <w:p>
            <w:pPr>
              <w:ind w:firstLine="420"/>
              <w:jc w:val="both"/>
            </w:pPr>
            <w:r>
              <w:rPr>
                <w:sz w:val="21"/>
              </w:rPr>
              <w:t>（</w:t>
            </w:r>
            <w:r>
              <w:rPr>
                <w:sz w:val="21"/>
              </w:rPr>
              <w:t>5）工业和信息化部关于印发《无线电监测设施测试验证工作规定（试行）》的通知（工信部无〔2017〕283 号）</w:t>
            </w:r>
          </w:p>
          <w:p>
            <w:pPr>
              <w:ind w:firstLine="420"/>
              <w:jc w:val="both"/>
            </w:pPr>
            <w:r>
              <w:rPr>
                <w:sz w:val="21"/>
              </w:rPr>
              <w:t>（</w:t>
            </w:r>
            <w:r>
              <w:rPr>
                <w:sz w:val="21"/>
              </w:rPr>
              <w:t>6）《频谱监测手册》（2009年增补）</w:t>
            </w:r>
          </w:p>
          <w:p>
            <w:pPr>
              <w:ind w:firstLine="420"/>
              <w:jc w:val="both"/>
            </w:pPr>
            <w:r>
              <w:rPr>
                <w:sz w:val="21"/>
              </w:rPr>
              <w:t>（</w:t>
            </w:r>
            <w:r>
              <w:rPr>
                <w:sz w:val="21"/>
              </w:rPr>
              <w:t>7）《无线电监测软件功能的基本要求》（2016年）</w:t>
            </w:r>
          </w:p>
          <w:p>
            <w:pPr>
              <w:ind w:firstLine="420"/>
              <w:jc w:val="both"/>
            </w:pPr>
            <w:r>
              <w:rPr>
                <w:sz w:val="21"/>
              </w:rPr>
              <w:t>（</w:t>
            </w:r>
            <w:r>
              <w:rPr>
                <w:sz w:val="21"/>
              </w:rPr>
              <w:t>8）《无线电监测机房及配套设施建设规范》T/RAC 026-2021</w:t>
            </w:r>
          </w:p>
          <w:p>
            <w:pPr>
              <w:ind w:firstLine="420"/>
              <w:jc w:val="both"/>
            </w:pPr>
            <w:r>
              <w:rPr>
                <w:sz w:val="21"/>
              </w:rPr>
              <w:t>（</w:t>
            </w:r>
            <w:r>
              <w:rPr>
                <w:sz w:val="21"/>
              </w:rPr>
              <w:t>9）《超短波监测管理一体化平台技术规范》(五部分)（2020年）</w:t>
            </w:r>
          </w:p>
          <w:p>
            <w:pPr>
              <w:ind w:firstLine="420"/>
              <w:jc w:val="both"/>
            </w:pPr>
            <w:r>
              <w:rPr>
                <w:sz w:val="21"/>
              </w:rPr>
              <w:t>（</w:t>
            </w:r>
            <w:r>
              <w:rPr>
                <w:sz w:val="21"/>
              </w:rPr>
              <w:t>10）《超短波频段监测基础数据存储结构技术规范》（2020年）</w:t>
            </w:r>
          </w:p>
          <w:p>
            <w:pPr>
              <w:ind w:firstLine="420"/>
              <w:jc w:val="both"/>
            </w:pPr>
            <w:r>
              <w:rPr>
                <w:sz w:val="21"/>
              </w:rPr>
              <w:t>（</w:t>
            </w:r>
            <w:r>
              <w:rPr>
                <w:sz w:val="21"/>
              </w:rPr>
              <w:t>11）《国家无线电办公室关于做好2024年无线电管理经费使用计划报送工作的通知》（国无办函〔2023〕17号）</w:t>
            </w:r>
          </w:p>
          <w:p>
            <w:pPr>
              <w:ind w:firstLine="420"/>
              <w:jc w:val="both"/>
            </w:pPr>
            <w:r>
              <w:rPr>
                <w:sz w:val="21"/>
              </w:rPr>
              <w:t>（</w:t>
            </w:r>
            <w:r>
              <w:rPr>
                <w:sz w:val="21"/>
              </w:rPr>
              <w:t>12）国家相关技术标准和行业相关技术规范</w:t>
            </w:r>
          </w:p>
          <w:p>
            <w:pPr>
              <w:ind w:firstLine="632"/>
              <w:jc w:val="both"/>
            </w:pPr>
            <w:r>
              <w:rPr>
                <w:b/>
                <w:sz w:val="21"/>
              </w:rPr>
              <w:t>2）系统功能</w:t>
            </w:r>
          </w:p>
          <w:p>
            <w:pPr>
              <w:ind w:firstLine="420"/>
              <w:jc w:val="both"/>
            </w:pPr>
            <w:r>
              <w:rPr>
                <w:sz w:val="21"/>
              </w:rPr>
              <w:t>（</w:t>
            </w:r>
            <w:r>
              <w:rPr>
                <w:sz w:val="21"/>
              </w:rPr>
              <w:t>1）基本监测功能：频率测量、电平测量、场强和功率通量密度测量、占用带宽测量、调制测量、脉冲测量、频率使用率测量、无用发射测量、信号分析和发射机类别识别等。</w:t>
            </w:r>
          </w:p>
          <w:p>
            <w:pPr>
              <w:ind w:firstLine="420"/>
              <w:jc w:val="both"/>
            </w:pPr>
            <w:r>
              <w:rPr>
                <w:sz w:val="21"/>
              </w:rPr>
              <w:t>（</w:t>
            </w:r>
            <w:r>
              <w:rPr>
                <w:sz w:val="21"/>
              </w:rPr>
              <w:t>2）电磁环境测量功能：可对信号场强进行测量，测量结果可以存储、调用、编辑等；可自动或人工分析背景干扰，并生成干扰分析结果；可实现对某一指定频段背景噪声场强值的统计计算。</w:t>
            </w:r>
          </w:p>
          <w:p>
            <w:pPr>
              <w:ind w:firstLine="420"/>
              <w:jc w:val="both"/>
            </w:pPr>
            <w:r>
              <w:rPr>
                <w:sz w:val="21"/>
              </w:rPr>
              <w:t>（</w:t>
            </w:r>
            <w:r>
              <w:rPr>
                <w:sz w:val="21"/>
              </w:rPr>
              <w:t>3）数字扫描：可对指定的频率范围快速扫描，可显示频段内信号的频谱分布和随时间的变化情况，实时统计占用频谱的平均值、最大值、最小值等信息。</w:t>
            </w:r>
          </w:p>
          <w:p>
            <w:pPr>
              <w:ind w:firstLine="420"/>
              <w:jc w:val="both"/>
            </w:pPr>
            <w:r>
              <w:rPr>
                <w:sz w:val="21"/>
              </w:rPr>
              <w:t>（</w:t>
            </w:r>
            <w:r>
              <w:rPr>
                <w:sz w:val="21"/>
              </w:rPr>
              <w:t>4）多信道分析：可对一个中心频点进行最高160MHz带宽的宽带中频频谱分析，同时可实现带内最大64路信号的频谱分析、ITU参数测量和解调；测量参数包括：频率、频偏、电平、调制度、带宽等。</w:t>
            </w:r>
          </w:p>
          <w:p>
            <w:pPr>
              <w:ind w:firstLine="420"/>
              <w:jc w:val="both"/>
            </w:pPr>
            <w:r>
              <w:rPr>
                <w:sz w:val="21"/>
              </w:rPr>
              <w:t>（</w:t>
            </w:r>
            <w:r>
              <w:rPr>
                <w:sz w:val="21"/>
              </w:rPr>
              <w:t>5）数字荧光谱：对某一中心频点进行荧光谱图显示，可设置频谱分辨率、余辉的模式和余辉时间，余辉模式有无限余辉、余辉保持；实时分析带宽最高支持160MHz。</w:t>
            </w:r>
          </w:p>
          <w:p>
            <w:pPr>
              <w:ind w:firstLine="420"/>
              <w:jc w:val="both"/>
            </w:pPr>
            <w:r>
              <w:rPr>
                <w:sz w:val="21"/>
              </w:rPr>
              <w:t>（</w:t>
            </w:r>
            <w:r>
              <w:rPr>
                <w:sz w:val="21"/>
              </w:rPr>
              <w:t>6）中频测向：能对固定频率信号进行测向，并显示信号示向度、测向质量、信号电平、解调话音和实时中频频谱，可对同频混叠的多个信号进行分离测向；具有微弱信号测向相关技术，能够对隐藏在噪声中的常发信号进行可靠测向。</w:t>
            </w:r>
          </w:p>
          <w:p>
            <w:pPr>
              <w:ind w:firstLine="420"/>
              <w:jc w:val="both"/>
            </w:pPr>
            <w:r>
              <w:rPr>
                <w:sz w:val="21"/>
              </w:rPr>
              <w:t>（</w:t>
            </w:r>
            <w:r>
              <w:rPr>
                <w:sz w:val="21"/>
              </w:rPr>
              <w:t>7）频段测向：能够对一个频段的频点同时进行监测和测向，对测向方位角进行概率统计，给出测向概率出现次数最多的方位角。</w:t>
            </w:r>
          </w:p>
          <w:p>
            <w:pPr>
              <w:ind w:firstLine="420"/>
              <w:jc w:val="both"/>
            </w:pPr>
            <w:r>
              <w:rPr>
                <w:sz w:val="21"/>
              </w:rPr>
              <w:t>（</w:t>
            </w:r>
            <w:r>
              <w:rPr>
                <w:sz w:val="21"/>
              </w:rPr>
              <w:t>8）宽带测向：对指定宽带频段内的所有信号同时进行测向，给出所有超过门限信号的来波方位和电平值，可以对测向方位角进行概率统计，给出选中频率的实时方位角和最大概率角度等信息；具有微弱信号测向的能力，能够对隐藏在噪声中的宽带微弱信号进行可靠测向。</w:t>
            </w:r>
          </w:p>
          <w:p>
            <w:pPr>
              <w:ind w:firstLine="420"/>
              <w:jc w:val="both"/>
            </w:pPr>
            <w:r>
              <w:rPr>
                <w:sz w:val="21"/>
              </w:rPr>
              <w:t>（</w:t>
            </w:r>
            <w:r>
              <w:rPr>
                <w:sz w:val="21"/>
              </w:rPr>
              <w:t>9）信号分析识别：支持对AM、FM、2FSK、4FSK、BPSK、QPSK、ASK、QAM等模拟和数字调制信号的识别分析。具有时域、频域、调制域同步分析能力，具有频谱图、瀑布图、时域图、星座图、IQ波形图等信息的展示。</w:t>
            </w:r>
          </w:p>
          <w:p>
            <w:pPr>
              <w:ind w:firstLine="420"/>
              <w:jc w:val="both"/>
            </w:pPr>
            <w:r>
              <w:rPr>
                <w:sz w:val="21"/>
              </w:rPr>
              <w:t>（</w:t>
            </w:r>
            <w:r>
              <w:rPr>
                <w:sz w:val="21"/>
              </w:rPr>
              <w:t>10）广播电视信号解码分析：可搜索电视台信号，并对包括PAL-D、NTSC、SECAM、DTMB、DVB-T、DVB-T2制式的电视信号进行解调、播放的功能。可对电视台站数据进行保存，形成电视台站数据库；能进行列表查询展示；电视台站数据库有电视特征数据（如一帧截图），并能对保存的电视信号进行回放。</w:t>
            </w:r>
          </w:p>
          <w:p>
            <w:pPr>
              <w:ind w:firstLine="420"/>
              <w:jc w:val="both"/>
            </w:pPr>
            <w:r>
              <w:rPr>
                <w:sz w:val="21"/>
              </w:rPr>
              <w:t>（</w:t>
            </w:r>
            <w:r>
              <w:rPr>
                <w:sz w:val="21"/>
              </w:rPr>
              <w:t>11）数字对讲信号解码分析：可对DMR/PDT/TETRA等数字集群专网基站的配置信息进行解析和存储。具备对DMR/dPMR数字集群终端通信的测试和协议解析，包括色码、主叫号、被叫号、短信内容、语音等，并在频谱分析的同时输出短信内容和语音。</w:t>
            </w:r>
          </w:p>
          <w:p>
            <w:pPr>
              <w:ind w:firstLine="420"/>
              <w:jc w:val="both"/>
            </w:pPr>
            <w:r>
              <w:rPr>
                <w:sz w:val="21"/>
              </w:rPr>
              <w:t>（</w:t>
            </w:r>
            <w:r>
              <w:rPr>
                <w:sz w:val="21"/>
              </w:rPr>
              <w:t>12）公众移动基站信号解码分析：具备基站信号接收和解码能力，能够对指定区域，通过电子地图展示出公众移动通信频率、不明基站的使用及信号分布情况，掌握不同运营商、不同网络制式（2G/3G/4G/5G）基站的情况，如类别、制式、频率、运营商、信道号、场强、基站识别码、蜂窝小区号、位置区域码等。</w:t>
            </w:r>
          </w:p>
          <w:p>
            <w:pPr>
              <w:ind w:firstLine="420"/>
              <w:jc w:val="both"/>
            </w:pPr>
            <w:r>
              <w:rPr>
                <w:sz w:val="21"/>
              </w:rPr>
              <w:t>（</w:t>
            </w:r>
            <w:r>
              <w:rPr>
                <w:sz w:val="21"/>
              </w:rPr>
              <w:t>13）考场监测管制：可集成</w:t>
            </w:r>
            <w:r>
              <w:rPr>
                <w:sz w:val="21"/>
              </w:rPr>
              <w:t>采购人</w:t>
            </w:r>
            <w:r>
              <w:rPr>
                <w:sz w:val="21"/>
              </w:rPr>
              <w:t>现有考场监测管制设备，具备对</w:t>
            </w:r>
            <w:r>
              <w:rPr>
                <w:sz w:val="21"/>
              </w:rPr>
              <w:t>2FSK、4FSK、BPSK、QPSK、8PSK、ASK、16QAM 等类型调制样式信号的识别分析能力；具备对169MHz、173MHz、175MHz、269MHz、439MHz、506MHz、760MHz、1250MHz等多种主流数传非法信号的管控能力。</w:t>
            </w:r>
          </w:p>
          <w:p>
            <w:pPr>
              <w:ind w:firstLine="420"/>
              <w:jc w:val="both"/>
            </w:pPr>
            <w:r>
              <w:rPr>
                <w:sz w:val="21"/>
              </w:rPr>
              <w:t>（</w:t>
            </w:r>
            <w:r>
              <w:rPr>
                <w:sz w:val="21"/>
              </w:rPr>
              <w:t>14）航空干扰分析：可导入各种格式的导航定位干扰数据；能够在地图上展示航班及其轨迹信息；能够通过航班轨迹计算中垂线，并使用热力图标识出可能的干扰源区域信息；能够统计干扰时间、航班架次、持续时间等各类报表信息。</w:t>
            </w:r>
          </w:p>
          <w:p>
            <w:pPr>
              <w:ind w:firstLine="420"/>
              <w:jc w:val="both"/>
            </w:pPr>
            <w:r>
              <w:rPr>
                <w:sz w:val="21"/>
              </w:rPr>
              <w:t>（</w:t>
            </w:r>
            <w:r>
              <w:rPr>
                <w:sz w:val="21"/>
              </w:rPr>
              <w:t>15）电磁信息服务：基于电磁信息服务设备及移动终端APP，可实现本地监测测向操控，远程监测测向操控以及提供频谱监测测向云服务；通过升级或更新电磁信息服务设备固件，可实现对</w:t>
            </w:r>
            <w:r>
              <w:rPr>
                <w:sz w:val="21"/>
              </w:rPr>
              <w:t>采购人</w:t>
            </w:r>
            <w:r>
              <w:rPr>
                <w:sz w:val="21"/>
              </w:rPr>
              <w:t>现有智能考场压制设备的作弊信号捕获、压制等过程进行监督分析。</w:t>
            </w:r>
          </w:p>
          <w:p>
            <w:pPr>
              <w:ind w:firstLine="420"/>
              <w:jc w:val="both"/>
            </w:pPr>
            <w:r>
              <w:rPr>
                <w:sz w:val="21"/>
              </w:rPr>
              <w:t>（</w:t>
            </w:r>
            <w:r>
              <w:rPr>
                <w:sz w:val="21"/>
              </w:rPr>
              <w:t>16）快速监测：能够在宽带监测数字扫描功能频谱中选择一个信号频点，跳转窄带信号的中频分析功能，实现对单个数字信号的中频驻留监测。能够同样本数据进行比对，对异常信号或非法信号进行告警。</w:t>
            </w:r>
          </w:p>
          <w:p>
            <w:pPr>
              <w:ind w:firstLine="420"/>
              <w:jc w:val="both"/>
            </w:pPr>
            <w:r>
              <w:rPr>
                <w:sz w:val="21"/>
              </w:rPr>
              <w:t>（</w:t>
            </w:r>
            <w:r>
              <w:rPr>
                <w:sz w:val="21"/>
              </w:rPr>
              <w:t>17）监测数据统计处理：可对监测数据进行存储、查询、统计等，监测数据格式符合国家相关标准；无线电测向数据能够存储和回放，能够对过去不少于24小时内出现过的干扰信号测向定位。</w:t>
            </w:r>
          </w:p>
          <w:p>
            <w:pPr>
              <w:ind w:firstLine="420"/>
              <w:jc w:val="both"/>
            </w:pPr>
            <w:r>
              <w:rPr>
                <w:sz w:val="21"/>
              </w:rPr>
              <w:t>（</w:t>
            </w:r>
            <w:r>
              <w:rPr>
                <w:sz w:val="21"/>
              </w:rPr>
              <w:t>18）电子地图：支持多种图源使用，能够提供免费地理信息图源，可实时更新。支持瓦片数据地图引擎，能直观显示二维地图信息和混和影像信息，可快速一键切换；可将台站数据库、测向定位结果等显示在地图上。</w:t>
            </w:r>
          </w:p>
          <w:p>
            <w:pPr>
              <w:ind w:firstLine="420"/>
              <w:jc w:val="both"/>
            </w:pPr>
            <w:r>
              <w:rPr>
                <w:sz w:val="21"/>
              </w:rPr>
              <w:t>（</w:t>
            </w:r>
            <w:r>
              <w:rPr>
                <w:sz w:val="21"/>
              </w:rPr>
              <w:t>19）频谱路测：可完成频率使用率的频段占用度、年时间占用度、空间覆盖率三个指标测试；按国家标准bin格式保存数据；能显示和计算路测轨迹、场强热力图、频谱地图、信号定位信息（概率估算）。</w:t>
            </w:r>
          </w:p>
          <w:p>
            <w:pPr>
              <w:ind w:firstLine="420"/>
              <w:jc w:val="both"/>
            </w:pPr>
            <w:r>
              <w:rPr>
                <w:sz w:val="21"/>
              </w:rPr>
              <w:t>（</w:t>
            </w:r>
            <w:r>
              <w:rPr>
                <w:sz w:val="21"/>
              </w:rPr>
              <w:t>20）遥控和联网：系统设备具有远程操作与控制功能，满足最新的《超短波监测管理服务接口规范》，能够以原子服务封装的方式接入广东省和东莞市现有监测网。</w:t>
            </w:r>
          </w:p>
          <w:p>
            <w:pPr>
              <w:ind w:firstLine="420"/>
              <w:jc w:val="both"/>
            </w:pPr>
            <w:r>
              <w:rPr>
                <w:sz w:val="21"/>
              </w:rPr>
              <w:t>（</w:t>
            </w:r>
            <w:r>
              <w:rPr>
                <w:sz w:val="21"/>
              </w:rPr>
              <w:t>21）系统自检：系统可对主要设备的运行状态进行实时监控，能自动检测出现故障的设备模块。</w:t>
            </w:r>
          </w:p>
          <w:p>
            <w:pPr>
              <w:ind w:firstLine="632"/>
              <w:jc w:val="both"/>
            </w:pPr>
            <w:r>
              <w:rPr>
                <w:b/>
                <w:sz w:val="21"/>
              </w:rPr>
              <w:t>3）车载平台集成要求</w:t>
            </w:r>
          </w:p>
          <w:p>
            <w:pPr>
              <w:ind w:firstLine="420"/>
              <w:jc w:val="both"/>
            </w:pPr>
            <w:r>
              <w:rPr>
                <w:sz w:val="21"/>
              </w:rPr>
              <w:t>1、车辆改装要求</w:t>
            </w:r>
          </w:p>
          <w:p>
            <w:pPr>
              <w:ind w:firstLine="420"/>
              <w:jc w:val="both"/>
            </w:pPr>
            <w:r>
              <w:rPr>
                <w:sz w:val="21"/>
              </w:rPr>
              <w:t>车辆改装严格按照质量管理体系进行质量管理。车内、车外所用材料，使用工艺满足防锈、防腐、防霉菌、防潮湿要求，车辆改装后满足下列要求：</w:t>
            </w:r>
          </w:p>
          <w:p>
            <w:pPr>
              <w:ind w:firstLine="420"/>
              <w:jc w:val="both"/>
            </w:pPr>
            <w:r>
              <w:rPr>
                <w:sz w:val="21"/>
              </w:rPr>
              <w:t>1.1环境适应性</w:t>
            </w:r>
          </w:p>
          <w:p>
            <w:pPr>
              <w:ind w:firstLine="420"/>
              <w:jc w:val="both"/>
            </w:pPr>
            <w:r>
              <w:rPr>
                <w:sz w:val="21"/>
              </w:rPr>
              <w:t>1）工作温度：-20℃～55℃</w:t>
            </w:r>
          </w:p>
          <w:p>
            <w:pPr>
              <w:ind w:firstLine="420"/>
              <w:jc w:val="both"/>
            </w:pPr>
            <w:r>
              <w:rPr>
                <w:sz w:val="21"/>
              </w:rPr>
              <w:t>2）贮存温度：-40℃～70℃</w:t>
            </w:r>
          </w:p>
          <w:p>
            <w:pPr>
              <w:ind w:firstLine="420"/>
              <w:jc w:val="both"/>
            </w:pPr>
            <w:r>
              <w:rPr>
                <w:sz w:val="21"/>
              </w:rPr>
              <w:t>3）相对湿度：95±3%(40℃)</w:t>
            </w:r>
          </w:p>
          <w:p>
            <w:pPr>
              <w:ind w:firstLine="420"/>
              <w:jc w:val="both"/>
            </w:pPr>
            <w:r>
              <w:rPr>
                <w:sz w:val="21"/>
              </w:rPr>
              <w:t>4）抗风：≤20m/s（8级风）</w:t>
            </w:r>
          </w:p>
          <w:p>
            <w:pPr>
              <w:ind w:firstLine="420"/>
              <w:jc w:val="both"/>
            </w:pPr>
            <w:r>
              <w:rPr>
                <w:sz w:val="21"/>
              </w:rPr>
              <w:t>5）工作高度：≤3000m（海拔）</w:t>
            </w:r>
          </w:p>
          <w:p>
            <w:pPr>
              <w:ind w:firstLine="420"/>
              <w:jc w:val="both"/>
            </w:pPr>
            <w:r>
              <w:rPr>
                <w:sz w:val="21"/>
              </w:rPr>
              <w:t>1.2</w:t>
            </w:r>
            <w:r>
              <w:rPr>
                <w:sz w:val="21"/>
              </w:rPr>
              <w:t>电磁兼容性设计</w:t>
            </w:r>
          </w:p>
          <w:p>
            <w:pPr>
              <w:ind w:firstLine="420"/>
              <w:jc w:val="both"/>
            </w:pPr>
            <w:r>
              <w:rPr>
                <w:sz w:val="21"/>
              </w:rPr>
              <w:t>电磁兼容性设计贯穿于总体工程设计的全过程。电磁兼容性设计综合利用屏蔽、接地、滤波、搭接、元器件的合理选用、空间、时间、频率分隔、合理布线、材料与工艺的正确选用等技术措施。</w:t>
            </w:r>
          </w:p>
          <w:p>
            <w:pPr>
              <w:ind w:firstLine="420"/>
              <w:jc w:val="both"/>
            </w:pPr>
            <w:r>
              <w:rPr>
                <w:sz w:val="21"/>
              </w:rPr>
              <w:t>1.3 可靠性</w:t>
            </w:r>
          </w:p>
          <w:p>
            <w:pPr>
              <w:ind w:firstLine="420"/>
              <w:jc w:val="both"/>
            </w:pPr>
            <w:r>
              <w:rPr>
                <w:sz w:val="21"/>
              </w:rPr>
              <w:t>1）监测车首次故障里程 ≥5000km；</w:t>
            </w:r>
          </w:p>
          <w:p>
            <w:pPr>
              <w:ind w:firstLine="420"/>
              <w:jc w:val="both"/>
            </w:pPr>
            <w:r>
              <w:rPr>
                <w:sz w:val="21"/>
              </w:rPr>
              <w:t>2）监测车平均无故障行驶间隔里程（MTBF）≥3000km；</w:t>
            </w:r>
          </w:p>
          <w:p>
            <w:pPr>
              <w:ind w:firstLine="420"/>
              <w:jc w:val="both"/>
            </w:pPr>
            <w:r>
              <w:rPr>
                <w:sz w:val="21"/>
              </w:rPr>
              <w:t>3）在碎石路面上以25千米/小时的速度行驶200千米，车内系统设备不出现任何松动和损坏；</w:t>
            </w:r>
          </w:p>
          <w:p>
            <w:pPr>
              <w:ind w:firstLine="420"/>
              <w:jc w:val="both"/>
            </w:pPr>
            <w:r>
              <w:rPr>
                <w:sz w:val="21"/>
              </w:rPr>
              <w:t>4）汽车在行驶10000km内，不应发生重要零部件损坏。</w:t>
            </w:r>
          </w:p>
          <w:p>
            <w:pPr>
              <w:ind w:firstLine="420"/>
              <w:jc w:val="both"/>
            </w:pPr>
            <w:r>
              <w:rPr>
                <w:sz w:val="21"/>
              </w:rPr>
              <w:t>1.4 运载能力</w:t>
            </w:r>
          </w:p>
          <w:p>
            <w:pPr>
              <w:ind w:firstLine="420"/>
              <w:jc w:val="both"/>
            </w:pPr>
            <w:r>
              <w:rPr>
                <w:sz w:val="21"/>
              </w:rPr>
              <w:t>符合</w:t>
            </w:r>
            <w:r>
              <w:rPr>
                <w:sz w:val="21"/>
              </w:rPr>
              <w:t>GB1589-2004《道路车辆外廓尺寸、轴荷及质量限值》的有关规定，满足车辆公路运输要求；满载爬坡能力满足原车指标。车辆在一、二级公路上行驶速度不得低于 80km/h；在三级公路上行驶速度不得低于50km/h；四级路面上，车辆速度不低于 30km/h。</w:t>
            </w:r>
          </w:p>
          <w:p>
            <w:pPr>
              <w:ind w:firstLine="420"/>
              <w:jc w:val="both"/>
            </w:pPr>
            <w:r>
              <w:rPr>
                <w:sz w:val="21"/>
              </w:rPr>
              <w:t>1.5 维修性</w:t>
            </w:r>
          </w:p>
          <w:p>
            <w:pPr>
              <w:ind w:firstLine="420"/>
              <w:jc w:val="both"/>
            </w:pPr>
            <w:r>
              <w:rPr>
                <w:sz w:val="21"/>
              </w:rPr>
              <w:t>1）车内设备布置合理，便于设备安装、检修和维护；</w:t>
            </w:r>
          </w:p>
          <w:p>
            <w:pPr>
              <w:ind w:firstLine="420"/>
              <w:jc w:val="both"/>
            </w:pPr>
            <w:r>
              <w:rPr>
                <w:sz w:val="21"/>
              </w:rPr>
              <w:t>2）设备和部件安装合理，润滑和调整部位和部件易于接近；</w:t>
            </w:r>
          </w:p>
          <w:p>
            <w:pPr>
              <w:ind w:firstLine="420"/>
              <w:jc w:val="both"/>
            </w:pPr>
            <w:r>
              <w:rPr>
                <w:sz w:val="21"/>
              </w:rPr>
              <w:t>3）尽量采用标准件和通用件，减少专用工具；</w:t>
            </w:r>
          </w:p>
          <w:p>
            <w:pPr>
              <w:ind w:firstLine="420"/>
              <w:jc w:val="both"/>
            </w:pPr>
            <w:r>
              <w:rPr>
                <w:sz w:val="21"/>
              </w:rPr>
              <w:t>4）基层级平均故障维修时间(MTTR)不大于30min。</w:t>
            </w:r>
          </w:p>
          <w:p>
            <w:pPr>
              <w:ind w:firstLine="420"/>
              <w:jc w:val="both"/>
            </w:pPr>
            <w:r>
              <w:rPr>
                <w:sz w:val="21"/>
              </w:rPr>
              <w:t>1.6 三防要求</w:t>
            </w:r>
          </w:p>
          <w:p>
            <w:pPr>
              <w:ind w:firstLine="420"/>
              <w:jc w:val="both"/>
            </w:pPr>
            <w:r>
              <w:rPr>
                <w:sz w:val="21"/>
              </w:rPr>
              <w:t>1）整车具有防潮湿、防盐雾、防霉菌的能力；</w:t>
            </w:r>
          </w:p>
          <w:p>
            <w:pPr>
              <w:ind w:firstLine="420"/>
              <w:jc w:val="both"/>
            </w:pPr>
            <w:r>
              <w:rPr>
                <w:sz w:val="21"/>
              </w:rPr>
              <w:t>2）适应海洋性气候使用，防锈、防腐能力强。</w:t>
            </w:r>
          </w:p>
          <w:p>
            <w:pPr>
              <w:ind w:firstLine="420"/>
              <w:jc w:val="both"/>
            </w:pPr>
            <w:r>
              <w:rPr>
                <w:sz w:val="21"/>
              </w:rPr>
              <w:t>1.7安全要求</w:t>
            </w:r>
          </w:p>
          <w:p>
            <w:pPr>
              <w:ind w:firstLine="420"/>
              <w:jc w:val="both"/>
            </w:pPr>
            <w:r>
              <w:rPr>
                <w:sz w:val="21"/>
              </w:rPr>
              <w:t>1）车辆改装不更改汽车底盘的发动机、传动系统、制动系统、行驶系统和转向系统等关键结构；</w:t>
            </w:r>
          </w:p>
          <w:p>
            <w:pPr>
              <w:ind w:firstLine="420"/>
              <w:jc w:val="both"/>
            </w:pPr>
            <w:r>
              <w:rPr>
                <w:sz w:val="21"/>
              </w:rPr>
              <w:t>2）具有良好的抗振性，所有工具、配件及其他物品均固定牢固；</w:t>
            </w:r>
          </w:p>
          <w:p>
            <w:pPr>
              <w:ind w:firstLine="420"/>
              <w:jc w:val="both"/>
            </w:pPr>
            <w:r>
              <w:rPr>
                <w:sz w:val="21"/>
              </w:rPr>
              <w:t>3）配备必要的自救工具和灭火设备；</w:t>
            </w:r>
          </w:p>
          <w:p>
            <w:pPr>
              <w:ind w:firstLine="420"/>
              <w:jc w:val="both"/>
            </w:pPr>
            <w:r>
              <w:rPr>
                <w:sz w:val="21"/>
              </w:rPr>
              <w:t>4）具有漏电流保护装置；</w:t>
            </w:r>
          </w:p>
          <w:p>
            <w:pPr>
              <w:ind w:firstLine="420"/>
              <w:jc w:val="both"/>
            </w:pPr>
            <w:r>
              <w:rPr>
                <w:sz w:val="21"/>
              </w:rPr>
              <w:t>5）车体及设备柜等人手可触及部件不带电,采取必要的保护措施，所有可触及部位应抛光、防划伤、擦伤、碰伤；</w:t>
            </w:r>
          </w:p>
          <w:p>
            <w:pPr>
              <w:ind w:firstLine="420"/>
              <w:jc w:val="both"/>
            </w:pPr>
            <w:r>
              <w:rPr>
                <w:sz w:val="21"/>
              </w:rPr>
              <w:t>6）车顶平台均具有防滑措施，以保证安全性。</w:t>
            </w:r>
          </w:p>
          <w:p>
            <w:pPr>
              <w:ind w:firstLine="420"/>
              <w:jc w:val="both"/>
            </w:pPr>
            <w:r>
              <w:rPr>
                <w:sz w:val="21"/>
              </w:rPr>
              <w:t>1.8 材料</w:t>
            </w:r>
          </w:p>
          <w:p>
            <w:pPr>
              <w:ind w:firstLine="420"/>
              <w:jc w:val="both"/>
            </w:pPr>
            <w:r>
              <w:rPr>
                <w:sz w:val="21"/>
              </w:rPr>
              <w:t>1）改装原材料采用符合相关标准并通过“CCC”质量认证的材料，各种材料具有无污染、绿色环保材料、防火／防水材料；胶为无苯胶；各项性能符合相应材料标准。</w:t>
            </w:r>
          </w:p>
          <w:p>
            <w:pPr>
              <w:ind w:firstLine="420"/>
              <w:jc w:val="both"/>
            </w:pPr>
            <w:r>
              <w:rPr>
                <w:sz w:val="21"/>
              </w:rPr>
              <w:t>2）车外螺钉、螺母、垫片等紧固件全部选用不锈钢材料，铆钉可采用铝铆钉；车外金属材料，除材料有特殊要求可采用碳素钢镀锌外，其余均采用不锈钢或铝合金材料；车顶平台采用铝合金花纹板。</w:t>
            </w:r>
          </w:p>
          <w:p>
            <w:pPr>
              <w:ind w:firstLine="420"/>
              <w:jc w:val="both"/>
            </w:pPr>
            <w:r>
              <w:rPr>
                <w:sz w:val="21"/>
              </w:rPr>
              <w:t>3）车内材料，有现场配作或有补充加工可能的材料，均采用不锈钢或铝合金材料；车内其它材料应以耐腐蚀钢、对应类别的铝合金等为主，并经镀锌钝化等工艺手段的表面处理。需焊接和喷涂防锈漆的金属件，也必须先进行镀锌钝化或导电氧化等处理。</w:t>
            </w:r>
          </w:p>
          <w:p>
            <w:pPr>
              <w:ind w:firstLine="420"/>
              <w:jc w:val="both"/>
            </w:pPr>
            <w:r>
              <w:rPr>
                <w:sz w:val="21"/>
              </w:rPr>
              <w:t>1.9连接及紧固</w:t>
            </w:r>
          </w:p>
          <w:p>
            <w:pPr>
              <w:ind w:firstLine="420"/>
              <w:jc w:val="both"/>
            </w:pPr>
            <w:r>
              <w:rPr>
                <w:sz w:val="21"/>
              </w:rPr>
              <w:t>车内、外安装通信设备机柜和附件的位置应有相应埋铁。车厢不允许采用无防松装置的螺纹连接。紧固件必须经过三防处理，对于穿过车厢的螺钉和铆钉必须涂密封剂，铆钉应排列整齐，铆钉不允许有歪头、裂头或松动。</w:t>
            </w:r>
          </w:p>
          <w:p>
            <w:pPr>
              <w:ind w:firstLine="420"/>
              <w:jc w:val="both"/>
            </w:pPr>
            <w:r>
              <w:rPr>
                <w:sz w:val="21"/>
              </w:rPr>
              <w:t>1.10完好性要求</w:t>
            </w:r>
          </w:p>
          <w:p>
            <w:pPr>
              <w:ind w:firstLine="420"/>
              <w:jc w:val="both"/>
            </w:pPr>
            <w:r>
              <w:rPr>
                <w:sz w:val="21"/>
              </w:rPr>
              <w:t>经过规定的试验后，不允许出现下列缺陷：</w:t>
            </w:r>
          </w:p>
          <w:p>
            <w:pPr>
              <w:ind w:firstLine="420"/>
              <w:jc w:val="both"/>
            </w:pPr>
            <w:r>
              <w:rPr>
                <w:sz w:val="21"/>
              </w:rPr>
              <w:t>1)脱层、翘曲、戳穿、破损、永久变形；</w:t>
            </w:r>
          </w:p>
          <w:p>
            <w:pPr>
              <w:ind w:firstLine="420"/>
              <w:jc w:val="both"/>
            </w:pPr>
            <w:r>
              <w:rPr>
                <w:sz w:val="21"/>
              </w:rPr>
              <w:t>2)密封部位开裂或脱落，车厢漏雨；</w:t>
            </w:r>
          </w:p>
          <w:p>
            <w:pPr>
              <w:ind w:firstLine="420"/>
              <w:jc w:val="both"/>
            </w:pPr>
            <w:r>
              <w:rPr>
                <w:sz w:val="21"/>
              </w:rPr>
              <w:t>3)车门、盖板等活动部件转动不灵活、关（锁）不住；</w:t>
            </w:r>
          </w:p>
          <w:p>
            <w:pPr>
              <w:ind w:firstLine="420"/>
              <w:jc w:val="both"/>
            </w:pPr>
            <w:r>
              <w:rPr>
                <w:sz w:val="21"/>
              </w:rPr>
              <w:t>4)安装件损坏或位移超过公差；</w:t>
            </w:r>
          </w:p>
          <w:p>
            <w:pPr>
              <w:ind w:firstLine="420"/>
              <w:jc w:val="both"/>
            </w:pPr>
            <w:r>
              <w:rPr>
                <w:sz w:val="21"/>
              </w:rPr>
              <w:t>5)金属件锈蚀或镀层脱落，漆层脱落或起皮。</w:t>
            </w:r>
          </w:p>
          <w:p>
            <w:pPr>
              <w:ind w:firstLine="420"/>
              <w:jc w:val="both"/>
            </w:pPr>
            <w:r>
              <w:rPr>
                <w:sz w:val="21"/>
              </w:rPr>
              <w:t>1.11人—机—环境工程</w:t>
            </w:r>
          </w:p>
          <w:p>
            <w:pPr>
              <w:ind w:firstLine="420"/>
              <w:jc w:val="both"/>
            </w:pPr>
            <w:r>
              <w:rPr>
                <w:sz w:val="21"/>
              </w:rPr>
              <w:t>1)车内设备的布置应有良好的人机界面；</w:t>
            </w:r>
          </w:p>
          <w:p>
            <w:pPr>
              <w:ind w:firstLine="420"/>
              <w:jc w:val="both"/>
            </w:pPr>
            <w:r>
              <w:rPr>
                <w:sz w:val="21"/>
              </w:rPr>
              <w:t>2)车内的工作环境应有利于使车内通信、监测设备发挥最佳效能，并应能使操作者保持良好状态；</w:t>
            </w:r>
          </w:p>
          <w:p>
            <w:pPr>
              <w:ind w:firstLine="420"/>
              <w:jc w:val="both"/>
            </w:pPr>
            <w:r>
              <w:rPr>
                <w:sz w:val="21"/>
              </w:rPr>
              <w:t>3)工作台和座椅的尺寸应符合GB10000-1986的有关要求，在操作座位上应能方便地操作常用设备；</w:t>
            </w:r>
          </w:p>
          <w:p>
            <w:pPr>
              <w:ind w:firstLine="420"/>
              <w:jc w:val="both"/>
            </w:pPr>
            <w:r>
              <w:rPr>
                <w:sz w:val="21"/>
              </w:rPr>
              <w:t>4)应保留操作者进行操作时所需的工作空间，各设备使用不应相互干扰、影响。</w:t>
            </w:r>
          </w:p>
          <w:p>
            <w:pPr>
              <w:ind w:firstLine="420"/>
              <w:jc w:val="both"/>
            </w:pPr>
            <w:r>
              <w:rPr>
                <w:sz w:val="21"/>
              </w:rPr>
              <w:t>1.12 整车稳定性</w:t>
            </w:r>
          </w:p>
          <w:p>
            <w:pPr>
              <w:ind w:firstLine="420"/>
              <w:jc w:val="both"/>
            </w:pPr>
            <w:r>
              <w:rPr>
                <w:sz w:val="21"/>
              </w:rPr>
              <w:t>改装后整车整备质量不大于原车的规定最大总质量；整车重心分布合理，运行平稳，车辆加速、制动、转向灵活。</w:t>
            </w:r>
          </w:p>
          <w:p>
            <w:pPr>
              <w:ind w:firstLine="420"/>
              <w:jc w:val="both"/>
            </w:pPr>
            <w:r>
              <w:rPr>
                <w:sz w:val="21"/>
              </w:rPr>
              <w:t>1.13整车完好性</w:t>
            </w:r>
          </w:p>
          <w:p>
            <w:pPr>
              <w:ind w:firstLine="420"/>
              <w:jc w:val="both"/>
            </w:pPr>
            <w:r>
              <w:rPr>
                <w:sz w:val="21"/>
              </w:rPr>
              <w:t>漆面、外观完好，车辆内外设施完好，车内布局合理，各种线路铺设完好。在验收之前</w:t>
            </w:r>
            <w:r>
              <w:rPr>
                <w:sz w:val="21"/>
              </w:rPr>
              <w:t>,必须对整车外观进行处理和修复，以保证整车外观的美观性。</w:t>
            </w:r>
          </w:p>
          <w:p>
            <w:pPr>
              <w:ind w:firstLine="420"/>
              <w:jc w:val="both"/>
            </w:pPr>
            <w:r>
              <w:rPr>
                <w:sz w:val="21"/>
              </w:rPr>
              <w:t>1.14试验与测试</w:t>
            </w:r>
          </w:p>
          <w:p>
            <w:pPr>
              <w:ind w:firstLine="420"/>
              <w:jc w:val="both"/>
            </w:pPr>
            <w:r>
              <w:rPr>
                <w:sz w:val="21"/>
              </w:rPr>
              <w:t>淋雨试验依据</w:t>
            </w:r>
            <w:r>
              <w:rPr>
                <w:sz w:val="21"/>
              </w:rPr>
              <w:t>GJB150.8A-2009《军用装备试验室环境试验方法第8部分：淋雨试验》。车体改造完成后进行整车性能测试，整车性能测试包括：行驶测试、改装后车辆噪声测试、整车整备质量秤重测试、淋雨测试等，并提供测试报告。</w:t>
            </w:r>
          </w:p>
          <w:p>
            <w:pPr>
              <w:ind w:firstLine="420"/>
              <w:jc w:val="both"/>
            </w:pPr>
            <w:r>
              <w:rPr>
                <w:sz w:val="21"/>
              </w:rPr>
              <w:t>1)淋雨测试</w:t>
            </w:r>
          </w:p>
          <w:p>
            <w:pPr>
              <w:ind w:firstLine="420"/>
              <w:jc w:val="both"/>
            </w:pPr>
            <w:r>
              <w:rPr>
                <w:sz w:val="21"/>
              </w:rPr>
              <w:t>整车淋雨试验在专用淋雨台上通过</w:t>
            </w:r>
            <w:r>
              <w:rPr>
                <w:sz w:val="21"/>
              </w:rPr>
              <w:t>20分钟淋雨测试。</w:t>
            </w:r>
          </w:p>
          <w:p>
            <w:pPr>
              <w:ind w:firstLine="420"/>
              <w:jc w:val="both"/>
            </w:pPr>
            <w:r>
              <w:rPr>
                <w:sz w:val="21"/>
              </w:rPr>
              <w:t>淋雨完毕后检查车内车壁内，驾驶室及各孔处不应出现任何漏水现象。</w:t>
            </w:r>
          </w:p>
          <w:p>
            <w:pPr>
              <w:ind w:firstLine="420"/>
              <w:jc w:val="both"/>
            </w:pPr>
            <w:r>
              <w:rPr>
                <w:sz w:val="21"/>
              </w:rPr>
              <w:t>注意：做淋雨试验前，应将车顶预埋电缆线头、接口做好密封、防水处理。</w:t>
            </w:r>
          </w:p>
          <w:p>
            <w:pPr>
              <w:ind w:firstLine="420"/>
              <w:jc w:val="both"/>
            </w:pPr>
            <w:r>
              <w:rPr>
                <w:sz w:val="21"/>
              </w:rPr>
              <w:t>2)行驶测试</w:t>
            </w:r>
          </w:p>
          <w:p>
            <w:pPr>
              <w:ind w:firstLine="420"/>
              <w:jc w:val="both"/>
            </w:pPr>
            <w:r>
              <w:rPr>
                <w:sz w:val="21"/>
              </w:rPr>
              <w:t>改装后按照标准要求</w:t>
            </w:r>
            <w:r>
              <w:rPr>
                <w:sz w:val="21"/>
              </w:rPr>
              <w:t>,进行 100 公里跑车试验。路况要求见下表。</w:t>
            </w:r>
          </w:p>
          <w:p>
            <w:pPr>
              <w:ind w:firstLine="420"/>
              <w:jc w:val="both"/>
            </w:pPr>
            <w:r>
              <w:rPr>
                <w:sz w:val="21"/>
              </w:rPr>
              <w:t>改装后跑车试验路况表</w:t>
            </w:r>
          </w:p>
          <w:tbl>
            <w:tblPr>
              <w:tblInd w:type="dxa" w:w="90"/>
              <w:tblBorders>
                <w:top w:val="none" w:color="000000" w:sz="4"/>
                <w:left w:val="none" w:color="000000" w:sz="4"/>
                <w:bottom w:val="none" w:color="000000" w:sz="4"/>
                <w:right w:val="none" w:color="000000" w:sz="4"/>
                <w:insideH w:val="none"/>
                <w:insideV w:val="none"/>
              </w:tblBorders>
            </w:tblPr>
            <w:tblGrid>
              <w:gridCol w:w="1320"/>
              <w:gridCol w:w="1845"/>
              <w:gridCol w:w="1965"/>
            </w:tblGrid>
            <w:tr>
              <w:tc>
                <w:tcPr>
                  <w:tcW w:type="dxa" w:w="1320"/>
                  <w:tcBorders>
                    <w:top w:val="single" w:color="000000" w:sz="4"/>
                    <w:left w:val="single" w:color="000000" w:sz="4"/>
                    <w:bottom w:val="single" w:color="000000" w:sz="4"/>
                    <w:right w:val="single" w:color="000000" w:sz="4"/>
                  </w:tcBorders>
                  <w:vAlign w:val="top"/>
                </w:tcPr>
                <w:p>
                  <w:pPr>
                    <w:jc w:val="center"/>
                  </w:pPr>
                  <w:r>
                    <w:rPr>
                      <w:color w:val="000000"/>
                      <w:sz w:val="22"/>
                    </w:rPr>
                    <w:t>路面类型</w:t>
                  </w:r>
                </w:p>
              </w:tc>
              <w:tc>
                <w:tcPr>
                  <w:tcW w:type="dxa" w:w="1845"/>
                  <w:tcBorders>
                    <w:top w:val="single" w:color="000000" w:sz="4"/>
                    <w:left w:val="none" w:color="000000" w:sz="4"/>
                    <w:bottom w:val="single" w:color="000000" w:sz="4"/>
                    <w:right w:val="single" w:color="000000" w:sz="4"/>
                  </w:tcBorders>
                  <w:vAlign w:val="top"/>
                </w:tcPr>
                <w:p>
                  <w:pPr>
                    <w:jc w:val="center"/>
                  </w:pPr>
                  <w:r>
                    <w:rPr>
                      <w:color w:val="000000"/>
                      <w:sz w:val="22"/>
                    </w:rPr>
                    <w:t>行驶里程（公里）</w:t>
                  </w:r>
                </w:p>
              </w:tc>
              <w:tc>
                <w:tcPr>
                  <w:tcW w:type="dxa" w:w="1965"/>
                  <w:tcBorders>
                    <w:top w:val="single" w:color="000000" w:sz="4"/>
                    <w:left w:val="none" w:color="000000" w:sz="4"/>
                    <w:bottom w:val="single" w:color="000000" w:sz="4"/>
                    <w:right w:val="single" w:color="000000" w:sz="4"/>
                  </w:tcBorders>
                  <w:vAlign w:val="top"/>
                </w:tcPr>
                <w:p>
                  <w:pPr>
                    <w:jc w:val="center"/>
                  </w:pPr>
                  <w:r>
                    <w:rPr>
                      <w:color w:val="000000"/>
                      <w:sz w:val="22"/>
                    </w:rPr>
                    <w:t>平均车速</w:t>
                  </w:r>
                  <w:r>
                    <w:rPr>
                      <w:color w:val="000000"/>
                      <w:sz w:val="22"/>
                    </w:rPr>
                    <w:t>(Km/h)</w:t>
                  </w:r>
                </w:p>
              </w:tc>
            </w:tr>
            <w:tr>
              <w:tc>
                <w:tcPr>
                  <w:tcW w:type="dxa" w:w="1320"/>
                  <w:tcBorders>
                    <w:top w:val="none" w:color="000000" w:sz="4"/>
                    <w:left w:val="single" w:color="000000" w:sz="4"/>
                    <w:bottom w:val="single" w:color="000000" w:sz="4"/>
                    <w:right w:val="single" w:color="000000" w:sz="4"/>
                  </w:tcBorders>
                  <w:vAlign w:val="top"/>
                </w:tcPr>
                <w:p>
                  <w:pPr>
                    <w:jc w:val="center"/>
                  </w:pPr>
                  <w:r>
                    <w:rPr>
                      <w:color w:val="000000"/>
                      <w:sz w:val="22"/>
                    </w:rPr>
                    <w:t>越野路</w:t>
                  </w:r>
                </w:p>
              </w:tc>
              <w:tc>
                <w:tcPr>
                  <w:tcW w:type="dxa" w:w="1845"/>
                  <w:tcBorders>
                    <w:top w:val="none" w:color="000000" w:sz="4"/>
                    <w:left w:val="none" w:color="000000" w:sz="4"/>
                    <w:bottom w:val="single" w:color="000000" w:sz="4"/>
                    <w:right w:val="single" w:color="000000" w:sz="4"/>
                  </w:tcBorders>
                  <w:vAlign w:val="top"/>
                </w:tcPr>
                <w:p>
                  <w:pPr>
                    <w:jc w:val="center"/>
                  </w:pPr>
                  <w:r>
                    <w:rPr>
                      <w:color w:val="000000"/>
                      <w:sz w:val="22"/>
                    </w:rPr>
                    <w:t>50</w:t>
                  </w:r>
                </w:p>
              </w:tc>
              <w:tc>
                <w:tcPr>
                  <w:tcW w:type="dxa" w:w="1965"/>
                  <w:tcBorders>
                    <w:top w:val="none" w:color="000000" w:sz="4"/>
                    <w:left w:val="none" w:color="000000" w:sz="4"/>
                    <w:bottom w:val="single" w:color="000000" w:sz="4"/>
                    <w:right w:val="single" w:color="000000" w:sz="4"/>
                  </w:tcBorders>
                  <w:vAlign w:val="top"/>
                </w:tcPr>
                <w:p>
                  <w:pPr>
                    <w:jc w:val="center"/>
                  </w:pPr>
                  <w:r>
                    <w:rPr>
                      <w:color w:val="000000"/>
                      <w:sz w:val="21"/>
                    </w:rPr>
                    <w:t>16</w:t>
                  </w:r>
                </w:p>
              </w:tc>
            </w:tr>
            <w:tr>
              <w:tc>
                <w:tcPr>
                  <w:tcW w:type="dxa" w:w="1320"/>
                  <w:tcBorders>
                    <w:top w:val="none" w:color="000000" w:sz="4"/>
                    <w:left w:val="single" w:color="000000" w:sz="4"/>
                    <w:bottom w:val="single" w:color="000000" w:sz="4"/>
                    <w:right w:val="single" w:color="000000" w:sz="4"/>
                  </w:tcBorders>
                  <w:vAlign w:val="top"/>
                </w:tcPr>
                <w:p>
                  <w:pPr>
                    <w:jc w:val="center"/>
                  </w:pPr>
                  <w:r>
                    <w:rPr>
                      <w:color w:val="000000"/>
                      <w:sz w:val="22"/>
                    </w:rPr>
                    <w:t>石块路</w:t>
                  </w:r>
                </w:p>
              </w:tc>
              <w:tc>
                <w:tcPr>
                  <w:tcW w:type="dxa" w:w="1845"/>
                  <w:tcBorders>
                    <w:top w:val="none" w:color="000000" w:sz="4"/>
                    <w:left w:val="none" w:color="000000" w:sz="4"/>
                    <w:bottom w:val="single" w:color="000000" w:sz="4"/>
                    <w:right w:val="single" w:color="000000" w:sz="4"/>
                  </w:tcBorders>
                  <w:vAlign w:val="top"/>
                </w:tcPr>
                <w:p>
                  <w:pPr>
                    <w:jc w:val="center"/>
                  </w:pPr>
                  <w:r>
                    <w:rPr>
                      <w:color w:val="000000"/>
                      <w:sz w:val="22"/>
                    </w:rPr>
                    <w:t>30</w:t>
                  </w:r>
                </w:p>
              </w:tc>
              <w:tc>
                <w:tcPr>
                  <w:tcW w:type="dxa" w:w="1965"/>
                  <w:tcBorders>
                    <w:top w:val="none" w:color="000000" w:sz="4"/>
                    <w:left w:val="none" w:color="000000" w:sz="4"/>
                    <w:bottom w:val="single" w:color="000000" w:sz="4"/>
                    <w:right w:val="single" w:color="000000" w:sz="4"/>
                  </w:tcBorders>
                  <w:vAlign w:val="top"/>
                </w:tcPr>
                <w:p>
                  <w:pPr>
                    <w:jc w:val="center"/>
                  </w:pPr>
                  <w:r>
                    <w:rPr>
                      <w:color w:val="000000"/>
                      <w:sz w:val="22"/>
                    </w:rPr>
                    <w:t>35</w:t>
                  </w:r>
                </w:p>
              </w:tc>
            </w:tr>
            <w:tr>
              <w:tc>
                <w:tcPr>
                  <w:tcW w:type="dxa" w:w="1320"/>
                  <w:tcBorders>
                    <w:top w:val="none" w:color="000000" w:sz="4"/>
                    <w:left w:val="single" w:color="000000" w:sz="4"/>
                    <w:bottom w:val="single" w:color="000000" w:sz="4"/>
                    <w:right w:val="single" w:color="000000" w:sz="4"/>
                  </w:tcBorders>
                  <w:vAlign w:val="top"/>
                </w:tcPr>
                <w:p>
                  <w:pPr>
                    <w:jc w:val="center"/>
                  </w:pPr>
                  <w:r>
                    <w:rPr>
                      <w:color w:val="000000"/>
                      <w:sz w:val="22"/>
                    </w:rPr>
                    <w:t>沙石路</w:t>
                  </w:r>
                </w:p>
              </w:tc>
              <w:tc>
                <w:tcPr>
                  <w:tcW w:type="dxa" w:w="1845"/>
                  <w:tcBorders>
                    <w:top w:val="none" w:color="000000" w:sz="4"/>
                    <w:left w:val="none" w:color="000000" w:sz="4"/>
                    <w:bottom w:val="single" w:color="000000" w:sz="4"/>
                    <w:right w:val="single" w:color="000000" w:sz="4"/>
                  </w:tcBorders>
                  <w:vAlign w:val="top"/>
                </w:tcPr>
                <w:p>
                  <w:pPr>
                    <w:jc w:val="center"/>
                  </w:pPr>
                  <w:r>
                    <w:rPr>
                      <w:color w:val="000000"/>
                      <w:sz w:val="22"/>
                    </w:rPr>
                    <w:t>20</w:t>
                  </w:r>
                </w:p>
              </w:tc>
              <w:tc>
                <w:tcPr>
                  <w:tcW w:type="dxa" w:w="1965"/>
                  <w:tcBorders>
                    <w:top w:val="none" w:color="000000" w:sz="4"/>
                    <w:left w:val="none" w:color="000000" w:sz="4"/>
                    <w:bottom w:val="single" w:color="000000" w:sz="4"/>
                    <w:right w:val="single" w:color="000000" w:sz="4"/>
                  </w:tcBorders>
                  <w:vAlign w:val="top"/>
                </w:tcPr>
                <w:p>
                  <w:pPr>
                    <w:jc w:val="center"/>
                  </w:pPr>
                  <w:r>
                    <w:rPr>
                      <w:color w:val="000000"/>
                      <w:sz w:val="22"/>
                    </w:rPr>
                    <w:t>35</w:t>
                  </w:r>
                </w:p>
              </w:tc>
            </w:tr>
          </w:tbl>
          <w:p>
            <w:pPr>
              <w:ind w:firstLine="300"/>
              <w:jc w:val="both"/>
            </w:pPr>
            <w:r>
              <w:rPr>
                <w:b/>
                <w:sz w:val="21"/>
              </w:rPr>
              <w:t>2、车辆电源系统改装要求</w:t>
            </w:r>
          </w:p>
          <w:p>
            <w:pPr>
              <w:ind w:firstLine="420"/>
              <w:jc w:val="both"/>
            </w:pPr>
            <w:r>
              <w:rPr>
                <w:sz w:val="21"/>
              </w:rPr>
              <w:t>移动监测站电源系统采用市电供电和电池供电两种供电模式，电源系统应由电源控制器、磷酸铁锂电池组、各电源开关接口、电缆绞盘、漏电与过欠压报警装置、防雷接地装置等组成，系统具有过压、短路、防雷等保护功能。</w:t>
            </w:r>
          </w:p>
          <w:p>
            <w:pPr>
              <w:ind w:firstLine="420"/>
              <w:jc w:val="both"/>
            </w:pPr>
            <w:r>
              <w:rPr>
                <w:sz w:val="21"/>
              </w:rPr>
              <w:t>电池供电应采用磷酸铁锂电池组供电，支持系统连续工作</w:t>
            </w:r>
            <w:r>
              <w:rPr>
                <w:sz w:val="21"/>
              </w:rPr>
              <w:t>6小时以上工作能力，具有低压报警和关断、过压保护、过载保护、短路保护、过温报警保护等功能。</w:t>
            </w:r>
          </w:p>
          <w:p>
            <w:pPr>
              <w:ind w:firstLine="632"/>
              <w:jc w:val="both"/>
            </w:pPr>
            <w:r>
              <w:rPr>
                <w:b/>
                <w:sz w:val="21"/>
              </w:rPr>
              <w:t>1</w:t>
            </w:r>
            <w:r>
              <w:rPr>
                <w:b/>
                <w:sz w:val="21"/>
              </w:rPr>
              <w:t>）实施要求</w:t>
            </w:r>
          </w:p>
          <w:p>
            <w:pPr>
              <w:ind w:firstLine="420"/>
              <w:jc w:val="both"/>
            </w:pPr>
            <w:r>
              <w:rPr>
                <w:sz w:val="21"/>
              </w:rPr>
              <w:t>（</w:t>
            </w:r>
            <w:r>
              <w:rPr>
                <w:sz w:val="21"/>
              </w:rPr>
              <w:t>1）投标供应商需承诺本项目系统所提供的监测服务接口必须完全符合国家无线电监测中心发布的《超短波监测管理一体化平台技术规范》相关技术要求，完成原子服务封装。系统可无缝接入东莞市无线电监测网，可与现有固定站、可搬移站及智能监测节点联合监测；系统能够以原子服务封装形式接入广东省无线电监测一体化平台。</w:t>
            </w:r>
          </w:p>
          <w:p>
            <w:pPr>
              <w:ind w:firstLine="420"/>
              <w:jc w:val="both"/>
            </w:pPr>
            <w:r>
              <w:rPr>
                <w:sz w:val="21"/>
              </w:rPr>
              <w:t>（</w:t>
            </w:r>
            <w:r>
              <w:rPr>
                <w:sz w:val="21"/>
              </w:rPr>
              <w:t>2）项目需在签订合同后5个月内完成交货（包括生产、供货、第三方测试）。最终验收前，中标人必须将本项目需要交付的系统送往第三方检测机构进行系统测试验证，第三方检测机构依据GB/T 34089《VHF/UHF无线电监测测向系统开场测试参数和测试方法》对系统技术指标进行测试并出具测试验证报告，测试费用由中标人承担。</w:t>
            </w:r>
          </w:p>
          <w:p>
            <w:pPr>
              <w:ind w:firstLine="420"/>
              <w:jc w:val="both"/>
            </w:pPr>
            <w:r>
              <w:rPr>
                <w:sz w:val="21"/>
              </w:rPr>
              <w:t>（</w:t>
            </w:r>
            <w:r>
              <w:rPr>
                <w:sz w:val="21"/>
              </w:rPr>
              <w:t>3）移动监测站的原有的泰雷兹Esmeralda XE无线电监测测向设备拆除后入库暂作为备品备件使用，后续可搬迁至其他固定站点进行利旧使用，能够无缝接入东莞市现有无线电监测网，可与现有固定站、可搬移站、智能监测节点等联合监测。</w:t>
            </w:r>
          </w:p>
          <w:p>
            <w:pPr>
              <w:ind w:firstLine="632"/>
              <w:jc w:val="both"/>
            </w:pPr>
            <w:r>
              <w:rPr>
                <w:b/>
                <w:sz w:val="21"/>
              </w:rPr>
              <w:t>2</w:t>
            </w:r>
            <w:r>
              <w:rPr>
                <w:b/>
                <w:sz w:val="21"/>
              </w:rPr>
              <w:t>）培训要求</w:t>
            </w:r>
          </w:p>
          <w:p>
            <w:pPr>
              <w:ind w:firstLine="420"/>
              <w:jc w:val="both"/>
            </w:pPr>
            <w:r>
              <w:rPr>
                <w:sz w:val="21"/>
              </w:rPr>
              <w:t>（</w:t>
            </w:r>
            <w:r>
              <w:rPr>
                <w:sz w:val="21"/>
              </w:rPr>
              <w:t>1）中标人应向招标人提供设备必要的国内技术培训，培训人数不少于4人，验收前培训时长不少于20小时，并承诺验收后一年内不定期培训，培训时长不少于30个小时，培训地点双方协商。</w:t>
            </w:r>
          </w:p>
          <w:p>
            <w:pPr>
              <w:ind w:firstLine="420"/>
              <w:jc w:val="both"/>
            </w:pPr>
            <w:r>
              <w:rPr>
                <w:sz w:val="21"/>
              </w:rPr>
              <w:t>（</w:t>
            </w:r>
            <w:r>
              <w:rPr>
                <w:sz w:val="21"/>
              </w:rPr>
              <w:t>2）培训内容包括系统工作原理及其基础理论，系统结构、操作使用、运行维护、安装软件及硬件调试、技术指标等内容。</w:t>
            </w:r>
          </w:p>
          <w:p>
            <w:pPr>
              <w:ind w:firstLine="420"/>
              <w:jc w:val="both"/>
            </w:pPr>
            <w:r>
              <w:rPr>
                <w:sz w:val="21"/>
              </w:rPr>
              <w:t>（</w:t>
            </w:r>
            <w:r>
              <w:rPr>
                <w:sz w:val="21"/>
              </w:rPr>
              <w:t>3）培训应当提供相应的系统集成及软件安装实作环境，中标人应当制定详细的培训方案，明确培训的目标，并经招标方认可。</w:t>
            </w:r>
          </w:p>
          <w:p>
            <w:pPr>
              <w:ind w:firstLine="632"/>
              <w:jc w:val="both"/>
            </w:pPr>
            <w:r>
              <w:rPr>
                <w:b/>
                <w:sz w:val="21"/>
              </w:rPr>
              <w:t>3）现场演示要求</w:t>
            </w:r>
          </w:p>
          <w:p>
            <w:pPr>
              <w:ind w:firstLine="420"/>
              <w:jc w:val="both"/>
            </w:pPr>
            <w:r>
              <w:rPr>
                <w:sz w:val="21"/>
              </w:rPr>
              <w:t>（</w:t>
            </w:r>
            <w:r>
              <w:rPr>
                <w:sz w:val="21"/>
              </w:rPr>
              <w:t>1）每家投标人自行准备相关设备进行演示，每家投标人只允许携带一套监测接收机和一台测向接收机进行演示。</w:t>
            </w:r>
          </w:p>
          <w:p>
            <w:pPr>
              <w:ind w:firstLine="420"/>
              <w:jc w:val="both"/>
            </w:pPr>
            <w:r>
              <w:rPr>
                <w:sz w:val="21"/>
              </w:rPr>
              <w:t>（</w:t>
            </w:r>
            <w:r>
              <w:rPr>
                <w:sz w:val="21"/>
              </w:rPr>
              <w:t>2）演示所需对讲机、发射源、平板、手机和笔记本电脑等辅助设备由投标人自行准备。</w:t>
            </w:r>
          </w:p>
          <w:p>
            <w:pPr>
              <w:ind w:firstLine="420"/>
              <w:jc w:val="both"/>
            </w:pPr>
            <w:r>
              <w:rPr>
                <w:sz w:val="21"/>
              </w:rPr>
              <w:t>（</w:t>
            </w:r>
            <w:r>
              <w:rPr>
                <w:sz w:val="21"/>
              </w:rPr>
              <w:t>3）招标现场提供供电电源、采购人现有的考场压制设备。</w:t>
            </w:r>
          </w:p>
          <w:p>
            <w:pPr>
              <w:ind w:firstLine="420"/>
              <w:jc w:val="both"/>
            </w:pPr>
            <w:r>
              <w:rPr>
                <w:sz w:val="21"/>
              </w:rPr>
              <w:t>（</w:t>
            </w:r>
            <w:r>
              <w:rPr>
                <w:sz w:val="21"/>
              </w:rPr>
              <w:t>4）每家投标人演示不超过30分钟。</w:t>
            </w:r>
          </w:p>
          <w:tbl>
            <w:tblPr>
              <w:tblBorders>
                <w:top w:val="none" w:color="000000" w:sz="4"/>
                <w:left w:val="none" w:color="000000" w:sz="4"/>
                <w:bottom w:val="none" w:color="000000" w:sz="4"/>
                <w:right w:val="none" w:color="000000" w:sz="4"/>
                <w:insideH w:val="none"/>
                <w:insideV w:val="none"/>
              </w:tblBorders>
            </w:tblPr>
            <w:tblGrid>
              <w:gridCol w:w="372"/>
              <w:gridCol w:w="5215"/>
            </w:tblGrid>
            <w:tr>
              <w:tc>
                <w:tcPr>
                  <w:tcW w:type="dxa" w:w="372"/>
                  <w:tcBorders>
                    <w:top w:val="single" w:color="000000" w:sz="8"/>
                    <w:left w:val="single" w:color="000000" w:sz="8"/>
                    <w:bottom w:val="single" w:color="000000" w:sz="4"/>
                    <w:right w:val="single" w:color="000000" w:sz="4"/>
                  </w:tcBorders>
                  <w:vAlign w:val="top"/>
                </w:tcPr>
                <w:p>
                  <w:pPr>
                    <w:jc w:val="both"/>
                  </w:pPr>
                  <w:r>
                    <w:rPr>
                      <w:b/>
                      <w:sz w:val="21"/>
                    </w:rPr>
                    <w:t>序号</w:t>
                  </w:r>
                </w:p>
              </w:tc>
              <w:tc>
                <w:tcPr>
                  <w:tcW w:type="dxa" w:w="5215"/>
                  <w:tcBorders>
                    <w:top w:val="single" w:color="000000" w:sz="8"/>
                    <w:left w:val="none" w:color="000000" w:sz="4"/>
                    <w:bottom w:val="single" w:color="000000" w:sz="4"/>
                    <w:right w:val="single" w:color="000000" w:sz="8"/>
                  </w:tcBorders>
                  <w:vAlign w:val="top"/>
                </w:tcPr>
                <w:p>
                  <w:pPr>
                    <w:jc w:val="center"/>
                  </w:pPr>
                  <w:r>
                    <w:rPr>
                      <w:b/>
                      <w:sz w:val="21"/>
                    </w:rPr>
                    <w:t>演示内容及要求</w:t>
                  </w:r>
                </w:p>
              </w:tc>
            </w:tr>
            <w:tr>
              <w:tc>
                <w:tcPr>
                  <w:tcW w:type="dxa" w:w="372"/>
                  <w:tcBorders>
                    <w:top w:val="single" w:color="000000" w:sz="8"/>
                    <w:left w:val="single" w:color="000000" w:sz="8"/>
                    <w:bottom w:val="single" w:color="000000" w:sz="4"/>
                    <w:right w:val="single" w:color="000000" w:sz="4"/>
                  </w:tcBorders>
                  <w:vAlign w:val="top"/>
                </w:tcPr>
                <w:p>
                  <w:pPr>
                    <w:jc w:val="center"/>
                  </w:pPr>
                  <w:r>
                    <w:rPr>
                      <w:b/>
                      <w:sz w:val="21"/>
                    </w:rPr>
                    <w:t>1</w:t>
                  </w:r>
                </w:p>
              </w:tc>
              <w:tc>
                <w:tcPr>
                  <w:tcW w:type="dxa" w:w="5215"/>
                  <w:tcBorders>
                    <w:top w:val="single" w:color="000000" w:sz="8"/>
                    <w:left w:val="none" w:color="000000" w:sz="4"/>
                    <w:bottom w:val="single" w:color="000000" w:sz="4"/>
                    <w:right w:val="single" w:color="000000" w:sz="8"/>
                  </w:tcBorders>
                  <w:vAlign w:val="top"/>
                </w:tcPr>
                <w:p>
                  <w:pPr>
                    <w:jc w:val="both"/>
                  </w:pPr>
                  <w:r>
                    <w:rPr>
                      <w:b/>
                      <w:sz w:val="21"/>
                    </w:rPr>
                    <w:t>演示无线电监测软件功能：（</w:t>
                  </w:r>
                  <w:r>
                    <w:rPr>
                      <w:b/>
                      <w:sz w:val="21"/>
                    </w:rPr>
                    <w:t>1）快速监测：</w:t>
                  </w:r>
                  <w:r>
                    <w:rPr>
                      <w:sz w:val="21"/>
                    </w:rPr>
                    <w:t>扫描一段自定义频率范围的频谱数据，通过样本或突发门限进行信号电平比对，可以手动或自动使用超过样本或门限的异常信号频率启动窄带信号监测或测向，并能对异常信号进行黑白名单分类筛选；可以设置异常信号窄带监测的驻留时长，自动保存异常信号的实时监测数据，并可以在扫描比对完成后进行异常信号的窄带监测数据回放；可以将比对异常信号数据导出文件保存。</w:t>
                  </w:r>
                  <w:r>
                    <w:rPr>
                      <w:b/>
                      <w:sz w:val="21"/>
                    </w:rPr>
                    <w:t>（</w:t>
                  </w:r>
                  <w:r>
                    <w:rPr>
                      <w:b/>
                      <w:sz w:val="21"/>
                    </w:rPr>
                    <w:t>2）电子地图：</w:t>
                  </w:r>
                  <w:r>
                    <w:rPr>
                      <w:sz w:val="21"/>
                    </w:rPr>
                    <w:t>可支持地图多个图源引擎，省级图源图层至少可达到</w:t>
                  </w:r>
                  <w:r>
                    <w:rPr>
                      <w:sz w:val="21"/>
                    </w:rPr>
                    <w:t>15层，市级图源图层至少可达到18层，地图图源引擎均可显示二维地图信息和混和影像信息。</w:t>
                  </w:r>
                  <w:r>
                    <w:rPr>
                      <w:b/>
                      <w:sz w:val="21"/>
                    </w:rPr>
                    <w:t>（</w:t>
                  </w:r>
                  <w:r>
                    <w:rPr>
                      <w:b/>
                      <w:sz w:val="21"/>
                    </w:rPr>
                    <w:t>3）航空干扰分析：</w:t>
                  </w:r>
                  <w:r>
                    <w:rPr>
                      <w:sz w:val="21"/>
                    </w:rPr>
                    <w:t>可将空管等部门提供的航班</w:t>
                  </w:r>
                  <w:r>
                    <w:rPr>
                      <w:sz w:val="21"/>
                    </w:rPr>
                    <w:t>GPS干扰数据，导入到软件系统中进行管理和分析，可以查询出航空干扰数据；在地图中显示查询的航班的运行轨迹及航班信息，可使用不同颜色的轨迹线展示航班的飞行状态，统计处于不同飞行状态（进近、爬升、下降等）的航班数量；可以通过展示航班轨迹中垂线，并且使用热力图的方式展示所有中垂线的交点，定位出干扰源的可能位置；可以按曲线图的方式统计不同时间条件下的航班架次和干扰持续时间。</w:t>
                  </w:r>
                </w:p>
              </w:tc>
            </w:tr>
            <w:tr>
              <w:tc>
                <w:tcPr>
                  <w:tcW w:type="dxa" w:w="372"/>
                  <w:tcBorders>
                    <w:top w:val="single" w:color="000000" w:sz="8"/>
                    <w:left w:val="single" w:color="000000" w:sz="8"/>
                    <w:bottom w:val="single" w:color="000000" w:sz="4"/>
                    <w:right w:val="single" w:color="000000" w:sz="4"/>
                  </w:tcBorders>
                  <w:vAlign w:val="top"/>
                </w:tcPr>
                <w:p>
                  <w:pPr>
                    <w:jc w:val="center"/>
                  </w:pPr>
                  <w:r>
                    <w:rPr>
                      <w:b/>
                      <w:sz w:val="21"/>
                    </w:rPr>
                    <w:t>2</w:t>
                  </w:r>
                </w:p>
              </w:tc>
              <w:tc>
                <w:tcPr>
                  <w:tcW w:type="dxa" w:w="5215"/>
                  <w:tcBorders>
                    <w:top w:val="single" w:color="000000" w:sz="8"/>
                    <w:left w:val="none" w:color="000000" w:sz="4"/>
                    <w:bottom w:val="single" w:color="000000" w:sz="4"/>
                    <w:right w:val="single" w:color="000000" w:sz="8"/>
                  </w:tcBorders>
                  <w:vAlign w:val="top"/>
                </w:tcPr>
                <w:p>
                  <w:pPr>
                    <w:jc w:val="both"/>
                  </w:pPr>
                  <w:r>
                    <w:rPr>
                      <w:b/>
                      <w:sz w:val="21"/>
                    </w:rPr>
                    <w:t>演示测向技术能力：（</w:t>
                  </w:r>
                  <w:r>
                    <w:rPr>
                      <w:b/>
                      <w:sz w:val="21"/>
                    </w:rPr>
                    <w:t>1）宽带微弱信号测向能力：</w:t>
                  </w:r>
                  <w:r>
                    <w:rPr>
                      <w:sz w:val="21"/>
                    </w:rPr>
                    <w:t>演示宽带测向时能够对淹没在噪声中的宽带微弱信号（信号带宽至少设置为测向带宽的</w:t>
                  </w:r>
                  <w:r>
                    <w:rPr>
                      <w:sz w:val="21"/>
                    </w:rPr>
                    <w:t>0.2倍）进行可靠测向。</w:t>
                  </w:r>
                  <w:r>
                    <w:rPr>
                      <w:b/>
                      <w:sz w:val="21"/>
                    </w:rPr>
                    <w:t>（</w:t>
                  </w:r>
                  <w:r>
                    <w:rPr>
                      <w:b/>
                      <w:sz w:val="21"/>
                    </w:rPr>
                    <w:t>2）空间谱分离测向能力：</w:t>
                  </w:r>
                  <w:r>
                    <w:rPr>
                      <w:sz w:val="21"/>
                    </w:rPr>
                    <w:t>演示中频测向时可对不同角度发射的</w:t>
                  </w:r>
                  <w:r>
                    <w:rPr>
                      <w:sz w:val="21"/>
                    </w:rPr>
                    <w:t>3</w:t>
                  </w:r>
                  <w:r>
                    <w:rPr>
                      <w:sz w:val="21"/>
                    </w:rPr>
                    <w:t>个同频混叠信号（对讲机或信号源发射）进行分离测向。</w:t>
                  </w:r>
                </w:p>
              </w:tc>
            </w:tr>
            <w:tr>
              <w:tc>
                <w:tcPr>
                  <w:tcW w:type="dxa" w:w="372"/>
                  <w:tcBorders>
                    <w:top w:val="single" w:color="000000" w:sz="8"/>
                    <w:left w:val="single" w:color="000000" w:sz="8"/>
                    <w:bottom w:val="single" w:color="000000" w:sz="4"/>
                    <w:right w:val="single" w:color="000000" w:sz="4"/>
                  </w:tcBorders>
                  <w:vAlign w:val="top"/>
                </w:tcPr>
                <w:p>
                  <w:pPr>
                    <w:jc w:val="center"/>
                  </w:pPr>
                  <w:r>
                    <w:rPr>
                      <w:b/>
                      <w:sz w:val="21"/>
                    </w:rPr>
                    <w:t>3</w:t>
                  </w:r>
                </w:p>
              </w:tc>
              <w:tc>
                <w:tcPr>
                  <w:tcW w:type="dxa" w:w="5215"/>
                  <w:tcBorders>
                    <w:top w:val="single" w:color="000000" w:sz="8"/>
                    <w:left w:val="none" w:color="000000" w:sz="4"/>
                    <w:bottom w:val="single" w:color="000000" w:sz="4"/>
                    <w:right w:val="single" w:color="000000" w:sz="8"/>
                  </w:tcBorders>
                  <w:vAlign w:val="top"/>
                </w:tcPr>
                <w:p>
                  <w:pPr>
                    <w:jc w:val="both"/>
                  </w:pPr>
                  <w:r>
                    <w:rPr>
                      <w:b/>
                      <w:sz w:val="21"/>
                    </w:rPr>
                    <w:t>演示监测技术能力：（</w:t>
                  </w:r>
                  <w:r>
                    <w:rPr>
                      <w:b/>
                      <w:sz w:val="21"/>
                    </w:rPr>
                    <w:t>1）高速数字扫描：</w:t>
                  </w:r>
                  <w:r>
                    <w:rPr>
                      <w:sz w:val="21"/>
                    </w:rPr>
                    <w:t>演示监测接收机的扫描速度</w:t>
                  </w:r>
                  <w:r>
                    <w:rPr>
                      <w:sz w:val="21"/>
                    </w:rPr>
                    <w:t>(25kHz步进)可达到1500GHz/s，根据国家相关标准中规定的方法进行测试演示。</w:t>
                  </w:r>
                  <w:r>
                    <w:rPr>
                      <w:b/>
                      <w:sz w:val="21"/>
                    </w:rPr>
                    <w:t>（</w:t>
                  </w:r>
                  <w:r>
                    <w:rPr>
                      <w:b/>
                      <w:sz w:val="21"/>
                    </w:rPr>
                    <w:t>2）突发信号截获：</w:t>
                  </w:r>
                  <w:r>
                    <w:rPr>
                      <w:sz w:val="21"/>
                    </w:rPr>
                    <w:t>演示监测接收机的可以全概率截获</w:t>
                  </w:r>
                  <w:r>
                    <w:rPr>
                      <w:sz w:val="21"/>
                    </w:rPr>
                    <w:t>5us的单个脉冲信号。</w:t>
                  </w:r>
                  <w:r>
                    <w:rPr>
                      <w:b/>
                      <w:sz w:val="21"/>
                    </w:rPr>
                    <w:t>（</w:t>
                  </w:r>
                  <w:r>
                    <w:rPr>
                      <w:b/>
                      <w:sz w:val="21"/>
                    </w:rPr>
                    <w:t>3）多信道分析：</w:t>
                  </w:r>
                  <w:r>
                    <w:rPr>
                      <w:sz w:val="21"/>
                    </w:rPr>
                    <w:t>演示可同时对</w:t>
                  </w:r>
                  <w:r>
                    <w:rPr>
                      <w:sz w:val="21"/>
                    </w:rPr>
                    <w:t>160MHz实时中频带宽的宽带中频频谱进行分析、对带内64路窄带信号同步进行频谱分析、ITU测量和解调。</w:t>
                  </w:r>
                </w:p>
              </w:tc>
            </w:tr>
            <w:tr>
              <w:tc>
                <w:tcPr>
                  <w:tcW w:type="dxa" w:w="372"/>
                  <w:tcBorders>
                    <w:top w:val="single" w:color="000000" w:sz="8"/>
                    <w:left w:val="single" w:color="000000" w:sz="8"/>
                    <w:bottom w:val="single" w:color="000000" w:sz="4"/>
                    <w:right w:val="single" w:color="000000" w:sz="4"/>
                  </w:tcBorders>
                  <w:vAlign w:val="top"/>
                </w:tcPr>
                <w:p>
                  <w:pPr>
                    <w:jc w:val="center"/>
                  </w:pPr>
                  <w:r>
                    <w:rPr>
                      <w:b/>
                      <w:sz w:val="21"/>
                    </w:rPr>
                    <w:t>4</w:t>
                  </w:r>
                </w:p>
              </w:tc>
              <w:tc>
                <w:tcPr>
                  <w:tcW w:type="dxa" w:w="5215"/>
                  <w:tcBorders>
                    <w:top w:val="single" w:color="000000" w:sz="8"/>
                    <w:left w:val="none" w:color="000000" w:sz="4"/>
                    <w:bottom w:val="single" w:color="000000" w:sz="4"/>
                    <w:right w:val="single" w:color="000000" w:sz="8"/>
                  </w:tcBorders>
                  <w:vAlign w:val="top"/>
                </w:tcPr>
                <w:p>
                  <w:pPr>
                    <w:jc w:val="both"/>
                  </w:pPr>
                  <w:r>
                    <w:rPr>
                      <w:b/>
                      <w:sz w:val="21"/>
                    </w:rPr>
                    <w:t>演示电磁信息服务能力：（</w:t>
                  </w:r>
                  <w:r>
                    <w:rPr>
                      <w:b/>
                      <w:sz w:val="21"/>
                    </w:rPr>
                    <w:t>1）远程接入和操控：</w:t>
                  </w:r>
                  <w:r>
                    <w:rPr>
                      <w:sz w:val="21"/>
                    </w:rPr>
                    <w:t>演示可使用手机或平板通过电磁信息服务及配套的</w:t>
                  </w:r>
                  <w:r>
                    <w:rPr>
                      <w:sz w:val="21"/>
                    </w:rPr>
                    <w:t>APP软件对监测测向设备进行无线操控，APP软件可运行中频分析、频段扫描、中频测向（空间谱测向）等功能，具有频谱、示向度、电子地图等相关信息展示，具有频谱分析系列工具、信号分析系列工具。</w:t>
                  </w:r>
                  <w:r>
                    <w:rPr>
                      <w:b/>
                      <w:sz w:val="21"/>
                    </w:rPr>
                    <w:t>（</w:t>
                  </w:r>
                  <w:r>
                    <w:rPr>
                      <w:b/>
                      <w:sz w:val="21"/>
                    </w:rPr>
                    <w:t>2）考场压制情况监督：</w:t>
                  </w:r>
                  <w:r>
                    <w:rPr>
                      <w:sz w:val="21"/>
                    </w:rPr>
                    <w:t>演示可通过电磁信息服务设备连接</w:t>
                  </w:r>
                  <w:r>
                    <w:rPr>
                      <w:sz w:val="21"/>
                    </w:rPr>
                    <w:t>采购人</w:t>
                  </w:r>
                  <w:r>
                    <w:rPr>
                      <w:sz w:val="21"/>
                    </w:rPr>
                    <w:t>现有考场监测压制设备（</w:t>
                  </w:r>
                  <w:r>
                    <w:rPr>
                      <w:sz w:val="21"/>
                    </w:rPr>
                    <w:t>采购人</w:t>
                  </w:r>
                  <w:r>
                    <w:rPr>
                      <w:sz w:val="21"/>
                    </w:rPr>
                    <w:t>现场提供），通过压制监督</w:t>
                  </w:r>
                  <w:r>
                    <w:rPr>
                      <w:sz w:val="21"/>
                    </w:rPr>
                    <w:t>APP软件可以查看压制设备捕获压制情况，包括捕获信号的信息、压制信号波形、预警语音播报等，同时能够取样记录疑似信号频谱及压制信号频谱，生成捕获工作日志，压制监督报告及取样信息并分发共享这些信息。</w:t>
                  </w:r>
                </w:p>
              </w:tc>
            </w:tr>
          </w:tbl>
          <w:p>
            <w:pPr>
              <w:jc w:val="both"/>
            </w:pPr>
          </w:p>
          <w:p>
            <w:pPr>
              <w:jc w:val="both"/>
            </w:pPr>
            <w:r>
              <w:rPr>
                <w:b/>
                <w:sz w:val="24"/>
              </w:rPr>
              <w:t>二、设备配置清单</w:t>
            </w:r>
          </w:p>
          <w:tbl>
            <w:tblPr>
              <w:tblBorders>
                <w:top w:val="none" w:color="000000" w:sz="4"/>
                <w:left w:val="none" w:color="000000" w:sz="4"/>
                <w:bottom w:val="none" w:color="000000" w:sz="4"/>
                <w:right w:val="none" w:color="000000" w:sz="4"/>
                <w:insideH w:val="none"/>
                <w:insideV w:val="none"/>
              </w:tblBorders>
            </w:tblPr>
            <w:tblGrid>
              <w:gridCol w:w="445"/>
              <w:gridCol w:w="840"/>
              <w:gridCol w:w="3826"/>
              <w:gridCol w:w="486"/>
            </w:tblGrid>
            <w:tr>
              <w:tc>
                <w:tcPr>
                  <w:tcW w:type="dxa" w:w="445"/>
                  <w:tcBorders>
                    <w:top w:val="single" w:color="000000" w:sz="4"/>
                    <w:left w:val="single" w:color="000000" w:sz="4"/>
                    <w:bottom w:val="single" w:color="000000" w:sz="4"/>
                    <w:right w:val="single" w:color="000000" w:sz="4"/>
                  </w:tcBorders>
                  <w:vAlign w:val="top"/>
                </w:tcPr>
                <w:p>
                  <w:pPr>
                    <w:jc w:val="center"/>
                  </w:pPr>
                  <w:r>
                    <w:rPr>
                      <w:color w:val="000000"/>
                      <w:sz w:val="21"/>
                    </w:rPr>
                    <w:t>序号</w:t>
                  </w:r>
                </w:p>
              </w:tc>
              <w:tc>
                <w:tcPr>
                  <w:tcW w:type="dxa" w:w="840"/>
                  <w:tcBorders>
                    <w:top w:val="single" w:color="000000" w:sz="4"/>
                    <w:left w:val="none" w:color="000000" w:sz="4"/>
                    <w:bottom w:val="single" w:color="000000" w:sz="4"/>
                    <w:right w:val="single" w:color="000000" w:sz="4"/>
                  </w:tcBorders>
                  <w:vAlign w:val="top"/>
                </w:tcPr>
                <w:p>
                  <w:pPr>
                    <w:jc w:val="center"/>
                  </w:pPr>
                  <w:r>
                    <w:rPr>
                      <w:color w:val="000000"/>
                      <w:sz w:val="21"/>
                    </w:rPr>
                    <w:t>货物名称</w:t>
                  </w:r>
                </w:p>
              </w:tc>
              <w:tc>
                <w:tcPr>
                  <w:tcW w:type="dxa" w:w="3826"/>
                  <w:tcBorders>
                    <w:top w:val="single" w:color="000000" w:sz="4"/>
                    <w:left w:val="none" w:color="000000" w:sz="4"/>
                    <w:bottom w:val="single" w:color="000000" w:sz="4"/>
                    <w:right w:val="single" w:color="000000" w:sz="4"/>
                  </w:tcBorders>
                  <w:vAlign w:val="top"/>
                </w:tcPr>
                <w:p>
                  <w:pPr>
                    <w:jc w:val="center"/>
                  </w:pPr>
                  <w:r>
                    <w:rPr>
                      <w:color w:val="000000"/>
                      <w:sz w:val="21"/>
                    </w:rPr>
                    <w:t>技术规格</w:t>
                  </w:r>
                </w:p>
              </w:tc>
              <w:tc>
                <w:tcPr>
                  <w:tcW w:type="dxa" w:w="486"/>
                  <w:tcBorders>
                    <w:top w:val="single" w:color="000000" w:sz="4"/>
                    <w:left w:val="none" w:color="000000" w:sz="4"/>
                    <w:bottom w:val="single" w:color="000000" w:sz="4"/>
                    <w:right w:val="single" w:color="000000" w:sz="4"/>
                  </w:tcBorders>
                  <w:vAlign w:val="top"/>
                </w:tcPr>
                <w:p>
                  <w:pPr>
                    <w:jc w:val="center"/>
                  </w:pPr>
                  <w:r>
                    <w:rPr>
                      <w:color w:val="000000"/>
                      <w:sz w:val="21"/>
                    </w:rPr>
                    <w:t>数量</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宽带监测系统</w:t>
                  </w:r>
                </w:p>
              </w:tc>
              <w:tc>
                <w:tcPr>
                  <w:tcW w:type="dxa" w:w="3826"/>
                  <w:tcBorders>
                    <w:top w:val="none" w:color="000000" w:sz="4"/>
                    <w:left w:val="none" w:color="000000" w:sz="4"/>
                    <w:bottom w:val="single" w:color="000000" w:sz="4"/>
                    <w:right w:val="single" w:color="000000" w:sz="4"/>
                  </w:tcBorders>
                  <w:vAlign w:val="top"/>
                </w:tcPr>
                <w:p>
                  <w:r>
                    <w:rPr>
                      <w:color w:val="000000"/>
                      <w:sz w:val="21"/>
                    </w:rPr>
                    <w:t>（</w:t>
                  </w:r>
                  <w:r>
                    <w:rPr>
                      <w:color w:val="000000"/>
                      <w:sz w:val="21"/>
                    </w:rPr>
                    <w:t>1）★频率范围:</w:t>
                  </w:r>
                  <w:r>
                    <w:rPr>
                      <w:color w:val="000000"/>
                      <w:sz w:val="21"/>
                    </w:rPr>
                    <w:t xml:space="preserve"> </w:t>
                  </w:r>
                  <w:r>
                    <w:rPr>
                      <w:color w:val="000000"/>
                      <w:sz w:val="21"/>
                    </w:rPr>
                    <w:t>至少包括</w:t>
                  </w:r>
                  <w:r>
                    <w:rPr>
                      <w:color w:val="000000"/>
                      <w:sz w:val="21"/>
                    </w:rPr>
                    <w:t>20MHz～30GHz</w:t>
                  </w:r>
                </w:p>
                <w:p>
                  <w:r>
                    <w:rPr>
                      <w:color w:val="000000"/>
                      <w:sz w:val="21"/>
                    </w:rPr>
                    <w:t>（</w:t>
                  </w:r>
                  <w:r>
                    <w:rPr>
                      <w:color w:val="000000"/>
                      <w:sz w:val="21"/>
                    </w:rPr>
                    <w:t>2）频率稳定度:±1×10</w:t>
                  </w:r>
                  <w:r>
                    <w:rPr>
                      <w:color w:val="000000"/>
                      <w:sz w:val="21"/>
                      <w:vertAlign w:val="superscript"/>
                    </w:rPr>
                    <w:t>-7</w:t>
                  </w:r>
                </w:p>
                <w:p>
                  <w:r>
                    <w:rPr>
                      <w:color w:val="000000"/>
                      <w:sz w:val="21"/>
                    </w:rPr>
                    <w:t>（</w:t>
                  </w:r>
                  <w:r>
                    <w:rPr>
                      <w:color w:val="000000"/>
                      <w:sz w:val="21"/>
                    </w:rPr>
                    <w:t>3）▲实时中频带宽:≥160MHz</w:t>
                  </w:r>
                </w:p>
                <w:p>
                  <w:r>
                    <w:rPr>
                      <w:color w:val="000000"/>
                      <w:sz w:val="21"/>
                    </w:rPr>
                    <w:t>（</w:t>
                  </w:r>
                  <w:r>
                    <w:rPr>
                      <w:color w:val="000000"/>
                      <w:sz w:val="21"/>
                    </w:rPr>
                    <w:t>4）▲中频相位噪声:≤-125dBc/Hz(f=1GHz、偏离载频10kHz处)</w:t>
                  </w:r>
                </w:p>
                <w:p>
                  <w:r>
                    <w:rPr>
                      <w:color w:val="000000"/>
                      <w:sz w:val="21"/>
                    </w:rPr>
                    <w:t>（</w:t>
                  </w:r>
                  <w:r>
                    <w:rPr>
                      <w:color w:val="000000"/>
                      <w:sz w:val="21"/>
                    </w:rPr>
                    <w:t>5）频率分辨率：≤1Hz</w:t>
                  </w:r>
                </w:p>
                <w:p>
                  <w:r>
                    <w:rPr>
                      <w:color w:val="000000"/>
                      <w:sz w:val="21"/>
                    </w:rPr>
                    <w:t>（</w:t>
                  </w:r>
                  <w:r>
                    <w:rPr>
                      <w:color w:val="000000"/>
                      <w:sz w:val="21"/>
                    </w:rPr>
                    <w:t>6）▲中频干扰抑制比:≥90dB</w:t>
                  </w:r>
                </w:p>
                <w:p>
                  <w:r>
                    <w:rPr>
                      <w:color w:val="000000"/>
                      <w:sz w:val="21"/>
                    </w:rPr>
                    <w:t>（</w:t>
                  </w:r>
                  <w:r>
                    <w:rPr>
                      <w:color w:val="000000"/>
                      <w:sz w:val="21"/>
                    </w:rPr>
                    <w:t>7）▲镜频干扰抑制比:≥90dB</w:t>
                  </w:r>
                </w:p>
                <w:p>
                  <w:r>
                    <w:rPr>
                      <w:color w:val="000000"/>
                      <w:sz w:val="21"/>
                    </w:rPr>
                    <w:t>（</w:t>
                  </w:r>
                  <w:r>
                    <w:rPr>
                      <w:color w:val="000000"/>
                      <w:sz w:val="21"/>
                    </w:rPr>
                    <w:t>8）▲二阶截断点:≥60dBm</w:t>
                  </w:r>
                </w:p>
                <w:p>
                  <w:r>
                    <w:rPr>
                      <w:color w:val="000000"/>
                      <w:sz w:val="21"/>
                    </w:rPr>
                    <w:t>（</w:t>
                  </w:r>
                  <w:r>
                    <w:rPr>
                      <w:color w:val="000000"/>
                      <w:sz w:val="21"/>
                    </w:rPr>
                    <w:t>9）▲三阶截断点:≥20dBm</w:t>
                  </w:r>
                </w:p>
                <w:p>
                  <w:r>
                    <w:rPr>
                      <w:color w:val="000000"/>
                      <w:sz w:val="21"/>
                    </w:rPr>
                    <w:t>（</w:t>
                  </w:r>
                  <w:r>
                    <w:rPr>
                      <w:color w:val="000000"/>
                      <w:sz w:val="21"/>
                    </w:rPr>
                    <w:t>10）▲扫描速度:≥1500GHz/s(25kHz步进)</w:t>
                  </w:r>
                </w:p>
                <w:p>
                  <w:r>
                    <w:rPr>
                      <w:color w:val="000000"/>
                      <w:sz w:val="21"/>
                    </w:rPr>
                    <w:t>（</w:t>
                  </w:r>
                  <w:r>
                    <w:rPr>
                      <w:color w:val="000000"/>
                      <w:sz w:val="21"/>
                    </w:rPr>
                    <w:t>11）▲噪声系数:</w:t>
                  </w:r>
                </w:p>
                <w:p>
                  <w:r>
                    <w:rPr>
                      <w:color w:val="000000"/>
                      <w:sz w:val="21"/>
                    </w:rPr>
                    <w:t>≤12dB(20～3000MHz)</w:t>
                  </w:r>
                </w:p>
                <w:p>
                  <w:r>
                    <w:rPr>
                      <w:color w:val="000000"/>
                      <w:sz w:val="21"/>
                    </w:rPr>
                    <w:t>≤15dB(3～18GHz)</w:t>
                  </w:r>
                </w:p>
                <w:p>
                  <w:r>
                    <w:rPr>
                      <w:color w:val="000000"/>
                      <w:sz w:val="21"/>
                    </w:rPr>
                    <w:t>（</w:t>
                  </w:r>
                  <w:r>
                    <w:rPr>
                      <w:color w:val="000000"/>
                      <w:sz w:val="21"/>
                    </w:rPr>
                    <w:t>12）监测灵敏度:</w:t>
                  </w:r>
                </w:p>
                <w:p>
                  <w:r>
                    <w:rPr>
                      <w:color w:val="000000"/>
                      <w:sz w:val="21"/>
                    </w:rPr>
                    <w:t>≤10dBμV/m(20～3000MHz)</w:t>
                  </w:r>
                </w:p>
                <w:p>
                  <w:r>
                    <w:rPr>
                      <w:color w:val="000000"/>
                      <w:sz w:val="21"/>
                    </w:rPr>
                    <w:t>≤15dBμV/m(3～6GHz)</w:t>
                  </w:r>
                </w:p>
                <w:p>
                  <w:r>
                    <w:rPr>
                      <w:color w:val="000000"/>
                      <w:sz w:val="21"/>
                    </w:rPr>
                    <w:t>≤20dBμV/m(6～18GHz)</w:t>
                  </w:r>
                </w:p>
                <w:p>
                  <w:r>
                    <w:rPr>
                      <w:color w:val="000000"/>
                      <w:sz w:val="21"/>
                    </w:rPr>
                    <w:t>（</w:t>
                  </w:r>
                  <w:r>
                    <w:rPr>
                      <w:color w:val="000000"/>
                      <w:sz w:val="21"/>
                    </w:rPr>
                    <w:t>13）调制测量能力:AM、FM、CW、ASK、PSK、DPSK、QAM、FSK、MSK等</w:t>
                  </w:r>
                </w:p>
                <w:p>
                  <w:r>
                    <w:rPr>
                      <w:color w:val="000000"/>
                      <w:sz w:val="21"/>
                    </w:rPr>
                    <w:t>（</w:t>
                  </w:r>
                  <w:r>
                    <w:rPr>
                      <w:color w:val="000000"/>
                      <w:sz w:val="21"/>
                    </w:rPr>
                    <w:t>14）猝发信号截获能力:≤5us（100%概率）</w:t>
                  </w:r>
                </w:p>
                <w:p>
                  <w:r>
                    <w:rPr>
                      <w:color w:val="000000"/>
                      <w:sz w:val="21"/>
                    </w:rPr>
                    <w:t>（</w:t>
                  </w:r>
                  <w:r>
                    <w:rPr>
                      <w:color w:val="000000"/>
                      <w:sz w:val="21"/>
                    </w:rPr>
                    <w:t>15）检波方式：峰值、负峰值、RMS和取样</w:t>
                  </w:r>
                </w:p>
                <w:p>
                  <w:r>
                    <w:rPr>
                      <w:color w:val="000000"/>
                      <w:sz w:val="21"/>
                    </w:rPr>
                    <w:t>（</w:t>
                  </w:r>
                  <w:r>
                    <w:rPr>
                      <w:color w:val="000000"/>
                      <w:sz w:val="21"/>
                    </w:rPr>
                    <w:t>16）数字中频带宽：100Hz～160MHz，多种可选</w:t>
                  </w:r>
                </w:p>
                <w:p>
                  <w:r>
                    <w:rPr>
                      <w:color w:val="000000"/>
                      <w:sz w:val="21"/>
                    </w:rPr>
                    <w:t>（</w:t>
                  </w:r>
                  <w:r>
                    <w:rPr>
                      <w:color w:val="000000"/>
                      <w:sz w:val="21"/>
                    </w:rPr>
                    <w:t>17）IQ信号采集：连续输出最大带宽5MHz，片段输出最大带宽160MHz</w:t>
                  </w:r>
                </w:p>
                <w:p>
                  <w:r>
                    <w:rPr>
                      <w:color w:val="000000"/>
                      <w:sz w:val="21"/>
                    </w:rPr>
                    <w:t>（</w:t>
                  </w:r>
                  <w:r>
                    <w:rPr>
                      <w:color w:val="000000"/>
                      <w:sz w:val="21"/>
                    </w:rPr>
                    <w:t>18）带内多路IQ信号采集:16路，最大带宽3.2MHz</w:t>
                  </w:r>
                </w:p>
                <w:p>
                  <w:r>
                    <w:rPr>
                      <w:color w:val="000000"/>
                      <w:sz w:val="21"/>
                    </w:rPr>
                    <w:t>（</w:t>
                  </w:r>
                  <w:r>
                    <w:rPr>
                      <w:color w:val="000000"/>
                      <w:sz w:val="21"/>
                    </w:rPr>
                    <w:t>19）IQ采集模式：触发、连续等</w:t>
                  </w:r>
                </w:p>
                <w:p>
                  <w:r>
                    <w:rPr>
                      <w:color w:val="000000"/>
                      <w:sz w:val="21"/>
                    </w:rPr>
                    <w:t>（</w:t>
                  </w:r>
                  <w:r>
                    <w:rPr>
                      <w:color w:val="000000"/>
                      <w:sz w:val="21"/>
                    </w:rPr>
                    <w:t>20）带内DDC通道数：64</w:t>
                  </w:r>
                </w:p>
                <w:p>
                  <w:r>
                    <w:rPr>
                      <w:color w:val="000000"/>
                      <w:sz w:val="21"/>
                    </w:rPr>
                    <w:t>（</w:t>
                  </w:r>
                  <w:r>
                    <w:rPr>
                      <w:color w:val="000000"/>
                      <w:sz w:val="21"/>
                    </w:rPr>
                    <w:t>21）测量动态范围：≥120dB</w:t>
                  </w:r>
                </w:p>
                <w:p>
                  <w:pPr>
                    <w:jc w:val="both"/>
                  </w:pPr>
                  <w:r>
                    <w:rPr>
                      <w:color w:val="000000"/>
                      <w:sz w:val="21"/>
                    </w:rPr>
                    <w:t>（</w:t>
                  </w:r>
                  <w:r>
                    <w:rPr>
                      <w:color w:val="000000"/>
                      <w:sz w:val="21"/>
                    </w:rPr>
                    <w:t>22）下变频组件频率范围：18～30GHz</w:t>
                  </w:r>
                </w:p>
                <w:p>
                  <w:r>
                    <w:rPr>
                      <w:color w:val="000000"/>
                      <w:sz w:val="21"/>
                    </w:rPr>
                    <w:t>（</w:t>
                  </w:r>
                  <w:r>
                    <w:rPr>
                      <w:color w:val="000000"/>
                      <w:sz w:val="21"/>
                    </w:rPr>
                    <w:t>23）监测天线</w:t>
                  </w:r>
                  <w:r>
                    <w:rPr>
                      <w:color w:val="000000"/>
                      <w:sz w:val="21"/>
                    </w:rPr>
                    <w:t>安装要求：集成安装于车顶平台的一体化天线罩内</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2</w:t>
                  </w:r>
                </w:p>
              </w:tc>
              <w:tc>
                <w:tcPr>
                  <w:tcW w:type="dxa" w:w="840"/>
                  <w:tcBorders>
                    <w:top w:val="none" w:color="000000" w:sz="4"/>
                    <w:left w:val="none" w:color="000000" w:sz="4"/>
                    <w:bottom w:val="single" w:color="000000" w:sz="4"/>
                    <w:right w:val="single" w:color="000000" w:sz="4"/>
                  </w:tcBorders>
                  <w:vAlign w:val="top"/>
                </w:tcPr>
                <w:p>
                  <w:pPr>
                    <w:jc w:val="center"/>
                  </w:pPr>
                  <w:r>
                    <w:rPr>
                      <w:sz w:val="21"/>
                    </w:rPr>
                    <w:t>△</w:t>
                  </w:r>
                  <w:r>
                    <w:rPr>
                      <w:color w:val="000000"/>
                      <w:sz w:val="21"/>
                    </w:rPr>
                    <w:t>宽带测向系统</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1）★频率范围：</w:t>
                  </w:r>
                </w:p>
                <w:p>
                  <w:pPr>
                    <w:jc w:val="both"/>
                  </w:pPr>
                  <w:r>
                    <w:rPr>
                      <w:color w:val="000000"/>
                      <w:sz w:val="21"/>
                    </w:rPr>
                    <w:t>至少包括</w:t>
                  </w:r>
                  <w:r>
                    <w:rPr>
                      <w:color w:val="000000"/>
                      <w:sz w:val="21"/>
                    </w:rPr>
                    <w:t>20～18GHz（垂直极化）</w:t>
                  </w:r>
                </w:p>
                <w:p>
                  <w:pPr>
                    <w:jc w:val="both"/>
                  </w:pPr>
                  <w:r>
                    <w:rPr>
                      <w:color w:val="000000"/>
                      <w:sz w:val="21"/>
                    </w:rPr>
                    <w:t>至少包括</w:t>
                  </w:r>
                  <w:r>
                    <w:rPr>
                      <w:color w:val="000000"/>
                      <w:sz w:val="21"/>
                    </w:rPr>
                    <w:t>40～1300MHz（水平极化）</w:t>
                  </w:r>
                </w:p>
                <w:p>
                  <w:pPr>
                    <w:jc w:val="both"/>
                  </w:pPr>
                  <w:r>
                    <w:rPr>
                      <w:color w:val="000000"/>
                      <w:sz w:val="21"/>
                    </w:rPr>
                    <w:t>（</w:t>
                  </w:r>
                  <w:r>
                    <w:rPr>
                      <w:color w:val="000000"/>
                      <w:sz w:val="21"/>
                    </w:rPr>
                    <w:t>2）最大实时测向带宽：≥80MHz</w:t>
                  </w:r>
                </w:p>
                <w:p>
                  <w:pPr>
                    <w:jc w:val="both"/>
                  </w:pPr>
                  <w:r>
                    <w:rPr>
                      <w:color w:val="000000"/>
                      <w:sz w:val="21"/>
                    </w:rPr>
                    <w:t>（</w:t>
                  </w:r>
                  <w:r>
                    <w:rPr>
                      <w:color w:val="000000"/>
                      <w:sz w:val="21"/>
                    </w:rPr>
                    <w:t>3）测向体制：空间谱估计和相关干涉仪等</w:t>
                  </w:r>
                </w:p>
                <w:p>
                  <w:pPr>
                    <w:jc w:val="both"/>
                  </w:pPr>
                  <w:r>
                    <w:rPr>
                      <w:color w:val="000000"/>
                      <w:sz w:val="21"/>
                    </w:rPr>
                    <w:t>（</w:t>
                  </w:r>
                  <w:r>
                    <w:rPr>
                      <w:color w:val="000000"/>
                      <w:sz w:val="21"/>
                    </w:rPr>
                    <w:t>4）测向准确度：</w:t>
                  </w:r>
                </w:p>
                <w:p>
                  <w:pPr>
                    <w:jc w:val="both"/>
                  </w:pPr>
                  <w:r>
                    <w:rPr>
                      <w:color w:val="000000"/>
                      <w:sz w:val="21"/>
                    </w:rPr>
                    <w:t>≤2°(RMS、20～3000MHz、标准无反射场地)</w:t>
                  </w:r>
                </w:p>
                <w:p>
                  <w:pPr>
                    <w:jc w:val="both"/>
                  </w:pPr>
                  <w:r>
                    <w:rPr>
                      <w:color w:val="000000"/>
                      <w:sz w:val="21"/>
                    </w:rPr>
                    <w:t>≤3°(RMS、3～6GHz、标准无反射场地)</w:t>
                  </w:r>
                </w:p>
                <w:p>
                  <w:pPr>
                    <w:jc w:val="both"/>
                  </w:pPr>
                  <w:r>
                    <w:rPr>
                      <w:color w:val="000000"/>
                      <w:sz w:val="21"/>
                    </w:rPr>
                    <w:t>≤5°(RMS、6～18GHz、标准无反射场地)</w:t>
                  </w:r>
                </w:p>
                <w:p>
                  <w:pPr>
                    <w:jc w:val="both"/>
                  </w:pPr>
                  <w:r>
                    <w:rPr>
                      <w:color w:val="000000"/>
                      <w:sz w:val="21"/>
                    </w:rPr>
                    <w:t>（</w:t>
                  </w:r>
                  <w:r>
                    <w:rPr>
                      <w:color w:val="000000"/>
                      <w:sz w:val="21"/>
                    </w:rPr>
                    <w:t>5）测向灵敏度：</w:t>
                  </w:r>
                </w:p>
                <w:p>
                  <w:pPr>
                    <w:jc w:val="both"/>
                  </w:pPr>
                  <w:r>
                    <w:rPr>
                      <w:color w:val="000000"/>
                      <w:sz w:val="21"/>
                    </w:rPr>
                    <w:t>≤15dBμV/m（20～3000MHz）</w:t>
                  </w:r>
                </w:p>
                <w:p>
                  <w:pPr>
                    <w:jc w:val="both"/>
                  </w:pPr>
                  <w:r>
                    <w:rPr>
                      <w:color w:val="000000"/>
                      <w:sz w:val="21"/>
                    </w:rPr>
                    <w:t>≤20dBμV/m（3～6GHz）</w:t>
                  </w:r>
                </w:p>
                <w:p>
                  <w:pPr>
                    <w:jc w:val="both"/>
                  </w:pPr>
                  <w:r>
                    <w:rPr>
                      <w:color w:val="000000"/>
                      <w:sz w:val="21"/>
                    </w:rPr>
                    <w:t>≤25dBμV/m（6～18GHz）</w:t>
                  </w:r>
                </w:p>
                <w:p>
                  <w:pPr>
                    <w:jc w:val="both"/>
                  </w:pPr>
                  <w:r>
                    <w:rPr>
                      <w:color w:val="000000"/>
                      <w:sz w:val="21"/>
                    </w:rPr>
                    <w:t>（</w:t>
                  </w:r>
                  <w:r>
                    <w:rPr>
                      <w:color w:val="000000"/>
                      <w:sz w:val="21"/>
                    </w:rPr>
                    <w:t>6）瞬时信号测向能力：≤0.05ms（单次突发信号）</w:t>
                  </w:r>
                </w:p>
                <w:p>
                  <w:pPr>
                    <w:jc w:val="both"/>
                  </w:pPr>
                  <w:r>
                    <w:rPr>
                      <w:color w:val="000000"/>
                      <w:sz w:val="21"/>
                    </w:rPr>
                    <w:t>（</w:t>
                  </w:r>
                  <w:r>
                    <w:rPr>
                      <w:color w:val="000000"/>
                      <w:sz w:val="21"/>
                    </w:rPr>
                    <w:t>7）同频信号分离个数：≥3</w:t>
                  </w:r>
                </w:p>
                <w:p>
                  <w:pPr>
                    <w:jc w:val="both"/>
                  </w:pPr>
                  <w:r>
                    <w:rPr>
                      <w:color w:val="000000"/>
                      <w:sz w:val="21"/>
                    </w:rPr>
                    <w:t>（</w:t>
                  </w:r>
                  <w:r>
                    <w:rPr>
                      <w:color w:val="000000"/>
                      <w:sz w:val="21"/>
                    </w:rPr>
                    <w:t>8）最小同频分辨角度：≤20°</w:t>
                  </w:r>
                </w:p>
                <w:p>
                  <w:pPr>
                    <w:jc w:val="both"/>
                  </w:pPr>
                  <w:r>
                    <w:rPr>
                      <w:color w:val="000000"/>
                      <w:sz w:val="21"/>
                    </w:rPr>
                    <w:t>（</w:t>
                  </w:r>
                  <w:r>
                    <w:rPr>
                      <w:color w:val="000000"/>
                      <w:sz w:val="21"/>
                    </w:rPr>
                    <w:t>9）测向天线输出驻波比：</w:t>
                  </w:r>
                  <w:r>
                    <w:rPr>
                      <w:sz w:val="21"/>
                    </w:rPr>
                    <w:t>≤2.0（典型值）</w:t>
                  </w:r>
                </w:p>
                <w:p>
                  <w:pPr>
                    <w:jc w:val="both"/>
                  </w:pPr>
                  <w:r>
                    <w:rPr>
                      <w:color w:val="000000"/>
                      <w:sz w:val="21"/>
                    </w:rPr>
                    <w:t>（</w:t>
                  </w:r>
                  <w:r>
                    <w:rPr>
                      <w:color w:val="000000"/>
                      <w:sz w:val="21"/>
                    </w:rPr>
                    <w:t>10）测向天线幅度一致性：≤3dB(典型值)</w:t>
                  </w:r>
                </w:p>
                <w:p>
                  <w:pPr>
                    <w:jc w:val="both"/>
                  </w:pPr>
                  <w:r>
                    <w:rPr>
                      <w:color w:val="000000"/>
                      <w:sz w:val="21"/>
                    </w:rPr>
                    <w:t>（</w:t>
                  </w:r>
                  <w:r>
                    <w:rPr>
                      <w:color w:val="000000"/>
                      <w:sz w:val="21"/>
                    </w:rPr>
                    <w:t>11）测向天线相位稳定性：≤10°(典型值)</w:t>
                  </w:r>
                </w:p>
                <w:p>
                  <w:pPr>
                    <w:jc w:val="both"/>
                  </w:pPr>
                  <w:r>
                    <w:rPr>
                      <w:color w:val="000000"/>
                      <w:sz w:val="21"/>
                    </w:rPr>
                    <w:t>（</w:t>
                  </w:r>
                  <w:r>
                    <w:rPr>
                      <w:color w:val="000000"/>
                      <w:sz w:val="21"/>
                    </w:rPr>
                    <w:t>12）测向天线安装要求：集成安装于车顶平台的一体化天线罩内</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3</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广播电视信号解码单元</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可对广播电视信号接收解码</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4</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数字对讲信号解码单元</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可对数字对讲信号解码解调</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5</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公众移动基站信号解码单元</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可对公众移动基站信号解码分析。</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6</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电磁信息服务设备</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w:t>
                  </w:r>
                  <w:r>
                    <w:rPr>
                      <w:color w:val="000000"/>
                      <w:sz w:val="21"/>
                    </w:rPr>
                    <w:t>1）</w:t>
                  </w:r>
                  <w:r>
                    <w:rPr>
                      <w:color w:val="000000"/>
                      <w:sz w:val="21"/>
                    </w:rPr>
                    <w:t>频率范围：</w:t>
                  </w:r>
                  <w:r>
                    <w:rPr>
                      <w:color w:val="000000"/>
                      <w:sz w:val="21"/>
                    </w:rPr>
                    <w:t>10～6GHz</w:t>
                  </w:r>
                </w:p>
                <w:p>
                  <w:pPr>
                    <w:jc w:val="both"/>
                  </w:pPr>
                  <w:r>
                    <w:rPr>
                      <w:color w:val="000000"/>
                      <w:sz w:val="21"/>
                    </w:rPr>
                    <w:t>（</w:t>
                  </w:r>
                  <w:r>
                    <w:rPr>
                      <w:color w:val="000000"/>
                      <w:sz w:val="21"/>
                    </w:rPr>
                    <w:t>2）接收灵敏度：-100dBm</w:t>
                  </w:r>
                </w:p>
                <w:p>
                  <w:pPr>
                    <w:jc w:val="both"/>
                  </w:pPr>
                  <w:r>
                    <w:rPr>
                      <w:color w:val="000000"/>
                      <w:sz w:val="21"/>
                    </w:rPr>
                    <w:t>（</w:t>
                  </w:r>
                  <w:r>
                    <w:rPr>
                      <w:color w:val="000000"/>
                      <w:sz w:val="21"/>
                    </w:rPr>
                    <w:t>3）分辨率带宽：25KHz</w:t>
                  </w:r>
                </w:p>
                <w:p>
                  <w:pPr>
                    <w:jc w:val="both"/>
                  </w:pPr>
                  <w:r>
                    <w:rPr>
                      <w:color w:val="000000"/>
                      <w:sz w:val="21"/>
                    </w:rPr>
                    <w:t>（</w:t>
                  </w:r>
                  <w:r>
                    <w:rPr>
                      <w:color w:val="000000"/>
                      <w:sz w:val="21"/>
                    </w:rPr>
                    <w:t>4）设备配置：蓝牙编辑配置设备及网络参数</w:t>
                  </w:r>
                </w:p>
                <w:p>
                  <w:pPr>
                    <w:jc w:val="both"/>
                  </w:pPr>
                  <w:r>
                    <w:rPr>
                      <w:color w:val="000000"/>
                      <w:sz w:val="21"/>
                    </w:rPr>
                    <w:t>（</w:t>
                  </w:r>
                  <w:r>
                    <w:rPr>
                      <w:color w:val="000000"/>
                      <w:sz w:val="21"/>
                    </w:rPr>
                    <w:t>5）网络配置：内置网关，具备网络切换接口，支持WIFI、4G/5G和局域网等</w:t>
                  </w:r>
                </w:p>
                <w:p>
                  <w:pPr>
                    <w:jc w:val="both"/>
                  </w:pPr>
                  <w:r>
                    <w:rPr>
                      <w:color w:val="000000"/>
                      <w:sz w:val="21"/>
                    </w:rPr>
                    <w:t>（</w:t>
                  </w:r>
                  <w:r>
                    <w:rPr>
                      <w:color w:val="000000"/>
                      <w:sz w:val="21"/>
                    </w:rPr>
                    <w:t>6）服务配置：本机服务、节点服务、云服务；</w:t>
                  </w:r>
                </w:p>
                <w:p>
                  <w:pPr>
                    <w:jc w:val="both"/>
                  </w:pPr>
                  <w:r>
                    <w:rPr>
                      <w:color w:val="000000"/>
                      <w:sz w:val="21"/>
                    </w:rPr>
                    <w:t>（</w:t>
                  </w:r>
                  <w:r>
                    <w:rPr>
                      <w:color w:val="000000"/>
                      <w:sz w:val="21"/>
                    </w:rPr>
                    <w:t>7）存储空间：128GB</w:t>
                  </w:r>
                </w:p>
                <w:p>
                  <w:pPr>
                    <w:jc w:val="both"/>
                  </w:pPr>
                  <w:r>
                    <w:rPr>
                      <w:color w:val="000000"/>
                      <w:sz w:val="21"/>
                    </w:rPr>
                    <w:t>（</w:t>
                  </w:r>
                  <w:r>
                    <w:rPr>
                      <w:color w:val="000000"/>
                      <w:sz w:val="21"/>
                    </w:rPr>
                    <w:t>8）接口配置：RS-232接口、USB接口等</w:t>
                  </w:r>
                </w:p>
                <w:p>
                  <w:r>
                    <w:rPr>
                      <w:color w:val="000000"/>
                      <w:sz w:val="21"/>
                    </w:rPr>
                    <w:t>（</w:t>
                  </w:r>
                  <w:r>
                    <w:rPr>
                      <w:color w:val="000000"/>
                      <w:sz w:val="21"/>
                    </w:rPr>
                    <w:t>9）</w:t>
                  </w:r>
                  <w:r>
                    <w:rPr>
                      <w:color w:val="000000"/>
                      <w:sz w:val="21"/>
                    </w:rPr>
                    <w:t>APP应用：现场监测、云监测、考场压制监督等</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7</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控制终端</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i7处理器/内存64G/2T硬盘</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8</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网络交换机</w:t>
                  </w:r>
                </w:p>
              </w:tc>
              <w:tc>
                <w:tcPr>
                  <w:tcW w:type="dxa" w:w="3826"/>
                  <w:tcBorders>
                    <w:top w:val="none" w:color="000000" w:sz="4"/>
                    <w:left w:val="none" w:color="000000" w:sz="4"/>
                    <w:bottom w:val="single" w:color="000000" w:sz="4"/>
                    <w:right w:val="single" w:color="000000" w:sz="4"/>
                  </w:tcBorders>
                  <w:vAlign w:val="top"/>
                </w:tcPr>
                <w:p>
                  <w:pPr>
                    <w:jc w:val="both"/>
                  </w:pPr>
                  <w:r>
                    <w:rPr>
                      <w:color w:val="000000"/>
                      <w:sz w:val="21"/>
                    </w:rPr>
                    <w:t>千兆网络交换机</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9</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GNSS定位系统</w:t>
                  </w:r>
                </w:p>
              </w:tc>
              <w:tc>
                <w:tcPr>
                  <w:tcW w:type="dxa" w:w="3826"/>
                  <w:tcBorders>
                    <w:top w:val="none" w:color="000000" w:sz="4"/>
                    <w:left w:val="none" w:color="000000" w:sz="4"/>
                    <w:bottom w:val="single" w:color="000000" w:sz="4"/>
                    <w:right w:val="single" w:color="000000" w:sz="4"/>
                  </w:tcBorders>
                  <w:vAlign w:val="top"/>
                </w:tcPr>
                <w:p>
                  <w:r>
                    <w:rPr>
                      <w:color w:val="000000"/>
                      <w:sz w:val="21"/>
                    </w:rPr>
                    <w:t>提供定位与指北信息</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w:t>
                  </w:r>
                  <w:r>
                    <w:rPr>
                      <w:color w:val="000000"/>
                      <w:sz w:val="21"/>
                    </w:rPr>
                    <w:t>0</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无线电监测软件</w:t>
                  </w:r>
                </w:p>
              </w:tc>
              <w:tc>
                <w:tcPr>
                  <w:tcW w:type="dxa" w:w="3826"/>
                  <w:tcBorders>
                    <w:top w:val="none" w:color="000000" w:sz="4"/>
                    <w:left w:val="none" w:color="000000" w:sz="4"/>
                    <w:bottom w:val="single" w:color="000000" w:sz="4"/>
                    <w:right w:val="single" w:color="000000" w:sz="4"/>
                  </w:tcBorders>
                  <w:vAlign w:val="top"/>
                </w:tcPr>
                <w:p>
                  <w:r>
                    <w:rPr>
                      <w:color w:val="000000"/>
                      <w:sz w:val="21"/>
                    </w:rPr>
                    <w:t>包含监测、测向、统计分析、专项监测、电子地图等模块</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1套</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11</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车辆原有设备拆除与改装集成</w:t>
                  </w:r>
                </w:p>
              </w:tc>
              <w:tc>
                <w:tcPr>
                  <w:tcW w:type="dxa" w:w="3826"/>
                  <w:tcBorders>
                    <w:top w:val="none" w:color="000000" w:sz="4"/>
                    <w:left w:val="none" w:color="000000" w:sz="4"/>
                    <w:bottom w:val="single" w:color="000000" w:sz="4"/>
                    <w:right w:val="single" w:color="000000" w:sz="4"/>
                  </w:tcBorders>
                  <w:vAlign w:val="top"/>
                </w:tcPr>
                <w:p>
                  <w:r>
                    <w:rPr>
                      <w:color w:val="000000"/>
                      <w:sz w:val="21"/>
                    </w:rPr>
                    <w:t>车辆原有设备拆除，电源系统及网络等改装集成安装</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1项</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12</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技术服务</w:t>
                  </w:r>
                </w:p>
              </w:tc>
              <w:tc>
                <w:tcPr>
                  <w:tcW w:type="dxa" w:w="3826"/>
                  <w:tcBorders>
                    <w:top w:val="none" w:color="000000" w:sz="4"/>
                    <w:left w:val="none" w:color="000000" w:sz="4"/>
                    <w:bottom w:val="single" w:color="000000" w:sz="4"/>
                    <w:right w:val="single" w:color="000000" w:sz="4"/>
                  </w:tcBorders>
                  <w:vAlign w:val="top"/>
                </w:tcPr>
                <w:p>
                  <w:r>
                    <w:rPr>
                      <w:color w:val="000000"/>
                      <w:sz w:val="21"/>
                    </w:rPr>
                    <w:t>升空干扰查找服务、现有考场监测管制设备接入、技术培训等</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1项</w:t>
                  </w:r>
                </w:p>
              </w:tc>
            </w:tr>
            <w:tr>
              <w:tc>
                <w:tcPr>
                  <w:tcW w:type="dxa" w:w="445"/>
                  <w:tcBorders>
                    <w:top w:val="none" w:color="000000" w:sz="4"/>
                    <w:left w:val="single" w:color="000000" w:sz="4"/>
                    <w:bottom w:val="single" w:color="000000" w:sz="4"/>
                    <w:right w:val="single" w:color="000000" w:sz="4"/>
                  </w:tcBorders>
                  <w:vAlign w:val="top"/>
                </w:tcPr>
                <w:p>
                  <w:pPr>
                    <w:jc w:val="center"/>
                  </w:pPr>
                  <w:r>
                    <w:rPr>
                      <w:color w:val="000000"/>
                      <w:sz w:val="21"/>
                    </w:rPr>
                    <w:t>13</w:t>
                  </w:r>
                </w:p>
              </w:tc>
              <w:tc>
                <w:tcPr>
                  <w:tcW w:type="dxa" w:w="840"/>
                  <w:tcBorders>
                    <w:top w:val="none" w:color="000000" w:sz="4"/>
                    <w:left w:val="none" w:color="000000" w:sz="4"/>
                    <w:bottom w:val="single" w:color="000000" w:sz="4"/>
                    <w:right w:val="single" w:color="000000" w:sz="4"/>
                  </w:tcBorders>
                  <w:vAlign w:val="top"/>
                </w:tcPr>
                <w:p>
                  <w:pPr>
                    <w:jc w:val="center"/>
                  </w:pPr>
                  <w:r>
                    <w:rPr>
                      <w:color w:val="000000"/>
                      <w:sz w:val="21"/>
                    </w:rPr>
                    <w:t>系统测试验证</w:t>
                  </w:r>
                </w:p>
              </w:tc>
              <w:tc>
                <w:tcPr>
                  <w:tcW w:type="dxa" w:w="3826"/>
                  <w:tcBorders>
                    <w:top w:val="none" w:color="000000" w:sz="4"/>
                    <w:left w:val="none" w:color="000000" w:sz="4"/>
                    <w:bottom w:val="single" w:color="000000" w:sz="4"/>
                    <w:right w:val="single" w:color="000000" w:sz="4"/>
                  </w:tcBorders>
                  <w:vAlign w:val="top"/>
                </w:tcPr>
                <w:p>
                  <w:pPr>
                    <w:jc w:val="center"/>
                  </w:pPr>
                  <w:r>
                    <w:rPr>
                      <w:color w:val="000000"/>
                      <w:sz w:val="21"/>
                    </w:rPr>
                    <w:t>监测系统和测向系统提供有资质的第三方测试机构的检测报告</w:t>
                  </w:r>
                </w:p>
              </w:tc>
              <w:tc>
                <w:tcPr>
                  <w:tcW w:type="dxa" w:w="486"/>
                  <w:tcBorders>
                    <w:top w:val="none" w:color="000000" w:sz="4"/>
                    <w:left w:val="none" w:color="000000" w:sz="4"/>
                    <w:bottom w:val="single" w:color="000000" w:sz="4"/>
                    <w:right w:val="single" w:color="000000" w:sz="4"/>
                  </w:tcBorders>
                  <w:vAlign w:val="top"/>
                </w:tcPr>
                <w:p>
                  <w:pPr>
                    <w:jc w:val="center"/>
                  </w:pPr>
                  <w:r>
                    <w:rPr>
                      <w:color w:val="000000"/>
                      <w:sz w:val="21"/>
                    </w:rPr>
                    <w:t>1项</w:t>
                  </w:r>
                </w:p>
              </w:tc>
            </w:tr>
          </w:tbl>
          <w:p>
            <w:r>
              <w:rPr/>
              <w:t xml:space="preserve"> </w:t>
            </w:r>
          </w:p>
          <w:p>
            <w:r>
              <w:rPr/>
              <w:t xml:space="preserve"> </w:t>
            </w:r>
          </w:p>
          <w:p>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1.采购代理机构：本项目是指广东政通招标有限公司，负责整个采购活动的组织，依法负责编制和发布招标文件，对招标文件拥有最终的解释权，不以任何身份出任评标委员会成员。</w:t>
      </w:r>
    </w:p>
    <w:p>
      <w:pPr>
        <w:ind w:firstLine="480"/>
      </w:pPr>
      <w:r>
        <w:rPr/>
        <w:t>2.采购人：本项目是指</w:t>
      </w:r>
      <w:r>
        <w:rPr/>
        <w:t>东莞市无线电监测站</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3家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r>
              <w:rPr/>
              <w:t>60分钟</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采购包1：非专门面向中小企业</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杨先生</w:t>
      </w:r>
    </w:p>
    <w:p>
      <w:pPr>
        <w:ind w:firstLine="480"/>
      </w:pPr>
      <w:r>
        <w:rPr/>
        <w:t>电话：</w:t>
      </w:r>
      <w:r>
        <w:rPr/>
        <w:t>0769-22881803</w:t>
      </w:r>
    </w:p>
    <w:p>
      <w:pPr>
        <w:ind w:firstLine="480"/>
      </w:pPr>
      <w:r>
        <w:rPr/>
        <w:t>传真：</w:t>
      </w:r>
      <w:r>
        <w:rPr/>
        <w:t>0769-22881803</w:t>
      </w:r>
    </w:p>
    <w:p>
      <w:pPr>
        <w:ind w:firstLine="480"/>
      </w:pPr>
      <w:r>
        <w:rPr/>
        <w:t>邮箱：</w:t>
      </w:r>
      <w:r>
        <w:rPr/>
        <w:t>1402289247@qq.com</w:t>
      </w:r>
    </w:p>
    <w:p>
      <w:pPr>
        <w:ind w:firstLine="480"/>
      </w:pPr>
      <w:r>
        <w:rPr/>
        <w:t>地址：</w:t>
      </w:r>
      <w:r>
        <w:rPr/>
        <w:t>东莞市南城街道鸿福路199号410、411室</w:t>
      </w:r>
    </w:p>
    <w:p>
      <w:pPr>
        <w:ind w:firstLine="480"/>
      </w:pPr>
      <w:r>
        <w:rPr/>
        <w:t>邮编：</w:t>
      </w:r>
      <w:r>
        <w:rPr/>
        <w:t>1402289247@qq.com</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政府采购监督管理机构名称：东莞市财政局政府采购监管科</w:t>
      </w:r>
    </w:p>
    <w:p>
      <w:r>
        <w:rPr/>
        <w:t>地  址：东莞市南城区鸿福路99号行政办事中心主楼12楼28室</w:t>
      </w:r>
    </w:p>
    <w:p>
      <w:r>
        <w:rPr/>
        <w:t>电  话：0769-22831025、0769-22830161</w:t>
      </w:r>
    </w:p>
    <w:p>
      <w:r>
        <w:rPr/>
        <w:t>邮  编：523000</w:t>
      </w:r>
    </w:p>
    <w:p>
      <w:r>
        <w:rPr/>
        <w:t>传  真：-</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1.3合同条款中应规定，乙方完全遵守《中华人民共和国劳动合同法》有关规定和《中华人民共和国妇女权益保障法》中关于“劳动和社会保障权益”的有关要求。</w:t>
      </w:r>
    </w:p>
    <w:p>
      <w:pPr>
        <w:ind w:firstLine="480"/>
      </w:pPr>
      <w:r>
        <w:rPr/>
        <w:t>1.4采购人应当自政府采购合同签订之日起2个工作日内，将政府采购合同在省级以上人民政府财政部门指定的媒体上公告，但政府采购合同中涉及国家秘密、商业秘密的内容除外。</w:t>
      </w:r>
    </w:p>
    <w:p>
      <w:pPr>
        <w:ind w:firstLine="480"/>
      </w:pPr>
      <w:r>
        <w:rPr/>
        <w:t>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广东省无线电移动监测站能力提升项目-东莞市移动监测站升级改造)：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广东政通招标有限公司</w:t>
      </w:r>
      <w:r>
        <w:rPr/>
        <w:t>统一对外发布。</w:t>
      </w:r>
    </w:p>
    <w:p>
      <w:pPr>
        <w:ind w:firstLine="480"/>
      </w:pPr>
      <w:r>
        <w:rPr/>
        <w:t>（2）对</w:t>
      </w:r>
      <w:r>
        <w:rPr/>
        <w:t>广东政通招标有限公司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采购包1（广东省无线电移动监测站能力提升项目-东莞市移动监测站升级改造）：</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货物由小微企业制造</w:t>
            </w:r>
          </w:p>
        </w:tc>
        <w:tc>
          <w:tcPr>
            <w:tcW w:type="dxa" w:w="1246"/>
          </w:tcPr>
          <w:p>
            <w:r>
              <w:rPr/>
              <w:t>10%</w:t>
            </w:r>
          </w:p>
        </w:tc>
        <w:tc>
          <w:tcPr>
            <w:tcW w:type="dxa" w:w="2160"/>
          </w:tcPr>
          <w:p>
            <w:pPr>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3%</w:t>
            </w:r>
          </w:p>
        </w:tc>
        <w:tc>
          <w:tcPr>
            <w:tcW w:type="dxa" w:w="2160"/>
          </w:tcPr>
          <w:p>
            <w:pPr>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采购包1（广东省无线电移动监测站能力提升项目-东莞市移动监测站升级改造）：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投标（响应）文件中提供《资格条件承诺函》，可参考公告附件格式。</w:t>
            </w:r>
          </w:p>
        </w:tc>
      </w:tr>
      <w:tr>
        <w:tc>
          <w:tcPr>
            <w:tcW w:type="dxa" w:w="890"/>
          </w:tcPr>
          <w:p>
            <w:r>
              <w:rPr/>
              <w:t>3</w:t>
            </w:r>
          </w:p>
        </w:tc>
        <w:tc>
          <w:tcPr>
            <w:tcW w:type="dxa" w:w="3178"/>
          </w:tcPr>
          <w:p>
            <w:r>
              <w:rPr/>
              <w:t>具有良好的商业信誉和健全的财务会计制度</w:t>
            </w:r>
          </w:p>
        </w:tc>
        <w:tc>
          <w:tcPr>
            <w:tcW w:type="dxa" w:w="4238"/>
          </w:tcPr>
          <w:p>
            <w:r>
              <w:rPr/>
              <w:t>投标（响应）文件中提供《资格条件承诺函》，可参考公告附件格式。</w:t>
            </w:r>
          </w:p>
        </w:tc>
      </w:tr>
      <w:tr>
        <w:tc>
          <w:tcPr>
            <w:tcW w:type="dxa" w:w="890"/>
          </w:tcPr>
          <w:p>
            <w:r>
              <w:rPr/>
              <w:t>4</w:t>
            </w:r>
          </w:p>
        </w:tc>
        <w:tc>
          <w:tcPr>
            <w:tcW w:type="dxa" w:w="3178"/>
          </w:tcPr>
          <w:p>
            <w:r>
              <w:rPr/>
              <w:t>履行合同所必需的设备和专业技术能力</w:t>
            </w:r>
          </w:p>
        </w:tc>
        <w:tc>
          <w:tcPr>
            <w:tcW w:type="dxa" w:w="4238"/>
          </w:tcPr>
          <w:p>
            <w:r>
              <w:rPr/>
              <w:t>投标（响应）文件中提供《资格条件承诺函》，可参考公告附件格式。</w:t>
            </w:r>
          </w:p>
        </w:tc>
      </w:tr>
      <w:tr>
        <w:tc>
          <w:tcPr>
            <w:tcW w:type="dxa" w:w="890"/>
          </w:tcPr>
          <w:p>
            <w:r>
              <w:rPr/>
              <w:t>5</w:t>
            </w:r>
          </w:p>
        </w:tc>
        <w:tc>
          <w:tcPr>
            <w:tcW w:type="dxa" w:w="3178"/>
          </w:tcPr>
          <w:p>
            <w:r>
              <w:rPr/>
              <w:t>参加采购活动前3年内，在经营活动中没有重大违法记录</w:t>
            </w:r>
          </w:p>
        </w:tc>
        <w:tc>
          <w:tcPr>
            <w:tcW w:type="dxa" w:w="4238"/>
          </w:tcPr>
          <w:p>
            <w:r>
              <w:rPr/>
              <w:t>投标（响应）文件中提供《资格条件承诺函》，可参考公告附件格式。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案件当事人名单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本项目不属于专门面向中小企业采购项目。</w:t>
            </w:r>
          </w:p>
        </w:tc>
      </w:tr>
    </w:tbl>
    <w:p/>
    <w:p>
      <w:pPr>
        <w:ind w:firstLine="480"/>
      </w:pPr>
      <w:r>
        <w:rPr/>
        <w:t>表二符合性审查表：</w:t>
      </w:r>
    </w:p>
    <w:p>
      <w:pPr>
        <w:ind w:firstLine="480"/>
      </w:pPr>
    </w:p>
    <w:p/>
    <w:p>
      <w:r>
        <w:rPr/>
        <w:t>采购包1（广东省无线电移动监测站能力提升项目-东莞市移动监测站升级改造）：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投标函</w:t>
            </w:r>
          </w:p>
        </w:tc>
        <w:tc>
          <w:tcPr>
            <w:tcW w:type="dxa" w:w="4238"/>
          </w:tcPr>
          <w:p>
            <w:r>
              <w:rPr/>
              <w:t>已按规定格式编制及盖章、签署，投标有效期满足招标文件要求。</w:t>
            </w:r>
          </w:p>
        </w:tc>
      </w:tr>
      <w:tr>
        <w:tc>
          <w:tcPr>
            <w:tcW w:type="dxa" w:w="890"/>
          </w:tcPr>
          <w:p>
            <w:r>
              <w:rPr/>
              <w:t>2</w:t>
            </w:r>
          </w:p>
        </w:tc>
        <w:tc>
          <w:tcPr>
            <w:tcW w:type="dxa" w:w="3178"/>
          </w:tcPr>
          <w:p>
            <w:r>
              <w:rPr/>
              <w:t>法定代表人证明书及授权委 托书</w:t>
            </w:r>
          </w:p>
        </w:tc>
        <w:tc>
          <w:tcPr>
            <w:tcW w:type="dxa" w:w="4238"/>
          </w:tcPr>
          <w:p>
            <w:r>
              <w:rPr/>
              <w:t>已经盖章、签署，授权有效期。</w:t>
            </w:r>
          </w:p>
        </w:tc>
      </w:tr>
      <w:tr>
        <w:tc>
          <w:tcPr>
            <w:tcW w:type="dxa" w:w="890"/>
          </w:tcPr>
          <w:p>
            <w:r>
              <w:rPr/>
              <w:t>3</w:t>
            </w:r>
          </w:p>
        </w:tc>
        <w:tc>
          <w:tcPr>
            <w:tcW w:type="dxa" w:w="3178"/>
          </w:tcPr>
          <w:p>
            <w:r>
              <w:rPr/>
              <w:t>投标文件内容、签署、盖章</w:t>
            </w:r>
          </w:p>
        </w:tc>
        <w:tc>
          <w:tcPr>
            <w:tcW w:type="dxa" w:w="4238"/>
          </w:tcPr>
          <w:p>
            <w:r>
              <w:rPr/>
              <w:t>投标文件内容完整，无重大错漏，并已按招标文件要求盖章、签署。</w:t>
            </w:r>
          </w:p>
        </w:tc>
      </w:tr>
      <w:tr>
        <w:tc>
          <w:tcPr>
            <w:tcW w:type="dxa" w:w="890"/>
          </w:tcPr>
          <w:p>
            <w:r>
              <w:rPr/>
              <w:t>4</w:t>
            </w:r>
          </w:p>
        </w:tc>
        <w:tc>
          <w:tcPr>
            <w:tcW w:type="dxa" w:w="3178"/>
          </w:tcPr>
          <w:p>
            <w:r>
              <w:rPr/>
              <w:t>投标报价</w:t>
            </w:r>
          </w:p>
        </w:tc>
        <w:tc>
          <w:tcPr>
            <w:tcW w:type="dxa" w:w="4238"/>
          </w:tcPr>
          <w:p>
            <w:r>
              <w:rPr/>
              <w:t>投标人的投标报价无超出项目预算金额。</w:t>
            </w:r>
          </w:p>
        </w:tc>
      </w:tr>
      <w:tr>
        <w:tc>
          <w:tcPr>
            <w:tcW w:type="dxa" w:w="890"/>
          </w:tcPr>
          <w:p>
            <w:r>
              <w:rPr/>
              <w:t>5</w:t>
            </w:r>
          </w:p>
        </w:tc>
        <w:tc>
          <w:tcPr>
            <w:tcW w:type="dxa" w:w="3178"/>
          </w:tcPr>
          <w:p>
            <w:r>
              <w:rPr/>
              <w:t>商务审查</w:t>
            </w:r>
          </w:p>
        </w:tc>
        <w:tc>
          <w:tcPr>
            <w:tcW w:type="dxa" w:w="4238"/>
          </w:tcPr>
          <w:p>
            <w:r>
              <w:rPr/>
              <w:t>商务条款满足招标文件要求。</w:t>
            </w:r>
          </w:p>
        </w:tc>
      </w:tr>
      <w:tr>
        <w:tc>
          <w:tcPr>
            <w:tcW w:type="dxa" w:w="890"/>
          </w:tcPr>
          <w:p>
            <w:r>
              <w:rPr/>
              <w:t>6</w:t>
            </w:r>
          </w:p>
        </w:tc>
        <w:tc>
          <w:tcPr>
            <w:tcW w:type="dxa" w:w="3178"/>
          </w:tcPr>
          <w:p>
            <w:r>
              <w:rPr/>
              <w:t>技术审查</w:t>
            </w:r>
          </w:p>
        </w:tc>
        <w:tc>
          <w:tcPr>
            <w:tcW w:type="dxa" w:w="4238"/>
          </w:tcPr>
          <w:p>
            <w:r>
              <w:rPr/>
              <w:t>技术条款满足招标文件要求。</w:t>
            </w:r>
          </w:p>
        </w:tc>
      </w:tr>
      <w:tr>
        <w:tc>
          <w:tcPr>
            <w:tcW w:type="dxa" w:w="890"/>
          </w:tcPr>
          <w:p>
            <w:r>
              <w:rPr/>
              <w:t>7</w:t>
            </w:r>
          </w:p>
        </w:tc>
        <w:tc>
          <w:tcPr>
            <w:tcW w:type="dxa" w:w="3178"/>
          </w:tcPr>
          <w:p>
            <w:r>
              <w:rPr/>
              <w:t>附加条件</w:t>
            </w:r>
          </w:p>
        </w:tc>
        <w:tc>
          <w:tcPr>
            <w:tcW w:type="dxa" w:w="4238"/>
          </w:tcPr>
          <w:p>
            <w:r>
              <w:rPr/>
              <w:t>投标文件未含有采购人不能接受的附加条件。</w:t>
            </w:r>
          </w:p>
        </w:tc>
      </w:tr>
      <w:tr>
        <w:tc>
          <w:tcPr>
            <w:tcW w:type="dxa" w:w="890"/>
          </w:tcPr>
          <w:p>
            <w:r>
              <w:rPr/>
              <w:t>8</w:t>
            </w:r>
          </w:p>
        </w:tc>
        <w:tc>
          <w:tcPr>
            <w:tcW w:type="dxa" w:w="3178"/>
          </w:tcPr>
          <w:p>
            <w:r>
              <w:rPr/>
              <w:t>无效情形</w:t>
            </w:r>
          </w:p>
        </w:tc>
        <w:tc>
          <w:tcPr>
            <w:tcW w:type="dxa" w:w="4238"/>
          </w:tcPr>
          <w:p>
            <w:r>
              <w:rPr/>
              <w:t>投标文件中未有法律、法规和招标文件规定的其他无效情形。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采购包1(广东省无线电移动监测站能力提升项目-东莞市移动监测站升级改造):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技术响应情况 (8.0分)</w:t>
            </w:r>
          </w:p>
        </w:tc>
        <w:tc>
          <w:tcPr>
            <w:tcW w:type="dxa" w:w="5076"/>
          </w:tcPr>
          <w:p>
            <w:pPr>
              <w:jc w:val="left"/>
            </w:pPr>
            <w:r>
              <w:rPr/>
              <w:t>对采购需求书中带“▲”技术要求条款的技术指标进行响应，若全部响应为满足或优于的得8分，不满足或者不响应的每一个扣1分，扣完为止，本项最低得0分。 注：对采购需求中的带“▲”技术指标条款，须提供第三方检测机构出具的检测报告复印件并加盖投标人公章，否则不得分。</w:t>
            </w:r>
          </w:p>
        </w:tc>
      </w:tr>
      <w:tr>
        <w:tc>
          <w:tcPr>
            <w:tcW w:type="dxa" w:w="922"/>
            <w:gridSpan w:val="2"/>
            <w:vMerge/>
          </w:tcPr>
          <w:p/>
        </w:tc>
        <w:tc>
          <w:tcPr>
            <w:tcW w:type="dxa" w:w="2307"/>
          </w:tcPr>
          <w:p>
            <w:pPr>
              <w:jc w:val="left"/>
            </w:pPr>
            <w:r>
              <w:rPr/>
              <w:t>现场演示1 (5.0分)</w:t>
            </w:r>
          </w:p>
        </w:tc>
        <w:tc>
          <w:tcPr>
            <w:tcW w:type="dxa" w:w="5076"/>
          </w:tcPr>
          <w:p>
            <w:pPr>
              <w:jc w:val="left"/>
            </w:pPr>
            <w:r>
              <w:rPr/>
              <w:t>投标人按照招标文件中“现场演示”中的规定和要求进行演示，评标专家组根据现场演示结果，对每项演示内容给出相应分数；该项演示内容不满足或未演示的，该项不得分。 1、演示无线电监测软件功能（5分）：（1）快速监测：扫描一段自定义频率范围的频谱数据，通过样本或突发门限进行信号电平比对，可以手动或自动使用超过样本或门限的异常信号频率启动窄带信号监测或测向，并能对异常信号进行黑白名单分类筛选；可以设置异常信号窄带监测的驻留时长，自动保存异常信号的实时监测数据，并可以在扫描比对完成后进行异常信号的窄带监测数据回放；可以将比对异常信号数据导出文件保存。满足得2分，不满足不得分。（2）电子地图：可支持地图多个图源引擎，省级图源图层至少可达到15层，市级图源图层至少可达到18层，地图图源引擎均可显示二维地图信息和混和影像信息。满足得1分，不满足不得分。（3）航空干扰分析：可将空管等部门提供的航班GPS干扰数据，导入到软件系统中进行管理和分析，可以查询出航空干扰数据；在地图中显示查询的航班的运行轨迹及航班信息，可使用不同颜色的轨迹线展示航班的飞行状态，统计处于不同飞行状态（进近、爬升、下降等）的航班数量；可以通过展示航班轨迹中垂线，并且使用热力图的方式展示所有中垂线的交点，定位出干扰源的可能位置；可以按曲线图的方式统计不同时间条件下的航班架次和干扰持续时间。满足得2分，不满足不得分。</w:t>
            </w:r>
          </w:p>
        </w:tc>
      </w:tr>
      <w:tr>
        <w:tc>
          <w:tcPr>
            <w:tcW w:type="dxa" w:w="922"/>
            <w:gridSpan w:val="2"/>
            <w:vMerge/>
          </w:tcPr>
          <w:p/>
        </w:tc>
        <w:tc>
          <w:tcPr>
            <w:tcW w:type="dxa" w:w="2307"/>
          </w:tcPr>
          <w:p>
            <w:pPr>
              <w:jc w:val="left"/>
            </w:pPr>
            <w:r>
              <w:rPr/>
              <w:t>现场演示2 (4.0分)</w:t>
            </w:r>
          </w:p>
        </w:tc>
        <w:tc>
          <w:tcPr>
            <w:tcW w:type="dxa" w:w="5076"/>
          </w:tcPr>
          <w:p>
            <w:pPr>
              <w:jc w:val="left"/>
            </w:pPr>
            <w:r>
              <w:rPr/>
              <w:t>投标人按照招标文件中“现场演示”中的规定和要求进行演示，评标专家组根据现场演示结果，对每项演示内容给出相应分数；该项演示内容不满足或未演示的，该项不得分。 2、演示测向技术能力（4分）：（1）宽带微弱信号测向能力：演示宽带测向时能够对淹没在噪声中的宽带微弱信号（信号带宽至少设置为测向带宽的0.2倍）进行可靠测向。满足得2分，不满足不得分。（2）空间谱分离测向能力：演示中频测向时可对不同角度发射的3个同频混叠信号（对讲机或信号源发射）进行分离测向。满足得2分，不满足不得分。</w:t>
            </w:r>
          </w:p>
        </w:tc>
      </w:tr>
      <w:tr>
        <w:tc>
          <w:tcPr>
            <w:tcW w:type="dxa" w:w="922"/>
            <w:gridSpan w:val="2"/>
            <w:vMerge/>
          </w:tcPr>
          <w:p/>
        </w:tc>
        <w:tc>
          <w:tcPr>
            <w:tcW w:type="dxa" w:w="2307"/>
          </w:tcPr>
          <w:p>
            <w:pPr>
              <w:jc w:val="left"/>
            </w:pPr>
            <w:r>
              <w:rPr/>
              <w:t>现场演示3 (6.0分)</w:t>
            </w:r>
          </w:p>
        </w:tc>
        <w:tc>
          <w:tcPr>
            <w:tcW w:type="dxa" w:w="5076"/>
          </w:tcPr>
          <w:p>
            <w:pPr>
              <w:jc w:val="left"/>
            </w:pPr>
            <w:r>
              <w:rPr/>
              <w:t>投标人按照招标文件中“现场演示”中的规定和要求进行演示，评标专家组根据现场演示结果，对每项演示内容给出相应分数；该项演示内容不满足或未演示的，该项不得分。 3、演示监测技术能力（6分）：（1）高速数字扫描：演示监测接收机的扫描速度(25kHz步进)可达到1500GHz/s，根据国家相关标准中规定的方法进行测试演示。满足得2分，不满足不得分。（2）突发信号截获：演示监测接收机的可以全概率截获5us的单个脉冲信号。满足得2分，不满足不得分。（3）多信道分析：演示可同时对160MHz实时中频带宽的宽带中频频谱进行分析、对带内64路窄带信号同步进行频谱分析、ITU测量和解调。满足得2分，不满足不得分。</w:t>
            </w:r>
          </w:p>
        </w:tc>
      </w:tr>
      <w:tr>
        <w:tc>
          <w:tcPr>
            <w:tcW w:type="dxa" w:w="922"/>
            <w:gridSpan w:val="2"/>
            <w:vMerge/>
          </w:tcPr>
          <w:p/>
        </w:tc>
        <w:tc>
          <w:tcPr>
            <w:tcW w:type="dxa" w:w="2307"/>
          </w:tcPr>
          <w:p>
            <w:pPr>
              <w:jc w:val="left"/>
            </w:pPr>
            <w:r>
              <w:rPr/>
              <w:t>现场演示4 (6.0分)</w:t>
            </w:r>
          </w:p>
        </w:tc>
        <w:tc>
          <w:tcPr>
            <w:tcW w:type="dxa" w:w="5076"/>
          </w:tcPr>
          <w:p>
            <w:pPr>
              <w:jc w:val="left"/>
            </w:pPr>
            <w:r>
              <w:rPr/>
              <w:t>投标人按照招标文件中“现场演示”中的规定和要求进行演示，评标专家组根据现场演示结果，对每项演示内容给出相应分数；该项演示内容不满足或未演示的，该项不得分。 4、演示电磁信息服务能力（6分）：（1）远程接入和操控：演示可使用手机或平板通过电磁信息服务及配套的APP软件对监测测向设备进行无线操控，APP软件可运行中频分析、频段扫描、中频测向（空间谱测向）等功能，具有频谱、示向度、电子地图等相关信息展示，具有频谱分析系列工具、信号分析系列工具。满足得3分，不满足不得分。（2）考场压制情况监督：演示可通过电磁信息服务设备连接现有考场压制设备（采购人现场提供），通过压制监督APP软件可以查看压制设备捕获压制情况，包括捕获信号的信息、压制信号波形、预警语音播报等，同时能够取样记录疑似信号频谱及压制信号频谱，生成捕获工作日志，压制监督报告及取样信息并分发共享这些信息。满足得3分，不满足不得分。</w:t>
            </w:r>
          </w:p>
        </w:tc>
      </w:tr>
      <w:tr>
        <w:tc>
          <w:tcPr>
            <w:tcW w:type="dxa" w:w="922"/>
            <w:gridSpan w:val="2"/>
            <w:vMerge/>
          </w:tcPr>
          <w:p/>
        </w:tc>
        <w:tc>
          <w:tcPr>
            <w:tcW w:type="dxa" w:w="2307"/>
          </w:tcPr>
          <w:p>
            <w:pPr>
              <w:jc w:val="left"/>
            </w:pPr>
            <w:r>
              <w:rPr/>
              <w:t>项目实施方案 (12.0分)</w:t>
            </w:r>
            <w:r>
              <w:rPr/>
              <w:t>，（等次分值选择：</w:t>
            </w:r>
            <w:r>
              <w:rPr/>
              <w:t>0.0;</w:t>
            </w:r>
            <w:r>
              <w:rPr/>
              <w:t>1.0;</w:t>
            </w:r>
            <w:r>
              <w:rPr/>
              <w:t>4.0;</w:t>
            </w:r>
            <w:r>
              <w:rPr/>
              <w:t>8.0;</w:t>
            </w:r>
            <w:r>
              <w:rPr/>
              <w:t>12.0;</w:t>
            </w:r>
            <w:r>
              <w:rPr/>
              <w:t>）</w:t>
            </w:r>
          </w:p>
        </w:tc>
        <w:tc>
          <w:tcPr>
            <w:tcW w:type="dxa" w:w="5076"/>
          </w:tcPr>
          <w:p>
            <w:pPr>
              <w:jc w:val="left"/>
            </w:pPr>
            <w:r>
              <w:rPr/>
              <w:t>根据投标人提供的实施方案（包括但不限于进度及供货安排、安装调试及测试措施等）进行评审： 进度及供货安排描述清晰明确、有条理，安装流程规范，安装调试及测试措施充分完善，得12分； 进度及供货安排描述清晰，安装流程规范，有安装调试及测试措施，得8分； 有进度及供货安排，有安装调试及测试措施，得4分；  有进度及供货安排，但缺乏安装调试及测试措施，得1分；  不提供的不得分。</w:t>
            </w:r>
          </w:p>
        </w:tc>
      </w:tr>
      <w:tr>
        <w:tc>
          <w:tcPr>
            <w:tcW w:type="dxa" w:w="922"/>
            <w:gridSpan w:val="2"/>
            <w:vMerge/>
          </w:tcPr>
          <w:p/>
        </w:tc>
        <w:tc>
          <w:tcPr>
            <w:tcW w:type="dxa" w:w="2307"/>
          </w:tcPr>
          <w:p>
            <w:pPr>
              <w:jc w:val="left"/>
            </w:pPr>
            <w:r>
              <w:rPr/>
              <w:t>技术培训方案 (6.0分)</w:t>
            </w:r>
            <w:r>
              <w:rPr/>
              <w:t>，（等次分值选择：</w:t>
            </w:r>
            <w:r>
              <w:rPr/>
              <w:t>0.0;</w:t>
            </w:r>
            <w:r>
              <w:rPr/>
              <w:t>1.0;</w:t>
            </w:r>
            <w:r>
              <w:rPr/>
              <w:t>3.0;</w:t>
            </w:r>
            <w:r>
              <w:rPr/>
              <w:t>6.0;</w:t>
            </w:r>
            <w:r>
              <w:rPr/>
              <w:t>）</w:t>
            </w:r>
          </w:p>
        </w:tc>
        <w:tc>
          <w:tcPr>
            <w:tcW w:type="dxa" w:w="5076"/>
          </w:tcPr>
          <w:p>
            <w:pPr>
              <w:jc w:val="left"/>
            </w:pPr>
            <w:r>
              <w:rPr/>
              <w:t>根据投标人所提供的项目技术培训方案（包括但不限于培训流程、安装方法、操作方案等）进行评审： 技术培训方案具有针对性，根据采购文件要求提出详细具体的培训流程、安装方法、操作方案，得6分； 有技术培训方案，基本能符合采购文件要求，有提出培训流程、安装方法、操作方案，得3分；  有技术培训方案，但缺少培训流程或安装方法或操作方案的得1分； 不提供的不得分。</w:t>
            </w:r>
          </w:p>
        </w:tc>
      </w:tr>
      <w:tr>
        <w:tc>
          <w:tcPr>
            <w:tcW w:type="dxa" w:w="922"/>
            <w:gridSpan w:val="2"/>
            <w:vMerge/>
          </w:tcPr>
          <w:p/>
        </w:tc>
        <w:tc>
          <w:tcPr>
            <w:tcW w:type="dxa" w:w="2307"/>
          </w:tcPr>
          <w:p>
            <w:pPr>
              <w:jc w:val="left"/>
            </w:pPr>
            <w:r>
              <w:rPr/>
              <w:t>质量保障措施 (8.0分)</w:t>
            </w:r>
            <w:r>
              <w:rPr/>
              <w:t>，（等次分值选择：</w:t>
            </w:r>
            <w:r>
              <w:rPr/>
              <w:t>0.0;</w:t>
            </w:r>
            <w:r>
              <w:rPr/>
              <w:t>1.0;</w:t>
            </w:r>
            <w:r>
              <w:rPr/>
              <w:t>4.0;</w:t>
            </w:r>
            <w:r>
              <w:rPr/>
              <w:t>8.0;</w:t>
            </w:r>
            <w:r>
              <w:rPr/>
              <w:t>）</w:t>
            </w:r>
          </w:p>
        </w:tc>
        <w:tc>
          <w:tcPr>
            <w:tcW w:type="dxa" w:w="5076"/>
          </w:tcPr>
          <w:p>
            <w:pPr>
              <w:jc w:val="left"/>
            </w:pPr>
            <w:r>
              <w:rPr/>
              <w:t>根据投标人的质量保障措施（包括但不限于保障体系及措施健全、合理性等）进行评审： 有健全的质量保障体系及措施且可行性强的，得8分； 有质量保障体系及措施且基本可行的，得4分； 有质量保障体系及措施但缺乏可行性的，得1分； 不提供的不得分。</w:t>
            </w:r>
          </w:p>
        </w:tc>
      </w:tr>
      <w:tr>
        <w:tc>
          <w:tcPr>
            <w:tcW w:type="dxa" w:w="922"/>
            <w:gridSpan w:val="2"/>
            <w:vMerge w:val="restart"/>
          </w:tcPr>
          <w:p>
            <w:pPr>
              <w:jc w:val="center"/>
            </w:pPr>
            <w:r>
              <w:rPr/>
              <w:t>商务部分</w:t>
            </w:r>
          </w:p>
        </w:tc>
        <w:tc>
          <w:tcPr>
            <w:tcW w:type="dxa" w:w="2307"/>
          </w:tcPr>
          <w:p>
            <w:pPr>
              <w:jc w:val="left"/>
            </w:pPr>
            <w:r>
              <w:rPr/>
              <w:t>体系认证 (2.0分)</w:t>
            </w:r>
          </w:p>
        </w:tc>
        <w:tc>
          <w:tcPr>
            <w:tcW w:type="dxa" w:w="5076"/>
          </w:tcPr>
          <w:p>
            <w:pPr>
              <w:jc w:val="left"/>
            </w:pPr>
            <w:r>
              <w:rPr/>
              <w:t>投标人具有由国家认监委批准设立的认证机构颁发并在有效期内的质量管理体系认证的，得2分，最高得2分。 注：须提供有效证书复印件并加盖投标人公章，不符合以上要求的不得分。</w:t>
            </w:r>
          </w:p>
        </w:tc>
      </w:tr>
      <w:tr>
        <w:tc>
          <w:tcPr>
            <w:tcW w:type="dxa" w:w="922"/>
            <w:gridSpan w:val="2"/>
            <w:vMerge/>
          </w:tcPr>
          <w:p/>
        </w:tc>
        <w:tc>
          <w:tcPr>
            <w:tcW w:type="dxa" w:w="2307"/>
          </w:tcPr>
          <w:p>
            <w:pPr>
              <w:jc w:val="left"/>
            </w:pPr>
            <w:r>
              <w:rPr/>
              <w:t>项目业绩 (4.0分)</w:t>
            </w:r>
          </w:p>
        </w:tc>
        <w:tc>
          <w:tcPr>
            <w:tcW w:type="dxa" w:w="5076"/>
          </w:tcPr>
          <w:p>
            <w:pPr>
              <w:jc w:val="left"/>
            </w:pPr>
            <w:r>
              <w:rPr/>
              <w:t>投标人具有无线电技术（或频谱分析或干扰检测）类项目业绩的，每提供一个合同业绩得1分，本项最高得4分。 注：须提供合同复印件加盖投标人公章，否则不得分。</w:t>
            </w:r>
          </w:p>
        </w:tc>
      </w:tr>
      <w:tr>
        <w:tc>
          <w:tcPr>
            <w:tcW w:type="dxa" w:w="922"/>
            <w:gridSpan w:val="2"/>
            <w:vMerge/>
          </w:tcPr>
          <w:p/>
        </w:tc>
        <w:tc>
          <w:tcPr>
            <w:tcW w:type="dxa" w:w="2307"/>
          </w:tcPr>
          <w:p>
            <w:pPr>
              <w:jc w:val="left"/>
            </w:pPr>
            <w:r>
              <w:rPr/>
              <w:t>售后服务方案 (9.0分)</w:t>
            </w:r>
            <w:r>
              <w:rPr/>
              <w:t>，（等次分值选择：</w:t>
            </w:r>
            <w:r>
              <w:rPr/>
              <w:t>0.0;</w:t>
            </w:r>
            <w:r>
              <w:rPr/>
              <w:t>1.0;</w:t>
            </w:r>
            <w:r>
              <w:rPr/>
              <w:t>5.0;</w:t>
            </w:r>
            <w:r>
              <w:rPr/>
              <w:t>9.0;</w:t>
            </w:r>
            <w:r>
              <w:rPr/>
              <w:t>）</w:t>
            </w:r>
          </w:p>
        </w:tc>
        <w:tc>
          <w:tcPr>
            <w:tcW w:type="dxa" w:w="5076"/>
          </w:tcPr>
          <w:p>
            <w:pPr>
              <w:jc w:val="left"/>
            </w:pPr>
            <w:r>
              <w:rPr/>
              <w:t>根据投标人所提供的售后服务方案中售后服务承诺、服务计划、维修响应时间、应急处理方式等进行评审：  售后服务方案内容完整详细，维修响应时间及时，应急处理措施到位，完全满足采购文件要求的，得9分； 售后服务方案内容较完整详细，维修响应速度较快，应急处理措施一般， 基本满足采购文件要求的，得5分；  售后服务方案内容简单，响应速度不及时，应急处理措施简单，采购文件响应度较低的，得1分；  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 xml:space="preserve"> </w:t>
      </w:r>
    </w:p>
    <w:p>
      <w:pPr>
        <w:jc w:val="center"/>
      </w:pPr>
      <w:r>
        <w:rPr>
          <w:rFonts w:ascii="宋体" w:hAnsi="宋体" w:cs="宋体" w:eastAsia="宋体"/>
          <w:b/>
          <w:sz w:val="48"/>
        </w:rPr>
        <w:t>广东省政府采购</w:t>
      </w:r>
    </w:p>
    <w:p>
      <w:pPr>
        <w:jc w:val="both"/>
      </w:pPr>
      <w:r>
        <w:rPr>
          <w:rFonts w:ascii="宋体" w:hAnsi="宋体" w:cs="宋体" w:eastAsia="宋体"/>
          <w:b/>
          <w:sz w:val="48"/>
        </w:rPr>
        <w:t xml:space="preserve"> </w:t>
      </w:r>
    </w:p>
    <w:p>
      <w:pPr>
        <w:jc w:val="center"/>
      </w:pPr>
      <w:r>
        <w:rPr>
          <w:rFonts w:ascii="宋体" w:hAnsi="宋体" w:cs="宋体" w:eastAsia="宋体"/>
          <w:b/>
          <w:sz w:val="48"/>
        </w:rPr>
        <w:t>合　同　书</w:t>
      </w:r>
    </w:p>
    <w:p>
      <w:pPr>
        <w:shd w:fill="FFFFFF"/>
        <w:jc w:val="center"/>
      </w:pPr>
      <w:r>
        <w:br/>
      </w:r>
      <w:r>
        <w:br/>
      </w:r>
      <w:r>
        <w:br/>
      </w:r>
      <w:r>
        <w:br/>
      </w:r>
      <w:r>
        <w:br/>
      </w: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采购计划编号：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项目编号：</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shd w:fill="FFFFFF"/>
        <w:jc w:val="both"/>
      </w:pPr>
      <w:r>
        <w:rPr>
          <w:rFonts w:ascii="helvetica" w:hAnsi="helvetica" w:cs="helvetica" w:eastAsia="helvetica"/>
          <w:color w:val="222222"/>
          <w:sz w:val="27"/>
        </w:rPr>
        <w:t xml:space="preserve"> </w:t>
      </w:r>
    </w:p>
    <w:p>
      <w:pPr>
        <w:shd w:fill="FFFFFF"/>
        <w:jc w:val="center"/>
      </w:pPr>
      <w:r>
        <w:rPr>
          <w:rFonts w:ascii="宋体" w:hAnsi="宋体" w:cs="宋体" w:eastAsia="宋体"/>
          <w:color w:val="222222"/>
          <w:sz w:val="28"/>
        </w:rPr>
        <w:t>项目名称：</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r>
        <w:rPr>
          <w:rFonts w:ascii="helvetica" w:hAnsi="helvetica" w:cs="helvetica" w:eastAsia="helvetica"/>
          <w:color w:val="222222"/>
          <w:sz w:val="27"/>
        </w:rPr>
        <w:t xml:space="preserve">  </w:t>
      </w:r>
    </w:p>
    <w:p>
      <w:pPr>
        <w:jc w:val="center"/>
      </w:pPr>
      <w:r>
        <w:br/>
      </w:r>
    </w:p>
    <w:p>
      <w:pPr>
        <w:jc w:val="center"/>
      </w:pPr>
      <w:r>
        <w:br/>
      </w:r>
    </w:p>
    <w:p>
      <w:pPr>
        <w:jc w:val="center"/>
      </w:pPr>
      <w:r>
        <w:br/>
      </w:r>
    </w:p>
    <w:p>
      <w:pPr>
        <w:jc w:val="center"/>
      </w:pPr>
      <w:r>
        <w:br/>
      </w:r>
    </w:p>
    <w:p>
      <w:pPr>
        <w:jc w:val="both"/>
      </w:pPr>
      <w:r>
        <w:rPr>
          <w:rFonts w:ascii="宋体" w:hAnsi="宋体" w:cs="宋体" w:eastAsia="宋体"/>
          <w:b/>
          <w:sz w:val="27"/>
        </w:rPr>
        <w:t>甲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b/>
          <w:sz w:val="27"/>
        </w:rPr>
        <w:t>乙　　方：</w:t>
      </w:r>
      <w:r>
        <w:rPr>
          <w:rFonts w:ascii="宋体" w:hAnsi="宋体" w:cs="宋体" w:eastAsia="宋体"/>
          <w:b/>
          <w:sz w:val="27"/>
        </w:rPr>
        <w:t>　　　　　</w:t>
      </w:r>
    </w:p>
    <w:p>
      <w:pPr>
        <w:jc w:val="both"/>
      </w:pPr>
      <w:r>
        <w:rPr>
          <w:rFonts w:ascii="宋体" w:hAnsi="宋体" w:cs="宋体" w:eastAsia="宋体"/>
          <w:sz w:val="27"/>
        </w:rPr>
        <w:t>电　　话：</w:t>
      </w:r>
      <w:r>
        <w:rPr>
          <w:rFonts w:ascii="宋体" w:hAnsi="宋体" w:cs="宋体" w:eastAsia="宋体"/>
          <w:b/>
          <w:sz w:val="27"/>
        </w:rPr>
        <w:t>　　　　</w:t>
      </w:r>
      <w:r>
        <w:rPr>
          <w:rFonts w:ascii="宋体" w:hAnsi="宋体" w:cs="宋体" w:eastAsia="宋体"/>
          <w:sz w:val="27"/>
        </w:rPr>
        <w:t>　　传　　真：</w:t>
      </w:r>
      <w:r>
        <w:rPr>
          <w:rFonts w:ascii="宋体" w:hAnsi="宋体" w:cs="宋体" w:eastAsia="宋体"/>
          <w:b/>
          <w:sz w:val="27"/>
        </w:rPr>
        <w:t>　　　</w:t>
      </w:r>
      <w:r>
        <w:rPr>
          <w:rFonts w:ascii="宋体" w:hAnsi="宋体" w:cs="宋体" w:eastAsia="宋体"/>
          <w:sz w:val="27"/>
        </w:rPr>
        <w:t>　　地　　址：</w:t>
      </w:r>
      <w:r>
        <w:rPr>
          <w:rFonts w:ascii="宋体" w:hAnsi="宋体" w:cs="宋体" w:eastAsia="宋体"/>
          <w:b/>
          <w:sz w:val="27"/>
        </w:rPr>
        <w:t>　　　</w:t>
      </w:r>
    </w:p>
    <w:p>
      <w:pPr>
        <w:jc w:val="both"/>
      </w:pPr>
      <w:r>
        <w:rPr>
          <w:rFonts w:ascii="宋体" w:hAnsi="宋体" w:cs="宋体" w:eastAsia="宋体"/>
          <w:sz w:val="27"/>
        </w:rPr>
        <w:t xml:space="preserve"> </w:t>
      </w:r>
    </w:p>
    <w:p>
      <w:pPr>
        <w:ind w:firstLine="404"/>
        <w:jc w:val="both"/>
      </w:pPr>
      <w:r>
        <w:rPr>
          <w:rFonts w:ascii="宋体" w:hAnsi="宋体" w:cs="宋体" w:eastAsia="宋体"/>
          <w:sz w:val="27"/>
        </w:rPr>
        <w:t>根据</w:t>
      </w:r>
      <w:r>
        <w:rPr>
          <w:rFonts w:ascii="宋体" w:hAnsi="宋体" w:cs="宋体" w:eastAsia="宋体"/>
          <w:sz w:val="27"/>
        </w:rPr>
        <w:t xml:space="preserve">             项目</w:t>
      </w:r>
      <w:r>
        <w:rPr>
          <w:rFonts w:ascii="宋体" w:hAnsi="宋体" w:cs="宋体" w:eastAsia="宋体"/>
          <w:sz w:val="27"/>
        </w:rPr>
        <w:t>的采购结果，按照《中华人民共和国政府采购法》、《中华人民共和国民法典(合同编)》的规定，</w:t>
      </w:r>
      <w:r>
        <w:rPr>
          <w:rFonts w:ascii="宋体" w:hAnsi="宋体" w:cs="宋体" w:eastAsia="宋体"/>
          <w:sz w:val="27"/>
        </w:rPr>
        <w:t>经双方协商，</w:t>
      </w:r>
      <w:r>
        <w:rPr>
          <w:rFonts w:ascii="宋体" w:hAnsi="宋体" w:cs="宋体" w:eastAsia="宋体"/>
          <w:sz w:val="27"/>
        </w:rPr>
        <w:t>本着平等互利和诚实信用的原则，</w:t>
      </w:r>
      <w:r>
        <w:rPr>
          <w:rFonts w:ascii="宋体" w:hAnsi="宋体" w:cs="宋体" w:eastAsia="宋体"/>
          <w:sz w:val="27"/>
        </w:rPr>
        <w:t>一致同意签订本合同如下。</w:t>
      </w:r>
    </w:p>
    <w:p>
      <w:pPr>
        <w:jc w:val="both"/>
      </w:pPr>
      <w:r>
        <w:rPr>
          <w:rFonts w:ascii="宋体" w:hAnsi="宋体" w:cs="宋体" w:eastAsia="宋体"/>
          <w:b/>
          <w:sz w:val="27"/>
        </w:rPr>
        <w:t>一、</w:t>
      </w:r>
      <w:r>
        <w:rPr>
          <w:rFonts w:ascii="宋体" w:hAnsi="宋体" w:cs="宋体" w:eastAsia="宋体"/>
          <w:b/>
          <w:sz w:val="27"/>
        </w:rPr>
        <w:t>货物内容</w:t>
      </w:r>
    </w:p>
    <w:p>
      <w:pPr>
        <w:jc w:val="center"/>
      </w:pPr>
    </w:p>
    <w:tbl>
      <w:tblPr>
        <w:tblW w:w="0" w:type="auto"/>
        <w:tblBorders>
          <w:top w:val="single"/>
          <w:left w:val="single"/>
          <w:bottom w:val="single"/>
          <w:right w:val="single"/>
          <w:insideH w:val="single"/>
          <w:insideV w:val="single"/>
        </w:tblBorders>
      </w:tblPr>
      <w:tblGrid>
        <w:gridCol w:w="696"/>
        <w:gridCol w:w="3516"/>
        <w:gridCol w:w="696"/>
        <w:gridCol w:w="470"/>
        <w:gridCol w:w="470"/>
        <w:gridCol w:w="705"/>
        <w:gridCol w:w="705"/>
      </w:tblGrid>
      <w:tr>
        <w:tc>
          <w:tcPr>
            <w:tcW w:type="dxa" w:w="696"/>
            <w:tcBorders>
              <w:top w:val="single" w:color="CCCCCC" w:sz="4"/>
              <w:left w:val="single" w:color="CCCCCC" w:sz="4"/>
              <w:bottom w:val="single" w:color="CCCCCC" w:sz="8"/>
              <w:right w:val="single" w:color="CCCCCC" w:sz="4"/>
            </w:tcBorders>
            <w:vAlign w:val="center"/>
          </w:tcPr>
          <w:p>
            <w:pPr>
              <w:jc w:val="both"/>
            </w:pPr>
            <w:r>
              <w:rPr>
                <w:rFonts w:ascii="宋体" w:hAnsi="宋体" w:cs="宋体" w:eastAsia="宋体"/>
                <w:sz w:val="24"/>
              </w:rPr>
              <w:t>名称</w:t>
            </w:r>
          </w:p>
        </w:tc>
        <w:tc>
          <w:tcPr>
            <w:tcW w:type="dxa" w:w="3516"/>
            <w:tcBorders>
              <w:top w:val="single" w:color="CCCCCC" w:sz="4"/>
              <w:bottom w:val="single" w:color="CCCCCC" w:sz="8"/>
              <w:right w:val="single" w:color="CCCCCC" w:sz="4"/>
            </w:tcBorders>
            <w:vAlign w:val="center"/>
          </w:tcPr>
          <w:p>
            <w:pPr>
              <w:jc w:val="center"/>
            </w:pPr>
            <w:r>
              <w:rPr>
                <w:rFonts w:ascii="宋体" w:hAnsi="宋体" w:cs="宋体" w:eastAsia="宋体"/>
                <w:sz w:val="24"/>
              </w:rPr>
              <w:t>品牌、规格、标准/主要服务内容</w:t>
            </w:r>
            <w:r>
              <w:rPr>
                <w:rFonts w:ascii="宋体" w:hAnsi="宋体" w:cs="宋体" w:eastAsia="宋体"/>
                <w:sz w:val="24"/>
              </w:rPr>
              <w:t xml:space="preserve"> </w:t>
            </w:r>
          </w:p>
        </w:tc>
        <w:tc>
          <w:tcPr>
            <w:tcW w:type="dxa" w:w="696"/>
            <w:tcBorders>
              <w:top w:val="single" w:color="CCCCCC" w:sz="4"/>
              <w:bottom w:val="single" w:color="CCCCCC" w:sz="8"/>
              <w:right w:val="single" w:color="CCCCCC" w:sz="4"/>
            </w:tcBorders>
            <w:vAlign w:val="center"/>
          </w:tcPr>
          <w:p>
            <w:pPr>
              <w:jc w:val="both"/>
            </w:pPr>
            <w:r>
              <w:rPr>
                <w:rFonts w:ascii="宋体" w:hAnsi="宋体" w:cs="宋体" w:eastAsia="宋体"/>
                <w:sz w:val="24"/>
              </w:rPr>
              <w:t>产地</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数量</w:t>
            </w:r>
          </w:p>
        </w:tc>
        <w:tc>
          <w:tcPr>
            <w:tcW w:type="dxa" w:w="470"/>
            <w:tcBorders>
              <w:top w:val="single" w:color="CCCCCC" w:sz="4"/>
              <w:bottom w:val="single" w:color="CCCCCC" w:sz="8"/>
              <w:right w:val="single" w:color="CCCCCC" w:sz="4"/>
            </w:tcBorders>
            <w:vAlign w:val="center"/>
          </w:tcPr>
          <w:p>
            <w:pPr>
              <w:jc w:val="center"/>
            </w:pPr>
            <w:r>
              <w:rPr>
                <w:rFonts w:ascii="宋体" w:hAnsi="宋体" w:cs="宋体" w:eastAsia="宋体"/>
                <w:sz w:val="24"/>
              </w:rPr>
              <w:t>单位</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单价</w:t>
            </w:r>
          </w:p>
          <w:p>
            <w:pPr>
              <w:jc w:val="center"/>
            </w:pPr>
            <w:r>
              <w:rPr>
                <w:rFonts w:ascii="宋体" w:hAnsi="宋体" w:cs="宋体" w:eastAsia="宋体"/>
                <w:sz w:val="24"/>
              </w:rPr>
              <w:t>（元）</w:t>
            </w:r>
          </w:p>
        </w:tc>
        <w:tc>
          <w:tcPr>
            <w:tcW w:type="dxa" w:w="705"/>
            <w:tcBorders>
              <w:top w:val="single" w:color="CCCCCC" w:sz="4"/>
              <w:bottom w:val="single" w:color="CCCCCC" w:sz="8"/>
              <w:right w:val="single" w:color="CCCCCC" w:sz="4"/>
            </w:tcBorders>
            <w:vAlign w:val="center"/>
          </w:tcPr>
          <w:p>
            <w:pPr>
              <w:jc w:val="center"/>
            </w:pPr>
            <w:r>
              <w:rPr>
                <w:rFonts w:ascii="宋体" w:hAnsi="宋体" w:cs="宋体" w:eastAsia="宋体"/>
                <w:sz w:val="24"/>
              </w:rPr>
              <w:t>金额</w:t>
            </w:r>
          </w:p>
          <w:p>
            <w:pPr>
              <w:jc w:val="center"/>
            </w:pPr>
            <w:r>
              <w:rPr>
                <w:rFonts w:ascii="宋体" w:hAnsi="宋体" w:cs="宋体" w:eastAsia="宋体"/>
                <w:sz w:val="24"/>
              </w:rPr>
              <w:t>（元）</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351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r>
              <w:rPr>
                <w:rFonts w:ascii="宋体" w:hAnsi="宋体" w:cs="宋体" w:eastAsia="宋体"/>
                <w:sz w:val="24"/>
              </w:rPr>
              <w:t>**</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96"/>
            <w:tcBorders>
              <w:left w:val="single" w:color="CCCCCC" w:sz="4"/>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351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696"/>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470"/>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c>
          <w:tcPr>
            <w:tcW w:type="dxa" w:w="705"/>
            <w:tcBorders>
              <w:bottom w:val="single" w:color="CCCCCC" w:sz="4"/>
              <w:right w:val="single" w:color="CCCCCC" w:sz="4"/>
            </w:tcBorders>
            <w:vAlign w:val="center"/>
          </w:tcPr>
          <w:p>
            <w:pPr>
              <w:jc w:val="center"/>
            </w:pPr>
            <w:r>
              <w:rPr>
                <w:rFonts w:ascii="宋体" w:hAnsi="宋体" w:cs="宋体" w:eastAsia="宋体"/>
                <w:sz w:val="24"/>
              </w:rPr>
              <w:t xml:space="preserve"> </w:t>
            </w:r>
          </w:p>
        </w:tc>
      </w:tr>
      <w:tr>
        <w:tc>
          <w:tcPr>
            <w:tcW w:type="dxa" w:w="6553"/>
            <w:gridSpan w:val="6"/>
            <w:tcBorders>
              <w:left w:val="single" w:color="CCCCCC" w:sz="4"/>
              <w:bottom w:val="single" w:color="CCCCCC" w:sz="4"/>
              <w:right w:val="single" w:color="CCCCCC" w:sz="4"/>
            </w:tcBorders>
            <w:vAlign w:val="center"/>
          </w:tcPr>
          <w:p>
            <w:pPr>
              <w:jc w:val="center"/>
            </w:pPr>
            <w:r>
              <w:rPr>
                <w:rFonts w:ascii="宋体" w:hAnsi="宋体" w:cs="宋体" w:eastAsia="宋体"/>
                <w:sz w:val="24"/>
              </w:rPr>
              <w:t>合计：人民币大写：**元整</w:t>
            </w:r>
          </w:p>
        </w:tc>
        <w:tc>
          <w:tcPr>
            <w:tcW w:type="dxa" w:w="705"/>
            <w:tcBorders>
              <w:bottom w:val="single" w:color="CCCCCC" w:sz="4"/>
              <w:right w:val="single" w:color="CCCCCC" w:sz="4"/>
            </w:tcBorders>
            <w:vAlign w:val="center"/>
          </w:tcPr>
          <w:p>
            <w:pPr>
              <w:jc w:val="center"/>
            </w:pPr>
            <w:r>
              <w:rPr>
                <w:rFonts w:ascii="宋体" w:hAnsi="宋体" w:cs="宋体" w:eastAsia="宋体"/>
                <w:sz w:val="24"/>
              </w:rPr>
              <w:t>￥：**</w:t>
            </w:r>
          </w:p>
        </w:tc>
      </w:tr>
      <w:tr>
        <w:tc>
          <w:tcPr>
            <w:tcW w:type="dxa" w:w="696"/>
            <w:tcBorders>
              <w:top w:val="none" w:color="000000" w:sz="4"/>
              <w:left w:val="none" w:color="000000" w:sz="4"/>
              <w:bottom w:val="none" w:color="000000" w:sz="4"/>
              <w:right w:val="none" w:color="000000" w:sz="4"/>
            </w:tcBorders>
          </w:tcPr>
          <w:p/>
        </w:tc>
        <w:tc>
          <w:tcPr>
            <w:tcW w:type="dxa" w:w="3516"/>
            <w:tcBorders>
              <w:top w:val="none" w:color="000000" w:sz="4"/>
              <w:left w:val="none" w:color="000000" w:sz="4"/>
              <w:bottom w:val="none" w:color="000000" w:sz="4"/>
              <w:right w:val="none" w:color="000000" w:sz="4"/>
            </w:tcBorders>
          </w:tcPr>
          <w:p/>
        </w:tc>
        <w:tc>
          <w:tcPr>
            <w:tcW w:type="dxa" w:w="696"/>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470"/>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c>
          <w:tcPr>
            <w:tcW w:type="dxa" w:w="705"/>
            <w:tcBorders>
              <w:top w:val="none" w:color="000000" w:sz="4"/>
              <w:left w:val="none" w:color="000000" w:sz="4"/>
              <w:bottom w:val="none" w:color="000000" w:sz="4"/>
              <w:right w:val="none" w:color="000000" w:sz="4"/>
            </w:tcBorders>
          </w:tcPr>
          <w:p/>
        </w:tc>
      </w:tr>
    </w:tbl>
    <w:p>
      <w:pPr>
        <w:jc w:val="both"/>
      </w:pPr>
      <w:r>
        <w:rPr>
          <w:rFonts w:ascii="仿宋_gb2312" w:hAnsi="仿宋_gb2312" w:cs="仿宋_gb2312" w:eastAsia="仿宋_gb2312"/>
          <w:sz w:val="32"/>
        </w:rPr>
        <w:t xml:space="preserve"> </w:t>
      </w:r>
    </w:p>
    <w:p>
      <w:pPr>
        <w:ind w:firstLine="400"/>
        <w:jc w:val="both"/>
      </w:pPr>
      <w:r>
        <w:rPr>
          <w:rFonts w:ascii="宋体" w:hAnsi="宋体" w:cs="宋体" w:eastAsia="宋体"/>
          <w:sz w:val="27"/>
        </w:rPr>
        <w:t>合同总额包括乙方设计、安装、随机零配件、标配工具、运输保险、调试、培训、质保期服务、各项税费及合同实施过程中不可预见费用等。</w:t>
      </w:r>
    </w:p>
    <w:p>
      <w:pPr>
        <w:ind w:firstLine="400"/>
        <w:jc w:val="both"/>
      </w:pPr>
      <w:r>
        <w:rPr>
          <w:rFonts w:ascii="宋体" w:hAnsi="宋体" w:cs="宋体" w:eastAsia="宋体"/>
          <w:sz w:val="27"/>
        </w:rPr>
        <w:t>注：货物名称内容必须与投标文件中货物名称内容一致。</w:t>
      </w:r>
    </w:p>
    <w:p>
      <w:pPr>
        <w:jc w:val="both"/>
      </w:pPr>
      <w:r>
        <w:rPr>
          <w:rFonts w:ascii="宋体" w:hAnsi="宋体" w:cs="宋体" w:eastAsia="宋体"/>
          <w:b/>
          <w:sz w:val="27"/>
        </w:rPr>
        <w:t>二、</w:t>
      </w:r>
      <w:r>
        <w:rPr>
          <w:rFonts w:ascii="宋体" w:hAnsi="宋体" w:cs="宋体" w:eastAsia="宋体"/>
          <w:b/>
          <w:sz w:val="27"/>
        </w:rPr>
        <w:t>合同金额</w:t>
      </w:r>
    </w:p>
    <w:p>
      <w:pPr>
        <w:jc w:val="both"/>
      </w:pPr>
      <w:r>
        <w:rPr>
          <w:rFonts w:ascii="宋体" w:hAnsi="宋体" w:cs="宋体" w:eastAsia="宋体"/>
          <w:sz w:val="27"/>
        </w:rPr>
        <w:t>合同金额为（大写）：_________________元（￥_______________元）人民币。</w:t>
      </w:r>
    </w:p>
    <w:p>
      <w:pPr>
        <w:jc w:val="both"/>
      </w:pPr>
      <w:r>
        <w:rPr>
          <w:rFonts w:ascii="宋体" w:hAnsi="宋体" w:cs="宋体" w:eastAsia="宋体"/>
          <w:b/>
          <w:sz w:val="27"/>
        </w:rPr>
        <w:t>三、</w:t>
      </w:r>
      <w:r>
        <w:rPr>
          <w:rFonts w:ascii="宋体" w:hAnsi="宋体" w:cs="宋体" w:eastAsia="宋体"/>
          <w:b/>
          <w:sz w:val="27"/>
        </w:rPr>
        <w:t>设备要求</w:t>
      </w:r>
    </w:p>
    <w:p>
      <w:pPr>
        <w:jc w:val="both"/>
      </w:pPr>
      <w:r>
        <w:rPr>
          <w:rFonts w:ascii="宋体" w:hAnsi="宋体" w:cs="宋体" w:eastAsia="宋体"/>
          <w:sz w:val="27"/>
        </w:rPr>
        <w:t>货物为原制造商制造的全新产品，整机无污染，无侵权行为、表面无划损、无任何缺陷隐患，在中国境内可依常规安全合法使用。</w:t>
      </w:r>
    </w:p>
    <w:p>
      <w:pPr>
        <w:jc w:val="both"/>
      </w:pPr>
      <w:r>
        <w:rPr>
          <w:rFonts w:ascii="宋体" w:hAnsi="宋体" w:cs="宋体" w:eastAsia="宋体"/>
          <w:b/>
          <w:sz w:val="27"/>
        </w:rPr>
        <w:t>四、</w:t>
      </w:r>
      <w:r>
        <w:rPr>
          <w:rFonts w:ascii="宋体" w:hAnsi="宋体" w:cs="宋体" w:eastAsia="宋体"/>
          <w:b/>
          <w:sz w:val="27"/>
        </w:rPr>
        <w:t>交货期、交货方式及交货地点</w:t>
      </w:r>
    </w:p>
    <w:p>
      <w:pPr>
        <w:jc w:val="both"/>
      </w:pPr>
      <w:r>
        <w:rPr>
          <w:sz w:val="27"/>
        </w:rPr>
        <w:t xml:space="preserve">       </w:t>
      </w:r>
      <w:r>
        <w:rPr>
          <w:rFonts w:ascii="宋体" w:hAnsi="宋体" w:cs="宋体" w:eastAsia="宋体"/>
          <w:sz w:val="27"/>
        </w:rPr>
        <w:t>1.</w:t>
      </w:r>
      <w:r>
        <w:rPr>
          <w:rFonts w:ascii="宋体" w:hAnsi="宋体" w:cs="宋体" w:eastAsia="宋体"/>
          <w:sz w:val="27"/>
        </w:rPr>
        <w:t>交货期：</w:t>
      </w:r>
    </w:p>
    <w:p>
      <w:pPr>
        <w:jc w:val="both"/>
      </w:pPr>
      <w:r>
        <w:rPr>
          <w:sz w:val="27"/>
        </w:rPr>
        <w:t xml:space="preserve">       </w:t>
      </w:r>
      <w:r>
        <w:rPr>
          <w:rFonts w:ascii="宋体" w:hAnsi="宋体" w:cs="宋体" w:eastAsia="宋体"/>
          <w:sz w:val="27"/>
        </w:rPr>
        <w:t>2.</w:t>
      </w:r>
      <w:r>
        <w:rPr>
          <w:rFonts w:ascii="宋体" w:hAnsi="宋体" w:cs="宋体" w:eastAsia="宋体"/>
          <w:sz w:val="27"/>
        </w:rPr>
        <w:t>交货方式：</w:t>
      </w:r>
    </w:p>
    <w:p>
      <w:pPr>
        <w:jc w:val="both"/>
      </w:pPr>
      <w:r>
        <w:rPr>
          <w:sz w:val="27"/>
        </w:rPr>
        <w:t xml:space="preserve">       </w:t>
      </w:r>
      <w:r>
        <w:rPr>
          <w:rFonts w:ascii="宋体" w:hAnsi="宋体" w:cs="宋体" w:eastAsia="宋体"/>
          <w:sz w:val="27"/>
        </w:rPr>
        <w:t>3.</w:t>
      </w:r>
      <w:r>
        <w:rPr>
          <w:rFonts w:ascii="宋体" w:hAnsi="宋体" w:cs="宋体" w:eastAsia="宋体"/>
          <w:sz w:val="27"/>
        </w:rPr>
        <w:t>交货地点：</w:t>
      </w:r>
    </w:p>
    <w:p>
      <w:pPr>
        <w:jc w:val="both"/>
      </w:pPr>
      <w:r>
        <w:rPr>
          <w:rFonts w:ascii="宋体" w:hAnsi="宋体" w:cs="宋体" w:eastAsia="宋体"/>
          <w:b/>
          <w:sz w:val="27"/>
        </w:rPr>
        <w:t>五、</w:t>
      </w:r>
      <w:r>
        <w:rPr>
          <w:rFonts w:ascii="宋体" w:hAnsi="宋体" w:cs="宋体" w:eastAsia="宋体"/>
          <w:b/>
          <w:sz w:val="27"/>
        </w:rPr>
        <w:t>付款方式</w:t>
      </w:r>
    </w:p>
    <w:p>
      <w:pPr>
        <w:jc w:val="both"/>
      </w:pPr>
      <w:r>
        <w:rPr>
          <w:rFonts w:ascii="宋体" w:hAnsi="宋体" w:cs="宋体" w:eastAsia="宋体"/>
          <w:sz w:val="27"/>
        </w:rPr>
        <w:t>由甲方按下列程序在</w:t>
      </w:r>
      <w:r>
        <w:rPr>
          <w:rFonts w:ascii="宋体" w:hAnsi="宋体" w:cs="宋体" w:eastAsia="宋体"/>
          <w:sz w:val="27"/>
        </w:rPr>
        <w:t xml:space="preserve">       </w:t>
      </w:r>
      <w:r>
        <w:rPr>
          <w:rFonts w:ascii="宋体" w:hAnsi="宋体" w:cs="宋体" w:eastAsia="宋体"/>
          <w:sz w:val="27"/>
        </w:rPr>
        <w:t>内付款：</w:t>
      </w:r>
    </w:p>
    <w:p>
      <w:pPr>
        <w:jc w:val="both"/>
      </w:pPr>
      <w:r>
        <w:rPr>
          <w:rFonts w:ascii="宋体" w:hAnsi="宋体" w:cs="宋体" w:eastAsia="宋体"/>
          <w:sz w:val="27"/>
        </w:rPr>
        <w:t>1.</w:t>
      </w:r>
      <w:r>
        <w:rPr>
          <w:rFonts w:ascii="宋体" w:hAnsi="宋体" w:cs="宋体" w:eastAsia="宋体"/>
          <w:sz w:val="27"/>
        </w:rPr>
        <w:t>预付款：签订合同后，支付合同总价的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2.</w:t>
      </w:r>
      <w:r>
        <w:rPr>
          <w:rFonts w:ascii="宋体" w:hAnsi="宋体" w:cs="宋体" w:eastAsia="宋体"/>
          <w:sz w:val="27"/>
        </w:rPr>
        <w:t>设备安装调试结束，提交全部报告材料，调试完成并验收合格后，支付至合同金额的</w:t>
      </w:r>
      <w:r>
        <w:rPr>
          <w:rFonts w:ascii="宋体" w:hAnsi="宋体" w:cs="宋体" w:eastAsia="宋体"/>
          <w:sz w:val="27"/>
        </w:rPr>
        <w:t xml:space="preserve">     </w:t>
      </w:r>
      <w:r>
        <w:rPr>
          <w:rFonts w:ascii="宋体" w:hAnsi="宋体" w:cs="宋体" w:eastAsia="宋体"/>
          <w:sz w:val="27"/>
        </w:rPr>
        <w:t>%，同时无息退还乙方的合同履约保证金。</w:t>
      </w:r>
    </w:p>
    <w:p>
      <w:pPr>
        <w:jc w:val="both"/>
      </w:pPr>
      <w:r>
        <w:rPr>
          <w:rFonts w:ascii="宋体" w:hAnsi="宋体" w:cs="宋体" w:eastAsia="宋体"/>
          <w:sz w:val="27"/>
        </w:rPr>
        <w:t>3.</w:t>
      </w:r>
      <w:r>
        <w:rPr>
          <w:rFonts w:ascii="宋体" w:hAnsi="宋体" w:cs="宋体" w:eastAsia="宋体"/>
          <w:sz w:val="27"/>
        </w:rPr>
        <w:t>从验收合格之日起，正常使用</w:t>
      </w:r>
      <w:r>
        <w:rPr>
          <w:rFonts w:ascii="宋体" w:hAnsi="宋体" w:cs="宋体" w:eastAsia="宋体"/>
          <w:sz w:val="27"/>
        </w:rPr>
        <w:t xml:space="preserve">    </w:t>
      </w:r>
      <w:r>
        <w:rPr>
          <w:rFonts w:ascii="宋体" w:hAnsi="宋体" w:cs="宋体" w:eastAsia="宋体"/>
          <w:sz w:val="27"/>
        </w:rPr>
        <w:t>个月后，支付合同总价的</w:t>
      </w:r>
      <w:r>
        <w:rPr>
          <w:rFonts w:ascii="宋体" w:hAnsi="宋体" w:cs="宋体" w:eastAsia="宋体"/>
          <w:sz w:val="27"/>
        </w:rPr>
        <w:t xml:space="preserve">   </w:t>
      </w:r>
      <w:r>
        <w:rPr>
          <w:rFonts w:ascii="宋体" w:hAnsi="宋体" w:cs="宋体" w:eastAsia="宋体"/>
          <w:sz w:val="27"/>
        </w:rPr>
        <w:t>％。</w:t>
      </w:r>
    </w:p>
    <w:p>
      <w:pPr>
        <w:jc w:val="both"/>
      </w:pPr>
      <w:r>
        <w:rPr>
          <w:rFonts w:ascii="宋体" w:hAnsi="宋体" w:cs="宋体" w:eastAsia="宋体"/>
          <w:sz w:val="27"/>
        </w:rPr>
        <w:t xml:space="preserve">4.  </w:t>
      </w:r>
      <w:r>
        <w:rPr>
          <w:rFonts w:ascii="宋体" w:hAnsi="宋体" w:cs="宋体" w:eastAsia="宋体"/>
          <w:sz w:val="27"/>
        </w:rPr>
        <w:t>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jc w:val="both"/>
      </w:pPr>
      <w:r>
        <w:rPr>
          <w:rFonts w:ascii="宋体" w:hAnsi="宋体" w:cs="宋体" w:eastAsia="宋体"/>
          <w:b/>
          <w:sz w:val="27"/>
        </w:rPr>
        <w:t>六、</w:t>
      </w:r>
      <w:r>
        <w:rPr>
          <w:rFonts w:ascii="宋体" w:hAnsi="宋体" w:cs="宋体" w:eastAsia="宋体"/>
          <w:b/>
          <w:sz w:val="27"/>
        </w:rPr>
        <w:t>质保期及售后服务要求</w:t>
      </w:r>
    </w:p>
    <w:p>
      <w:pPr>
        <w:jc w:val="both"/>
      </w:pPr>
      <w:r>
        <w:rPr>
          <w:rFonts w:ascii="宋体" w:hAnsi="宋体" w:cs="宋体" w:eastAsia="宋体"/>
          <w:sz w:val="27"/>
        </w:rPr>
        <w:t>1.</w:t>
      </w:r>
      <w:r>
        <w:rPr>
          <w:rFonts w:ascii="宋体" w:hAnsi="宋体" w:cs="宋体" w:eastAsia="宋体"/>
          <w:sz w:val="27"/>
        </w:rPr>
        <w:t>本合同的质量保证期（简称“质保期”）为</w:t>
      </w:r>
      <w:r>
        <w:rPr>
          <w:rFonts w:ascii="宋体" w:hAnsi="宋体" w:cs="宋体" w:eastAsia="宋体"/>
          <w:sz w:val="27"/>
        </w:rPr>
        <w:t xml:space="preserve">    </w:t>
      </w:r>
      <w:r>
        <w:rPr>
          <w:rFonts w:ascii="宋体" w:hAnsi="宋体" w:cs="宋体" w:eastAsia="宋体"/>
          <w:sz w:val="27"/>
        </w:rPr>
        <w:t>年，质保期内乙方对所供货物实行包修、包换、包退及合同约定的其它事项，期满后可同时提供终身</w:t>
      </w:r>
      <w:r>
        <w:rPr>
          <w:rFonts w:ascii="宋体" w:hAnsi="宋体" w:cs="宋体" w:eastAsia="宋体"/>
          <w:sz w:val="27"/>
        </w:rPr>
        <w:t>(免费/有偿)</w:t>
      </w:r>
      <w:r>
        <w:rPr>
          <w:rFonts w:ascii="宋体" w:hAnsi="宋体" w:cs="宋体" w:eastAsia="宋体"/>
          <w:sz w:val="27"/>
        </w:rPr>
        <w:t>维修保养服务。</w:t>
      </w:r>
    </w:p>
    <w:p>
      <w:pPr>
        <w:jc w:val="both"/>
      </w:pPr>
      <w:r>
        <w:rPr>
          <w:rFonts w:ascii="宋体" w:hAnsi="宋体" w:cs="宋体" w:eastAsia="宋体"/>
          <w:sz w:val="27"/>
        </w:rPr>
        <w:t>2.</w:t>
      </w:r>
      <w:r>
        <w:rPr>
          <w:rFonts w:ascii="宋体" w:hAnsi="宋体" w:cs="宋体" w:eastAsia="宋体"/>
          <w:sz w:val="27"/>
        </w:rPr>
        <w:t>质保期内，如设备或零部件因质量原因出现故障而造成短期停用时，则质保期和免费维修期相应顺延。如停用时间累计超过60天则质保期重新计算。</w:t>
      </w:r>
    </w:p>
    <w:p>
      <w:pPr>
        <w:jc w:val="both"/>
      </w:pPr>
      <w:r>
        <w:rPr>
          <w:rFonts w:ascii="宋体" w:hAnsi="宋体" w:cs="宋体" w:eastAsia="宋体"/>
          <w:sz w:val="27"/>
        </w:rPr>
        <w:t>3.</w:t>
      </w:r>
      <w:r>
        <w:rPr>
          <w:rFonts w:ascii="宋体" w:hAnsi="宋体" w:cs="宋体" w:eastAsia="宋体"/>
          <w:sz w:val="27"/>
        </w:rPr>
        <w:t>对甲方的服务通知，乙方在接报后1小时内响应，4小时内到达现场，48小时内处理完毕。若在48小时内仍未能有效解决，乙方须免费提供同档次的设备予甲方临时使用。</w:t>
      </w:r>
    </w:p>
    <w:p>
      <w:pPr>
        <w:jc w:val="both"/>
      </w:pPr>
      <w:r>
        <w:rPr>
          <w:rFonts w:ascii="宋体" w:hAnsi="宋体" w:cs="宋体" w:eastAsia="宋体"/>
          <w:b/>
          <w:sz w:val="27"/>
        </w:rPr>
        <w:t>七、</w:t>
      </w:r>
      <w:r>
        <w:rPr>
          <w:rFonts w:ascii="宋体" w:hAnsi="宋体" w:cs="宋体" w:eastAsia="宋体"/>
          <w:b/>
          <w:sz w:val="27"/>
        </w:rPr>
        <w:t>安装与调试</w:t>
      </w:r>
    </w:p>
    <w:p>
      <w:pPr>
        <w:jc w:val="both"/>
      </w:pPr>
      <w:r>
        <w:rPr>
          <w:rFonts w:ascii="宋体" w:hAnsi="宋体" w:cs="宋体" w:eastAsia="宋体"/>
          <w:sz w:val="27"/>
        </w:rPr>
        <w:t>1.</w:t>
      </w:r>
      <w:r>
        <w:rPr>
          <w:rFonts w:ascii="宋体" w:hAnsi="宋体" w:cs="宋体" w:eastAsia="宋体"/>
          <w:sz w:val="27"/>
        </w:rPr>
        <w:t>乙方必须依照招标文件的要求和报价文件的承诺，将设备、系统安装并调试至正常运行的最佳状态。</w:t>
      </w:r>
    </w:p>
    <w:p>
      <w:pPr>
        <w:jc w:val="both"/>
      </w:pPr>
      <w:r>
        <w:rPr>
          <w:rFonts w:ascii="宋体" w:hAnsi="宋体" w:cs="宋体" w:eastAsia="宋体"/>
          <w:b/>
          <w:sz w:val="27"/>
        </w:rPr>
        <w:t>八、</w:t>
      </w:r>
      <w:r>
        <w:rPr>
          <w:rFonts w:ascii="宋体" w:hAnsi="宋体" w:cs="宋体" w:eastAsia="宋体"/>
          <w:b/>
          <w:sz w:val="27"/>
        </w:rPr>
        <w:t>验收：</w:t>
      </w:r>
    </w:p>
    <w:p>
      <w:pPr>
        <w:jc w:val="both"/>
      </w:pPr>
      <w:r>
        <w:rPr>
          <w:rFonts w:ascii="宋体" w:hAnsi="宋体" w:cs="宋体" w:eastAsia="宋体"/>
          <w:sz w:val="27"/>
        </w:rPr>
        <w:t>1.</w:t>
      </w:r>
      <w:r>
        <w:rPr>
          <w:rFonts w:ascii="宋体" w:hAnsi="宋体" w:cs="宋体" w:eastAsia="宋体"/>
          <w:sz w:val="27"/>
        </w:rPr>
        <w:t>交付验收标准</w:t>
      </w:r>
      <w:r>
        <w:rPr>
          <w:rFonts w:ascii="宋体" w:hAnsi="宋体" w:cs="宋体" w:eastAsia="宋体"/>
          <w:sz w:val="27"/>
        </w:rPr>
        <w:t>依次序对照适用</w:t>
      </w:r>
      <w:r>
        <w:rPr>
          <w:rFonts w:ascii="宋体" w:hAnsi="宋体" w:cs="宋体" w:eastAsia="宋体"/>
          <w:sz w:val="27"/>
        </w:rPr>
        <w:t>标准</w:t>
      </w:r>
      <w:r>
        <w:rPr>
          <w:rFonts w:ascii="宋体" w:hAnsi="宋体" w:cs="宋体" w:eastAsia="宋体"/>
          <w:sz w:val="27"/>
        </w:rPr>
        <w:t>为：</w:t>
      </w:r>
      <w:r>
        <w:rPr>
          <w:rFonts w:ascii="宋体" w:hAnsi="宋体" w:cs="宋体" w:eastAsia="宋体"/>
          <w:sz w:val="27"/>
        </w:rPr>
        <w:t>①符合中华人民共和国国家安全质量标准、环保标准或行业标准；②符合招标文件和响应承诺中甲方认可的合理最佳配置、参数及各项要求；③货物来源国官方标准。</w:t>
      </w:r>
    </w:p>
    <w:p>
      <w:pPr>
        <w:jc w:val="both"/>
      </w:pPr>
      <w:r>
        <w:rPr>
          <w:rFonts w:ascii="宋体" w:hAnsi="宋体" w:cs="宋体" w:eastAsia="宋体"/>
          <w:sz w:val="27"/>
        </w:rPr>
        <w:t>2.</w:t>
      </w:r>
      <w:r>
        <w:rPr>
          <w:rFonts w:ascii="宋体" w:hAnsi="宋体" w:cs="宋体" w:eastAsia="宋体"/>
          <w:sz w:val="27"/>
        </w:rPr>
        <w:t>进口产品必须具备原产地证明和商检局的检验证明及合法进货渠道证明。</w:t>
      </w:r>
    </w:p>
    <w:p>
      <w:pPr>
        <w:jc w:val="both"/>
      </w:pPr>
      <w:r>
        <w:rPr>
          <w:rFonts w:ascii="宋体" w:hAnsi="宋体" w:cs="宋体" w:eastAsia="宋体"/>
          <w:sz w:val="27"/>
        </w:rPr>
        <w:t>3.</w:t>
      </w:r>
      <w:r>
        <w:rPr>
          <w:rFonts w:ascii="宋体" w:hAnsi="宋体" w:cs="宋体" w:eastAsia="宋体"/>
          <w:sz w:val="27"/>
        </w:rPr>
        <w:t>货物为原厂商未启封全新包装，具出厂合格证，序列号、包装箱号与出厂批号一致，并可追索查阅。所有随设备的附件必须齐全。</w:t>
      </w:r>
    </w:p>
    <w:p>
      <w:pPr>
        <w:jc w:val="both"/>
      </w:pPr>
      <w:r>
        <w:rPr>
          <w:rFonts w:ascii="宋体" w:hAnsi="宋体" w:cs="宋体" w:eastAsia="宋体"/>
          <w:sz w:val="27"/>
        </w:rPr>
        <w:t>4.</w:t>
      </w:r>
      <w:r>
        <w:rPr>
          <w:rFonts w:ascii="宋体" w:hAnsi="宋体" w:cs="宋体" w:eastAsia="宋体"/>
          <w:sz w:val="27"/>
        </w:rPr>
        <w:t>乙方应将关键主机设备的用户手册、保修手册、有关单证资料及配备件、随机工具等交付给甲方，使用操作及安全须知等重要资料应附有中文说明。</w:t>
      </w:r>
    </w:p>
    <w:p>
      <w:pPr>
        <w:jc w:val="both"/>
      </w:pPr>
      <w:r>
        <w:rPr>
          <w:rFonts w:ascii="宋体" w:hAnsi="宋体" w:cs="宋体" w:eastAsia="宋体"/>
          <w:sz w:val="27"/>
        </w:rPr>
        <w:t>5.</w:t>
      </w:r>
      <w:r>
        <w:rPr>
          <w:rFonts w:ascii="宋体" w:hAnsi="宋体" w:cs="宋体" w:eastAsia="宋体"/>
          <w:sz w:val="27"/>
        </w:rPr>
        <w:t>甲方组成验收小组按国家有关规定、规范进行验收，必要时邀请</w:t>
      </w:r>
      <w:r>
        <w:rPr>
          <w:rFonts w:ascii="宋体" w:hAnsi="宋体" w:cs="宋体" w:eastAsia="宋体"/>
          <w:sz w:val="27"/>
        </w:rPr>
        <w:t>相关的专业人员或机构参与验收。因货物质量问题发生争议时，由本地质量技术监督部门鉴定。货物符合质量技术标准的，鉴定费由甲方承担；否则鉴定费由乙方承担。</w:t>
      </w:r>
    </w:p>
    <w:p>
      <w:pPr>
        <w:jc w:val="both"/>
      </w:pPr>
      <w:r>
        <w:rPr>
          <w:rFonts w:ascii="宋体" w:hAnsi="宋体" w:cs="宋体" w:eastAsia="宋体"/>
          <w:b/>
          <w:sz w:val="27"/>
        </w:rPr>
        <w:t>九、</w:t>
      </w:r>
      <w:r>
        <w:rPr>
          <w:rFonts w:ascii="宋体" w:hAnsi="宋体" w:cs="宋体" w:eastAsia="宋体"/>
          <w:b/>
          <w:sz w:val="27"/>
        </w:rPr>
        <w:t>违约责任与赔偿损失</w:t>
      </w:r>
    </w:p>
    <w:p>
      <w:pPr>
        <w:jc w:val="both"/>
      </w:pPr>
      <w:r>
        <w:rPr>
          <w:rFonts w:ascii="宋体" w:hAnsi="宋体" w:cs="宋体" w:eastAsia="宋体"/>
          <w:sz w:val="27"/>
        </w:rPr>
        <w:t>1.</w:t>
      </w:r>
      <w:r>
        <w:rPr>
          <w:rFonts w:ascii="宋体" w:hAnsi="宋体" w:cs="宋体" w:eastAsia="宋体"/>
          <w:sz w:val="27"/>
        </w:rPr>
        <w:t>乙方交付的货物、工程/提供的服务不符合本合同规定的，甲方有权拒收，并且乙方须向甲方支付本合同总价5%的违约金。</w:t>
      </w:r>
    </w:p>
    <w:p>
      <w:pPr>
        <w:jc w:val="both"/>
      </w:pPr>
      <w:r>
        <w:rPr>
          <w:rFonts w:ascii="宋体" w:hAnsi="宋体" w:cs="宋体" w:eastAsia="宋体"/>
          <w:sz w:val="27"/>
        </w:rPr>
        <w:t>2.</w:t>
      </w:r>
      <w:r>
        <w:rPr>
          <w:rFonts w:ascii="宋体" w:hAnsi="宋体" w:cs="宋体" w:eastAsia="宋体"/>
          <w:sz w:val="27"/>
        </w:rPr>
        <w:t>乙方未能按本合同规定的交货时间交付货物的/提供服务，从逾期之日起每日按本合同总价3‰的数额向甲方支付违约金；逾期半个月以上的，甲方有权终止合同，由此造成的甲方经济损失由乙方承担。</w:t>
      </w:r>
    </w:p>
    <w:p>
      <w:pPr>
        <w:jc w:val="both"/>
      </w:pPr>
      <w:r>
        <w:rPr>
          <w:rFonts w:ascii="宋体" w:hAnsi="宋体" w:cs="宋体" w:eastAsia="宋体"/>
          <w:sz w:val="27"/>
        </w:rPr>
        <w:t>3.</w:t>
      </w:r>
      <w:r>
        <w:rPr>
          <w:rFonts w:ascii="宋体" w:hAnsi="宋体" w:cs="宋体" w:eastAsia="宋体"/>
          <w:sz w:val="27"/>
        </w:rPr>
        <w:t>甲方无正当理由拒收货物/接受服务，到期拒付货物/服务款项的，甲方向乙方偿付本合同总的5%的违约金。甲方人逾期付款，则每日按本合同总价的3‰向乙方偿付违约金。</w:t>
      </w:r>
    </w:p>
    <w:p>
      <w:pPr>
        <w:jc w:val="both"/>
      </w:pPr>
      <w:r>
        <w:rPr>
          <w:rFonts w:ascii="宋体" w:hAnsi="宋体" w:cs="宋体" w:eastAsia="宋体"/>
          <w:sz w:val="27"/>
        </w:rPr>
        <w:t>4.   对于因甲方原因导致变更、中止或者终止政府采购合同的，甲方应当依照以下合同约定对供应商受到的损失予以赔偿或者补偿：</w:t>
      </w:r>
    </w:p>
    <w:p>
      <w:pPr>
        <w:jc w:val="both"/>
      </w:pPr>
      <w:r>
        <w:rPr>
          <w:rFonts w:ascii="宋体" w:hAnsi="宋体" w:cs="宋体" w:eastAsia="宋体"/>
          <w:sz w:val="27"/>
        </w:rPr>
        <w:t xml:space="preserve">       </w:t>
      </w:r>
      <w:r>
        <w:rPr>
          <w:rFonts w:ascii="宋体" w:hAnsi="宋体" w:cs="宋体" w:eastAsia="宋体"/>
          <w:sz w:val="27"/>
        </w:rPr>
        <w:t xml:space="preserve">                                                </w:t>
      </w:r>
    </w:p>
    <w:p>
      <w:pPr>
        <w:jc w:val="both"/>
      </w:pPr>
      <w:r>
        <w:rPr>
          <w:rFonts w:ascii="宋体" w:hAnsi="宋体" w:cs="宋体" w:eastAsia="宋体"/>
          <w:sz w:val="27"/>
        </w:rPr>
        <w:t>5.</w:t>
      </w:r>
      <w:r>
        <w:rPr>
          <w:rFonts w:ascii="宋体" w:hAnsi="宋体" w:cs="宋体" w:eastAsia="宋体"/>
          <w:sz w:val="27"/>
        </w:rPr>
        <w:t>其它违约责任按《中华人民</w:t>
      </w:r>
      <w:r>
        <w:rPr>
          <w:rFonts w:ascii="宋体" w:hAnsi="宋体" w:cs="宋体" w:eastAsia="宋体"/>
          <w:sz w:val="27"/>
        </w:rPr>
        <w:t>共和国民法典(合同编)》处理。</w:t>
      </w:r>
    </w:p>
    <w:p>
      <w:pPr>
        <w:jc w:val="both"/>
      </w:pPr>
      <w:r>
        <w:rPr>
          <w:rFonts w:ascii="宋体" w:hAnsi="宋体" w:cs="宋体" w:eastAsia="宋体"/>
          <w:b/>
          <w:sz w:val="27"/>
        </w:rPr>
        <w:t>十、</w:t>
      </w:r>
      <w:r>
        <w:rPr>
          <w:rFonts w:ascii="宋体" w:hAnsi="宋体" w:cs="宋体" w:eastAsia="宋体"/>
          <w:b/>
          <w:sz w:val="27"/>
        </w:rPr>
        <w:t>争议的解决</w:t>
      </w:r>
      <w:r>
        <w:rPr>
          <w:rFonts w:ascii="宋体" w:hAnsi="宋体" w:cs="宋体" w:eastAsia="宋体"/>
          <w:sz w:val="27"/>
        </w:rPr>
        <w:t xml:space="preserve">  合同执行过程中发生的任何争议，如双方不能通过友好协商解决，按相关法律法规处理。</w:t>
      </w:r>
    </w:p>
    <w:p>
      <w:pPr>
        <w:jc w:val="both"/>
      </w:pPr>
      <w:r>
        <w:rPr>
          <w:rFonts w:ascii="宋体" w:hAnsi="宋体" w:cs="宋体" w:eastAsia="宋体"/>
          <w:b/>
          <w:sz w:val="27"/>
        </w:rPr>
        <w:t>十一、不可抗力</w:t>
      </w:r>
    </w:p>
    <w:p>
      <w:pPr>
        <w:jc w:val="both"/>
      </w:pPr>
      <w:r>
        <w:rPr>
          <w:rFonts w:ascii="宋体" w:hAnsi="宋体" w:cs="宋体" w:eastAsia="宋体"/>
          <w:sz w:val="27"/>
        </w:rPr>
        <w:t>1.</w:t>
      </w:r>
      <w:r>
        <w:rPr>
          <w:rFonts w:ascii="宋体" w:hAnsi="宋体" w:cs="宋体" w:eastAsia="宋体"/>
          <w:sz w:val="27"/>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rFonts w:ascii="宋体" w:hAnsi="宋体" w:cs="宋体" w:eastAsia="宋体"/>
          <w:b/>
          <w:sz w:val="27"/>
        </w:rPr>
        <w:t>十二、</w:t>
      </w:r>
      <w:r>
        <w:rPr>
          <w:rFonts w:ascii="宋体" w:hAnsi="宋体" w:cs="宋体" w:eastAsia="宋体"/>
          <w:b/>
          <w:sz w:val="27"/>
        </w:rPr>
        <w:t>税费</w:t>
      </w:r>
    </w:p>
    <w:p>
      <w:pPr>
        <w:jc w:val="both"/>
      </w:pPr>
      <w:r>
        <w:rPr>
          <w:rFonts w:ascii="宋体" w:hAnsi="宋体" w:cs="宋体" w:eastAsia="宋体"/>
          <w:sz w:val="27"/>
        </w:rPr>
        <w:t>1.</w:t>
      </w:r>
      <w:r>
        <w:rPr>
          <w:rFonts w:ascii="宋体" w:hAnsi="宋体" w:cs="宋体" w:eastAsia="宋体"/>
          <w:sz w:val="27"/>
        </w:rPr>
        <w:t>在中国境内、外发生的与本合同执行有关的一切税费均由乙方负担。</w:t>
      </w:r>
    </w:p>
    <w:p>
      <w:pPr>
        <w:jc w:val="both"/>
      </w:pPr>
      <w:r>
        <w:rPr>
          <w:rFonts w:ascii="宋体" w:hAnsi="宋体" w:cs="宋体" w:eastAsia="宋体"/>
          <w:b/>
          <w:sz w:val="27"/>
        </w:rPr>
        <w:t>十三、</w:t>
      </w:r>
      <w:r>
        <w:rPr>
          <w:rFonts w:ascii="&quot;times new roman&quot;" w:hAnsi="&quot;times new roman&quot;" w:cs="&quot;times new roman&quot;" w:eastAsia="&quot;times new roman&quot;"/>
          <w:sz w:val="27"/>
        </w:rPr>
        <w:t xml:space="preserve"> </w:t>
      </w:r>
      <w:r>
        <w:rPr>
          <w:rFonts w:ascii="宋体" w:hAnsi="宋体" w:cs="宋体" w:eastAsia="宋体"/>
          <w:b/>
          <w:sz w:val="27"/>
        </w:rPr>
        <w:t>其它</w:t>
      </w:r>
    </w:p>
    <w:p>
      <w:pPr>
        <w:jc w:val="both"/>
      </w:pPr>
      <w:r>
        <w:rPr>
          <w:rFonts w:ascii="宋体" w:hAnsi="宋体" w:cs="宋体" w:eastAsia="宋体"/>
          <w:sz w:val="27"/>
        </w:rPr>
        <w:t>1.</w:t>
      </w:r>
      <w:r>
        <w:rPr>
          <w:rFonts w:ascii="宋体" w:hAnsi="宋体" w:cs="宋体" w:eastAsia="宋体"/>
          <w:sz w:val="27"/>
        </w:rPr>
        <w:t>本合同所有附件、招标文件、投标文件、中标通知书均为合同的有效组成部分，与本合同具有同等法律效力。</w:t>
      </w:r>
    </w:p>
    <w:p>
      <w:pPr>
        <w:jc w:val="both"/>
      </w:pPr>
      <w:r>
        <w:rPr>
          <w:rFonts w:ascii="宋体" w:hAnsi="宋体" w:cs="宋体" w:eastAsia="宋体"/>
          <w:sz w:val="27"/>
        </w:rPr>
        <w:t>2.</w:t>
      </w:r>
      <w:r>
        <w:rPr>
          <w:rFonts w:ascii="宋体" w:hAnsi="宋体" w:cs="宋体" w:eastAsia="宋体"/>
          <w:sz w:val="27"/>
        </w:rPr>
        <w:t>在执行本合同的过程中，所有经双方签署确认的文件（包括会议纪要、补充协议、往来信函）即成为本合同的有效组成部分。</w:t>
      </w:r>
    </w:p>
    <w:p>
      <w:pPr>
        <w:jc w:val="both"/>
      </w:pPr>
      <w:r>
        <w:rPr>
          <w:rFonts w:ascii="宋体" w:hAnsi="宋体" w:cs="宋体" w:eastAsia="宋体"/>
          <w:sz w:val="27"/>
        </w:rPr>
        <w:t>3.</w:t>
      </w:r>
      <w:r>
        <w:rPr>
          <w:rFonts w:ascii="宋体" w:hAnsi="宋体" w:cs="宋体" w:eastAsia="宋体"/>
          <w:sz w:val="27"/>
        </w:rPr>
        <w:t>如一方地址、电话、传真号码有变更，应在变更当日内书面通知对方，否则，应承担相应责任。</w:t>
      </w:r>
    </w:p>
    <w:p>
      <w:pPr>
        <w:jc w:val="both"/>
      </w:pPr>
      <w:r>
        <w:rPr>
          <w:rFonts w:ascii="宋体" w:hAnsi="宋体" w:cs="宋体" w:eastAsia="宋体"/>
          <w:sz w:val="27"/>
        </w:rPr>
        <w:t>4.</w:t>
      </w:r>
      <w:r>
        <w:rPr>
          <w:rFonts w:ascii="宋体" w:hAnsi="宋体" w:cs="宋体" w:eastAsia="宋体"/>
          <w:sz w:val="27"/>
        </w:rPr>
        <w:t>除甲方事先书面同意外，乙方不得部分或全部转让其应履行的合同项下的义务。</w:t>
      </w:r>
    </w:p>
    <w:p>
      <w:pPr>
        <w:jc w:val="both"/>
      </w:pPr>
      <w:r>
        <w:rPr>
          <w:rFonts w:ascii="宋体" w:hAnsi="宋体" w:cs="宋体" w:eastAsia="宋体"/>
          <w:b/>
          <w:sz w:val="27"/>
        </w:rPr>
        <w:t>十四、</w:t>
      </w:r>
      <w:r>
        <w:rPr>
          <w:rFonts w:ascii="&quot;times new roman&quot;" w:hAnsi="&quot;times new roman&quot;" w:cs="&quot;times new roman&quot;" w:eastAsia="&quot;times new roman&quot;"/>
          <w:sz w:val="27"/>
        </w:rPr>
        <w:t xml:space="preserve">     </w:t>
      </w:r>
      <w:r>
        <w:rPr>
          <w:rFonts w:ascii="宋体" w:hAnsi="宋体" w:cs="宋体" w:eastAsia="宋体"/>
          <w:b/>
          <w:sz w:val="27"/>
        </w:rPr>
        <w:t>合同生效</w:t>
      </w:r>
    </w:p>
    <w:p>
      <w:pPr>
        <w:jc w:val="both"/>
      </w:pPr>
      <w:r>
        <w:rPr>
          <w:rFonts w:ascii="宋体" w:hAnsi="宋体" w:cs="宋体" w:eastAsia="宋体"/>
          <w:sz w:val="27"/>
        </w:rPr>
        <w:t>1.</w:t>
      </w:r>
      <w:r>
        <w:rPr>
          <w:rFonts w:ascii="宋体" w:hAnsi="宋体" w:cs="宋体" w:eastAsia="宋体"/>
          <w:sz w:val="27"/>
        </w:rPr>
        <w:t>本合同在甲乙双方法人代表或其授权代表签字盖章后生效。</w:t>
      </w:r>
    </w:p>
    <w:p>
      <w:pPr>
        <w:jc w:val="both"/>
      </w:pPr>
      <w:r>
        <w:rPr>
          <w:rFonts w:ascii="宋体" w:hAnsi="宋体" w:cs="宋体" w:eastAsia="宋体"/>
          <w:sz w:val="27"/>
        </w:rPr>
        <w:t>2.</w:t>
      </w:r>
      <w:r>
        <w:rPr>
          <w:rFonts w:ascii="宋体" w:hAnsi="宋体" w:cs="宋体" w:eastAsia="宋体"/>
          <w:sz w:val="27"/>
        </w:rPr>
        <w:t>合同一式</w:t>
      </w:r>
      <w:r>
        <w:rPr>
          <w:rFonts w:ascii="宋体" w:hAnsi="宋体" w:cs="宋体" w:eastAsia="宋体"/>
          <w:sz w:val="27"/>
        </w:rPr>
        <w:t xml:space="preserve">   </w:t>
      </w:r>
      <w:r>
        <w:rPr>
          <w:rFonts w:ascii="宋体" w:hAnsi="宋体" w:cs="宋体" w:eastAsia="宋体"/>
          <w:sz w:val="27"/>
        </w:rPr>
        <w:t>份。</w:t>
      </w:r>
    </w:p>
    <w:p>
      <w:pPr>
        <w:jc w:val="both"/>
      </w:pPr>
      <w:r>
        <w:rPr>
          <w:rFonts w:ascii="宋体" w:hAnsi="宋体" w:cs="宋体" w:eastAsia="宋体"/>
          <w:sz w:val="27"/>
        </w:rPr>
        <w:t xml:space="preserve"> </w:t>
      </w:r>
    </w:p>
    <w:p>
      <w:pPr>
        <w:jc w:val="both"/>
      </w:pPr>
      <w:r>
        <w:rPr>
          <w:rFonts w:ascii="宋体" w:hAnsi="宋体" w:cs="宋体" w:eastAsia="宋体"/>
          <w:b/>
          <w:sz w:val="27"/>
        </w:rPr>
        <w:t>甲方（盖章）：</w:t>
      </w:r>
      <w:r>
        <w:rPr>
          <w:rFonts w:ascii="宋体" w:hAnsi="宋体" w:cs="宋体" w:eastAsia="宋体"/>
          <w:b/>
          <w:sz w:val="27"/>
        </w:rPr>
        <w:t>乙方（盖章）：</w:t>
      </w:r>
    </w:p>
    <w:p>
      <w:pPr>
        <w:jc w:val="both"/>
      </w:pPr>
      <w:r>
        <w:rPr>
          <w:rFonts w:ascii="宋体" w:hAnsi="宋体" w:cs="宋体" w:eastAsia="宋体"/>
          <w:b/>
          <w:sz w:val="27"/>
        </w:rPr>
        <w:t>代表：</w:t>
      </w:r>
      <w:r>
        <w:rPr>
          <w:rFonts w:ascii="宋体" w:hAnsi="宋体" w:cs="宋体" w:eastAsia="宋体"/>
          <w:b/>
          <w:sz w:val="27"/>
        </w:rPr>
        <w:t>代表：</w:t>
      </w:r>
    </w:p>
    <w:p>
      <w:pPr>
        <w:jc w:val="both"/>
      </w:pPr>
      <w:r>
        <w:rPr>
          <w:rFonts w:ascii="宋体" w:hAnsi="宋体" w:cs="宋体" w:eastAsia="宋体"/>
          <w:sz w:val="27"/>
        </w:rPr>
        <w:t>签订地点：</w:t>
      </w:r>
    </w:p>
    <w:p>
      <w:pPr>
        <w:jc w:val="both"/>
      </w:pPr>
      <w:r>
        <w:rPr>
          <w:rFonts w:ascii="宋体" w:hAnsi="宋体" w:cs="宋体" w:eastAsia="宋体"/>
          <w:sz w:val="27"/>
        </w:rPr>
        <w:t>签订日期：　　　年　　月　　日</w:t>
      </w:r>
      <w:r>
        <w:rPr>
          <w:rFonts w:ascii="宋体" w:hAnsi="宋体" w:cs="宋体" w:eastAsia="宋体"/>
          <w:sz w:val="27"/>
        </w:rPr>
        <w:t>签订日期：　　　年　　月　　日</w:t>
      </w:r>
    </w:p>
    <w:p>
      <w:pPr>
        <w:jc w:val="both"/>
      </w:pPr>
      <w:r>
        <w:rPr>
          <w:rFonts w:ascii="宋体" w:hAnsi="宋体" w:cs="宋体" w:eastAsia="宋体"/>
          <w:sz w:val="27"/>
        </w:rPr>
        <w:t>开户名称：</w:t>
      </w:r>
    </w:p>
    <w:p>
      <w:pPr>
        <w:jc w:val="both"/>
      </w:pPr>
      <w:r>
        <w:rPr>
          <w:rFonts w:ascii="宋体" w:hAnsi="宋体" w:cs="宋体" w:eastAsia="宋体"/>
          <w:sz w:val="27"/>
        </w:rPr>
        <w:t>银行帐号：</w:t>
      </w:r>
    </w:p>
    <w:p>
      <w:pPr>
        <w:jc w:val="both"/>
      </w:pPr>
      <w:r>
        <w:rPr>
          <w:rFonts w:ascii="宋体" w:hAnsi="宋体" w:cs="宋体" w:eastAsia="宋体"/>
          <w:sz w:val="27"/>
        </w:rPr>
        <w:t>开 户 行：</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441901-2024-00663</w:t>
      </w:r>
    </w:p>
    <w:p>
      <w:pPr>
        <w:jc w:val="center"/>
      </w:pPr>
      <w:r>
        <w:rPr>
          <w:b/>
          <w:sz w:val="24"/>
        </w:rPr>
        <w:t>采购项目编号：</w:t>
      </w:r>
      <w:r>
        <w:rPr>
          <w:b/>
          <w:sz w:val="24"/>
        </w:rPr>
        <w:t>441901-2024-00663</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广东政通招标有限公司</w:t>
      </w:r>
    </w:p>
    <w:p>
      <w:pPr>
        <w:ind w:firstLine="480"/>
      </w:pPr>
      <w:r>
        <w:rPr/>
        <w:t>你方组织的</w:t>
      </w:r>
      <w:r>
        <w:rPr>
          <w:u w:val="single"/>
        </w:rPr>
        <w:t>“</w:t>
      </w:r>
      <w:r>
        <w:rPr>
          <w:u w:val="single"/>
        </w:rPr>
        <w:t>广东省无线电移动监测站能力提升项目-东莞市移动监测站升级改造</w:t>
      </w:r>
      <w:r>
        <w:rPr>
          <w:u w:val="single"/>
        </w:rPr>
        <w:t>”</w:t>
      </w:r>
      <w:r>
        <w:rPr/>
        <w:t>项目的招标[采购项目编号为：</w:t>
      </w:r>
      <w:r>
        <w:rPr>
          <w:u w:val="single"/>
        </w:rPr>
        <w:t>441901-2024-00663</w:t>
      </w:r>
      <w:r>
        <w:rPr/>
        <w:t>]，我方愿参与投标。</w:t>
      </w:r>
    </w:p>
    <w:p>
      <w:pPr>
        <w:ind w:firstLine="480"/>
      </w:pPr>
      <w:r>
        <w:rPr/>
        <w:t>我方确认收到贵方提供的</w:t>
      </w:r>
      <w:r>
        <w:rPr>
          <w:u w:val="single"/>
        </w:rPr>
        <w:t>“</w:t>
      </w:r>
      <w:r>
        <w:rPr>
          <w:u w:val="single"/>
        </w:rPr>
        <w:t>广东省无线电移动监测站能力提升项目-东莞市移动监测站升级改造</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（十三）我方承诺遵守《中华人民共和国劳动合同法》有关规定和《中华人民共和国妇女权益保障法》中关于“劳动和社会保障权益”的有关要求。</w:t>
      </w:r>
    </w:p>
    <w:p>
      <w:pPr>
        <w:ind w:firstLine="480"/>
      </w:pPr>
      <w:r>
        <w:rPr/>
        <w:t>（十四）我方具备《中华人民共和国政府采购法》第二十二条规定的条件，承诺如下：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（十五）我方对在本函及投标文件中所作的所有承诺承担法律责任。</w:t>
      </w:r>
    </w:p>
    <w:p>
      <w:pPr>
        <w:ind w:firstLine="480"/>
      </w:pPr>
      <w:r>
        <w:rPr/>
        <w:t>（十六）所有与本招标有关的函件请发往下列地址：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广东政通招标有限公司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广东省无线电移动监测站能力提升项目-东莞市移动监测站升级改造</w:t>
      </w:r>
      <w:r>
        <w:rPr/>
        <w:t>”项目采购[采购项目编号为</w:t>
      </w:r>
      <w:r>
        <w:rPr/>
        <w:t>441901-2024-00663</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东莞市无线电监测站</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2.联合体将严格按照文件的各项要求，递交投标文件，切实执行一切合同文件，共同承担合同规定的一切义务和责任，同时按照内部职责的划分，承担自身所负的责任和风险，在法律上承担连带责任。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广东政通招标有限公司</w:t>
      </w:r>
    </w:p>
    <w:p>
      <w:pPr>
        <w:ind w:firstLine="480"/>
      </w:pPr>
      <w:r>
        <w:rPr/>
        <w:t>如果我方在贵采购代理机构组织的</w:t>
      </w:r>
      <w:r>
        <w:rPr/>
        <w:t>广东省无线电移动监测站能力提升项目-东莞市移动监测站升级改造</w:t>
      </w:r>
      <w:r>
        <w:rPr/>
        <w:t>招标中获中标（采购项目编号：</w:t>
      </w:r>
      <w:r>
        <w:rPr/>
        <w:t>441901-2024-00663</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广东政通招标有限公司</w:t>
      </w:r>
    </w:p>
    <w:p>
      <w:pPr>
        <w:ind w:firstLine="480"/>
      </w:pPr>
      <w:r>
        <w:rPr/>
        <w:t>我单位已登记并准备参与“</w:t>
      </w:r>
      <w:r>
        <w:rPr/>
        <w:t>广东省无线电移动监测站能力提升项目-东莞市移动监测站升级改造</w:t>
      </w:r>
      <w:r>
        <w:rPr/>
        <w:t>”项目（采购项目编号：</w:t>
      </w:r>
      <w:r>
        <w:rPr/>
        <w:t>441901-2024-00663</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