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3"/>
        <w:rPr>
          <w:rFonts w:hint="eastAsia" w:ascii="黑体" w:eastAsia="黑体"/>
          <w:color w:val="auto"/>
          <w:szCs w:val="21"/>
          <w:highlight w:val="none"/>
          <w:lang w:eastAsia="zh-CN"/>
        </w:rPr>
      </w:pPr>
    </w:p>
    <w:p>
      <w:pPr>
        <w:pStyle w:val="3"/>
        <w:ind w:left="0" w:leftChars="0" w:firstLine="0" w:firstLineChars="0"/>
        <w:rPr>
          <w:rFonts w:hint="eastAsia" w:ascii="黑体" w:eastAsia="黑体"/>
          <w:color w:val="auto"/>
          <w:szCs w:val="21"/>
          <w:highlight w:val="none"/>
          <w:lang w:eastAsia="zh-CN"/>
        </w:rPr>
      </w:pPr>
    </w:p>
    <w:p>
      <w:pPr>
        <w:pStyle w:val="3"/>
        <w:ind w:left="0" w:leftChars="0" w:firstLine="0" w:firstLineChars="0"/>
        <w:rPr>
          <w:rFonts w:hint="eastAsia" w:ascii="黑体" w:eastAsia="黑体"/>
          <w:color w:val="auto"/>
          <w:szCs w:val="21"/>
          <w:highlight w:val="none"/>
          <w:lang w:eastAsia="zh-CN"/>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GDZT2023166C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东莞市场采购贸易方式试点广告宣传牌租赁服务采购项目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东莞市大朗市场采购贸易服务中心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2"/>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（本提示内容非磋商文件的组成部分，仅起提醒作用；如有不一致，以磋商文件为准）</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1、请各供应商在制作响应文件时认真阅读本磋商文件的内容。</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2、建议供应商将响应文件正本、副本、报价信封分别密封包装，并按照磋商文件“第四部分 供应商须知 第四章响应文件的递交”中相关要求进行提交，避免因密封包装不符合要求而导致响应文件被退回。</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3、请正确填写《报价一览表》。多包项目请仔细检查包组号，包组号跟包组名称必须一致。</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4、响应文件应编制目录及按顺序编制页码。</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5、请仔细检查响应文件是否已按磋商文件盖章、签名(或盖私章)、签署日期。</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6、加★号条款必须完全响应，不响应或负偏离将导致响应文件无效。</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7、为避免因迟到而无法按时递交响应文件，供应商应自行计算路途可能出现塞车的时间，建议在响应文件递交截止时间之前30分钟内到达开标地点，响应截止时间一到，本公司不接收任何响应文件。</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采购效率，节约社会交易成本与时间，希望领购了磋商文件而决定不参加本项目的供应商，在响应文件递交截止时间的2日前，按《磋商邀请函》中的联系方式，以书面形式告知采购代理机构。对您的支持与配合，谨此致谢。</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2"/>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6"/>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7"/>
        <w:spacing w:before="0" w:after="0" w:line="360" w:lineRule="auto"/>
        <w:jc w:val="center"/>
        <w:rPr>
          <w:rFonts w:ascii="宋体" w:hAnsi="宋体" w:eastAsia="宋体" w:cs="宋体"/>
          <w:color w:val="auto"/>
          <w:highlight w:val="none"/>
        </w:rPr>
      </w:pPr>
      <w:bookmarkStart w:id="2" w:name="_Toc1420"/>
      <w:bookmarkStart w:id="3" w:name="_Toc8850"/>
      <w:bookmarkStart w:id="4" w:name="_Toc7123"/>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cs="宋体"/>
          <w:b/>
          <w:bCs/>
          <w:color w:val="auto"/>
          <w:sz w:val="21"/>
          <w:szCs w:val="21"/>
          <w:highlight w:val="none"/>
          <w:u w:val="single"/>
          <w:lang w:val="en-US" w:eastAsia="zh-CN"/>
        </w:rPr>
        <w:t>东莞市大朗市场采购贸易服务中心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cs="宋体"/>
          <w:b/>
          <w:bCs/>
          <w:color w:val="auto"/>
          <w:sz w:val="21"/>
          <w:szCs w:val="21"/>
          <w:highlight w:val="none"/>
          <w:u w:val="single"/>
          <w:lang w:val="en-US" w:eastAsia="zh-CN"/>
        </w:rPr>
        <w:t>东莞市场采购贸易方式试点广告宣传牌租赁服务采购项目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GDZT2023166C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东莞市场采购贸易方式试点广告宣传牌租赁服务采购项目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4"/>
        <w:tblW w:w="45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0"/>
        <w:gridCol w:w="3543"/>
        <w:gridCol w:w="147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6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32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内容</w:t>
            </w:r>
          </w:p>
        </w:tc>
        <w:tc>
          <w:tcPr>
            <w:tcW w:w="96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数量</w:t>
            </w:r>
          </w:p>
        </w:tc>
        <w:tc>
          <w:tcPr>
            <w:tcW w:w="114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6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32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u w:val="single"/>
                <w:lang w:val="en-US" w:eastAsia="zh-CN"/>
              </w:rPr>
              <w:t>东莞市场采购贸易方式试点广告宣传牌租赁服务采购项目</w:t>
            </w:r>
          </w:p>
        </w:tc>
        <w:tc>
          <w:tcPr>
            <w:tcW w:w="96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b/>
                <w:color w:val="auto"/>
                <w:sz w:val="21"/>
                <w:szCs w:val="21"/>
                <w:highlight w:val="none"/>
                <w:u w:val="none"/>
                <w:lang w:val="en-US" w:eastAsia="zh-CN"/>
              </w:rPr>
              <w:t>1家</w:t>
            </w:r>
          </w:p>
        </w:tc>
        <w:tc>
          <w:tcPr>
            <w:tcW w:w="1142" w:type="pct"/>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bidi="ar-SA"/>
              </w:rPr>
            </w:pPr>
            <w:r>
              <w:rPr>
                <w:rFonts w:hint="eastAsia" w:ascii="宋体" w:hAnsi="宋体" w:cs="宋体"/>
                <w:b/>
                <w:bCs/>
                <w:color w:val="auto"/>
                <w:sz w:val="21"/>
                <w:szCs w:val="21"/>
                <w:highlight w:val="none"/>
                <w:u w:val="none"/>
                <w:lang w:val="en-US" w:eastAsia="zh-CN"/>
              </w:rPr>
              <w:t>440,000.00元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r>
        <w:rPr>
          <w:rFonts w:hint="eastAsia" w:ascii="宋体" w:hAnsi="宋体"/>
          <w:color w:val="auto"/>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29</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29</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300元</w:t>
      </w:r>
      <w:r>
        <w:rPr>
          <w:rFonts w:hint="eastAsia" w:ascii="宋体" w:hAnsi="宋体" w:eastAsia="宋体"/>
          <w:color w:val="auto"/>
          <w:sz w:val="21"/>
          <w:szCs w:val="21"/>
          <w:highlight w:val="none"/>
        </w:rPr>
        <w:t>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w:t>
      </w:r>
      <w:r>
        <w:rPr>
          <w:rFonts w:hint="eastAsia" w:ascii="宋体" w:hAnsi="宋体"/>
          <w:color w:val="auto"/>
          <w:sz w:val="21"/>
          <w:szCs w:val="21"/>
          <w:highlight w:val="none"/>
          <w:lang w:val="en-US" w:eastAsia="zh-CN"/>
        </w:rPr>
        <w:t>建议</w:t>
      </w:r>
      <w:r>
        <w:rPr>
          <w:rFonts w:hint="eastAsia" w:ascii="宋体" w:hAnsi="宋体" w:eastAsia="宋体"/>
          <w:color w:val="auto"/>
          <w:sz w:val="21"/>
          <w:szCs w:val="21"/>
          <w:highlight w:val="none"/>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highlight w:val="none"/>
          <w:lang w:eastAsia="zh-CN"/>
        </w:rPr>
        <w:t>。</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bCs/>
          <w:color w:val="auto"/>
          <w:sz w:val="21"/>
          <w:szCs w:val="21"/>
          <w:highlight w:val="none"/>
          <w:lang w:val="en-US" w:eastAsia="zh-CN"/>
        </w:rPr>
        <w:t>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19</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bCs/>
          <w:color w:val="auto"/>
          <w:sz w:val="21"/>
          <w:szCs w:val="21"/>
          <w:highlight w:val="none"/>
          <w:lang w:val="en-US" w:eastAsia="zh-CN"/>
        </w:rPr>
        <w:t>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19</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采购人联系人：陈工</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cs="宋体"/>
          <w:color w:val="auto"/>
          <w:szCs w:val="21"/>
          <w:highlight w:val="none"/>
        </w:rPr>
        <w:t>东莞市</w:t>
      </w:r>
      <w:r>
        <w:rPr>
          <w:rFonts w:hint="eastAsia" w:ascii="宋体" w:hAnsi="宋体" w:cs="宋体"/>
          <w:color w:val="auto"/>
          <w:szCs w:val="21"/>
          <w:highlight w:val="none"/>
          <w:lang w:eastAsia="zh-CN"/>
        </w:rPr>
        <w:t>大朗镇</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0769-83136222</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color w:val="auto"/>
          <w:highlight w:val="none"/>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p>
    <w:p>
      <w:pPr>
        <w:pStyle w:val="6"/>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393"/>
        <w:gridCol w:w="765"/>
        <w:gridCol w:w="3766"/>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90"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lang w:eastAsia="zh-CN"/>
              </w:rPr>
              <w:t>货物</w:t>
            </w:r>
            <w:r>
              <w:rPr>
                <w:rFonts w:hint="eastAsia" w:ascii="宋体" w:hAnsi="宋体" w:eastAsia="宋体" w:cs="宋体"/>
                <w:bCs/>
                <w:color w:val="auto"/>
                <w:sz w:val="21"/>
                <w:szCs w:val="21"/>
                <w:highlight w:val="none"/>
              </w:rPr>
              <w:sym w:font="Wingdings" w:char="00A8"/>
            </w:r>
            <w:r>
              <w:rPr>
                <w:rFonts w:hint="eastAsia" w:ascii="宋体" w:hAnsi="宋体" w:eastAsia="宋体" w:cs="宋体"/>
                <w:bCs/>
                <w:color w:val="auto"/>
                <w:sz w:val="21"/>
                <w:szCs w:val="21"/>
                <w:highlight w:val="none"/>
                <w:lang w:val="en-US" w:eastAsia="zh-CN"/>
              </w:rPr>
              <w:t xml:space="preserve">   服务</w:t>
            </w:r>
            <w:r>
              <w:rPr>
                <w:rFonts w:hint="eastAsia" w:ascii="宋体" w:hAnsi="宋体" w:eastAsia="宋体" w:cs="宋体"/>
                <w:bCs/>
                <w:color w:val="auto"/>
                <w:sz w:val="21"/>
                <w:szCs w:val="21"/>
                <w:highlight w:val="none"/>
                <w:lang w:val="en-US" w:eastAsia="zh-CN"/>
              </w:rPr>
              <w:sym w:font="Wingdings" w:char="00FE"/>
            </w:r>
            <w:r>
              <w:rPr>
                <w:rFonts w:hint="eastAsia" w:ascii="宋体" w:hAnsi="宋体" w:eastAsia="宋体" w:cs="宋体"/>
                <w:bCs/>
                <w:color w:val="auto"/>
                <w:sz w:val="21"/>
                <w:szCs w:val="21"/>
                <w:highlight w:val="none"/>
                <w:lang w:val="en-US" w:eastAsia="zh-CN"/>
              </w:rPr>
              <w:t xml:space="preserve">  工程</w:t>
            </w:r>
            <w:r>
              <w:rPr>
                <w:rFonts w:hint="eastAsia" w:ascii="宋体" w:hAnsi="宋体" w:eastAsia="宋体" w:cs="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自筹</w:t>
            </w:r>
            <w:r>
              <w:rPr>
                <w:rFonts w:hint="eastAsia" w:ascii="宋体" w:hAnsi="宋体" w:eastAsia="宋体" w:cs="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766" w:type="dxa"/>
            <w:gridSpan w:val="3"/>
            <w:vAlign w:val="center"/>
          </w:tcPr>
          <w:p>
            <w:pPr>
              <w:shd w:val="clea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政通招标网</w:t>
            </w:r>
          </w:p>
        </w:tc>
        <w:tc>
          <w:tcPr>
            <w:tcW w:w="37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b/>
                <w:color w:val="auto"/>
                <w:sz w:val="21"/>
                <w:szCs w:val="21"/>
                <w:highlight w:val="none"/>
              </w:rPr>
              <w:t>中国招标投标公共服务平台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766" w:type="dxa"/>
            <w:gridSpan w:val="3"/>
            <w:vAlign w:val="center"/>
          </w:tcPr>
          <w:p>
            <w:pPr>
              <w:shd w:val="clear"/>
              <w:jc w:val="center"/>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http://www.zttendering.com/</w:t>
            </w:r>
          </w:p>
        </w:tc>
        <w:tc>
          <w:tcPr>
            <w:tcW w:w="37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1"/>
                <w:szCs w:val="21"/>
                <w:highlight w:val="none"/>
              </w:rPr>
            </w:pPr>
            <w:r>
              <w:rPr>
                <w:rFonts w:ascii="宋体" w:hAnsi="宋体" w:eastAsia="宋体"/>
                <w:bCs/>
                <w:color w:val="auto"/>
                <w:sz w:val="21"/>
                <w:szCs w:val="21"/>
                <w:highlight w:val="none"/>
              </w:rPr>
              <w:t>http://www.cebpubservice.com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“●”为核心产品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本项目无核心产品</w:t>
            </w:r>
            <w:r>
              <w:rPr>
                <w:rFonts w:hint="eastAsia" w:ascii="宋体" w:hAnsi="宋体" w:eastAsia="宋体" w:cs="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投标保证金</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信用中国</w:t>
            </w:r>
          </w:p>
        </w:tc>
        <w:tc>
          <w:tcPr>
            <w:tcW w:w="453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https://www.creditchina.gov.cn/</w:t>
            </w:r>
          </w:p>
        </w:tc>
        <w:tc>
          <w:tcPr>
            <w:tcW w:w="453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投标文件类型</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唱标文件</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投标文件正本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投标文件副本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电子文档</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477"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7532" w:type="dxa"/>
            <w:gridSpan w:val="4"/>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履约保证金的数额为采购合同金额的</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收 款 人：</w:t>
            </w:r>
            <w:r>
              <w:rPr>
                <w:rFonts w:hint="eastAsia" w:ascii="宋体" w:hAnsi="宋体" w:eastAsia="宋体" w:cs="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45" w:hRule="atLeast"/>
        </w:trPr>
        <w:tc>
          <w:tcPr>
            <w:tcW w:w="8410"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rPr>
          <w:rFonts w:hint="eastAsia"/>
          <w:color w:val="auto"/>
          <w:sz w:val="28"/>
          <w:szCs w:val="28"/>
          <w:highlight w:val="none"/>
          <w:lang w:val="en-US" w:eastAsia="zh-CN"/>
        </w:rPr>
      </w:pPr>
      <w:bookmarkStart w:id="8" w:name="_Hlk55300595"/>
      <w:bookmarkStart w:id="9" w:name="_Toc5749"/>
      <w:bookmarkStart w:id="10" w:name="_Toc13473"/>
      <w:bookmarkStart w:id="11" w:name="_Toc9572"/>
    </w:p>
    <w:p>
      <w:pPr>
        <w:pStyle w:val="6"/>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7"/>
        <w:spacing w:before="0" w:after="0" w:line="240" w:lineRule="auto"/>
        <w:jc w:val="center"/>
        <w:rPr>
          <w:rFonts w:hint="eastAsia" w:ascii="宋体" w:hAnsi="宋体" w:eastAsia="宋体" w:cs="宋体"/>
          <w:color w:val="auto"/>
          <w:sz w:val="24"/>
          <w:szCs w:val="24"/>
          <w:highlight w:val="none"/>
        </w:rPr>
      </w:pPr>
      <w:bookmarkStart w:id="15" w:name="_Toc18413"/>
      <w:bookmarkStart w:id="16" w:name="_Toc216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20分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投标人具有</w:t>
            </w:r>
            <w:r>
              <w:rPr>
                <w:rFonts w:hint="eastAsia" w:ascii="宋体" w:hAnsi="宋体" w:eastAsia="宋体" w:cs="宋体"/>
                <w:color w:val="auto"/>
                <w:sz w:val="21"/>
                <w:szCs w:val="21"/>
                <w:highlight w:val="none"/>
                <w:lang w:val="zh-CN"/>
              </w:rPr>
              <w:t>广告牌</w:t>
            </w:r>
            <w:r>
              <w:rPr>
                <w:rFonts w:hint="eastAsia" w:ascii="宋体" w:hAnsi="宋体" w:eastAsia="宋体" w:cs="宋体"/>
                <w:color w:val="auto"/>
                <w:sz w:val="21"/>
                <w:szCs w:val="21"/>
                <w:highlight w:val="none"/>
              </w:rPr>
              <w:t>运营维护或广告牌制作或升级改造</w:t>
            </w:r>
            <w:r>
              <w:rPr>
                <w:rFonts w:hint="eastAsia" w:ascii="宋体" w:hAnsi="宋体" w:eastAsia="宋体" w:cs="宋体"/>
                <w:color w:val="auto"/>
                <w:sz w:val="21"/>
                <w:szCs w:val="21"/>
                <w:highlight w:val="none"/>
                <w:lang w:val="en-US" w:eastAsia="zh-CN"/>
              </w:rPr>
              <w:t>类业绩</w:t>
            </w:r>
            <w:r>
              <w:rPr>
                <w:rFonts w:hint="eastAsia" w:ascii="宋体" w:hAnsi="宋体" w:eastAsia="宋体" w:cs="宋体"/>
                <w:color w:val="auto"/>
                <w:sz w:val="21"/>
                <w:szCs w:val="21"/>
                <w:highlight w:val="none"/>
                <w:lang w:val="zh-CN"/>
              </w:rPr>
              <w:t>的，每</w:t>
            </w:r>
            <w:r>
              <w:rPr>
                <w:rFonts w:hint="eastAsia" w:ascii="宋体" w:hAnsi="宋体" w:eastAsia="宋体" w:cs="宋体"/>
                <w:color w:val="auto"/>
                <w:sz w:val="21"/>
                <w:szCs w:val="21"/>
                <w:highlight w:val="none"/>
                <w:lang w:val="en-US" w:eastAsia="zh-CN"/>
              </w:rPr>
              <w:t>提供一</w:t>
            </w:r>
            <w:r>
              <w:rPr>
                <w:rFonts w:hint="eastAsia" w:ascii="宋体" w:hAnsi="宋体" w:eastAsia="宋体" w:cs="宋体"/>
                <w:color w:val="auto"/>
                <w:sz w:val="21"/>
                <w:szCs w:val="21"/>
                <w:highlight w:val="none"/>
                <w:lang w:val="zh-CN"/>
              </w:rPr>
              <w:t>个</w:t>
            </w:r>
            <w:r>
              <w:rPr>
                <w:rFonts w:hint="eastAsia" w:ascii="宋体" w:hAnsi="宋体" w:eastAsia="宋体" w:cs="宋体"/>
                <w:color w:val="auto"/>
                <w:sz w:val="21"/>
                <w:szCs w:val="21"/>
                <w:highlight w:val="none"/>
                <w:lang w:val="en-US" w:eastAsia="zh-CN"/>
              </w:rPr>
              <w:t>合同业绩</w:t>
            </w:r>
            <w:r>
              <w:rPr>
                <w:rFonts w:hint="eastAsia" w:ascii="宋体" w:hAns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分，最高得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CN"/>
              </w:rPr>
              <w:t>分。</w:t>
            </w:r>
          </w:p>
          <w:p>
            <w:pPr>
              <w:pStyle w:val="38"/>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color w:val="auto"/>
                <w:sz w:val="21"/>
                <w:szCs w:val="21"/>
                <w:highlight w:val="none"/>
                <w:lang w:val="en-US" w:eastAsia="zh-CN"/>
              </w:rPr>
              <w:t>注：须提供</w:t>
            </w:r>
            <w:r>
              <w:rPr>
                <w:rFonts w:hint="eastAsia" w:ascii="宋体" w:hAnsi="宋体" w:eastAsia="宋体" w:cs="宋体"/>
                <w:color w:val="auto"/>
                <w:sz w:val="21"/>
                <w:szCs w:val="21"/>
                <w:highlight w:val="none"/>
                <w:lang w:val="zh-CN"/>
              </w:rPr>
              <w:t>合同复印件</w:t>
            </w:r>
            <w:r>
              <w:rPr>
                <w:rFonts w:hint="eastAsia" w:ascii="宋体" w:hAnsi="宋体" w:eastAsia="宋体" w:cs="宋体"/>
                <w:color w:val="auto"/>
                <w:sz w:val="21"/>
                <w:szCs w:val="21"/>
                <w:highlight w:val="none"/>
                <w:lang w:val="en-US" w:eastAsia="zh-CN"/>
              </w:rPr>
              <w:t>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服务便利性</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根据投标人提供的服务承诺响应时间进行评审：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承诺在接到采购人通知后1小时（含）内到现场，得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承诺在接到采购人通知后2小时（含）内到现场，得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bookmarkStart w:id="321" w:name="_GoBack"/>
            <w:bookmarkEnd w:id="321"/>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小时（含）内到现场，得1分；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其它不得分。</w:t>
            </w:r>
          </w:p>
          <w:p>
            <w:pPr>
              <w:pStyle w:val="38"/>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注：须提供服务承诺书，并加盖投标人公章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50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根据各投标人</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服务</w:t>
            </w:r>
            <w:r>
              <w:rPr>
                <w:rFonts w:hint="eastAsia" w:ascii="宋体" w:hAnsi="宋体" w:eastAsia="宋体" w:cs="宋体"/>
                <w:color w:val="auto"/>
                <w:kern w:val="2"/>
                <w:sz w:val="21"/>
                <w:szCs w:val="21"/>
                <w:highlight w:val="none"/>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提供的</w:t>
            </w:r>
            <w:r>
              <w:rPr>
                <w:rFonts w:hint="eastAsia" w:ascii="宋体" w:hAnsi="宋体" w:eastAsia="宋体" w:cs="宋体"/>
                <w:color w:val="auto"/>
                <w:spacing w:val="0"/>
                <w:w w:val="100"/>
                <w:position w:val="0"/>
                <w:sz w:val="21"/>
                <w:szCs w:val="21"/>
                <w:highlight w:val="none"/>
                <w:lang w:val="en-US" w:eastAsia="zh-CN" w:bidi="zh-TW"/>
              </w:rPr>
              <w:t>服务</w:t>
            </w:r>
            <w:r>
              <w:rPr>
                <w:rFonts w:hint="eastAsia" w:ascii="宋体" w:hAnsi="宋体" w:eastAsia="宋体" w:cs="宋体"/>
                <w:color w:val="auto"/>
                <w:kern w:val="2"/>
                <w:sz w:val="21"/>
                <w:szCs w:val="21"/>
                <w:highlight w:val="none"/>
              </w:rPr>
              <w:t>方案</w:t>
            </w:r>
            <w:r>
              <w:rPr>
                <w:rFonts w:hint="eastAsia" w:ascii="宋体" w:hAnsi="宋体" w:eastAsia="宋体" w:cs="宋体"/>
                <w:bCs/>
                <w:color w:val="auto"/>
                <w:sz w:val="21"/>
                <w:szCs w:val="21"/>
                <w:highlight w:val="none"/>
              </w:rPr>
              <w:t>（包括但不限于作业区域的作业内容、作业时间、作业方法、日常巡查及自检保障措施等）进行</w:t>
            </w:r>
            <w:r>
              <w:rPr>
                <w:rFonts w:hint="eastAsia" w:ascii="宋体" w:hAns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方案筹划周全、非常有时效性，有完整规划的操作流程，非常有利于项目实施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方案筹划较周全、较有时效性，有较完整规划的操作流程，有利于项目实施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方案筹划一般，有基本的时效性，操作流程一般，基本能满足项目要求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方案筹划及时效性有所欠缺，操作流程不能完全满足项目要求</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安全作业措施方案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根据投标人对本项目编制的安全作业措施方案进行综合评审：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方案详尽</w:t>
            </w:r>
            <w:r>
              <w:rPr>
                <w:rFonts w:hint="eastAsia" w:ascii="宋体" w:hAnsi="宋体" w:eastAsia="宋体" w:cs="宋体"/>
                <w:bCs/>
                <w:color w:val="auto"/>
                <w:kern w:val="2"/>
                <w:sz w:val="21"/>
                <w:szCs w:val="21"/>
                <w:highlight w:val="none"/>
                <w:lang w:val="en-US" w:eastAsia="zh-CN"/>
              </w:rPr>
              <w:t>科学</w:t>
            </w:r>
            <w:r>
              <w:rPr>
                <w:rFonts w:hint="eastAsia" w:ascii="宋体" w:hAnsi="宋体" w:eastAsia="宋体" w:cs="宋体"/>
                <w:bCs/>
                <w:color w:val="auto"/>
                <w:kern w:val="2"/>
                <w:sz w:val="21"/>
                <w:szCs w:val="21"/>
                <w:highlight w:val="none"/>
                <w:lang w:val="zh-CN"/>
              </w:rPr>
              <w:t>、针对性强，相应措施合理可行，有利于项目实施，得</w:t>
            </w:r>
            <w:r>
              <w:rPr>
                <w:rFonts w:hint="eastAsia" w:ascii="宋体"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方案较详尽，针对性基本符合要求，相应的措施基本合理可行，得</w:t>
            </w:r>
            <w:r>
              <w:rPr>
                <w:rFonts w:hint="eastAsia" w:ascii="宋体" w:hAnsi="宋体" w:eastAsia="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方案全面性一般，针对性一般，相应的措施可行性一般，得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w:t>
            </w:r>
            <w:r>
              <w:rPr>
                <w:rFonts w:hint="eastAsia" w:ascii="宋体" w:hAnsi="宋体" w:eastAsia="宋体" w:cs="宋体"/>
                <w:bCs/>
                <w:color w:val="auto"/>
                <w:kern w:val="2"/>
                <w:sz w:val="21"/>
                <w:szCs w:val="21"/>
                <w:highlight w:val="none"/>
                <w:lang w:val="en-US" w:eastAsia="zh-CN"/>
              </w:rPr>
              <w:t>不全面</w:t>
            </w:r>
            <w:r>
              <w:rPr>
                <w:rFonts w:hint="eastAsia" w:ascii="宋体" w:hAnsi="宋体" w:eastAsia="宋体" w:cs="宋体"/>
                <w:bCs/>
                <w:color w:val="auto"/>
                <w:kern w:val="2"/>
                <w:sz w:val="21"/>
                <w:szCs w:val="21"/>
                <w:highlight w:val="none"/>
                <w:lang w:val="zh-CN"/>
              </w:rPr>
              <w:t>，针对性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，相应的措施可行性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质量保证措施方案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根据投标人是否能根据本项目要求提供详细的服务质量方案保证目标及分期目标，并提供具体可行、详细的保证措施等进行综合评审：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措施科学完整，质量保证目标明确及具有合理具体的分期目标，针对性强，可行性强，可操作性强，得</w:t>
            </w:r>
            <w:r>
              <w:rPr>
                <w:rFonts w:hint="eastAsia" w:ascii="宋体" w:hAnsi="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措施基本完整，质量保证目标明确及具有分期目标，针对性一般，可行性一般，可操性一般，得</w:t>
            </w:r>
            <w:r>
              <w:rPr>
                <w:rFonts w:hint="eastAsia" w:ascii="宋体" w:hAnsi="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措施基本完整，质量保证目标不明确，分期目标不具体，针对性差，可行性一般，可操作性一般，得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措施不完整，质量保证目标不明确，分期目标不具体，针对性差，可行性差，可操作性差，得1分；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应急</w:t>
            </w:r>
            <w:r>
              <w:rPr>
                <w:rFonts w:hint="eastAsia" w:ascii="宋体" w:hAnsi="宋体" w:eastAsia="宋体" w:cs="宋体"/>
                <w:color w:val="auto"/>
                <w:kern w:val="2"/>
                <w:sz w:val="21"/>
                <w:szCs w:val="21"/>
                <w:highlight w:val="none"/>
                <w:lang w:val="en-US" w:eastAsia="zh-CN"/>
              </w:rPr>
              <w:t>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w:t>
            </w:r>
            <w:r>
              <w:rPr>
                <w:rFonts w:hint="eastAsia" w:ascii="宋体" w:hAnsi="宋体" w:eastAsia="宋体" w:cs="宋体"/>
                <w:bCs/>
                <w:color w:val="auto"/>
                <w:kern w:val="2"/>
                <w:sz w:val="21"/>
                <w:szCs w:val="21"/>
                <w:highlight w:val="none"/>
                <w:lang w:val="en-US" w:eastAsia="zh-CN"/>
              </w:rPr>
              <w:t>投标人</w:t>
            </w:r>
            <w:r>
              <w:rPr>
                <w:rFonts w:hint="eastAsia" w:ascii="宋体" w:hAnsi="宋体" w:eastAsia="宋体" w:cs="宋体"/>
                <w:bCs/>
                <w:color w:val="auto"/>
                <w:kern w:val="2"/>
                <w:sz w:val="21"/>
                <w:szCs w:val="21"/>
                <w:highlight w:val="none"/>
                <w:lang w:val="zh-CN"/>
              </w:rPr>
              <w:t>针对台风、暴雨等天气影响，重大接待任务，重大节假日或活动等特殊情况制定的应急方案（包括传达机制、人员和设备调配、责任分工等）进行</w:t>
            </w:r>
            <w:r>
              <w:rPr>
                <w:rFonts w:hint="eastAsia" w:ascii="宋体" w:hAnsi="宋体" w:eastAsia="宋体" w:cs="宋体"/>
                <w:bCs/>
                <w:color w:val="auto"/>
                <w:kern w:val="2"/>
                <w:sz w:val="21"/>
                <w:szCs w:val="21"/>
                <w:highlight w:val="none"/>
                <w:lang w:val="en-US" w:eastAsia="zh-CN"/>
              </w:rPr>
              <w:t>综合</w:t>
            </w:r>
            <w:r>
              <w:rPr>
                <w:rFonts w:hint="eastAsia" w:ascii="宋体" w:hAnsi="宋体" w:eastAsia="宋体" w:cs="宋体"/>
                <w:bCs/>
                <w:color w:val="auto"/>
                <w:kern w:val="2"/>
                <w:sz w:val="21"/>
                <w:szCs w:val="21"/>
                <w:highlight w:val="none"/>
                <w:lang w:val="zh-CN"/>
              </w:rPr>
              <w:t>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应急方案详尽完整、针对性强，相应的应急措施切实有效可行，得</w:t>
            </w:r>
            <w:r>
              <w:rPr>
                <w:rFonts w:hint="eastAsia" w:ascii="宋体" w:hAnsi="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应急方案较详尽完整、针对性较强，相应的应急措施</w:t>
            </w:r>
            <w:r>
              <w:rPr>
                <w:rFonts w:hint="eastAsia" w:ascii="宋体" w:hAnsi="宋体" w:eastAsia="宋体" w:cs="宋体"/>
                <w:bCs/>
                <w:color w:val="auto"/>
                <w:kern w:val="2"/>
                <w:sz w:val="21"/>
                <w:szCs w:val="21"/>
                <w:highlight w:val="none"/>
                <w:lang w:val="en-US" w:eastAsia="zh-CN"/>
              </w:rPr>
              <w:t>较</w:t>
            </w:r>
            <w:r>
              <w:rPr>
                <w:rFonts w:hint="eastAsia" w:ascii="宋体" w:hAnsi="宋体" w:eastAsia="宋体" w:cs="宋体"/>
                <w:bCs/>
                <w:color w:val="auto"/>
                <w:kern w:val="2"/>
                <w:sz w:val="21"/>
                <w:szCs w:val="21"/>
                <w:highlight w:val="none"/>
                <w:lang w:val="zh-CN"/>
              </w:rPr>
              <w:t>合理可行，得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应急方案基本满足要求、针对性一般，相应的应急措施基本合理，得</w:t>
            </w:r>
            <w:r>
              <w:rPr>
                <w:rFonts w:hint="eastAsia" w:ascii="宋体" w:hAnsi="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应急方案不能满足要求、针对</w:t>
            </w:r>
            <w:r>
              <w:rPr>
                <w:rFonts w:hint="eastAsia" w:ascii="宋体" w:hAnsi="宋体" w:eastAsia="宋体" w:cs="宋体"/>
                <w:bCs/>
                <w:color w:val="auto"/>
                <w:kern w:val="2"/>
                <w:sz w:val="21"/>
                <w:szCs w:val="21"/>
                <w:highlight w:val="none"/>
                <w:lang w:val="en-US" w:eastAsia="zh-CN"/>
              </w:rPr>
              <w:t>性</w:t>
            </w:r>
            <w:r>
              <w:rPr>
                <w:rFonts w:hint="eastAsia" w:ascii="宋体" w:hAnsi="宋体" w:eastAsia="宋体" w:cs="宋体"/>
                <w:bCs/>
                <w:color w:val="auto"/>
                <w:kern w:val="2"/>
                <w:sz w:val="21"/>
                <w:szCs w:val="21"/>
                <w:highlight w:val="none"/>
                <w:lang w:val="zh-CN"/>
              </w:rPr>
              <w:t>差、应急措施不合理，得1分；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rPr>
              <w:t>人员配置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投标人组织架构中主要管理人员和各类技术人员</w:t>
            </w:r>
            <w:r>
              <w:rPr>
                <w:rFonts w:hint="eastAsia" w:ascii="宋体" w:hAnsi="宋体" w:eastAsia="宋体" w:cs="宋体"/>
                <w:color w:val="auto"/>
                <w:sz w:val="21"/>
                <w:szCs w:val="21"/>
                <w:highlight w:val="none"/>
                <w:lang w:val="en-US" w:eastAsia="zh-CN"/>
              </w:rPr>
              <w:t>进行评审：</w:t>
            </w:r>
          </w:p>
          <w:p>
            <w:pPr>
              <w:pStyle w:val="38"/>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主要管理人员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具有二级（或以上）建造师及中级（或以上）职称的，得3分，最高得3分；</w:t>
            </w:r>
          </w:p>
          <w:p>
            <w:pPr>
              <w:pStyle w:val="38"/>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各类技术人员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具有电工证书的，每一个得1分，最高得3分。</w:t>
            </w:r>
          </w:p>
          <w:p>
            <w:pPr>
              <w:pStyle w:val="38"/>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本项最高得6分。</w:t>
            </w:r>
          </w:p>
          <w:p>
            <w:pPr>
              <w:pStyle w:val="38"/>
              <w:keepNext w:val="0"/>
              <w:keepLines w:val="0"/>
              <w:pageBreakBefore w:val="0"/>
              <w:kinsoku/>
              <w:wordWrap/>
              <w:overflowPunct/>
              <w:topLinePunct w:val="0"/>
              <w:autoSpaceDE/>
              <w:autoSpaceDN/>
              <w:bidi w:val="0"/>
              <w:spacing w:line="240" w:lineRule="auto"/>
              <w:ind w:firstLine="420" w:firstLineChars="200"/>
              <w:jc w:val="left"/>
              <w:textAlignment w:val="auto"/>
              <w:rPr>
                <w:rFonts w:hint="default"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须提供人员证书及投标人为其</w:t>
            </w:r>
            <w:r>
              <w:rPr>
                <w:rFonts w:hint="eastAsia" w:ascii="宋体" w:eastAsia="宋体" w:cs="宋体"/>
                <w:color w:val="auto"/>
                <w:sz w:val="21"/>
                <w:szCs w:val="21"/>
                <w:highlight w:val="none"/>
                <w:lang w:val="en-US" w:eastAsia="zh-CN"/>
              </w:rPr>
              <w:t>购买的距开标前6个月内（不含开标当月）</w:t>
            </w:r>
            <w:r>
              <w:rPr>
                <w:rFonts w:hint="eastAsia" w:ascii="宋体" w:hAnsi="宋体" w:eastAsia="宋体" w:cs="宋体"/>
                <w:color w:val="auto"/>
                <w:sz w:val="21"/>
                <w:szCs w:val="21"/>
                <w:highlight w:val="none"/>
              </w:rPr>
              <w:t>任意三个月社会养老保险的有效凭证复印件加盖投标人公章</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rPr>
              <w:t>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30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rPr>
          <w:rFonts w:hint="eastAsia" w:ascii="宋体" w:hAnsi="宋体" w:eastAsia="宋体" w:cs="宋体"/>
          <w:color w:val="auto"/>
          <w:sz w:val="24"/>
          <w:szCs w:val="24"/>
          <w:highlight w:val="none"/>
        </w:rPr>
      </w:pPr>
    </w:p>
    <w:p>
      <w:pPr>
        <w:pStyle w:val="2"/>
      </w:pPr>
    </w:p>
    <w:p>
      <w:pPr>
        <w:bidi w:val="0"/>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rPr>
          <w:rFonts w:hint="eastAsia"/>
          <w:color w:val="auto"/>
          <w:highlight w:val="none"/>
        </w:rPr>
      </w:pPr>
    </w:p>
    <w:p>
      <w:pPr>
        <w:pStyle w:val="2"/>
        <w:rPr>
          <w:rFonts w:hint="eastAsia"/>
          <w:color w:val="auto"/>
          <w:highlight w:val="none"/>
        </w:rPr>
      </w:pPr>
    </w:p>
    <w:p>
      <w:pPr>
        <w:bidi w:val="0"/>
        <w:rPr>
          <w:rFonts w:hint="eastAsia"/>
        </w:rPr>
      </w:pPr>
    </w:p>
    <w:p>
      <w:pPr>
        <w:pStyle w:val="31"/>
        <w:rPr>
          <w:rFonts w:hint="eastAsia"/>
          <w:color w:val="auto"/>
          <w:highlight w:val="none"/>
        </w:rPr>
      </w:pPr>
    </w:p>
    <w:p>
      <w:pPr>
        <w:pStyle w:val="31"/>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6"/>
        <w:spacing w:before="0" w:after="0" w:line="240" w:lineRule="auto"/>
        <w:rPr>
          <w:color w:val="auto"/>
          <w:sz w:val="24"/>
          <w:szCs w:val="24"/>
          <w:highlight w:val="none"/>
        </w:rPr>
      </w:pPr>
      <w:bookmarkStart w:id="17" w:name="_Toc30638"/>
      <w:bookmarkStart w:id="18" w:name="_Toc2479"/>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7"/>
        <w:numPr>
          <w:ilvl w:val="0"/>
          <w:numId w:val="0"/>
        </w:numPr>
        <w:spacing w:before="0" w:after="0" w:line="480" w:lineRule="auto"/>
        <w:ind w:leftChars="0"/>
        <w:jc w:val="center"/>
        <w:rPr>
          <w:rFonts w:ascii="宋体" w:hAnsi="宋体" w:eastAsia="宋体"/>
          <w:color w:val="auto"/>
          <w:highlight w:val="none"/>
        </w:rPr>
      </w:pPr>
      <w:bookmarkStart w:id="21" w:name="_Toc19746"/>
      <w:bookmarkStart w:id="22" w:name="_Toc11105"/>
      <w:bookmarkStart w:id="23" w:name="_Toc309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8"/>
        <w:widowControl w:val="0"/>
        <w:overflowPunct w:val="0"/>
        <w:spacing w:before="0" w:after="0" w:line="240" w:lineRule="auto"/>
        <w:rPr>
          <w:rFonts w:ascii="宋体" w:hAnsi="宋体" w:eastAsia="宋体"/>
          <w:color w:val="auto"/>
          <w:sz w:val="21"/>
          <w:szCs w:val="21"/>
          <w:highlight w:val="none"/>
        </w:rPr>
      </w:pPr>
      <w:bookmarkStart w:id="24" w:name="_Toc22847"/>
      <w:bookmarkStart w:id="25" w:name="_Toc18488"/>
      <w:bookmarkStart w:id="26" w:name="_Toc22803"/>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27" w:name="_Toc13400"/>
      <w:bookmarkStart w:id="28" w:name="_Toc21002"/>
      <w:bookmarkStart w:id="29" w:name="_Toc16848"/>
      <w:r>
        <w:rPr>
          <w:rFonts w:hint="eastAsia" w:ascii="宋体" w:hAnsi="宋体" w:eastAsia="宋体"/>
          <w:color w:val="auto"/>
          <w:sz w:val="21"/>
          <w:szCs w:val="21"/>
          <w:highlight w:val="none"/>
        </w:rPr>
        <w:t>2.</w:t>
      </w:r>
      <w:bookmarkStart w:id="30" w:name="_Toc303084246"/>
      <w:bookmarkStart w:id="31" w:name="_Toc382049092"/>
      <w:bookmarkStart w:id="32" w:name="_Toc298847174"/>
      <w:bookmarkStart w:id="33" w:name="_Toc1530"/>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color w:val="auto"/>
          <w:sz w:val="21"/>
          <w:szCs w:val="21"/>
          <w:highlight w:val="none"/>
          <w:lang w:val="en-US" w:eastAsia="zh-CN"/>
        </w:rPr>
        <w:t>东莞市大朗市场采购贸易服务中心</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w:t>
      </w:r>
      <w:r>
        <w:rPr>
          <w:rFonts w:hint="eastAsia" w:ascii="宋体" w:hAnsi="宋体"/>
          <w:color w:val="auto"/>
          <w:szCs w:val="21"/>
          <w:highlight w:val="none"/>
        </w:rPr>
        <w:t>评标委员会是依据相关规定组建的专门负责本次招标其评标工作的临时性机构。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34" w:name="_Toc9710"/>
      <w:bookmarkStart w:id="35" w:name="_Toc2996"/>
      <w:bookmarkStart w:id="36" w:name="_Toc3780"/>
      <w:r>
        <w:rPr>
          <w:rFonts w:hint="eastAsia" w:ascii="宋体" w:hAnsi="宋体" w:eastAsia="宋体"/>
          <w:color w:val="auto"/>
          <w:sz w:val="21"/>
          <w:szCs w:val="21"/>
          <w:highlight w:val="none"/>
        </w:rPr>
        <w:t>3.货物和服务</w:t>
      </w:r>
      <w:bookmarkEnd w:id="34"/>
      <w:bookmarkEnd w:id="35"/>
      <w:bookmarkEnd w:id="36"/>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rPr>
          <w:color w:val="auto"/>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3909"/>
      <w:bookmarkStart w:id="39" w:name="_Toc15945"/>
      <w:r>
        <w:rPr>
          <w:rFonts w:hint="eastAsia" w:ascii="宋体" w:hAnsi="宋体" w:eastAsia="宋体"/>
          <w:color w:val="auto"/>
          <w:sz w:val="21"/>
          <w:szCs w:val="21"/>
          <w:highlight w:val="none"/>
        </w:rPr>
        <w:t>4.投标费用</w:t>
      </w:r>
      <w:bookmarkEnd w:id="37"/>
      <w:bookmarkEnd w:id="38"/>
      <w:bookmarkEnd w:id="39"/>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40" w:name="_Toc25040"/>
      <w:bookmarkStart w:id="41" w:name="_Toc19532"/>
      <w:bookmarkStart w:id="42" w:name="_Toc19094"/>
      <w:r>
        <w:rPr>
          <w:rFonts w:hint="eastAsia" w:ascii="宋体" w:hAnsi="宋体" w:eastAsia="宋体"/>
          <w:color w:val="auto"/>
          <w:sz w:val="21"/>
          <w:szCs w:val="21"/>
          <w:highlight w:val="none"/>
        </w:rPr>
        <w:t>5.知识产权</w:t>
      </w:r>
      <w:bookmarkEnd w:id="40"/>
      <w:bookmarkEnd w:id="41"/>
      <w:bookmarkEnd w:id="42"/>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43" w:name="_Toc8432"/>
      <w:bookmarkStart w:id="44" w:name="_Toc31885"/>
      <w:bookmarkStart w:id="45" w:name="_Toc21930"/>
      <w:r>
        <w:rPr>
          <w:rFonts w:hint="eastAsia" w:ascii="宋体" w:hAnsi="宋体" w:eastAsia="宋体"/>
          <w:color w:val="auto"/>
          <w:sz w:val="21"/>
          <w:szCs w:val="21"/>
          <w:highlight w:val="none"/>
        </w:rPr>
        <w:t>6.关于联合体投标</w:t>
      </w:r>
      <w:bookmarkEnd w:id="43"/>
      <w:bookmarkEnd w:id="44"/>
      <w:bookmarkEnd w:id="45"/>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w:t>
      </w:r>
      <w:r>
        <w:rPr>
          <w:rFonts w:hint="eastAsia" w:ascii="宋体" w:hAnsi="宋体"/>
          <w:color w:val="auto"/>
          <w:szCs w:val="21"/>
          <w:highlight w:val="none"/>
        </w:rPr>
        <w:t>应具有独立承担民事责任能力的法人或其他组织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8"/>
        <w:widowControl w:val="0"/>
        <w:overflowPunct w:val="0"/>
        <w:spacing w:before="0" w:after="0" w:line="240" w:lineRule="auto"/>
        <w:rPr>
          <w:rFonts w:ascii="宋体" w:hAnsi="宋体" w:eastAsia="宋体"/>
          <w:color w:val="auto"/>
          <w:sz w:val="21"/>
          <w:szCs w:val="21"/>
          <w:highlight w:val="none"/>
        </w:rPr>
      </w:pPr>
      <w:bookmarkStart w:id="46" w:name="_Toc13811"/>
      <w:bookmarkStart w:id="47" w:name="_Toc16571"/>
      <w:bookmarkStart w:id="48" w:name="_Toc3233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8"/>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4217"/>
      <w:bookmarkStart w:id="57" w:name="_Toc17274"/>
      <w:bookmarkStart w:id="58" w:name="_Toc7997"/>
      <w:r>
        <w:rPr>
          <w:rFonts w:hint="eastAsia" w:ascii="宋体" w:hAnsi="宋体" w:eastAsia="宋体"/>
          <w:color w:val="auto"/>
          <w:sz w:val="21"/>
          <w:szCs w:val="21"/>
          <w:highlight w:val="none"/>
        </w:rPr>
        <w:t>9.招标文件的澄清或修改</w:t>
      </w:r>
      <w:bookmarkEnd w:id="56"/>
      <w:bookmarkEnd w:id="57"/>
      <w:bookmarkEnd w:id="58"/>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59" w:name="_Toc4773"/>
      <w:bookmarkStart w:id="60" w:name="_Toc23726"/>
      <w:bookmarkStart w:id="61" w:name="_Toc16712"/>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0623"/>
      <w:bookmarkStart w:id="63" w:name="_Toc7434"/>
      <w:bookmarkStart w:id="64" w:name="_Toc28092"/>
      <w:r>
        <w:rPr>
          <w:rFonts w:hint="eastAsia" w:ascii="宋体" w:hAnsi="宋体" w:eastAsia="宋体"/>
          <w:color w:val="auto"/>
          <w:sz w:val="21"/>
          <w:szCs w:val="21"/>
          <w:highlight w:val="none"/>
        </w:rPr>
        <w:t>10.投标文件的语言及度量衡单位</w:t>
      </w:r>
      <w:bookmarkEnd w:id="62"/>
      <w:bookmarkEnd w:id="63"/>
      <w:bookmarkEnd w:id="6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12145"/>
      <w:bookmarkStart w:id="66" w:name="_Toc303084256"/>
      <w:bookmarkStart w:id="67" w:name="_Toc18999"/>
      <w:bookmarkStart w:id="68" w:name="_Toc7728"/>
      <w:bookmarkStart w:id="69" w:name="_Toc307934854"/>
      <w:bookmarkStart w:id="70" w:name="_Toc382049103"/>
      <w:bookmarkStart w:id="71" w:name="_Toc28866"/>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0189"/>
      <w:bookmarkStart w:id="73" w:name="_Toc21747"/>
      <w:bookmarkStart w:id="74" w:name="_Toc3882"/>
      <w:r>
        <w:rPr>
          <w:rFonts w:hint="eastAsia" w:ascii="宋体" w:hAnsi="宋体" w:eastAsia="宋体"/>
          <w:color w:val="auto"/>
          <w:sz w:val="21"/>
          <w:szCs w:val="21"/>
          <w:highlight w:val="none"/>
        </w:rPr>
        <w:t>12.投标文件编制</w:t>
      </w:r>
      <w:bookmarkEnd w:id="72"/>
      <w:bookmarkEnd w:id="73"/>
      <w:bookmarkEnd w:id="7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5"/>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5"/>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17188"/>
      <w:bookmarkStart w:id="77" w:name="_Toc259"/>
      <w:bookmarkStart w:id="78" w:name="_Toc7847"/>
      <w:r>
        <w:rPr>
          <w:rFonts w:hint="eastAsia" w:ascii="宋体" w:hAnsi="宋体" w:eastAsia="宋体"/>
          <w:color w:val="auto"/>
          <w:sz w:val="21"/>
          <w:szCs w:val="21"/>
          <w:highlight w:val="none"/>
        </w:rPr>
        <w:t>13.投标报价说明</w:t>
      </w:r>
      <w:bookmarkEnd w:id="76"/>
      <w:bookmarkEnd w:id="77"/>
      <w:bookmarkEnd w:id="78"/>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8911"/>
      <w:bookmarkStart w:id="80" w:name="_Toc27724"/>
      <w:bookmarkStart w:id="81" w:name="_Toc16535"/>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38"/>
      <w:bookmarkEnd w:id="82"/>
      <w:bookmarkStart w:id="83" w:name="_Hlt10792566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5"/>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19520"/>
      <w:bookmarkStart w:id="85" w:name="_Toc30815"/>
      <w:bookmarkStart w:id="86" w:name="_Toc22169"/>
      <w:r>
        <w:rPr>
          <w:rFonts w:hint="eastAsia" w:ascii="宋体" w:hAnsi="宋体" w:eastAsia="宋体"/>
          <w:color w:val="auto"/>
          <w:sz w:val="21"/>
          <w:szCs w:val="21"/>
          <w:highlight w:val="none"/>
        </w:rPr>
        <w:t>15.★投标有效期</w:t>
      </w:r>
      <w:bookmarkEnd w:id="84"/>
      <w:bookmarkEnd w:id="85"/>
      <w:bookmarkEnd w:id="86"/>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25817"/>
      <w:bookmarkStart w:id="88" w:name="_Toc30257"/>
      <w:bookmarkStart w:id="89" w:name="_Toc12456"/>
      <w:r>
        <w:rPr>
          <w:rFonts w:hint="eastAsia" w:ascii="宋体" w:hAnsi="宋体" w:eastAsia="宋体"/>
          <w:color w:val="auto"/>
          <w:sz w:val="21"/>
          <w:szCs w:val="21"/>
          <w:highlight w:val="none"/>
        </w:rPr>
        <w:t>16.投标保证金</w:t>
      </w:r>
      <w:bookmarkEnd w:id="87"/>
      <w:bookmarkEnd w:id="88"/>
      <w:bookmarkEnd w:id="89"/>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91" w:name="_Toc3200"/>
      <w:bookmarkStart w:id="92" w:name="_Toc31124"/>
      <w:bookmarkStart w:id="93" w:name="_Toc24109"/>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23678"/>
      <w:bookmarkStart w:id="95" w:name="_Toc24997"/>
      <w:bookmarkStart w:id="96" w:name="_Toc473"/>
      <w:bookmarkStart w:id="97" w:name="_Toc29590"/>
      <w:bookmarkStart w:id="98" w:name="_Toc303084264"/>
      <w:bookmarkStart w:id="99" w:name="_Toc382049111"/>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8628"/>
      <w:bookmarkStart w:id="101" w:name="_Toc7473"/>
      <w:bookmarkStart w:id="102" w:name="_Toc17417"/>
      <w:r>
        <w:rPr>
          <w:rFonts w:hint="eastAsia" w:ascii="宋体" w:hAnsi="宋体" w:eastAsia="宋体"/>
          <w:color w:val="auto"/>
          <w:sz w:val="21"/>
          <w:szCs w:val="21"/>
          <w:highlight w:val="none"/>
        </w:rPr>
        <w:t>18.迟交的投标文件</w:t>
      </w:r>
      <w:bookmarkEnd w:id="100"/>
      <w:bookmarkEnd w:id="101"/>
      <w:bookmarkEnd w:id="102"/>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8526"/>
      <w:bookmarkStart w:id="105" w:name="_Toc19649"/>
      <w:r>
        <w:rPr>
          <w:rFonts w:hint="eastAsia" w:ascii="宋体" w:hAnsi="宋体" w:eastAsia="宋体"/>
          <w:color w:val="auto"/>
          <w:sz w:val="21"/>
          <w:szCs w:val="21"/>
          <w:highlight w:val="none"/>
        </w:rPr>
        <w:t>19.投标样品（如需提交）</w:t>
      </w:r>
      <w:bookmarkEnd w:id="103"/>
      <w:bookmarkEnd w:id="104"/>
      <w:bookmarkEnd w:id="105"/>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303084265"/>
      <w:bookmarkStart w:id="107" w:name="_Toc5900"/>
      <w:bookmarkStart w:id="108" w:name="_Toc7689"/>
      <w:bookmarkStart w:id="109" w:name="_Toc382049112"/>
      <w:bookmarkStart w:id="110" w:name="_Toc23477"/>
      <w:bookmarkStart w:id="111" w:name="_Toc9777"/>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6003"/>
      <w:bookmarkStart w:id="113" w:name="_Toc11133"/>
      <w:bookmarkStart w:id="114" w:name="_Toc15569"/>
      <w:r>
        <w:rPr>
          <w:rFonts w:hint="eastAsia" w:ascii="宋体" w:hAnsi="宋体" w:eastAsia="宋体"/>
          <w:color w:val="auto"/>
          <w:sz w:val="21"/>
          <w:szCs w:val="21"/>
          <w:highlight w:val="none"/>
        </w:rPr>
        <w:t>21.投标文件的补充、修改与撤回</w:t>
      </w:r>
      <w:bookmarkEnd w:id="112"/>
      <w:bookmarkEnd w:id="113"/>
      <w:bookmarkEnd w:id="11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2"/>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115" w:name="_Toc23466"/>
      <w:bookmarkStart w:id="116" w:name="_Toc29574"/>
      <w:bookmarkStart w:id="117" w:name="_Toc5049"/>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4251"/>
      <w:bookmarkStart w:id="119" w:name="_Toc27700"/>
      <w:bookmarkStart w:id="120" w:name="_Toc28458"/>
      <w:r>
        <w:rPr>
          <w:rFonts w:hint="eastAsia" w:ascii="宋体" w:hAnsi="宋体" w:eastAsia="宋体"/>
          <w:color w:val="auto"/>
          <w:sz w:val="21"/>
          <w:szCs w:val="21"/>
          <w:highlight w:val="none"/>
        </w:rPr>
        <w:t>22.开标</w:t>
      </w:r>
      <w:bookmarkEnd w:id="118"/>
      <w:bookmarkEnd w:id="119"/>
      <w:bookmarkEnd w:id="120"/>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524"/>
      <w:bookmarkStart w:id="122" w:name="_Toc5974"/>
      <w:bookmarkStart w:id="123" w:name="_Toc4921"/>
      <w:r>
        <w:rPr>
          <w:rFonts w:hint="eastAsia" w:ascii="宋体" w:hAnsi="宋体" w:eastAsia="宋体"/>
          <w:color w:val="auto"/>
          <w:sz w:val="21"/>
          <w:szCs w:val="21"/>
          <w:highlight w:val="none"/>
        </w:rPr>
        <w:t>23.评标委员会及评标方法</w:t>
      </w:r>
      <w:bookmarkEnd w:id="121"/>
      <w:bookmarkEnd w:id="122"/>
      <w:bookmarkEnd w:id="123"/>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w:t>
      </w:r>
      <w:r>
        <w:rPr>
          <w:rFonts w:hint="eastAsia" w:hAnsi="宋体"/>
          <w:szCs w:val="21"/>
        </w:rPr>
        <w:t>最后综合得分排名</w:t>
      </w:r>
      <w:r>
        <w:rPr>
          <w:rFonts w:hint="eastAsia" w:hAnsi="宋体"/>
          <w:szCs w:val="21"/>
          <w:lang w:val="en-US" w:eastAsia="zh-CN"/>
        </w:rPr>
        <w:t>第一</w:t>
      </w:r>
      <w:r>
        <w:rPr>
          <w:rFonts w:hint="eastAsia" w:hAnsi="宋体"/>
          <w:szCs w:val="21"/>
        </w:rPr>
        <w:t>的投标人为中标人</w:t>
      </w:r>
      <w:r>
        <w:rPr>
          <w:rFonts w:hint="eastAsia" w:hAnsi="宋体"/>
          <w:szCs w:val="21"/>
          <w:lang w:eastAsia="zh-CN"/>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32730"/>
      <w:bookmarkStart w:id="125" w:name="_Toc26402"/>
      <w:bookmarkStart w:id="126" w:name="_Toc15231"/>
      <w:r>
        <w:rPr>
          <w:rFonts w:hint="eastAsia" w:ascii="宋体" w:hAnsi="宋体" w:eastAsia="宋体"/>
          <w:color w:val="auto"/>
          <w:sz w:val="21"/>
          <w:szCs w:val="21"/>
          <w:highlight w:val="none"/>
        </w:rPr>
        <w:t>24.评审原则及评标过程的保密</w:t>
      </w:r>
      <w:bookmarkEnd w:id="124"/>
      <w:bookmarkEnd w:id="125"/>
      <w:bookmarkEnd w:id="126"/>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w:t>
      </w:r>
      <w:r>
        <w:rPr>
          <w:rFonts w:hint="eastAsia" w:ascii="宋体" w:hAnsi="宋体"/>
          <w:color w:val="auto"/>
          <w:szCs w:val="21"/>
          <w:highlight w:val="none"/>
        </w:rPr>
        <w:t>评标委员会将依据招标文件的规定，遵循“公开、公平、公正、择优、信用”的原则进行评审工作。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8436"/>
      <w:bookmarkStart w:id="128" w:name="_Toc3762"/>
      <w:bookmarkStart w:id="129" w:name="_Toc16745"/>
      <w:r>
        <w:rPr>
          <w:rFonts w:hint="eastAsia" w:ascii="宋体" w:hAnsi="宋体" w:eastAsia="宋体"/>
          <w:color w:val="auto"/>
          <w:sz w:val="21"/>
          <w:szCs w:val="21"/>
          <w:highlight w:val="none"/>
        </w:rPr>
        <w:t>25.投标文件的初审</w:t>
      </w:r>
      <w:bookmarkEnd w:id="127"/>
      <w:bookmarkEnd w:id="128"/>
      <w:bookmarkEnd w:id="129"/>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1742"/>
      <w:bookmarkStart w:id="131" w:name="_Toc29184"/>
      <w:bookmarkStart w:id="132" w:name="_Toc27673"/>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w:t>
      </w:r>
      <w:r>
        <w:rPr>
          <w:rFonts w:hint="eastAsia" w:ascii="宋体" w:hAnsi="宋体"/>
          <w:color w:val="auto"/>
          <w:sz w:val="21"/>
          <w:szCs w:val="21"/>
          <w:highlight w:val="none"/>
          <w:lang w:eastAsia="zh-CN"/>
        </w:rPr>
        <w:t>，</w:t>
      </w:r>
      <w:r>
        <w:rPr>
          <w:rFonts w:hint="eastAsia" w:hAnsi="宋体"/>
          <w:szCs w:val="21"/>
        </w:rPr>
        <w:t>最后综合得分排名</w:t>
      </w:r>
      <w:r>
        <w:rPr>
          <w:rFonts w:hint="eastAsia" w:hAnsi="宋体"/>
          <w:szCs w:val="21"/>
          <w:lang w:val="en-US" w:eastAsia="zh-CN"/>
        </w:rPr>
        <w:t>第一</w:t>
      </w:r>
      <w:r>
        <w:rPr>
          <w:rFonts w:hint="eastAsia" w:hAnsi="宋体"/>
          <w:szCs w:val="21"/>
        </w:rPr>
        <w:t>的投标人为中标人</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316375620"/>
      <w:bookmarkStart w:id="134" w:name="_Toc382049120"/>
      <w:bookmarkStart w:id="135" w:name="_Toc22591"/>
      <w:bookmarkStart w:id="136" w:name="_Toc20328"/>
      <w:bookmarkStart w:id="137" w:name="_Toc12115"/>
      <w:bookmarkStart w:id="138" w:name="_Toc31141"/>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.纪律和</w:t>
      </w:r>
      <w:r>
        <w:rPr>
          <w:rFonts w:ascii="宋体" w:hAnsi="宋体" w:eastAsia="宋体"/>
          <w:color w:val="auto"/>
          <w:sz w:val="21"/>
          <w:szCs w:val="21"/>
          <w:highlight w:val="none"/>
        </w:rPr>
        <w:t>保密</w:t>
      </w:r>
      <w:bookmarkEnd w:id="133"/>
      <w:r>
        <w:rPr>
          <w:rFonts w:hint="eastAsia" w:ascii="宋体" w:hAnsi="宋体" w:eastAsia="宋体"/>
          <w:color w:val="auto"/>
          <w:sz w:val="21"/>
          <w:szCs w:val="21"/>
          <w:highlight w:val="none"/>
        </w:rPr>
        <w:t>事项</w:t>
      </w:r>
      <w:bookmarkEnd w:id="134"/>
      <w:bookmarkEnd w:id="135"/>
      <w:bookmarkEnd w:id="136"/>
      <w:bookmarkEnd w:id="137"/>
      <w:bookmarkEnd w:id="138"/>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139" w:name="_Toc12251"/>
      <w:bookmarkStart w:id="140" w:name="_Toc5528"/>
      <w:bookmarkStart w:id="141" w:name="_Toc29310"/>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39"/>
      <w:bookmarkEnd w:id="140"/>
      <w:bookmarkEnd w:id="141"/>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2" w:name="_Toc27817"/>
      <w:bookmarkStart w:id="143" w:name="_Toc17778"/>
      <w:bookmarkStart w:id="144" w:name="_Toc508284011"/>
      <w:bookmarkStart w:id="145" w:name="_Toc6696"/>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w:t>
      </w:r>
      <w:r>
        <w:rPr>
          <w:rFonts w:ascii="宋体" w:hAnsi="宋体" w:eastAsia="宋体"/>
          <w:color w:val="auto"/>
          <w:sz w:val="21"/>
          <w:szCs w:val="21"/>
          <w:highlight w:val="none"/>
        </w:rPr>
        <w:t>合同授予标准</w:t>
      </w:r>
      <w:bookmarkEnd w:id="142"/>
      <w:bookmarkEnd w:id="143"/>
      <w:bookmarkEnd w:id="144"/>
      <w:bookmarkEnd w:id="145"/>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6" w:name="_Toc508284013"/>
      <w:bookmarkStart w:id="147" w:name="_Toc23136"/>
      <w:bookmarkStart w:id="148" w:name="_Toc29283"/>
      <w:bookmarkStart w:id="149" w:name="_Toc12440"/>
      <w:r>
        <w:rPr>
          <w:rFonts w:hint="eastAsia" w:ascii="宋体" w:hAnsi="宋体" w:eastAsia="宋体"/>
          <w:color w:val="auto"/>
          <w:sz w:val="21"/>
          <w:szCs w:val="21"/>
          <w:highlight w:val="none"/>
          <w:lang w:val="en-US" w:eastAsia="zh-CN"/>
        </w:rPr>
        <w:t>29</w:t>
      </w:r>
      <w:r>
        <w:rPr>
          <w:rFonts w:hint="eastAsia" w:ascii="宋体" w:hAnsi="宋体" w:eastAsia="宋体"/>
          <w:color w:val="auto"/>
          <w:sz w:val="21"/>
          <w:szCs w:val="21"/>
          <w:highlight w:val="none"/>
        </w:rPr>
        <w:t>.发布采购结果</w:t>
      </w:r>
      <w:bookmarkEnd w:id="146"/>
      <w:bookmarkEnd w:id="147"/>
      <w:bookmarkEnd w:id="148"/>
      <w:bookmarkEnd w:id="149"/>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0" w:name="_Toc27279"/>
      <w:bookmarkStart w:id="151" w:name="_Toc22451"/>
      <w:bookmarkStart w:id="152" w:name="_Toc22262"/>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.合同的签订与履行</w:t>
      </w:r>
      <w:bookmarkEnd w:id="150"/>
      <w:bookmarkEnd w:id="151"/>
      <w:bookmarkEnd w:id="152"/>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7405"/>
      <w:bookmarkStart w:id="154" w:name="_Toc2744"/>
      <w:bookmarkStart w:id="155" w:name="_Toc303084277"/>
      <w:bookmarkStart w:id="156" w:name="_Toc29009"/>
      <w:bookmarkStart w:id="157" w:name="_Toc382049124"/>
      <w:bookmarkStart w:id="158" w:name="_Toc25756"/>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3"/>
      <w:bookmarkEnd w:id="154"/>
      <w:bookmarkEnd w:id="155"/>
      <w:bookmarkEnd w:id="156"/>
      <w:bookmarkEnd w:id="157"/>
      <w:bookmarkEnd w:id="158"/>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159" w:name="_Toc7360"/>
      <w:bookmarkStart w:id="160" w:name="_Toc13694"/>
      <w:bookmarkStart w:id="161"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59"/>
      <w:bookmarkEnd w:id="160"/>
      <w:bookmarkEnd w:id="161"/>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2" w:name="_Toc25498"/>
      <w:bookmarkStart w:id="163" w:name="_Toc22900"/>
      <w:bookmarkStart w:id="164" w:name="_Toc1797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.询问</w:t>
      </w:r>
      <w:bookmarkEnd w:id="162"/>
      <w:bookmarkEnd w:id="163"/>
      <w:bookmarkEnd w:id="164"/>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11264"/>
      <w:bookmarkStart w:id="166" w:name="_Toc8234"/>
      <w:bookmarkStart w:id="167" w:name="_Toc2767"/>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.质疑</w:t>
      </w:r>
      <w:bookmarkEnd w:id="165"/>
      <w:bookmarkEnd w:id="166"/>
      <w:bookmarkEnd w:id="167"/>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以联合体形式参加采购活动的，其质疑应当由组成联合体的所有投标人共同提出。</w:t>
      </w:r>
    </w:p>
    <w:p>
      <w:pPr>
        <w:rPr>
          <w:color w:val="auto"/>
          <w:highlight w:val="none"/>
        </w:rPr>
      </w:pPr>
    </w:p>
    <w:p>
      <w:pPr>
        <w:pStyle w:val="7"/>
        <w:numPr>
          <w:ilvl w:val="0"/>
          <w:numId w:val="0"/>
        </w:numPr>
        <w:spacing w:before="0" w:after="0" w:line="480" w:lineRule="auto"/>
        <w:ind w:leftChars="0"/>
        <w:jc w:val="center"/>
        <w:rPr>
          <w:rFonts w:ascii="宋体" w:hAnsi="宋体" w:eastAsia="宋体"/>
          <w:color w:val="auto"/>
          <w:highlight w:val="none"/>
        </w:rPr>
      </w:pPr>
      <w:bookmarkStart w:id="168" w:name="_Toc5690"/>
      <w:bookmarkStart w:id="169" w:name="_Toc8919"/>
      <w:bookmarkStart w:id="170" w:name="_Toc24383"/>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68"/>
      <w:bookmarkEnd w:id="169"/>
      <w:bookmarkEnd w:id="170"/>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1" w:name="_Toc21187"/>
      <w:bookmarkStart w:id="172" w:name="_Toc10082"/>
      <w:bookmarkStart w:id="173" w:name="_Toc6548"/>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.招标文件的解释权</w:t>
      </w:r>
      <w:bookmarkEnd w:id="171"/>
      <w:bookmarkEnd w:id="172"/>
      <w:bookmarkEnd w:id="173"/>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w:t>
      </w:r>
      <w:r>
        <w:rPr>
          <w:rFonts w:hint="eastAsia" w:ascii="宋体" w:hAnsi="宋体"/>
          <w:color w:val="auto"/>
          <w:sz w:val="21"/>
          <w:szCs w:val="21"/>
          <w:highlight w:val="none"/>
          <w:lang w:val="en-US" w:eastAsia="zh-CN"/>
        </w:rPr>
        <w:t>220406</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6"/>
        <w:spacing w:before="0" w:after="0" w:line="240" w:lineRule="auto"/>
        <w:rPr>
          <w:rFonts w:hint="eastAsia"/>
          <w:color w:val="auto"/>
          <w:sz w:val="28"/>
          <w:szCs w:val="28"/>
          <w:highlight w:val="none"/>
        </w:rPr>
      </w:pPr>
      <w:bookmarkStart w:id="174" w:name="_Toc7011"/>
      <w:bookmarkStart w:id="175" w:name="_Toc31854"/>
      <w:bookmarkStart w:id="176" w:name="_Toc38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4"/>
      <w:bookmarkEnd w:id="175"/>
      <w:bookmarkEnd w:id="176"/>
    </w:p>
    <w:p>
      <w:pPr>
        <w:pStyle w:val="7"/>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77" w:name="_Toc1593"/>
      <w:bookmarkStart w:id="178" w:name="_Toc19316"/>
      <w:r>
        <w:rPr>
          <w:rFonts w:hint="eastAsia" w:ascii="宋体" w:hAnsi="宋体"/>
          <w:color w:val="auto"/>
          <w:highlight w:val="none"/>
          <w:lang w:val="en-US" w:eastAsia="zh-CN"/>
        </w:rPr>
        <w:t>第一章 商务需求书</w:t>
      </w:r>
      <w:bookmarkEnd w:id="177"/>
    </w:p>
    <w:tbl>
      <w:tblPr>
        <w:tblStyle w:val="24"/>
        <w:tblW w:w="506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7"/>
        <w:gridCol w:w="67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color w:val="auto"/>
                <w:szCs w:val="21"/>
                <w:highlight w:val="none"/>
                <w:lang w:val="en-US" w:eastAsia="zh-CN"/>
              </w:rPr>
              <w:t>租赁</w:t>
            </w:r>
            <w:r>
              <w:rPr>
                <w:rFonts w:hint="eastAsia" w:ascii="宋体" w:hAnsi="宋体" w:eastAsia="宋体"/>
                <w:color w:val="auto"/>
                <w:szCs w:val="21"/>
                <w:highlight w:val="none"/>
                <w:lang w:eastAsia="zh-CN"/>
              </w:rPr>
              <w:t>服务期</w:t>
            </w:r>
          </w:p>
        </w:tc>
        <w:tc>
          <w:tcPr>
            <w:tcW w:w="6736" w:type="dxa"/>
            <w:vAlign w:val="center"/>
          </w:tcPr>
          <w:p>
            <w:pPr>
              <w:spacing w:after="0" w:line="360" w:lineRule="auto"/>
              <w:ind w:firstLine="420" w:firstLineChars="200"/>
              <w:rPr>
                <w:rFonts w:hint="eastAsia" w:ascii="宋体" w:hAnsi="宋体" w:cs="宋体"/>
                <w:color w:val="auto"/>
                <w:szCs w:val="21"/>
                <w:highlight w:val="none"/>
                <w:lang w:val="zh-CN" w:bidi="zh-CN"/>
              </w:rPr>
            </w:pPr>
            <w:r>
              <w:rPr>
                <w:rFonts w:hint="eastAsia" w:ascii="宋体" w:hAnsi="宋体" w:cs="宋体"/>
                <w:color w:val="auto"/>
                <w:szCs w:val="21"/>
                <w:highlight w:val="none"/>
                <w:lang w:val="zh-CN" w:bidi="zh-CN"/>
              </w:rPr>
              <w:t>中标供应商须于采购人提出制作要求后</w:t>
            </w:r>
            <w:r>
              <w:rPr>
                <w:rFonts w:hint="eastAsia" w:ascii="宋体" w:hAnsi="宋体" w:cs="宋体"/>
                <w:color w:val="auto"/>
                <w:szCs w:val="21"/>
                <w:highlight w:val="none"/>
                <w:lang w:val="en-US" w:bidi="zh-CN"/>
              </w:rPr>
              <w:t>25</w:t>
            </w:r>
            <w:r>
              <w:rPr>
                <w:rFonts w:hint="eastAsia" w:ascii="宋体" w:hAnsi="宋体" w:cs="宋体"/>
                <w:color w:val="auto"/>
                <w:szCs w:val="21"/>
                <w:highlight w:val="none"/>
                <w:lang w:val="zh-CN" w:bidi="zh-CN"/>
              </w:rPr>
              <w:t>天内完成广告的制作与投放。本项目租赁服务时间为一年。</w:t>
            </w:r>
          </w:p>
          <w:p>
            <w:pPr>
              <w:spacing w:after="0" w:line="360" w:lineRule="auto"/>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如租赁服务期到期后，经采购人核准及中标人同意后，在同等条件的要求之下，可继续与中标人按一年一签模式续签合同，延长服务期。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付款方式</w:t>
            </w:r>
          </w:p>
        </w:tc>
        <w:tc>
          <w:tcPr>
            <w:tcW w:w="673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cs="宋体"/>
                <w:color w:val="auto"/>
                <w:szCs w:val="21"/>
                <w:highlight w:val="none"/>
                <w:lang w:val="zh-CN" w:bidi="zh-CN"/>
              </w:rPr>
            </w:pPr>
            <w:r>
              <w:rPr>
                <w:rFonts w:hint="eastAsia" w:ascii="宋体" w:hAnsi="宋体" w:cs="宋体"/>
                <w:color w:val="auto"/>
                <w:szCs w:val="21"/>
                <w:highlight w:val="none"/>
                <w:lang w:val="zh-CN" w:bidi="zh-CN"/>
              </w:rPr>
              <w:t xml:space="preserve">1.合同签订后，中标人完成广告牌制作且验收合格后，支付合同金额的100%，在采购人付款前，中标人应开具相应金额的、合法有效的增值税普通发票提供给采购人。因中标人原因或采购人财政请款原因导致付款迟延的，采购人不以违约论。 </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cs="宋体"/>
                <w:color w:val="auto"/>
                <w:szCs w:val="21"/>
                <w:highlight w:val="none"/>
                <w:lang w:val="zh-CN" w:bidi="zh-CN"/>
              </w:rPr>
            </w:pPr>
            <w:r>
              <w:rPr>
                <w:rFonts w:hint="eastAsia" w:ascii="宋体" w:hAnsi="宋体" w:cs="宋体"/>
                <w:color w:val="auto"/>
                <w:szCs w:val="21"/>
                <w:highlight w:val="none"/>
                <w:lang w:val="zh-CN" w:bidi="zh-CN"/>
              </w:rPr>
              <w:t>2. 投标报价内容包含完成本次招标所有服务内容的内容，其中包括工人费、劳保费、保险费、材料费、设备使用费、各种税费及合同实施过程中不可预见费用等。</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3. 根据现行税法规定对中标人或其雇员征收的与本合同有关的一切税费均应由中标人负担。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项目地点</w:t>
            </w:r>
          </w:p>
        </w:tc>
        <w:tc>
          <w:tcPr>
            <w:tcW w:w="673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default" w:ascii="宋体" w:hAnsi="宋体" w:cs="宋体"/>
                <w:color w:val="auto"/>
                <w:szCs w:val="21"/>
                <w:highlight w:val="none"/>
                <w:lang w:val="en-US" w:bidi="zh-CN"/>
              </w:rPr>
            </w:pPr>
            <w:r>
              <w:rPr>
                <w:rFonts w:hint="eastAsia" w:ascii="宋体" w:hAnsi="宋体"/>
                <w:color w:val="auto"/>
                <w:szCs w:val="21"/>
                <w:highlight w:val="none"/>
                <w:lang w:val="en-US" w:eastAsia="zh-CN"/>
              </w:rPr>
              <w:t>采购人指定地点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5"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报价</w:t>
            </w:r>
            <w:r>
              <w:rPr>
                <w:rFonts w:hint="eastAsia" w:ascii="宋体" w:hAnsi="宋体" w:eastAsia="宋体"/>
                <w:color w:val="auto"/>
                <w:szCs w:val="21"/>
                <w:highlight w:val="none"/>
                <w:lang w:eastAsia="zh-CN"/>
              </w:rPr>
              <w:t>要求</w:t>
            </w:r>
          </w:p>
        </w:tc>
        <w:tc>
          <w:tcPr>
            <w:tcW w:w="673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s="宋体"/>
                <w:b w:val="0"/>
                <w:bCs/>
                <w:color w:val="auto"/>
                <w:sz w:val="21"/>
                <w:szCs w:val="21"/>
                <w:highlight w:val="none"/>
              </w:rPr>
              <w:t>本项目以人民币为结算单位，实行合同总价包干方式，投标人须对采购范围的全部内容进行报价。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5" w:hRule="atLeast"/>
        </w:trPr>
        <w:tc>
          <w:tcPr>
            <w:tcW w:w="1674" w:type="dxa"/>
            <w:vAlign w:val="center"/>
          </w:tcPr>
          <w:p>
            <w:pPr>
              <w:widowControl/>
              <w:wordWrap/>
              <w:adjustRightInd/>
              <w:snapToGrid/>
              <w:spacing w:after="0" w:line="240" w:lineRule="auto"/>
              <w:ind w:left="0" w:leftChars="0" w:right="0" w:rightChars="0" w:firstLine="0" w:firstLineChars="0"/>
              <w:jc w:val="center"/>
              <w:textAlignment w:val="auto"/>
              <w:outlineLvl w:val="9"/>
              <w:rPr>
                <w:rFonts w:hint="eastAsia" w:ascii="宋体" w:hAnsi="宋体" w:eastAsia="宋体"/>
                <w:color w:val="auto"/>
                <w:szCs w:val="21"/>
                <w:highlight w:val="none"/>
              </w:rPr>
            </w:pPr>
            <w:r>
              <w:rPr>
                <w:rFonts w:hint="eastAsia" w:ascii="宋体" w:hAnsi="宋体" w:eastAsia="宋体" w:cs="宋体"/>
                <w:b w:val="0"/>
                <w:bCs/>
                <w:color w:val="auto"/>
                <w:sz w:val="21"/>
                <w:szCs w:val="21"/>
                <w:highlight w:val="none"/>
              </w:rPr>
              <w:t>质保期</w:t>
            </w:r>
          </w:p>
        </w:tc>
        <w:tc>
          <w:tcPr>
            <w:tcW w:w="6736" w:type="dxa"/>
            <w:vAlign w:val="center"/>
          </w:tcPr>
          <w:p>
            <w:pPr>
              <w:widowControl/>
              <w:wordWrap/>
              <w:adjustRightInd/>
              <w:snapToGrid/>
              <w:spacing w:after="0" w:line="240" w:lineRule="auto"/>
              <w:ind w:left="0" w:leftChars="0" w:right="0" w:rightChars="0" w:firstLine="0" w:firstLineChars="0"/>
              <w:textAlignment w:val="auto"/>
              <w:outlineLvl w:val="9"/>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验收合格之日起一年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ascii="宋体" w:hAnsi="宋体" w:eastAsia="宋体"/>
                <w:color w:val="auto"/>
                <w:szCs w:val="21"/>
                <w:highlight w:val="none"/>
              </w:rPr>
              <w:t>合同条款</w:t>
            </w:r>
          </w:p>
        </w:tc>
        <w:tc>
          <w:tcPr>
            <w:tcW w:w="673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供应商</w:t>
            </w:r>
            <w:r>
              <w:rPr>
                <w:rFonts w:ascii="宋体" w:hAnsi="宋体" w:eastAsia="宋体"/>
                <w:color w:val="auto"/>
                <w:szCs w:val="21"/>
                <w:highlight w:val="none"/>
              </w:rPr>
              <w:t>实质响应合同各条款。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67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ascii="宋体" w:hAnsi="宋体" w:eastAsia="宋体"/>
                <w:color w:val="auto"/>
                <w:szCs w:val="21"/>
                <w:highlight w:val="none"/>
              </w:rPr>
              <w:t>其它要求</w:t>
            </w:r>
          </w:p>
        </w:tc>
        <w:tc>
          <w:tcPr>
            <w:tcW w:w="673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1、合同履行期间，项目如因政府政策原因而导致合同无法继续下去的，投标人应积极配合，采购人不对此负任何责任。</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bidi="zh-CN"/>
              </w:rPr>
            </w:pPr>
            <w:r>
              <w:rPr>
                <w:rFonts w:hint="eastAsia" w:ascii="宋体" w:hAnsi="宋体"/>
                <w:color w:val="auto"/>
                <w:szCs w:val="21"/>
                <w:highlight w:val="none"/>
                <w:lang w:val="en-US" w:eastAsia="zh-CN"/>
              </w:rPr>
              <w:t>2、</w:t>
            </w:r>
            <w:r>
              <w:rPr>
                <w:rFonts w:hint="eastAsia" w:ascii="宋体" w:hAnsi="宋体" w:eastAsia="宋体"/>
                <w:color w:val="auto"/>
                <w:szCs w:val="21"/>
                <w:highlight w:val="none"/>
              </w:rPr>
              <w:t>投标人应充分结合本招标文件上下文了解项目招标需求、采购文件未尽事宜，将在合同签订或项目执行过程中双方协商确定，供应商须无条件满足采购单位的合理要求。</w:t>
            </w:r>
          </w:p>
        </w:tc>
      </w:tr>
    </w:tbl>
    <w:p>
      <w:pPr>
        <w:bidi w:val="0"/>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lang w:val="en-US" w:eastAsia="zh-CN"/>
        </w:rPr>
      </w:pPr>
    </w:p>
    <w:p>
      <w:pPr>
        <w:rPr>
          <w:rFonts w:hint="eastAsia"/>
          <w:lang w:val="en-US" w:eastAsia="zh-CN"/>
        </w:rPr>
      </w:pPr>
    </w:p>
    <w:p>
      <w:pPr>
        <w:pStyle w:val="7"/>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78"/>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Arial"/>
          <w:b/>
          <w:bCs/>
          <w:color w:val="auto"/>
          <w:kern w:val="21"/>
          <w:sz w:val="24"/>
          <w:szCs w:val="24"/>
          <w:highlight w:val="none"/>
          <w:lang w:val="en-US" w:eastAsia="zh-CN"/>
        </w:rPr>
      </w:pPr>
      <w:bookmarkStart w:id="179" w:name="_Toc13112"/>
      <w:bookmarkStart w:id="180" w:name="_Toc31278"/>
      <w:bookmarkStart w:id="181" w:name="_Toc14462"/>
      <w:bookmarkStart w:id="182" w:name="_Toc24679"/>
      <w:r>
        <w:rPr>
          <w:rFonts w:hint="eastAsia" w:ascii="宋体" w:hAnsi="宋体" w:cs="Arial"/>
          <w:b/>
          <w:bCs/>
          <w:color w:val="auto"/>
          <w:kern w:val="21"/>
          <w:sz w:val="24"/>
          <w:szCs w:val="24"/>
          <w:highlight w:val="none"/>
          <w:lang w:val="en-US" w:eastAsia="zh-CN"/>
        </w:rPr>
        <w:t>一、户外广告牌要求</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户外</w:t>
      </w:r>
      <w:r>
        <w:rPr>
          <w:rFonts w:hint="eastAsia" w:ascii="宋体" w:hAnsi="宋体" w:eastAsia="宋体" w:cs="宋体"/>
          <w:color w:val="auto"/>
          <w:sz w:val="21"/>
          <w:szCs w:val="21"/>
          <w:highlight w:val="none"/>
          <w:lang w:eastAsia="zh-CN"/>
        </w:rPr>
        <w:t>广告牌：尺寸大于</w:t>
      </w:r>
      <w:r>
        <w:rPr>
          <w:rFonts w:hint="eastAsia" w:ascii="宋体" w:hAnsi="宋体" w:eastAsia="宋体" w:cs="宋体"/>
          <w:color w:val="auto"/>
          <w:sz w:val="21"/>
          <w:szCs w:val="21"/>
          <w:highlight w:val="none"/>
          <w:lang w:val="en-US" w:eastAsia="zh-CN"/>
        </w:rPr>
        <w:t>110</w:t>
      </w:r>
      <w:r>
        <w:rPr>
          <w:rFonts w:hint="eastAsia" w:ascii="宋体" w:hAnsi="宋体" w:eastAsia="宋体" w:cs="宋体"/>
          <w:color w:val="auto"/>
          <w:sz w:val="21"/>
          <w:szCs w:val="21"/>
          <w:highlight w:val="none"/>
          <w:lang w:eastAsia="zh-CN"/>
        </w:rPr>
        <w:t>平方米；PVC灯箱布，用户外高凊(720dpi) 260g</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520灯布户外灯布（</w:t>
      </w:r>
      <w:r>
        <w:rPr>
          <w:rFonts w:hint="eastAsia" w:ascii="宋体" w:hAnsi="宋体" w:eastAsia="宋体" w:cs="宋体"/>
          <w:color w:val="auto"/>
          <w:sz w:val="21"/>
          <w:szCs w:val="21"/>
          <w:highlight w:val="none"/>
          <w:lang w:val="en-US" w:eastAsia="zh-CN"/>
        </w:rPr>
        <w:t>背胶</w:t>
      </w:r>
      <w:r>
        <w:rPr>
          <w:rFonts w:hint="eastAsia" w:ascii="宋体" w:hAnsi="宋体" w:eastAsia="宋体" w:cs="宋体"/>
          <w:color w:val="auto"/>
          <w:sz w:val="21"/>
          <w:szCs w:val="21"/>
          <w:highlight w:val="none"/>
          <w:lang w:eastAsia="zh-CN"/>
        </w:rPr>
        <w:t>），电脑喷画；钢架抗8级以上风力，以当地气象部门发布风力等级为准；所用材料符合行业标准和安全标准。</w:t>
      </w:r>
      <w:r>
        <w:rPr>
          <w:rFonts w:hint="eastAsia"/>
          <w:color w:val="auto"/>
          <w:highlight w:val="none"/>
          <w:lang w:val="en-US" w:eastAsia="zh-CN"/>
        </w:rPr>
        <w:t>广告牌为单面或双面或三面大广告，广告牌设计图详见附件1；中标人可在设计图的基础上进行改良，经采购人采纳后投放。</w:t>
      </w:r>
    </w:p>
    <w:p>
      <w:pPr>
        <w:pStyle w:val="2"/>
        <w:rPr>
          <w:rFonts w:hint="default"/>
          <w:color w:val="auto"/>
          <w:highlight w:val="none"/>
          <w:lang w:val="en-US" w:eastAsia="zh-CN"/>
        </w:rPr>
      </w:pPr>
      <w:r>
        <w:rPr>
          <w:rFonts w:hint="default"/>
          <w:color w:val="auto"/>
          <w:highlight w:val="none"/>
          <w:lang w:val="en-US" w:eastAsia="zh-CN"/>
        </w:rPr>
        <w:drawing>
          <wp:inline distT="0" distB="0" distL="114300" distR="114300">
            <wp:extent cx="5260340" cy="3621405"/>
            <wp:effectExtent l="0" t="0" r="16510" b="17145"/>
            <wp:docPr id="16" name="图片 16" descr="359b4c35728a78d581173262220e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59b4c35728a78d581173262220edf6"/>
                    <pic:cNvPicPr>
                      <a:picLocks noChangeAspect="1"/>
                    </pic:cNvPicPr>
                  </pic:nvPicPr>
                  <pic:blipFill>
                    <a:blip r:embed="rId16"/>
                    <a:stretch>
                      <a:fillRect/>
                    </a:stretch>
                  </pic:blipFill>
                  <pic:spPr>
                    <a:xfrm>
                      <a:off x="0" y="0"/>
                      <a:ext cx="5260340" cy="3621405"/>
                    </a:xfrm>
                    <a:prstGeom prst="rect">
                      <a:avLst/>
                    </a:prstGeom>
                  </pic:spPr>
                </pic:pic>
              </a:graphicData>
            </a:graphic>
          </wp:inline>
        </w:drawing>
      </w:r>
    </w:p>
    <w:p>
      <w:pPr>
        <w:jc w:val="center"/>
        <w:rPr>
          <w:rFonts w:hint="default"/>
          <w:b/>
          <w:bCs/>
          <w:color w:val="auto"/>
          <w:highlight w:val="none"/>
          <w:lang w:val="en-US" w:eastAsia="zh-CN"/>
        </w:rPr>
      </w:pPr>
      <w:r>
        <w:rPr>
          <w:rFonts w:hint="eastAsia"/>
          <w:b/>
          <w:bCs/>
          <w:color w:val="auto"/>
          <w:highlight w:val="none"/>
          <w:lang w:val="en-US" w:eastAsia="zh-CN"/>
        </w:rPr>
        <w:t>附件1</w:t>
      </w:r>
    </w:p>
    <w:p>
      <w:pPr>
        <w:keepNext w:val="0"/>
        <w:keepLines w:val="0"/>
        <w:pageBreakBefore w:val="0"/>
        <w:widowControl w:val="0"/>
        <w:kinsoku/>
        <w:wordWrap/>
        <w:overflowPunct/>
        <w:topLinePunct w:val="0"/>
        <w:autoSpaceDE/>
        <w:autoSpaceDN/>
        <w:bidi w:val="0"/>
        <w:adjustRightInd/>
        <w:snapToGrid/>
        <w:spacing w:after="0" w:line="360" w:lineRule="auto"/>
        <w:ind w:right="0"/>
        <w:jc w:val="both"/>
        <w:textAlignment w:val="auto"/>
        <w:outlineLvl w:val="9"/>
        <w:rPr>
          <w:rFonts w:hint="eastAsia" w:ascii="宋体" w:hAnsi="宋体" w:eastAsia="宋体" w:cs="宋体"/>
          <w:b/>
          <w:color w:val="auto"/>
          <w:sz w:val="28"/>
          <w:szCs w:val="28"/>
          <w:highlight w:val="none"/>
          <w:lang w:val="en-US" w:eastAsia="zh-CN"/>
        </w:rPr>
      </w:pP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Arial"/>
          <w:b/>
          <w:bCs/>
          <w:color w:val="auto"/>
          <w:kern w:val="21"/>
          <w:sz w:val="24"/>
          <w:szCs w:val="24"/>
          <w:highlight w:val="none"/>
          <w:lang w:val="en-US" w:eastAsia="zh-CN"/>
        </w:rPr>
      </w:pPr>
      <w:r>
        <w:rPr>
          <w:rFonts w:hint="eastAsia" w:ascii="宋体" w:hAnsi="宋体" w:cs="Arial"/>
          <w:b/>
          <w:bCs/>
          <w:color w:val="auto"/>
          <w:kern w:val="21"/>
          <w:sz w:val="24"/>
          <w:szCs w:val="24"/>
          <w:highlight w:val="none"/>
          <w:lang w:val="en-US" w:eastAsia="zh-CN"/>
        </w:rPr>
        <w:t>二、户外广告牌位置</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户外广告牌位置：在东莞市麻涌镇范围内（与广州相邻地区）。广告牌</w:t>
      </w:r>
      <w:r>
        <w:rPr>
          <w:rFonts w:hint="eastAsia" w:ascii="宋体" w:hAnsi="宋体" w:eastAsia="宋体" w:cs="宋体"/>
          <w:color w:val="auto"/>
          <w:sz w:val="21"/>
          <w:szCs w:val="21"/>
          <w:highlight w:val="none"/>
          <w:lang w:eastAsia="zh-CN"/>
        </w:rPr>
        <w:t>纵向200米内不能有其他广告牌遮挡。</w:t>
      </w:r>
    </w:p>
    <w:p>
      <w:pPr>
        <w:keepNext w:val="0"/>
        <w:keepLines w:val="0"/>
        <w:pageBreakBefore w:val="0"/>
        <w:widowControl w:val="0"/>
        <w:kinsoku/>
        <w:wordWrap/>
        <w:overflowPunct/>
        <w:topLinePunct w:val="0"/>
        <w:autoSpaceDE/>
        <w:autoSpaceDN/>
        <w:bidi w:val="0"/>
        <w:adjustRightInd/>
        <w:snapToGrid/>
        <w:spacing w:after="0" w:line="360" w:lineRule="auto"/>
        <w:ind w:right="0"/>
        <w:jc w:val="both"/>
        <w:textAlignment w:val="auto"/>
        <w:outlineLvl w:val="9"/>
        <w:rPr>
          <w:rFonts w:hint="eastAsia" w:ascii="宋体" w:hAnsi="宋体" w:eastAsia="宋体" w:cs="宋体"/>
          <w:color w:val="auto"/>
          <w:sz w:val="21"/>
          <w:szCs w:val="21"/>
          <w:highlight w:val="none"/>
          <w:lang w:eastAsia="zh-CN"/>
        </w:rPr>
      </w:pP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Arial"/>
          <w:b/>
          <w:bCs/>
          <w:color w:val="auto"/>
          <w:kern w:val="21"/>
          <w:sz w:val="24"/>
          <w:szCs w:val="24"/>
          <w:highlight w:val="none"/>
          <w:lang w:val="en-US" w:eastAsia="zh-CN"/>
        </w:rPr>
      </w:pPr>
      <w:r>
        <w:rPr>
          <w:rFonts w:hint="eastAsia" w:ascii="宋体" w:hAnsi="宋体" w:cs="Arial"/>
          <w:b/>
          <w:bCs/>
          <w:color w:val="auto"/>
          <w:kern w:val="21"/>
          <w:sz w:val="24"/>
          <w:szCs w:val="24"/>
          <w:highlight w:val="none"/>
          <w:lang w:val="en-US" w:eastAsia="zh-CN"/>
        </w:rPr>
        <w:t>三、质量保证及售后服务</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标人必须严格执行户外广告管理规定，定时检查广告牌版面，不能有破损现象，保持广告版面清洁、字迹清晰，应承诺在画面合同期内如出现破损、残旧及恶劣天气（包括但不限于一至八级台风）等情况导致画面出现损坏的，中标人应在3天内重新安排上画，所涉及费用由中标人在投标报价中一次包干，在合同执行过程不再另行增加费用；广告牌在租赁期间的维护及一切安全责任由中标人负责，租赁期为一年（按照实际发布时间算起）。</w:t>
      </w:r>
    </w:p>
    <w:p>
      <w:pPr>
        <w:keepNext w:val="0"/>
        <w:keepLines w:val="0"/>
        <w:pageBreakBefore w:val="0"/>
        <w:widowControl w:val="0"/>
        <w:kinsoku/>
        <w:wordWrap/>
        <w:overflowPunct/>
        <w:topLinePunct w:val="0"/>
        <w:autoSpaceDE/>
        <w:autoSpaceDN/>
        <w:bidi w:val="0"/>
        <w:adjustRightInd/>
        <w:snapToGrid/>
        <w:spacing w:after="0" w:line="360" w:lineRule="auto"/>
        <w:ind w:right="0"/>
        <w:jc w:val="both"/>
        <w:textAlignment w:val="auto"/>
        <w:outlineLvl w:val="9"/>
        <w:rPr>
          <w:rFonts w:hint="eastAsia" w:ascii="宋体" w:hAnsi="宋体" w:eastAsia="宋体" w:cs="宋体"/>
          <w:b/>
          <w:color w:val="auto"/>
          <w:sz w:val="28"/>
          <w:szCs w:val="28"/>
          <w:highlight w:val="none"/>
          <w:lang w:val="en-US" w:eastAsia="zh-CN"/>
        </w:rPr>
      </w:pP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Arial"/>
          <w:b/>
          <w:bCs/>
          <w:color w:val="auto"/>
          <w:kern w:val="21"/>
          <w:sz w:val="24"/>
          <w:szCs w:val="24"/>
          <w:highlight w:val="none"/>
        </w:rPr>
      </w:pPr>
      <w:r>
        <w:rPr>
          <w:rFonts w:hint="eastAsia" w:ascii="宋体" w:hAnsi="宋体" w:cs="Arial"/>
          <w:b/>
          <w:bCs/>
          <w:color w:val="auto"/>
          <w:kern w:val="21"/>
          <w:sz w:val="24"/>
          <w:szCs w:val="24"/>
          <w:highlight w:val="none"/>
          <w:lang w:val="en-US" w:eastAsia="zh-CN"/>
        </w:rPr>
        <w:t>四、安装、调试及验收</w:t>
      </w:r>
      <w:r>
        <w:rPr>
          <w:rFonts w:hint="eastAsia" w:ascii="宋体" w:hAnsi="宋体" w:cs="Arial"/>
          <w:b/>
          <w:bCs/>
          <w:color w:val="auto"/>
          <w:kern w:val="21"/>
          <w:sz w:val="24"/>
          <w:szCs w:val="24"/>
          <w:highlight w:val="none"/>
        </w:rPr>
        <w:t>要求</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中标人需设该项目专门负责人，主要负责该项目施工前后的计划、协调、人力调配及工程质量、安全管理等工作。安装所需工具设施物料由中标人自备、自费运到现场，完工后自费搬走，并对安装现场进行清理，保证不对建设场地环境造成任何不良影响。安装过程发生的安装费、材料费、人工费、清理费等全部费用由中标人负责。</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2.验收：</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eastAsia="zh-CN"/>
        </w:rPr>
        <w:t>负责在项目验收时将全部货物有关的产品说明书、原厂家安装手册、技术文件、资料、及安装、验收报告等文档汇集成册交付采购人，货物在验收合格前出现损坏的，由供应商负责该损坏货物的免费更换或维修，</w:t>
      </w:r>
      <w:r>
        <w:rPr>
          <w:rFonts w:hint="eastAsia" w:ascii="宋体" w:hAnsi="宋体" w:eastAsia="宋体" w:cs="宋体"/>
          <w:color w:val="auto"/>
          <w:sz w:val="21"/>
          <w:szCs w:val="21"/>
          <w:highlight w:val="none"/>
          <w:lang w:val="en-US" w:eastAsia="zh-CN"/>
        </w:rPr>
        <w:t>货物最终验收须符合相关行业要求</w:t>
      </w:r>
      <w:r>
        <w:rPr>
          <w:rFonts w:hint="eastAsia" w:ascii="宋体" w:hAnsi="宋体" w:eastAsia="宋体" w:cs="宋体"/>
          <w:color w:val="auto"/>
          <w:sz w:val="21"/>
          <w:szCs w:val="21"/>
          <w:highlight w:val="none"/>
          <w:lang w:eastAsia="zh-CN"/>
        </w:rPr>
        <w:t>。 </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采购人有权要求采购的货物在中标人交付使用后邀请具备资质的第三方检测机构对中标人所提供的货物进行检测，由此所产生的一切费用由中标人负责。如出现采购的货物经第三方检测机构出具不合格或与投标文件中的货物不符，采购人有权拒绝验收及索赔。</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Arial"/>
          <w:b/>
          <w:bCs/>
          <w:color w:val="auto"/>
          <w:kern w:val="21"/>
          <w:sz w:val="24"/>
          <w:szCs w:val="24"/>
          <w:highlight w:val="none"/>
          <w:lang w:val="en-US" w:eastAsia="zh-CN"/>
        </w:rPr>
      </w:pP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Arial"/>
          <w:b/>
          <w:bCs/>
          <w:color w:val="auto"/>
          <w:kern w:val="21"/>
          <w:sz w:val="24"/>
          <w:szCs w:val="24"/>
          <w:highlight w:val="none"/>
        </w:rPr>
      </w:pPr>
      <w:r>
        <w:rPr>
          <w:rFonts w:hint="eastAsia" w:ascii="宋体" w:hAnsi="宋体" w:cs="Arial"/>
          <w:b/>
          <w:bCs/>
          <w:color w:val="auto"/>
          <w:kern w:val="21"/>
          <w:sz w:val="24"/>
          <w:szCs w:val="24"/>
          <w:highlight w:val="none"/>
          <w:lang w:val="en-US" w:eastAsia="zh-CN"/>
        </w:rPr>
        <w:t>五</w:t>
      </w:r>
      <w:r>
        <w:rPr>
          <w:rFonts w:hint="eastAsia" w:ascii="宋体" w:hAnsi="宋体" w:cs="Arial"/>
          <w:b/>
          <w:bCs/>
          <w:color w:val="auto"/>
          <w:kern w:val="21"/>
          <w:sz w:val="24"/>
          <w:szCs w:val="24"/>
          <w:highlight w:val="none"/>
        </w:rPr>
        <w:t>、其他要求</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1、中标方保证采购方使用该广告媒体及位置的合法性。</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2、投标人须承诺中标后出具政府的合法审批文件、且为自有媒体，不允许代理。</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3、中标方有义务对广告内容及表现形式的合法性进行核实，有权并应当要求采购方对广告作出合乎法律或法规的修改。</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4、中标方根据采购方提供的广告文案样稿负责办理广告发布、审批手续。</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5、中标方应负责广告牌的维护、保养。广告发布期间，如遇广告牌出现损坏、污染、设备故障等情况，中标应在24（二十四）小时内完成修理或清洗。</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6、中标方负责广告牌的安全。在广告位制作、安装、维修、拆除中因任何因素导致他人财产损失或人身伤害的，均由中标负责。</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7、中标方保证广告在发布期间不受任何物体（现有的林木及市政设施除外）的遮挡。</w:t>
      </w:r>
    </w:p>
    <w:p>
      <w:pPr>
        <w:pStyle w:val="6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8、项目未尽事宜将在采购合同中另行约定，中标单位需无条件同意采购单位基于为顺利完成本项目所提出的各项合理要求。</w:t>
      </w:r>
    </w:p>
    <w:p>
      <w:pPr>
        <w:bidi w:val="0"/>
        <w:rPr>
          <w:rFonts w:hint="eastAsia"/>
          <w:lang w:val="en-US" w:eastAsia="zh-CN"/>
        </w:rPr>
      </w:pPr>
    </w:p>
    <w:p>
      <w:pPr>
        <w:spacing w:after="0" w:line="360" w:lineRule="auto"/>
        <w:ind w:firstLine="422" w:firstLineChars="200"/>
        <w:rPr>
          <w:rFonts w:ascii="宋体" w:hAnsi="宋体" w:eastAsia="宋体" w:cs="宋体"/>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bidi w:val="0"/>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p>
      <w:pPr>
        <w:pStyle w:val="31"/>
        <w:rPr>
          <w:rFonts w:hint="default"/>
          <w:color w:val="auto"/>
          <w:highlight w:val="none"/>
          <w:lang w:val="en-US" w:eastAsia="zh-CN"/>
        </w:rPr>
      </w:pPr>
    </w:p>
    <w:bookmarkEnd w:id="179"/>
    <w:bookmarkEnd w:id="180"/>
    <w:bookmarkEnd w:id="181"/>
    <w:bookmarkEnd w:id="182"/>
    <w:p>
      <w:pPr>
        <w:pStyle w:val="6"/>
        <w:spacing w:before="0" w:after="0" w:line="240" w:lineRule="auto"/>
        <w:rPr>
          <w:color w:val="auto"/>
          <w:sz w:val="28"/>
          <w:szCs w:val="28"/>
          <w:highlight w:val="none"/>
        </w:rPr>
      </w:pPr>
      <w:bookmarkStart w:id="183" w:name="_Toc12485"/>
      <w:bookmarkStart w:id="184" w:name="_Toc21448"/>
      <w:bookmarkStart w:id="185"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3"/>
      <w:bookmarkEnd w:id="184"/>
      <w:bookmarkEnd w:id="185"/>
      <w:bookmarkStart w:id="186" w:name="_Toc13430"/>
      <w:bookmarkStart w:id="187" w:name="_Toc1534"/>
      <w:bookmarkStart w:id="188" w:name="_Toc21155"/>
    </w:p>
    <w:p>
      <w:pPr>
        <w:pStyle w:val="7"/>
        <w:spacing w:before="0" w:after="0" w:line="240" w:lineRule="auto"/>
        <w:jc w:val="center"/>
        <w:rPr>
          <w:rFonts w:ascii="宋体" w:hAnsi="宋体" w:eastAsia="宋体" w:cs="宋体"/>
          <w:color w:val="auto"/>
          <w:highlight w:val="none"/>
        </w:rPr>
      </w:pPr>
      <w:bookmarkStart w:id="189" w:name="_Toc16730"/>
      <w:bookmarkStart w:id="190" w:name="_Toc8880"/>
      <w:bookmarkStart w:id="191" w:name="_Toc19575"/>
      <w:r>
        <w:rPr>
          <w:rFonts w:hint="eastAsia" w:ascii="宋体" w:hAnsi="宋体" w:eastAsia="宋体" w:cs="宋体"/>
          <w:color w:val="auto"/>
          <w:highlight w:val="none"/>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2"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1、根据现行税法对甲方征收的与本合同有关的一切税费均应由甲方承担。</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2、根据现行税法规定对乙方或其雇员征收的与本合同有关的一切税费应由乙方承担。</w:t>
      </w:r>
    </w:p>
    <w:p>
      <w:pPr>
        <w:pStyle w:val="23"/>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highlight w:val="none"/>
        </w:rPr>
      </w:pPr>
      <w:bookmarkStart w:id="193"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4" w:name="_Toc86481569"/>
      <w:r>
        <w:rPr>
          <w:rFonts w:hint="eastAsia" w:ascii="宋体" w:hAnsi="宋体" w:eastAsia="宋体"/>
          <w:b/>
          <w:color w:val="auto"/>
          <w:sz w:val="21"/>
          <w:szCs w:val="21"/>
          <w:highlight w:val="none"/>
        </w:rPr>
        <w:t>第十二条 合同生效</w:t>
      </w:r>
      <w:bookmarkEnd w:id="19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3"/>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6"/>
        <w:spacing w:before="0" w:after="0" w:line="240" w:lineRule="auto"/>
        <w:rPr>
          <w:color w:val="auto"/>
          <w:sz w:val="28"/>
          <w:szCs w:val="28"/>
          <w:highlight w:val="none"/>
        </w:rPr>
      </w:pPr>
      <w:bookmarkStart w:id="195" w:name="_Toc1478"/>
      <w:bookmarkStart w:id="196" w:name="_Toc23749"/>
      <w:bookmarkStart w:id="197"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5"/>
      <w:bookmarkEnd w:id="196"/>
      <w:bookmarkEnd w:id="197"/>
    </w:p>
    <w:p>
      <w:pPr>
        <w:rPr>
          <w:color w:val="auto"/>
          <w:highlight w:val="none"/>
        </w:rPr>
      </w:pPr>
    </w:p>
    <w:p>
      <w:pPr>
        <w:pStyle w:val="7"/>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198" w:name="_Toc26830"/>
      <w:bookmarkStart w:id="199" w:name="_Toc6790"/>
      <w:bookmarkStart w:id="200" w:name="_Toc5794"/>
      <w:r>
        <w:rPr>
          <w:rFonts w:hint="eastAsia"/>
          <w:color w:val="auto"/>
          <w:highlight w:val="none"/>
        </w:rPr>
        <w:t>投标文件目录</w:t>
      </w:r>
      <w:bookmarkEnd w:id="198"/>
      <w:bookmarkEnd w:id="199"/>
      <w:bookmarkEnd w:id="200"/>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5670"/>
      <w:bookmarkStart w:id="202" w:name="_Toc25502"/>
      <w:bookmarkStart w:id="203" w:name="_Toc18893"/>
      <w:r>
        <w:rPr>
          <w:rFonts w:hint="eastAsia"/>
          <w:color w:val="auto"/>
          <w:highlight w:val="none"/>
        </w:rPr>
        <w:t>评分标准索引表</w:t>
      </w:r>
      <w:bookmarkEnd w:id="201"/>
      <w:bookmarkEnd w:id="202"/>
      <w:bookmarkEnd w:id="203"/>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8"/>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4" w:name="_Toc22080"/>
      <w:bookmarkStart w:id="205" w:name="_Toc8194"/>
      <w:bookmarkStart w:id="206" w:name="_Toc30640"/>
      <w:r>
        <w:rPr>
          <w:rFonts w:hint="eastAsia"/>
          <w:color w:val="auto"/>
          <w:highlight w:val="none"/>
          <w:lang w:val="en-US" w:eastAsia="zh-CN"/>
        </w:rPr>
        <w:t>第一章价格文件</w:t>
      </w:r>
      <w:bookmarkEnd w:id="204"/>
      <w:bookmarkEnd w:id="205"/>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7" w:name="_Toc19750"/>
      <w:bookmarkStart w:id="208" w:name="_Toc4168"/>
      <w:r>
        <w:rPr>
          <w:rFonts w:hint="eastAsia"/>
          <w:color w:val="auto"/>
          <w:highlight w:val="none"/>
          <w:lang w:val="en-US" w:eastAsia="zh-CN"/>
        </w:rPr>
        <w:t>一、唱标一览表</w:t>
      </w:r>
      <w:bookmarkEnd w:id="207"/>
      <w:bookmarkEnd w:id="208"/>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r>
    </w:tbl>
    <w:p>
      <w:pPr>
        <w:rPr>
          <w:rFonts w:ascii="宋体" w:hAnsi="宋体"/>
          <w:szCs w:val="21"/>
        </w:rPr>
      </w:pPr>
    </w:p>
    <w:p>
      <w:pPr>
        <w:ind w:firstLine="359" w:firstLineChars="171"/>
        <w:rPr>
          <w:rFonts w:ascii="宋体" w:hAnsi="宋体"/>
          <w:szCs w:val="21"/>
        </w:rPr>
      </w:pPr>
    </w:p>
    <w:p>
      <w:pPr>
        <w:ind w:firstLine="359" w:firstLineChars="171"/>
        <w:rPr>
          <w:rFonts w:ascii="宋体" w:hAnsi="宋体"/>
          <w:szCs w:val="21"/>
        </w:rPr>
      </w:pPr>
      <w:r>
        <w:rPr>
          <w:rFonts w:hint="eastAsia" w:ascii="宋体" w:hAnsi="宋体"/>
          <w:szCs w:val="21"/>
        </w:rPr>
        <w:t>投标人代表签字：</w:t>
      </w:r>
    </w:p>
    <w:p>
      <w:pPr>
        <w:ind w:firstLine="359" w:firstLineChars="171"/>
        <w:rPr>
          <w:rFonts w:ascii="宋体" w:hAnsi="宋体"/>
          <w:szCs w:val="21"/>
        </w:rPr>
      </w:pPr>
      <w:r>
        <w:rPr>
          <w:rFonts w:hint="eastAsia" w:ascii="宋体" w:hAnsi="宋体"/>
          <w:szCs w:val="21"/>
        </w:rPr>
        <w:t>投标人盖章：</w:t>
      </w:r>
    </w:p>
    <w:p>
      <w:pPr>
        <w:ind w:firstLine="359" w:firstLineChars="171"/>
        <w:rPr>
          <w:rFonts w:ascii="宋体" w:hAnsi="宋体"/>
          <w:szCs w:val="21"/>
        </w:rPr>
      </w:pPr>
      <w:r>
        <w:rPr>
          <w:rFonts w:hint="eastAsia" w:ascii="宋体" w:hAnsi="宋体"/>
          <w:szCs w:val="21"/>
        </w:rPr>
        <w:t>日期：</w:t>
      </w:r>
    </w:p>
    <w:p>
      <w:pPr>
        <w:ind w:firstLine="359" w:firstLineChars="171"/>
        <w:rPr>
          <w:rFonts w:ascii="宋体" w:hAnsi="宋体"/>
          <w:szCs w:val="21"/>
        </w:rPr>
      </w:pPr>
    </w:p>
    <w:p>
      <w:pPr>
        <w:ind w:left="391" w:hanging="390" w:hangingChars="186"/>
        <w:rPr>
          <w:rFonts w:ascii="宋体" w:hAnsi="宋体"/>
          <w:szCs w:val="21"/>
        </w:rPr>
      </w:pPr>
      <w:r>
        <w:rPr>
          <w:rFonts w:hint="eastAsia" w:ascii="宋体" w:hAnsi="宋体"/>
          <w:szCs w:val="21"/>
        </w:rPr>
        <w:t xml:space="preserve">       注：1、投标总价栏须</w:t>
      </w:r>
      <w:r>
        <w:rPr>
          <w:rFonts w:ascii="宋体" w:hAnsi="宋体"/>
          <w:szCs w:val="21"/>
        </w:rPr>
        <w:t>用</w:t>
      </w:r>
      <w:r>
        <w:rPr>
          <w:rFonts w:hint="eastAsia" w:ascii="宋体" w:hAnsi="宋体"/>
          <w:szCs w:val="21"/>
        </w:rPr>
        <w:t>大写金额和小写金额两种方式</w:t>
      </w:r>
      <w:r>
        <w:rPr>
          <w:rFonts w:ascii="宋体" w:hAnsi="宋体"/>
          <w:szCs w:val="21"/>
        </w:rPr>
        <w:t>表示的投标总价</w:t>
      </w:r>
      <w:r>
        <w:rPr>
          <w:rFonts w:hint="eastAsia" w:ascii="宋体" w:hAnsi="宋体"/>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szCs w:val="21"/>
        </w:rPr>
      </w:pPr>
      <w:r>
        <w:rPr>
          <w:rFonts w:hint="eastAsia" w:ascii="宋体" w:hAnsi="宋体"/>
          <w:szCs w:val="21"/>
        </w:rPr>
        <w:t>2、此表应按投标人须知的规定密封标记并与《授权委托书》一同密封单独提交。</w:t>
      </w:r>
    </w:p>
    <w:p>
      <w:pPr>
        <w:spacing w:after="0" w:line="360" w:lineRule="auto"/>
        <w:ind w:left="357" w:leftChars="170" w:firstLine="359" w:firstLineChars="171"/>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pStyle w:val="3"/>
        <w:rPr>
          <w:rFonts w:ascii="宋体" w:hAnsi="宋体" w:eastAsia="宋体"/>
          <w:color w:val="auto"/>
          <w:sz w:val="21"/>
          <w:szCs w:val="21"/>
          <w:highlight w:val="none"/>
        </w:rPr>
      </w:pPr>
    </w:p>
    <w:p>
      <w:pPr>
        <w:pStyle w:val="4"/>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pPr>
    </w:p>
    <w:p>
      <w:pPr>
        <w:spacing w:after="0" w:line="360" w:lineRule="auto"/>
        <w:ind w:left="357" w:leftChars="170" w:firstLine="359" w:firstLineChars="171"/>
        <w:rPr>
          <w:rFonts w:ascii="宋体" w:hAnsi="宋体" w:eastAsia="宋体"/>
          <w:color w:val="auto"/>
          <w:sz w:val="21"/>
          <w:szCs w:val="21"/>
          <w:highlight w:val="none"/>
        </w:rPr>
      </w:pPr>
    </w:p>
    <w:p>
      <w:pPr>
        <w:bidi w:val="0"/>
      </w:pPr>
    </w:p>
    <w:p>
      <w:pPr>
        <w:rPr>
          <w:rFonts w:ascii="宋体" w:hAnsi="宋体" w:eastAsia="宋体"/>
          <w:color w:val="auto"/>
          <w:sz w:val="21"/>
          <w:szCs w:val="21"/>
          <w:highlight w:val="none"/>
        </w:rPr>
      </w:pPr>
    </w:p>
    <w:p>
      <w:pPr>
        <w:bidi w:val="0"/>
      </w:pPr>
    </w:p>
    <w:p>
      <w:pPr>
        <w:bidi w:val="0"/>
      </w:pPr>
    </w:p>
    <w:p>
      <w:pPr>
        <w:bidi w:val="0"/>
      </w:pPr>
    </w:p>
    <w:p>
      <w:pPr>
        <w:bidi w:val="0"/>
      </w:pPr>
    </w:p>
    <w:p>
      <w:pPr>
        <w:bidi w:val="0"/>
      </w:pPr>
    </w:p>
    <w:p>
      <w:pPr>
        <w:bidi w:val="0"/>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9" w:name="_Toc31062"/>
      <w:bookmarkStart w:id="210" w:name="_Toc31172"/>
      <w:r>
        <w:rPr>
          <w:rFonts w:hint="eastAsia"/>
          <w:color w:val="auto"/>
          <w:highlight w:val="none"/>
          <w:lang w:val="en-US" w:eastAsia="zh-CN"/>
        </w:rPr>
        <w:t>二、报价明细表</w:t>
      </w:r>
      <w:bookmarkEnd w:id="209"/>
      <w:bookmarkEnd w:id="210"/>
    </w:p>
    <w:p>
      <w:pPr>
        <w:pStyle w:val="32"/>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2"/>
        <w:rPr>
          <w:rFonts w:ascii="黑体" w:eastAsia="黑体"/>
          <w:color w:val="auto"/>
          <w:sz w:val="32"/>
          <w:szCs w:val="32"/>
          <w:highlight w:val="none"/>
        </w:rPr>
      </w:pPr>
    </w:p>
    <w:p>
      <w:pPr>
        <w:pStyle w:val="32"/>
        <w:rPr>
          <w:rFonts w:ascii="黑体" w:eastAsia="黑体"/>
          <w:color w:val="auto"/>
          <w:sz w:val="32"/>
          <w:szCs w:val="32"/>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11" w:name="_Toc23948"/>
      <w:bookmarkStart w:id="212" w:name="_Toc6471"/>
      <w:r>
        <w:rPr>
          <w:rFonts w:hint="eastAsia"/>
          <w:color w:val="auto"/>
          <w:highlight w:val="none"/>
          <w:lang w:val="en-US" w:eastAsia="zh-CN"/>
        </w:rPr>
        <w:t>第二章商务文件</w:t>
      </w:r>
      <w:bookmarkEnd w:id="211"/>
      <w:bookmarkEnd w:id="212"/>
    </w:p>
    <w:bookmarkEnd w:id="206"/>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3" w:name="_Toc23787"/>
      <w:bookmarkStart w:id="214" w:name="_Toc1952"/>
      <w:r>
        <w:rPr>
          <w:rFonts w:hint="eastAsia"/>
          <w:color w:val="auto"/>
          <w:highlight w:val="none"/>
          <w:lang w:val="en-US" w:eastAsia="zh-CN"/>
        </w:rPr>
        <w:t>一、投标函</w:t>
      </w:r>
      <w:bookmarkEnd w:id="213"/>
      <w:bookmarkEnd w:id="214"/>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5" w:name="_Toc15719"/>
      <w:bookmarkStart w:id="216" w:name="_Toc28616"/>
      <w:r>
        <w:rPr>
          <w:rFonts w:hint="eastAsia"/>
          <w:color w:val="auto"/>
          <w:highlight w:val="none"/>
          <w:lang w:val="en-US" w:eastAsia="zh-CN"/>
        </w:rPr>
        <w:t>二、资格申明函</w:t>
      </w:r>
      <w:bookmarkEnd w:id="215"/>
      <w:bookmarkEnd w:id="216"/>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lang w:val="en-US" w:eastAsia="zh-CN"/>
        </w:rPr>
        <w:t>采购人</w:t>
      </w:r>
      <w:r>
        <w:rPr>
          <w:rFonts w:ascii="宋体" w:hAnsi="宋体"/>
          <w:color w:val="auto"/>
          <w:szCs w:val="21"/>
          <w:highlight w:val="none"/>
        </w:rPr>
        <w:t>名称）（</w:t>
      </w:r>
      <w:r>
        <w:rPr>
          <w:rFonts w:hint="eastAsia" w:ascii="宋体" w:hAnsi="宋体"/>
          <w:color w:val="auto"/>
          <w:szCs w:val="21"/>
          <w:highlight w:val="none"/>
          <w:lang w:val="en-US" w:eastAsia="zh-CN"/>
        </w:rPr>
        <w:t>采购人</w:t>
      </w:r>
      <w:r>
        <w:rPr>
          <w:rFonts w:ascii="宋体" w:hAnsi="宋体"/>
          <w:color w:val="auto"/>
          <w:szCs w:val="21"/>
          <w:highlight w:val="none"/>
        </w:rPr>
        <w:t>）及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38"/>
        <w:spacing w:line="500" w:lineRule="atLeast"/>
        <w:ind w:firstLine="3517" w:firstLineChars="1675"/>
        <w:rPr>
          <w:rFonts w:ascii="宋体" w:eastAsia="宋体"/>
          <w:color w:val="auto"/>
          <w:sz w:val="21"/>
          <w:szCs w:val="21"/>
          <w:highlight w:val="none"/>
        </w:rPr>
      </w:pP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pStyle w:val="3"/>
        <w:rPr>
          <w:color w:val="auto"/>
          <w:highlight w:val="none"/>
        </w:rPr>
      </w:pPr>
    </w:p>
    <w:p>
      <w:pPr>
        <w:pStyle w:val="4"/>
        <w:rPr>
          <w:color w:val="auto"/>
          <w:highlight w:val="none"/>
        </w:rPr>
      </w:pPr>
    </w:p>
    <w:p>
      <w:pPr>
        <w:rPr>
          <w:color w:val="auto"/>
          <w:highlight w:val="none"/>
        </w:rPr>
      </w:pPr>
    </w:p>
    <w:p>
      <w:pPr>
        <w:pStyle w:val="2"/>
        <w:rPr>
          <w:color w:val="auto"/>
          <w:highlight w:val="none"/>
        </w:rPr>
      </w:pPr>
    </w:p>
    <w:p>
      <w:pPr>
        <w:rPr>
          <w:color w:val="auto"/>
          <w:highlight w:val="none"/>
        </w:rPr>
      </w:pPr>
      <w:bookmarkStart w:id="217" w:name="_Toc16412"/>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21273"/>
      <w:bookmarkStart w:id="219" w:name="_Toc32742"/>
      <w:r>
        <w:rPr>
          <w:rFonts w:hint="eastAsia"/>
          <w:color w:val="auto"/>
          <w:highlight w:val="none"/>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17"/>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13243"/>
      <w:bookmarkStart w:id="221" w:name="_Toc3894"/>
      <w:r>
        <w:rPr>
          <w:rFonts w:hint="eastAsia"/>
          <w:color w:val="auto"/>
          <w:highlight w:val="none"/>
          <w:lang w:val="en-US" w:eastAsia="zh-CN"/>
        </w:rPr>
        <w:t>四、法定代表人证明书</w:t>
      </w:r>
      <w:bookmarkEnd w:id="220"/>
      <w:bookmarkEnd w:id="221"/>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pStyle w:val="38"/>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5626"/>
      <w:bookmarkStart w:id="223" w:name="_Toc5918"/>
      <w:r>
        <w:rPr>
          <w:rFonts w:hint="eastAsia"/>
          <w:color w:val="auto"/>
          <w:highlight w:val="none"/>
          <w:lang w:val="en-US" w:eastAsia="zh-CN"/>
        </w:rPr>
        <w:t>五、法定代表人授权书</w:t>
      </w:r>
      <w:bookmarkEnd w:id="222"/>
      <w:bookmarkEnd w:id="223"/>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8"/>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24"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5" w:name="_Toc18562"/>
      <w:bookmarkStart w:id="226" w:name="_Toc24013"/>
      <w:r>
        <w:rPr>
          <w:rFonts w:hint="eastAsia"/>
          <w:color w:val="auto"/>
          <w:highlight w:val="none"/>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27" w:name="_Toc29995"/>
      <w:bookmarkStart w:id="228" w:name="_Toc1511"/>
      <w:bookmarkStart w:id="229" w:name="_Toc4926"/>
      <w:bookmarkStart w:id="230" w:name="_Toc17470"/>
      <w:bookmarkStart w:id="231" w:name="_Toc28067"/>
      <w:bookmarkStart w:id="232" w:name="_Toc24210"/>
      <w:bookmarkStart w:id="233" w:name="_Toc5919"/>
      <w:r>
        <w:rPr>
          <w:rFonts w:hint="eastAsia"/>
          <w:color w:val="auto"/>
          <w:highlight w:val="none"/>
          <w:lang w:val="en-US" w:eastAsia="zh-CN"/>
        </w:rPr>
        <w:t>七、</w:t>
      </w:r>
      <w:r>
        <w:rPr>
          <w:rFonts w:hint="eastAsia"/>
          <w:color w:val="auto"/>
          <w:highlight w:val="none"/>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24"/>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4" w:name="_Toc21638"/>
      <w:bookmarkStart w:id="235" w:name="_Toc29439"/>
      <w:r>
        <w:rPr>
          <w:rFonts w:hint="eastAsia"/>
          <w:color w:val="auto"/>
          <w:highlight w:val="none"/>
          <w:lang w:val="en-US" w:eastAsia="zh-CN"/>
        </w:rPr>
        <w:t>八、</w:t>
      </w:r>
      <w:r>
        <w:rPr>
          <w:rFonts w:hint="eastAsia"/>
          <w:color w:val="auto"/>
          <w:highlight w:val="none"/>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6" w:name="_Toc14263"/>
      <w:bookmarkStart w:id="237" w:name="_Toc23341"/>
      <w:r>
        <w:rPr>
          <w:rFonts w:hint="eastAsia"/>
          <w:color w:val="auto"/>
          <w:highlight w:val="none"/>
          <w:lang w:val="en-US" w:eastAsia="zh-CN"/>
        </w:rPr>
        <w:t>九、</w:t>
      </w:r>
      <w:r>
        <w:rPr>
          <w:rFonts w:hint="eastAsia"/>
          <w:color w:val="auto"/>
          <w:highlight w:val="none"/>
        </w:rPr>
        <w:t>承诺书</w:t>
      </w:r>
      <w:bookmarkEnd w:id="236"/>
      <w:bookmarkEnd w:id="237"/>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8"/>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8"/>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9" w:name="_Toc13955"/>
      <w:bookmarkStart w:id="240" w:name="_Toc13653"/>
      <w:r>
        <w:rPr>
          <w:rFonts w:hint="eastAsia"/>
          <w:color w:val="auto"/>
          <w:highlight w:val="none"/>
          <w:lang w:val="en-US" w:eastAsia="zh-CN"/>
        </w:rPr>
        <w:t>十、招标代理服务费承诺书</w:t>
      </w:r>
      <w:bookmarkEnd w:id="239"/>
      <w:bookmarkEnd w:id="240"/>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1" w:name="_Toc12598"/>
      <w:bookmarkStart w:id="242" w:name="_Toc1975"/>
      <w:r>
        <w:rPr>
          <w:rFonts w:hint="eastAsia"/>
          <w:color w:val="auto"/>
          <w:highlight w:val="none"/>
          <w:lang w:val="en-US" w:eastAsia="zh-CN"/>
        </w:rPr>
        <w:t>十一、</w:t>
      </w:r>
      <w:r>
        <w:rPr>
          <w:rFonts w:hint="eastAsia"/>
          <w:color w:val="auto"/>
          <w:highlight w:val="none"/>
        </w:rPr>
        <w:t>商务条款偏离表</w:t>
      </w:r>
      <w:bookmarkEnd w:id="241"/>
      <w:bookmarkEnd w:id="242"/>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43" w:name="_Toc32183"/>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4" w:name="_Toc25391"/>
      <w:bookmarkStart w:id="245" w:name="_Toc19276"/>
      <w:r>
        <w:rPr>
          <w:rFonts w:hint="eastAsia"/>
          <w:color w:val="auto"/>
          <w:highlight w:val="none"/>
          <w:lang w:val="en-US" w:eastAsia="zh-CN"/>
        </w:rPr>
        <w:t>十二、</w:t>
      </w:r>
      <w:r>
        <w:rPr>
          <w:rFonts w:hint="eastAsia"/>
          <w:color w:val="auto"/>
          <w:highlight w:val="none"/>
        </w:rPr>
        <w:t>业绩表</w:t>
      </w:r>
      <w:bookmarkEnd w:id="244"/>
      <w:bookmarkEnd w:id="245"/>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5"/>
        <w:spacing w:after="0"/>
        <w:rPr>
          <w:rFonts w:ascii="宋体" w:hAnsi="宋体" w:eastAsia="宋体"/>
          <w:color w:val="auto"/>
          <w:sz w:val="21"/>
          <w:szCs w:val="21"/>
          <w:highlight w:val="none"/>
        </w:rPr>
      </w:pPr>
    </w:p>
    <w:p>
      <w:pPr>
        <w:pStyle w:val="35"/>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46" w:name="_Toc14688"/>
      <w:bookmarkStart w:id="247" w:name="_Toc20520"/>
      <w:r>
        <w:rPr>
          <w:rFonts w:hint="eastAsia"/>
          <w:color w:val="auto"/>
          <w:highlight w:val="none"/>
          <w:lang w:val="en-US" w:eastAsia="zh-CN"/>
        </w:rPr>
        <w:t>第三章技术文件</w:t>
      </w:r>
      <w:bookmarkEnd w:id="243"/>
      <w:bookmarkEnd w:id="246"/>
      <w:bookmarkEnd w:id="247"/>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13097"/>
      <w:bookmarkStart w:id="249" w:name="_Toc7092"/>
      <w:r>
        <w:rPr>
          <w:rFonts w:hint="eastAsia"/>
          <w:color w:val="auto"/>
          <w:highlight w:val="none"/>
          <w:lang w:val="en-US" w:eastAsia="zh-CN"/>
        </w:rPr>
        <w:t>一、</w:t>
      </w:r>
      <w:r>
        <w:rPr>
          <w:rFonts w:hint="eastAsia"/>
          <w:color w:val="auto"/>
          <w:highlight w:val="none"/>
        </w:rPr>
        <w:t>技术规格偏离表</w:t>
      </w:r>
      <w:bookmarkEnd w:id="248"/>
      <w:bookmarkEnd w:id="249"/>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50" w:name="_Toc17691"/>
      <w:r>
        <w:rPr>
          <w:rFonts w:hint="eastAsia" w:ascii="宋体" w:hAnsi="宋体" w:eastAsia="宋体"/>
          <w:color w:val="auto"/>
          <w:sz w:val="21"/>
          <w:szCs w:val="21"/>
          <w:highlight w:val="none"/>
        </w:rPr>
        <w:br w:type="page"/>
      </w:r>
      <w:bookmarkEnd w:id="250"/>
      <w:bookmarkStart w:id="251" w:name="_Toc4464"/>
      <w:bookmarkStart w:id="252" w:name="_Toc1274"/>
      <w:bookmarkStart w:id="253" w:name="_Toc18668"/>
      <w:bookmarkStart w:id="254" w:name="_Toc6080"/>
      <w:bookmarkStart w:id="255" w:name="_Toc4827"/>
      <w:bookmarkStart w:id="256" w:name="_Toc26078"/>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7" w:name="_Toc13461"/>
      <w:bookmarkStart w:id="258" w:name="_Toc10734"/>
      <w:r>
        <w:rPr>
          <w:rFonts w:hint="eastAsia"/>
          <w:color w:val="auto"/>
          <w:highlight w:val="none"/>
          <w:lang w:val="en-US" w:eastAsia="zh-CN"/>
        </w:rPr>
        <w:t>二、</w:t>
      </w:r>
      <w:r>
        <w:rPr>
          <w:rFonts w:hint="eastAsia"/>
          <w:color w:val="auto"/>
          <w:highlight w:val="none"/>
        </w:rPr>
        <w:t>重要技术参数（▲）响应表</w:t>
      </w:r>
      <w:bookmarkEnd w:id="251"/>
      <w:bookmarkEnd w:id="252"/>
      <w:bookmarkEnd w:id="253"/>
      <w:bookmarkEnd w:id="254"/>
      <w:bookmarkEnd w:id="255"/>
      <w:bookmarkEnd w:id="256"/>
      <w:bookmarkEnd w:id="257"/>
      <w:bookmarkEnd w:id="258"/>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59" w:name="_Toc29560"/>
            <w:bookmarkStart w:id="260" w:name="_Toc29642"/>
            <w:bookmarkStart w:id="261" w:name="_Toc27079"/>
            <w:r>
              <w:rPr>
                <w:rFonts w:hint="eastAsia" w:ascii="宋体" w:hAnsi="宋体" w:eastAsia="宋体" w:cs="宋体"/>
                <w:b w:val="0"/>
                <w:bCs w:val="0"/>
                <w:color w:val="auto"/>
                <w:sz w:val="21"/>
                <w:szCs w:val="21"/>
                <w:highlight w:val="none"/>
                <w:lang w:val="en-US" w:eastAsia="zh-CN"/>
              </w:rPr>
              <w:t>序号</w:t>
            </w:r>
            <w:bookmarkEnd w:id="259"/>
            <w:bookmarkEnd w:id="260"/>
            <w:bookmarkEnd w:id="261"/>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62" w:name="_Toc22448"/>
            <w:bookmarkStart w:id="263" w:name="_Toc16872"/>
            <w:bookmarkStart w:id="264" w:name="_Toc1016"/>
            <w:bookmarkStart w:id="265" w:name="_Toc26124"/>
            <w:bookmarkStart w:id="266" w:name="_Toc12049"/>
            <w:bookmarkStart w:id="267" w:name="_Toc21739"/>
            <w:bookmarkStart w:id="268" w:name="_Toc10045"/>
            <w:bookmarkStart w:id="269" w:name="_Toc15903"/>
            <w:bookmarkStart w:id="270" w:name="_Toc27090"/>
            <w:bookmarkStart w:id="271" w:name="_Toc14815"/>
            <w:bookmarkStart w:id="272" w:name="_Toc4304"/>
            <w:bookmarkStart w:id="273" w:name="_Toc2700"/>
            <w:bookmarkStart w:id="274" w:name="_Toc15368"/>
            <w:bookmarkStart w:id="275" w:name="_Toc22917"/>
            <w:bookmarkStart w:id="276" w:name="_Toc27442"/>
            <w:bookmarkStart w:id="277" w:name="_Toc7333"/>
            <w:bookmarkStart w:id="278" w:name="_Toc8490"/>
            <w:bookmarkStart w:id="279" w:name="_Toc32531"/>
            <w:bookmarkStart w:id="280" w:name="_Toc21809"/>
            <w:bookmarkStart w:id="281" w:name="_Toc8312"/>
            <w:bookmarkStart w:id="282" w:name="_Toc24662"/>
            <w:bookmarkStart w:id="283" w:name="_Toc19251"/>
            <w:bookmarkStart w:id="284" w:name="_Toc2287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85" w:name="_Toc10122"/>
            <w:bookmarkStart w:id="286" w:name="_Toc22153"/>
            <w:bookmarkStart w:id="287" w:name="_Toc2408"/>
            <w:r>
              <w:rPr>
                <w:rFonts w:hint="eastAsia" w:ascii="宋体" w:hAnsi="宋体" w:eastAsia="宋体" w:cs="宋体"/>
                <w:b w:val="0"/>
                <w:bCs w:val="0"/>
                <w:color w:val="auto"/>
                <w:kern w:val="0"/>
                <w:sz w:val="21"/>
                <w:szCs w:val="21"/>
                <w:highlight w:val="none"/>
              </w:rPr>
              <w:t>投标文件响应内容</w:t>
            </w:r>
            <w:bookmarkEnd w:id="285"/>
            <w:bookmarkEnd w:id="286"/>
            <w:bookmarkEnd w:id="287"/>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88" w:name="_Toc29838"/>
            <w:bookmarkStart w:id="289" w:name="_Toc27285"/>
            <w:bookmarkStart w:id="290" w:name="_Toc16003"/>
            <w:bookmarkStart w:id="291" w:name="_Toc17296"/>
            <w:bookmarkStart w:id="292" w:name="_Toc5992"/>
            <w:bookmarkStart w:id="293" w:name="_Toc1912"/>
            <w:bookmarkStart w:id="294" w:name="_Toc20139"/>
            <w:bookmarkStart w:id="295" w:name="_Toc27185"/>
            <w:bookmarkStart w:id="296" w:name="_Toc5563"/>
            <w:bookmarkStart w:id="297" w:name="_Toc1330"/>
            <w:bookmarkStart w:id="298" w:name="_Toc20820"/>
            <w:bookmarkStart w:id="299" w:name="_Toc17642"/>
            <w:bookmarkStart w:id="300" w:name="_Toc3701"/>
            <w:r>
              <w:rPr>
                <w:rFonts w:hint="eastAsia" w:ascii="宋体" w:hAnsi="宋体" w:eastAsia="宋体" w:cs="宋体"/>
                <w:b w:val="0"/>
                <w:bCs w:val="0"/>
                <w:color w:val="auto"/>
                <w:sz w:val="21"/>
                <w:szCs w:val="21"/>
                <w:highlight w:val="none"/>
                <w:lang w:val="en-US" w:eastAsia="zh-CN"/>
              </w:rPr>
              <w:t>说明</w:t>
            </w:r>
            <w:bookmarkEnd w:id="288"/>
            <w:bookmarkEnd w:id="289"/>
            <w:bookmarkEnd w:id="290"/>
          </w:p>
        </w:tc>
        <w:tc>
          <w:tcPr>
            <w:tcW w:w="1591"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01" w:name="_Toc857"/>
            <w:bookmarkStart w:id="302" w:name="_Toc19105"/>
            <w:bookmarkStart w:id="303" w:name="_Toc3520"/>
            <w:r>
              <w:rPr>
                <w:rFonts w:hint="eastAsia" w:ascii="宋体" w:hAnsi="宋体" w:eastAsia="宋体" w:cs="宋体"/>
                <w:b w:val="0"/>
                <w:bCs w:val="0"/>
                <w:color w:val="auto"/>
                <w:sz w:val="21"/>
                <w:szCs w:val="21"/>
                <w:highlight w:val="none"/>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5"/>
        <w:spacing w:after="0" w:line="360" w:lineRule="auto"/>
        <w:rPr>
          <w:rFonts w:ascii="宋体" w:hAnsi="宋体" w:eastAsia="宋体"/>
          <w:color w:val="auto"/>
          <w:sz w:val="21"/>
          <w:szCs w:val="21"/>
          <w:highlight w:val="none"/>
        </w:rPr>
      </w:pP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5"/>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5"/>
        <w:spacing w:after="0" w:line="360" w:lineRule="auto"/>
        <w:rPr>
          <w:rFonts w:ascii="宋体" w:hAnsi="宋体" w:eastAsia="宋体"/>
          <w:color w:val="auto"/>
          <w:sz w:val="21"/>
          <w:szCs w:val="21"/>
          <w:highlight w:val="none"/>
        </w:rPr>
      </w:pPr>
    </w:p>
    <w:p>
      <w:pPr>
        <w:pStyle w:val="35"/>
        <w:numPr>
          <w:ilvl w:val="0"/>
          <w:numId w:val="10"/>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7139"/>
      <w:bookmarkStart w:id="305" w:name="_Toc19349"/>
      <w:r>
        <w:rPr>
          <w:rFonts w:hint="eastAsia"/>
          <w:color w:val="auto"/>
          <w:highlight w:val="none"/>
          <w:lang w:val="en-US" w:eastAsia="zh-CN"/>
        </w:rPr>
        <w:t>三、</w:t>
      </w:r>
      <w:r>
        <w:rPr>
          <w:rFonts w:hint="eastAsia"/>
          <w:color w:val="auto"/>
          <w:highlight w:val="none"/>
        </w:rPr>
        <w:t>实质性条款（标记★）投标响应表</w:t>
      </w:r>
      <w:bookmarkEnd w:id="304"/>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6"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26880"/>
      <w:bookmarkStart w:id="308" w:name="_Toc16328"/>
      <w:r>
        <w:rPr>
          <w:rFonts w:hint="eastAsia"/>
          <w:color w:val="auto"/>
          <w:highlight w:val="none"/>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09" w:name="_Toc26980"/>
      <w:bookmarkStart w:id="310" w:name="_Toc15431"/>
      <w:r>
        <w:rPr>
          <w:rFonts w:hint="eastAsia"/>
          <w:color w:val="auto"/>
          <w:highlight w:val="none"/>
          <w:lang w:val="en-US" w:eastAsia="zh-CN"/>
        </w:rPr>
        <w:t>六、投标货物明细一览表</w:t>
      </w:r>
      <w:bookmarkEnd w:id="309"/>
      <w:bookmarkEnd w:id="310"/>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1" w:name="_Toc16710"/>
      <w:bookmarkStart w:id="312" w:name="_Toc21541"/>
      <w:r>
        <w:rPr>
          <w:rFonts w:hint="eastAsia"/>
          <w:color w:val="auto"/>
          <w:highlight w:val="none"/>
          <w:lang w:val="en-US" w:eastAsia="zh-CN"/>
        </w:rPr>
        <w:t>七、投标保证金汇入情况说明</w:t>
      </w:r>
      <w:bookmarkEnd w:id="311"/>
      <w:bookmarkEnd w:id="312"/>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3" w:name="_Toc26855"/>
      <w:bookmarkStart w:id="314" w:name="_Toc24545"/>
      <w:r>
        <w:rPr>
          <w:rFonts w:hint="eastAsia"/>
          <w:color w:val="auto"/>
          <w:highlight w:val="none"/>
          <w:lang w:val="en-US" w:eastAsia="zh-CN"/>
        </w:rPr>
        <w:t>八、采购投标担保函</w:t>
      </w:r>
      <w:bookmarkEnd w:id="313"/>
      <w:bookmarkEnd w:id="314"/>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5" w:name="_Toc6961"/>
      <w:r>
        <w:rPr>
          <w:rFonts w:hint="eastAsia"/>
          <w:color w:val="auto"/>
          <w:highlight w:val="none"/>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2"/>
        <w:rPr>
          <w:color w:val="auto"/>
          <w:highlight w:val="none"/>
        </w:rPr>
      </w:pPr>
    </w:p>
    <w:p>
      <w:pPr>
        <w:bidi w:val="0"/>
        <w:rPr>
          <w:color w:val="auto"/>
          <w:highlight w:val="none"/>
        </w:rPr>
      </w:pPr>
      <w:r>
        <w:rPr>
          <w:color w:val="auto"/>
          <w:highlight w:val="none"/>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6" w:name="_Toc26782"/>
      <w:bookmarkStart w:id="317" w:name="_Toc26772"/>
      <w:r>
        <w:rPr>
          <w:rFonts w:hint="eastAsia"/>
          <w:color w:val="auto"/>
          <w:highlight w:val="none"/>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1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22736"/>
      <w:bookmarkStart w:id="320" w:name="_Toc2710"/>
      <w:r>
        <w:rPr>
          <w:rFonts w:hint="eastAsia"/>
          <w:color w:val="auto"/>
          <w:highlight w:val="none"/>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18"/>
    <w:p>
      <w:pPr>
        <w:pStyle w:val="2"/>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4"/>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300元</w:t>
            </w:r>
            <w:r>
              <w:rPr>
                <w:rFonts w:hint="eastAsia" w:ascii="宋体" w:hAnsi="宋体" w:eastAsia="宋体" w:cs="宋体"/>
                <w:i w:val="0"/>
                <w:iCs w:val="0"/>
                <w:color w:val="auto"/>
                <w:kern w:val="0"/>
                <w:sz w:val="28"/>
                <w:szCs w:val="28"/>
                <w:highlight w:val="none"/>
                <w:u w:val="none"/>
                <w:lang w:val="en-US" w:eastAsia="zh-CN" w:bidi="ar"/>
              </w:rPr>
              <w:t>/份</w:t>
            </w:r>
          </w:p>
        </w:tc>
      </w:tr>
    </w:tbl>
    <w:p>
      <w:pPr>
        <w:pStyle w:val="3"/>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16010E5"/>
    <w:multiLevelType w:val="singleLevel"/>
    <w:tmpl w:val="316010E5"/>
    <w:lvl w:ilvl="0" w:tentative="0">
      <w:start w:val="1"/>
      <w:numFmt w:val="decimal"/>
      <w:suff w:val="nothing"/>
      <w:lvlText w:val="%1．"/>
      <w:lvlJc w:val="left"/>
    </w:lvl>
  </w:abstractNum>
  <w:abstractNum w:abstractNumId="8">
    <w:nsid w:val="3B1B8417"/>
    <w:multiLevelType w:val="singleLevel"/>
    <w:tmpl w:val="3B1B8417"/>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abstractNum w:abstractNumId="10">
    <w:nsid w:val="6E5CE7BD"/>
    <w:multiLevelType w:val="singleLevel"/>
    <w:tmpl w:val="6E5CE7BD"/>
    <w:lvl w:ilvl="0" w:tentative="0">
      <w:start w:val="1"/>
      <w:numFmt w:val="chineseCounting"/>
      <w:suff w:val="nothing"/>
      <w:lvlText w:val="%1、"/>
      <w:lvlJc w:val="left"/>
      <w:rPr>
        <w:rFonts w:hint="eastAsia"/>
      </w:rPr>
    </w:lvl>
  </w:abstractNum>
  <w:num w:numId="1">
    <w:abstractNumId w:val="10"/>
  </w:num>
  <w:num w:numId="2">
    <w:abstractNumId w:val="8"/>
  </w:num>
  <w:num w:numId="3">
    <w:abstractNumId w:val="5"/>
  </w:num>
  <w:num w:numId="4">
    <w:abstractNumId w:val="9"/>
  </w:num>
  <w:num w:numId="5">
    <w:abstractNumId w:val="6"/>
  </w:num>
  <w:num w:numId="6">
    <w:abstractNumId w:val="3"/>
  </w:num>
  <w:num w:numId="7">
    <w:abstractNumId w:val="1"/>
  </w:num>
  <w:num w:numId="8">
    <w:abstractNumId w:val="2"/>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413"/>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A93FA3"/>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A97DEC"/>
    <w:rsid w:val="05C81981"/>
    <w:rsid w:val="065A32ED"/>
    <w:rsid w:val="06BC41F2"/>
    <w:rsid w:val="06DF3DBD"/>
    <w:rsid w:val="070122F3"/>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0A2859"/>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AFD5AE8"/>
    <w:rsid w:val="0B22594B"/>
    <w:rsid w:val="0B797387"/>
    <w:rsid w:val="0B8B2381"/>
    <w:rsid w:val="0BC044BE"/>
    <w:rsid w:val="0BDF26F7"/>
    <w:rsid w:val="0C264099"/>
    <w:rsid w:val="0C2B4952"/>
    <w:rsid w:val="0C7B2220"/>
    <w:rsid w:val="0D890E47"/>
    <w:rsid w:val="0DC64A00"/>
    <w:rsid w:val="0DFC60BA"/>
    <w:rsid w:val="0E4249F1"/>
    <w:rsid w:val="0E7B4FF1"/>
    <w:rsid w:val="0EDC018F"/>
    <w:rsid w:val="0EFF0CDE"/>
    <w:rsid w:val="0F6C5A53"/>
    <w:rsid w:val="0F7C5FF6"/>
    <w:rsid w:val="0FC63FBD"/>
    <w:rsid w:val="100A0F53"/>
    <w:rsid w:val="106C564D"/>
    <w:rsid w:val="107B7B8F"/>
    <w:rsid w:val="107C67CE"/>
    <w:rsid w:val="1080523F"/>
    <w:rsid w:val="108F06C9"/>
    <w:rsid w:val="109D68CB"/>
    <w:rsid w:val="10A949B8"/>
    <w:rsid w:val="10C54639"/>
    <w:rsid w:val="11200D07"/>
    <w:rsid w:val="11DA73AF"/>
    <w:rsid w:val="11F11489"/>
    <w:rsid w:val="11F62F4A"/>
    <w:rsid w:val="123346DD"/>
    <w:rsid w:val="1285542E"/>
    <w:rsid w:val="12C60D80"/>
    <w:rsid w:val="131867D4"/>
    <w:rsid w:val="131F7A3A"/>
    <w:rsid w:val="132645D0"/>
    <w:rsid w:val="13455ABC"/>
    <w:rsid w:val="134633D7"/>
    <w:rsid w:val="1370322B"/>
    <w:rsid w:val="13767449"/>
    <w:rsid w:val="13B27845"/>
    <w:rsid w:val="13BE469F"/>
    <w:rsid w:val="13F87121"/>
    <w:rsid w:val="13F90428"/>
    <w:rsid w:val="141A03E1"/>
    <w:rsid w:val="143B2E0B"/>
    <w:rsid w:val="14672B11"/>
    <w:rsid w:val="14892735"/>
    <w:rsid w:val="14CC769D"/>
    <w:rsid w:val="152D7863"/>
    <w:rsid w:val="157D38E3"/>
    <w:rsid w:val="15D359D7"/>
    <w:rsid w:val="15D81E0F"/>
    <w:rsid w:val="161771F3"/>
    <w:rsid w:val="161F470C"/>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A55BE0"/>
    <w:rsid w:val="1AB16AC1"/>
    <w:rsid w:val="1B034A52"/>
    <w:rsid w:val="1B1F34AD"/>
    <w:rsid w:val="1B7B06D9"/>
    <w:rsid w:val="1B8D5DC6"/>
    <w:rsid w:val="1BFE1D3B"/>
    <w:rsid w:val="1C2775EC"/>
    <w:rsid w:val="1C750ECE"/>
    <w:rsid w:val="1C80603F"/>
    <w:rsid w:val="1CA22168"/>
    <w:rsid w:val="1D0836D7"/>
    <w:rsid w:val="1D196139"/>
    <w:rsid w:val="1D3D70CF"/>
    <w:rsid w:val="1DB85900"/>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3F72C32"/>
    <w:rsid w:val="247051F5"/>
    <w:rsid w:val="24814CBE"/>
    <w:rsid w:val="24AC168B"/>
    <w:rsid w:val="25004EF6"/>
    <w:rsid w:val="258C3BEC"/>
    <w:rsid w:val="25E576CC"/>
    <w:rsid w:val="260E3862"/>
    <w:rsid w:val="262569FC"/>
    <w:rsid w:val="26344C98"/>
    <w:rsid w:val="26F56CE2"/>
    <w:rsid w:val="27295937"/>
    <w:rsid w:val="27435D49"/>
    <w:rsid w:val="27A34F71"/>
    <w:rsid w:val="27AA2455"/>
    <w:rsid w:val="27B36A67"/>
    <w:rsid w:val="27EB0D9B"/>
    <w:rsid w:val="286602C8"/>
    <w:rsid w:val="28665C95"/>
    <w:rsid w:val="28A64522"/>
    <w:rsid w:val="28CC5B40"/>
    <w:rsid w:val="290B3EB9"/>
    <w:rsid w:val="290D7423"/>
    <w:rsid w:val="291418C2"/>
    <w:rsid w:val="2950768C"/>
    <w:rsid w:val="29794227"/>
    <w:rsid w:val="297A5FC4"/>
    <w:rsid w:val="2A1113BC"/>
    <w:rsid w:val="2A2D408C"/>
    <w:rsid w:val="2A8B79F9"/>
    <w:rsid w:val="2A8D4F8F"/>
    <w:rsid w:val="2A911082"/>
    <w:rsid w:val="2A917B34"/>
    <w:rsid w:val="2AE3766F"/>
    <w:rsid w:val="2B7E4054"/>
    <w:rsid w:val="2BE91804"/>
    <w:rsid w:val="2BEC2B5B"/>
    <w:rsid w:val="2BF22742"/>
    <w:rsid w:val="2C987C56"/>
    <w:rsid w:val="2CFF149A"/>
    <w:rsid w:val="2D1413BC"/>
    <w:rsid w:val="2D201865"/>
    <w:rsid w:val="2D4B5CEA"/>
    <w:rsid w:val="2D652658"/>
    <w:rsid w:val="2DC80C49"/>
    <w:rsid w:val="2DCA6355"/>
    <w:rsid w:val="2DF0699F"/>
    <w:rsid w:val="2E166748"/>
    <w:rsid w:val="2E556F01"/>
    <w:rsid w:val="2E5633A6"/>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884E67"/>
    <w:rsid w:val="31A0275E"/>
    <w:rsid w:val="31B7357A"/>
    <w:rsid w:val="31ED6B08"/>
    <w:rsid w:val="31F915C9"/>
    <w:rsid w:val="321449A9"/>
    <w:rsid w:val="32610CE6"/>
    <w:rsid w:val="32631A32"/>
    <w:rsid w:val="328464CE"/>
    <w:rsid w:val="32AB70C5"/>
    <w:rsid w:val="32AD56ED"/>
    <w:rsid w:val="32C83D5A"/>
    <w:rsid w:val="32DC33E0"/>
    <w:rsid w:val="335D0AF5"/>
    <w:rsid w:val="3370088C"/>
    <w:rsid w:val="33873E85"/>
    <w:rsid w:val="33A3154A"/>
    <w:rsid w:val="33DC2F78"/>
    <w:rsid w:val="3428227C"/>
    <w:rsid w:val="35260F83"/>
    <w:rsid w:val="35602226"/>
    <w:rsid w:val="356B72E7"/>
    <w:rsid w:val="3572424F"/>
    <w:rsid w:val="35FC3844"/>
    <w:rsid w:val="366061FD"/>
    <w:rsid w:val="36723877"/>
    <w:rsid w:val="36794DEF"/>
    <w:rsid w:val="36AD519D"/>
    <w:rsid w:val="36B57705"/>
    <w:rsid w:val="374F1A0B"/>
    <w:rsid w:val="37A103ED"/>
    <w:rsid w:val="37EA5E6E"/>
    <w:rsid w:val="37F77C8B"/>
    <w:rsid w:val="37FF016F"/>
    <w:rsid w:val="38427C0B"/>
    <w:rsid w:val="387C5ABE"/>
    <w:rsid w:val="389B3A1E"/>
    <w:rsid w:val="389E0191"/>
    <w:rsid w:val="38EB6119"/>
    <w:rsid w:val="394C3792"/>
    <w:rsid w:val="39DE33DA"/>
    <w:rsid w:val="39FA5B4A"/>
    <w:rsid w:val="39FE0BE9"/>
    <w:rsid w:val="3A3C1AAF"/>
    <w:rsid w:val="3A424C25"/>
    <w:rsid w:val="3A4B7CC1"/>
    <w:rsid w:val="3A51228C"/>
    <w:rsid w:val="3A552E60"/>
    <w:rsid w:val="3A58524E"/>
    <w:rsid w:val="3A5D642F"/>
    <w:rsid w:val="3AB210FC"/>
    <w:rsid w:val="3ACE216B"/>
    <w:rsid w:val="3AD95C13"/>
    <w:rsid w:val="3B261E51"/>
    <w:rsid w:val="3B973F88"/>
    <w:rsid w:val="3BCD72F7"/>
    <w:rsid w:val="3BF267D2"/>
    <w:rsid w:val="3C414142"/>
    <w:rsid w:val="3C6C2B88"/>
    <w:rsid w:val="3CC34D7A"/>
    <w:rsid w:val="3CE114D9"/>
    <w:rsid w:val="3CF737A2"/>
    <w:rsid w:val="3CF7509A"/>
    <w:rsid w:val="3D10295A"/>
    <w:rsid w:val="3D3D4210"/>
    <w:rsid w:val="3D9748E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302F1"/>
    <w:rsid w:val="40E743E5"/>
    <w:rsid w:val="4110038E"/>
    <w:rsid w:val="41152661"/>
    <w:rsid w:val="41734CBA"/>
    <w:rsid w:val="41836C0B"/>
    <w:rsid w:val="41B51F6B"/>
    <w:rsid w:val="41C01B53"/>
    <w:rsid w:val="41DD7057"/>
    <w:rsid w:val="420F7A65"/>
    <w:rsid w:val="4216611A"/>
    <w:rsid w:val="423E300F"/>
    <w:rsid w:val="425656C8"/>
    <w:rsid w:val="4257273C"/>
    <w:rsid w:val="425D7213"/>
    <w:rsid w:val="42677B61"/>
    <w:rsid w:val="42756DB0"/>
    <w:rsid w:val="42B21AD2"/>
    <w:rsid w:val="42FD694D"/>
    <w:rsid w:val="434A6D8F"/>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9CD5977"/>
    <w:rsid w:val="4A0030EE"/>
    <w:rsid w:val="4AC36065"/>
    <w:rsid w:val="4B1926BD"/>
    <w:rsid w:val="4B560086"/>
    <w:rsid w:val="4B7501F5"/>
    <w:rsid w:val="4B8C2DEB"/>
    <w:rsid w:val="4BA03882"/>
    <w:rsid w:val="4BFA3C9F"/>
    <w:rsid w:val="4C0E3379"/>
    <w:rsid w:val="4C107F48"/>
    <w:rsid w:val="4C3277BC"/>
    <w:rsid w:val="4C686851"/>
    <w:rsid w:val="4CB25875"/>
    <w:rsid w:val="4CC353EB"/>
    <w:rsid w:val="4CEA1FD2"/>
    <w:rsid w:val="4CF36F3C"/>
    <w:rsid w:val="4CF428DD"/>
    <w:rsid w:val="4D4C776E"/>
    <w:rsid w:val="4D4F67BA"/>
    <w:rsid w:val="4D603399"/>
    <w:rsid w:val="4D867EE1"/>
    <w:rsid w:val="4DBC3CE3"/>
    <w:rsid w:val="4DBC4C65"/>
    <w:rsid w:val="4DD16E2E"/>
    <w:rsid w:val="4DF6568D"/>
    <w:rsid w:val="4DFC4102"/>
    <w:rsid w:val="4E2E1A80"/>
    <w:rsid w:val="4E550010"/>
    <w:rsid w:val="4E5F14CB"/>
    <w:rsid w:val="4EBA5055"/>
    <w:rsid w:val="4F086370"/>
    <w:rsid w:val="4F3705F8"/>
    <w:rsid w:val="4F651D09"/>
    <w:rsid w:val="4FAC3540"/>
    <w:rsid w:val="4FBB12F4"/>
    <w:rsid w:val="4FCF1583"/>
    <w:rsid w:val="4FFA7625"/>
    <w:rsid w:val="501B0BF9"/>
    <w:rsid w:val="50547451"/>
    <w:rsid w:val="507D2599"/>
    <w:rsid w:val="5096229D"/>
    <w:rsid w:val="50B44FCE"/>
    <w:rsid w:val="50DC4184"/>
    <w:rsid w:val="51475B39"/>
    <w:rsid w:val="514C3EA7"/>
    <w:rsid w:val="519849E5"/>
    <w:rsid w:val="51B36892"/>
    <w:rsid w:val="52506DA7"/>
    <w:rsid w:val="526F57A8"/>
    <w:rsid w:val="533B2B84"/>
    <w:rsid w:val="537A7243"/>
    <w:rsid w:val="539C1B81"/>
    <w:rsid w:val="53AA6184"/>
    <w:rsid w:val="53AE750F"/>
    <w:rsid w:val="53CA212D"/>
    <w:rsid w:val="53EB0895"/>
    <w:rsid w:val="53F263AD"/>
    <w:rsid w:val="54693932"/>
    <w:rsid w:val="549A6BFA"/>
    <w:rsid w:val="54CA3D8B"/>
    <w:rsid w:val="54DA0AFD"/>
    <w:rsid w:val="54E72921"/>
    <w:rsid w:val="55806F07"/>
    <w:rsid w:val="55BF31A9"/>
    <w:rsid w:val="55FA2961"/>
    <w:rsid w:val="565E3E0E"/>
    <w:rsid w:val="565E7F4F"/>
    <w:rsid w:val="566503CE"/>
    <w:rsid w:val="56775789"/>
    <w:rsid w:val="56857D06"/>
    <w:rsid w:val="56914056"/>
    <w:rsid w:val="569F0E63"/>
    <w:rsid w:val="56DB613D"/>
    <w:rsid w:val="56F5149D"/>
    <w:rsid w:val="56FF7082"/>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D1431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71411E"/>
    <w:rsid w:val="5EA06921"/>
    <w:rsid w:val="5EB6049E"/>
    <w:rsid w:val="5EBC56A2"/>
    <w:rsid w:val="5ED5006A"/>
    <w:rsid w:val="5EFD4926"/>
    <w:rsid w:val="5F576E4B"/>
    <w:rsid w:val="5F5D4EDE"/>
    <w:rsid w:val="5F7A2C30"/>
    <w:rsid w:val="5FBE370A"/>
    <w:rsid w:val="5FDA3132"/>
    <w:rsid w:val="60292845"/>
    <w:rsid w:val="60B16EF7"/>
    <w:rsid w:val="61027308"/>
    <w:rsid w:val="612E1A5D"/>
    <w:rsid w:val="61816046"/>
    <w:rsid w:val="61C4322D"/>
    <w:rsid w:val="62182687"/>
    <w:rsid w:val="623627B6"/>
    <w:rsid w:val="62391564"/>
    <w:rsid w:val="62816669"/>
    <w:rsid w:val="62BA0953"/>
    <w:rsid w:val="62D03A7C"/>
    <w:rsid w:val="62F16BCB"/>
    <w:rsid w:val="62F648FE"/>
    <w:rsid w:val="63341DB1"/>
    <w:rsid w:val="63447612"/>
    <w:rsid w:val="63907004"/>
    <w:rsid w:val="63A10995"/>
    <w:rsid w:val="63C23EFA"/>
    <w:rsid w:val="64255BC3"/>
    <w:rsid w:val="643A070A"/>
    <w:rsid w:val="644C573D"/>
    <w:rsid w:val="648667A7"/>
    <w:rsid w:val="64C00563"/>
    <w:rsid w:val="64DB383A"/>
    <w:rsid w:val="65032F85"/>
    <w:rsid w:val="65136B50"/>
    <w:rsid w:val="65784A67"/>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1A20CB"/>
    <w:rsid w:val="6A2031B6"/>
    <w:rsid w:val="6A440C53"/>
    <w:rsid w:val="6AC61F6F"/>
    <w:rsid w:val="6ADE74F0"/>
    <w:rsid w:val="6B1002C0"/>
    <w:rsid w:val="6B1F5CFA"/>
    <w:rsid w:val="6B723594"/>
    <w:rsid w:val="6B805156"/>
    <w:rsid w:val="6BD50977"/>
    <w:rsid w:val="6BD81195"/>
    <w:rsid w:val="6BEA2A9B"/>
    <w:rsid w:val="6C9C0875"/>
    <w:rsid w:val="6C9D1F03"/>
    <w:rsid w:val="6CAA3931"/>
    <w:rsid w:val="6CDE1F0E"/>
    <w:rsid w:val="6D3933CA"/>
    <w:rsid w:val="6D7B61EC"/>
    <w:rsid w:val="6DC3266E"/>
    <w:rsid w:val="6DD049FF"/>
    <w:rsid w:val="6DED694C"/>
    <w:rsid w:val="6E09491E"/>
    <w:rsid w:val="6E0D3655"/>
    <w:rsid w:val="6E276B3D"/>
    <w:rsid w:val="6E5D7B7F"/>
    <w:rsid w:val="6E5F4465"/>
    <w:rsid w:val="6E8C54DA"/>
    <w:rsid w:val="6E9C28B4"/>
    <w:rsid w:val="6EF10568"/>
    <w:rsid w:val="6EF11E03"/>
    <w:rsid w:val="6F111C62"/>
    <w:rsid w:val="6F2176E5"/>
    <w:rsid w:val="6F3053CA"/>
    <w:rsid w:val="6F592303"/>
    <w:rsid w:val="6F5F5B74"/>
    <w:rsid w:val="6F9B1C65"/>
    <w:rsid w:val="6FA41D2C"/>
    <w:rsid w:val="6FBA40D9"/>
    <w:rsid w:val="6FD47A25"/>
    <w:rsid w:val="6FF44026"/>
    <w:rsid w:val="6FFB146E"/>
    <w:rsid w:val="701A5C74"/>
    <w:rsid w:val="70230BCC"/>
    <w:rsid w:val="706516C3"/>
    <w:rsid w:val="70864A71"/>
    <w:rsid w:val="70896E68"/>
    <w:rsid w:val="714079A1"/>
    <w:rsid w:val="71434811"/>
    <w:rsid w:val="714556B4"/>
    <w:rsid w:val="715B60E9"/>
    <w:rsid w:val="71723BD4"/>
    <w:rsid w:val="71E96309"/>
    <w:rsid w:val="71EA1FED"/>
    <w:rsid w:val="72284A0C"/>
    <w:rsid w:val="72C16204"/>
    <w:rsid w:val="730313F6"/>
    <w:rsid w:val="731E1007"/>
    <w:rsid w:val="73370D24"/>
    <w:rsid w:val="7359268C"/>
    <w:rsid w:val="73797DFD"/>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9C54AC"/>
    <w:rsid w:val="75B161B3"/>
    <w:rsid w:val="75E470E3"/>
    <w:rsid w:val="76690B0A"/>
    <w:rsid w:val="76736B32"/>
    <w:rsid w:val="76E3765E"/>
    <w:rsid w:val="76FC2AFA"/>
    <w:rsid w:val="773F0836"/>
    <w:rsid w:val="77653671"/>
    <w:rsid w:val="777D65C8"/>
    <w:rsid w:val="778546CC"/>
    <w:rsid w:val="77B56730"/>
    <w:rsid w:val="77C04A8B"/>
    <w:rsid w:val="77D85DB3"/>
    <w:rsid w:val="780252A0"/>
    <w:rsid w:val="78027772"/>
    <w:rsid w:val="78A50513"/>
    <w:rsid w:val="78F35DE2"/>
    <w:rsid w:val="793B7339"/>
    <w:rsid w:val="796518DD"/>
    <w:rsid w:val="796E0C55"/>
    <w:rsid w:val="79AA0532"/>
    <w:rsid w:val="79C17E21"/>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E5ABF"/>
    <w:rsid w:val="7D9E3C29"/>
    <w:rsid w:val="7E2142A2"/>
    <w:rsid w:val="7E4F5384"/>
    <w:rsid w:val="7E5A6DFA"/>
    <w:rsid w:val="7E7B0BF2"/>
    <w:rsid w:val="7E7C7A78"/>
    <w:rsid w:val="7E8D75B6"/>
    <w:rsid w:val="7EB2417D"/>
    <w:rsid w:val="7EE67601"/>
    <w:rsid w:val="7EF760EE"/>
    <w:rsid w:val="7F257B01"/>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3"/>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4"/>
    <w:unhideWhenUsed/>
    <w:qFormat/>
    <w:uiPriority w:val="9"/>
    <w:pPr>
      <w:keepNext/>
      <w:keepLines/>
      <w:spacing w:line="360" w:lineRule="auto"/>
      <w:outlineLvl w:val="2"/>
    </w:pPr>
    <w:rPr>
      <w:rFonts w:eastAsia="宋体"/>
      <w:b/>
      <w:bCs/>
      <w:sz w:val="28"/>
      <w:szCs w:val="32"/>
    </w:rPr>
  </w:style>
  <w:style w:type="paragraph" w:styleId="8">
    <w:name w:val="heading 4"/>
    <w:basedOn w:val="1"/>
    <w:next w:val="1"/>
    <w:link w:val="36"/>
    <w:autoRedefine/>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1"/>
    <w:pPr>
      <w:spacing w:before="161"/>
      <w:ind w:left="120"/>
    </w:pPr>
    <w:rPr>
      <w:rFonts w:ascii="宋体" w:hAnsi="宋体" w:eastAsia="宋体" w:cs="宋体"/>
      <w:sz w:val="24"/>
      <w:lang w:val="zh-CN" w:bidi="zh-CN"/>
    </w:rPr>
  </w:style>
  <w:style w:type="paragraph" w:styleId="3">
    <w:name w:val="Body Text First Indent"/>
    <w:basedOn w:val="2"/>
    <w:next w:val="4"/>
    <w:autoRedefine/>
    <w:unhideWhenUsed/>
    <w:qFormat/>
    <w:uiPriority w:val="99"/>
    <w:pPr>
      <w:ind w:firstLine="420" w:firstLineChars="100"/>
    </w:pPr>
    <w:rPr>
      <w:rFonts w:ascii="Times New Roman" w:hAnsi="Times New Roman" w:cs="Times New Roman"/>
    </w:rPr>
  </w:style>
  <w:style w:type="paragraph" w:styleId="4">
    <w:name w:val="toc 6"/>
    <w:basedOn w:val="1"/>
    <w:next w:val="1"/>
    <w:autoRedefine/>
    <w:qFormat/>
    <w:uiPriority w:val="0"/>
    <w:pPr>
      <w:ind w:left="1200"/>
    </w:pPr>
    <w:rPr>
      <w:rFonts w:ascii="Calibri" w:cs="Calibri"/>
      <w:sz w:val="18"/>
      <w:szCs w:val="18"/>
    </w:rPr>
  </w:style>
  <w:style w:type="paragraph" w:styleId="9">
    <w:name w:val="annotation text"/>
    <w:basedOn w:val="1"/>
    <w:semiHidden/>
    <w:unhideWhenUsed/>
    <w:qFormat/>
    <w:uiPriority w:val="99"/>
  </w:style>
  <w:style w:type="paragraph" w:styleId="10">
    <w:name w:val="toc 3"/>
    <w:basedOn w:val="1"/>
    <w:next w:val="1"/>
    <w:autoRedefine/>
    <w:unhideWhenUsed/>
    <w:qFormat/>
    <w:uiPriority w:val="39"/>
    <w:pPr>
      <w:tabs>
        <w:tab w:val="right" w:leader="dot" w:pos="8296"/>
      </w:tabs>
      <w:ind w:left="838" w:leftChars="381"/>
    </w:pPr>
    <w:rPr>
      <w:sz w:val="21"/>
      <w:szCs w:val="21"/>
    </w:rPr>
  </w:style>
  <w:style w:type="paragraph" w:styleId="11">
    <w:name w:val="Plain Text"/>
    <w:basedOn w:val="1"/>
    <w:link w:val="47"/>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autoRedefine/>
    <w:qFormat/>
    <w:uiPriority w:val="0"/>
    <w:pPr>
      <w:ind w:firstLine="539" w:firstLineChars="174"/>
    </w:pPr>
    <w:rPr>
      <w:rFonts w:ascii="仿宋_GB2312" w:eastAsia="仿宋_GB2312"/>
      <w:sz w:val="31"/>
    </w:rPr>
  </w:style>
  <w:style w:type="paragraph" w:styleId="13">
    <w:name w:val="Balloon Text"/>
    <w:basedOn w:val="1"/>
    <w:link w:val="50"/>
    <w:semiHidden/>
    <w:unhideWhenUsed/>
    <w:qFormat/>
    <w:uiPriority w:val="99"/>
    <w:pPr>
      <w:spacing w:after="0"/>
    </w:pPr>
    <w:rPr>
      <w:sz w:val="18"/>
      <w:szCs w:val="18"/>
    </w:rPr>
  </w:style>
  <w:style w:type="paragraph" w:styleId="14">
    <w:name w:val="footer"/>
    <w:basedOn w:val="1"/>
    <w:link w:val="49"/>
    <w:autoRedefine/>
    <w:unhideWhenUsed/>
    <w:qFormat/>
    <w:uiPriority w:val="99"/>
    <w:pPr>
      <w:tabs>
        <w:tab w:val="center" w:pos="4153"/>
        <w:tab w:val="right" w:pos="8306"/>
      </w:tabs>
    </w:pPr>
    <w:rPr>
      <w:sz w:val="18"/>
      <w:szCs w:val="18"/>
    </w:rPr>
  </w:style>
  <w:style w:type="paragraph" w:styleId="15">
    <w:name w:val="header"/>
    <w:basedOn w:val="1"/>
    <w:link w:val="48"/>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autoRedefine/>
    <w:semiHidden/>
    <w:unhideWhenUsed/>
    <w:qFormat/>
    <w:uiPriority w:val="39"/>
  </w:style>
  <w:style w:type="paragraph" w:styleId="17">
    <w:name w:val="toc 4"/>
    <w:basedOn w:val="1"/>
    <w:next w:val="1"/>
    <w:autoRedefine/>
    <w:unhideWhenUsed/>
    <w:qFormat/>
    <w:uiPriority w:val="39"/>
    <w:pPr>
      <w:tabs>
        <w:tab w:val="right" w:leader="dot" w:pos="8296"/>
      </w:tabs>
      <w:spacing w:after="120"/>
      <w:ind w:left="1320" w:leftChars="600"/>
    </w:pPr>
  </w:style>
  <w:style w:type="paragraph" w:styleId="18">
    <w:name w:val="index heading"/>
    <w:basedOn w:val="1"/>
    <w:next w:val="19"/>
    <w:autoRedefine/>
    <w:qFormat/>
    <w:uiPriority w:val="0"/>
    <w:rPr>
      <w:rFonts w:ascii="Times New Roman" w:hAnsi="Times New Roman"/>
      <w:szCs w:val="20"/>
    </w:rPr>
  </w:style>
  <w:style w:type="paragraph" w:styleId="19">
    <w:name w:val="index 1"/>
    <w:basedOn w:val="1"/>
    <w:next w:val="1"/>
    <w:autoRedefine/>
    <w:unhideWhenUsed/>
    <w:qFormat/>
    <w:uiPriority w:val="99"/>
  </w:style>
  <w:style w:type="paragraph" w:styleId="2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1">
    <w:name w:val="footnote text"/>
    <w:basedOn w:val="1"/>
    <w:autoRedefine/>
    <w:semiHidden/>
    <w:unhideWhenUsed/>
    <w:qFormat/>
    <w:uiPriority w:val="99"/>
    <w:pPr>
      <w:snapToGrid w:val="0"/>
      <w:jc w:val="left"/>
    </w:pPr>
    <w:rPr>
      <w:sz w:val="18"/>
    </w:rPr>
  </w:style>
  <w:style w:type="paragraph" w:styleId="22">
    <w:name w:val="toc 2"/>
    <w:basedOn w:val="1"/>
    <w:next w:val="1"/>
    <w:autoRedefine/>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3">
    <w:name w:val="Normal (Web)"/>
    <w:basedOn w:val="1"/>
    <w:link w:val="52"/>
    <w:autoRedefine/>
    <w:qFormat/>
    <w:uiPriority w:val="0"/>
    <w:pPr>
      <w:widowControl w:val="0"/>
      <w:adjustRightInd/>
      <w:snapToGrid/>
      <w:spacing w:after="0"/>
      <w:jc w:val="both"/>
    </w:pPr>
    <w:rPr>
      <w:rFonts w:eastAsia="宋体" w:asciiTheme="minorHAnsi" w:hAnsiTheme="minorHAnsi"/>
      <w:kern w:val="2"/>
      <w:sz w:val="24"/>
      <w:szCs w:val="24"/>
    </w:r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autoRedefine/>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autoRedefine/>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表格文字"/>
    <w:basedOn w:val="1"/>
    <w:autoRedefine/>
    <w:qFormat/>
    <w:uiPriority w:val="0"/>
    <w:pPr>
      <w:autoSpaceDE/>
      <w:autoSpaceDN/>
      <w:adjustRightInd/>
      <w:spacing w:before="25" w:after="25"/>
    </w:pPr>
    <w:rPr>
      <w:rFonts w:ascii="Times New Roman"/>
      <w:bCs/>
      <w:spacing w:val="10"/>
      <w:szCs w:val="20"/>
    </w:rPr>
  </w:style>
  <w:style w:type="character" w:customStyle="1" w:styleId="33">
    <w:name w:val="标题 2 Char"/>
    <w:basedOn w:val="26"/>
    <w:link w:val="6"/>
    <w:autoRedefine/>
    <w:qFormat/>
    <w:uiPriority w:val="9"/>
    <w:rPr>
      <w:rFonts w:asciiTheme="majorHAnsi" w:hAnsiTheme="majorHAnsi" w:eastAsiaTheme="majorEastAsia" w:cstheme="majorBidi"/>
      <w:b/>
      <w:bCs/>
      <w:sz w:val="32"/>
      <w:szCs w:val="32"/>
    </w:rPr>
  </w:style>
  <w:style w:type="character" w:customStyle="1" w:styleId="34">
    <w:name w:val="标题 3 Char"/>
    <w:basedOn w:val="26"/>
    <w:link w:val="7"/>
    <w:autoRedefine/>
    <w:qFormat/>
    <w:uiPriority w:val="9"/>
    <w:rPr>
      <w:rFonts w:ascii="Tahoma" w:hAnsi="Tahoma" w:eastAsia="宋体"/>
      <w:b/>
      <w:bCs/>
      <w:sz w:val="28"/>
      <w:szCs w:val="32"/>
    </w:rPr>
  </w:style>
  <w:style w:type="paragraph" w:styleId="35">
    <w:name w:val="List Paragraph"/>
    <w:basedOn w:val="1"/>
    <w:autoRedefine/>
    <w:qFormat/>
    <w:uiPriority w:val="34"/>
    <w:pPr>
      <w:ind w:firstLine="420" w:firstLineChars="200"/>
    </w:pPr>
  </w:style>
  <w:style w:type="character" w:customStyle="1" w:styleId="36">
    <w:name w:val="标题 4 Char"/>
    <w:basedOn w:val="26"/>
    <w:link w:val="8"/>
    <w:autoRedefine/>
    <w:qFormat/>
    <w:uiPriority w:val="9"/>
    <w:rPr>
      <w:rFonts w:eastAsia="宋体" w:asciiTheme="majorAscii" w:hAnsiTheme="majorAscii" w:cstheme="majorBidi"/>
      <w:b/>
      <w:bCs/>
      <w:sz w:val="24"/>
      <w:szCs w:val="28"/>
    </w:rPr>
  </w:style>
  <w:style w:type="character" w:customStyle="1" w:styleId="37">
    <w:name w:val="正文缩进2格 Char"/>
    <w:link w:val="38"/>
    <w:autoRedefine/>
    <w:qFormat/>
    <w:uiPriority w:val="0"/>
    <w:rPr>
      <w:rFonts w:ascii="仿宋_GB2312" w:hAnsi="宋体" w:eastAsia="仿宋_GB2312"/>
      <w:kern w:val="2"/>
      <w:sz w:val="31"/>
    </w:rPr>
  </w:style>
  <w:style w:type="paragraph" w:customStyle="1" w:styleId="38">
    <w:name w:val="正文缩进2格"/>
    <w:basedOn w:val="1"/>
    <w:next w:val="1"/>
    <w:link w:val="37"/>
    <w:autoRedefine/>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9">
    <w:name w:val="正文缩进4格"/>
    <w:basedOn w:val="38"/>
    <w:autoRedefine/>
    <w:qFormat/>
    <w:uiPriority w:val="0"/>
    <w:pPr>
      <w:ind w:left="2" w:firstLine="538" w:firstLineChars="192"/>
    </w:pPr>
    <w:rPr>
      <w:color w:val="0000FF"/>
      <w:sz w:val="28"/>
    </w:rPr>
  </w:style>
  <w:style w:type="character" w:customStyle="1" w:styleId="40">
    <w:name w:val="正文缩进2格 Char Char"/>
    <w:autoRedefine/>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autoRedefine/>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2">
    <w:name w:val="标题1"/>
    <w:autoRedefine/>
    <w:qFormat/>
    <w:uiPriority w:val="0"/>
    <w:rPr>
      <w:rFonts w:ascii="Times New Roman" w:hAnsi="Times New Roman" w:eastAsia="宋体" w:cs="Times New Roman"/>
      <w:b/>
      <w:kern w:val="0"/>
      <w:sz w:val="24"/>
      <w:szCs w:val="20"/>
      <w:lang w:eastAsia="en-US"/>
    </w:rPr>
  </w:style>
  <w:style w:type="character" w:customStyle="1" w:styleId="43">
    <w:name w:val="标题 3.1 Char"/>
    <w:link w:val="44"/>
    <w:autoRedefine/>
    <w:qFormat/>
    <w:uiPriority w:val="0"/>
    <w:rPr>
      <w:rFonts w:ascii="宋体" w:hAnsi="宋体" w:eastAsia="宋体"/>
      <w:b/>
      <w:color w:val="FF0000"/>
      <w:kern w:val="2"/>
      <w:sz w:val="32"/>
    </w:rPr>
  </w:style>
  <w:style w:type="paragraph" w:customStyle="1" w:styleId="44">
    <w:name w:val="标题 3.1"/>
    <w:basedOn w:val="7"/>
    <w:link w:val="43"/>
    <w:autoRedefine/>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5">
    <w:name w:val="样式 楷体_GB2312 小四"/>
    <w:autoRedefine/>
    <w:qFormat/>
    <w:uiPriority w:val="0"/>
    <w:rPr>
      <w:rFonts w:ascii="楷体_GB2312" w:hAnsi="楷体_GB2312" w:eastAsia="仿宋_GB2312"/>
      <w:sz w:val="24"/>
    </w:rPr>
  </w:style>
  <w:style w:type="character" w:customStyle="1" w:styleId="46">
    <w:name w:val="纯文本 Char"/>
    <w:autoRedefine/>
    <w:qFormat/>
    <w:uiPriority w:val="0"/>
    <w:rPr>
      <w:rFonts w:ascii="宋体" w:hAnsi="Courier New" w:eastAsia="宋体" w:cs="Times New Roman"/>
      <w:b/>
      <w:kern w:val="2"/>
      <w:sz w:val="21"/>
      <w:szCs w:val="20"/>
    </w:rPr>
  </w:style>
  <w:style w:type="character" w:customStyle="1" w:styleId="47">
    <w:name w:val="纯文本 Char1"/>
    <w:basedOn w:val="26"/>
    <w:link w:val="11"/>
    <w:autoRedefine/>
    <w:semiHidden/>
    <w:qFormat/>
    <w:uiPriority w:val="99"/>
    <w:rPr>
      <w:rFonts w:ascii="宋体" w:hAnsi="Courier New" w:eastAsia="宋体" w:cs="Courier New"/>
      <w:sz w:val="21"/>
      <w:szCs w:val="21"/>
    </w:rPr>
  </w:style>
  <w:style w:type="character" w:customStyle="1" w:styleId="48">
    <w:name w:val="页眉 Char"/>
    <w:basedOn w:val="26"/>
    <w:link w:val="15"/>
    <w:autoRedefine/>
    <w:qFormat/>
    <w:uiPriority w:val="99"/>
    <w:rPr>
      <w:rFonts w:ascii="Tahoma" w:hAnsi="Tahoma"/>
      <w:sz w:val="18"/>
      <w:szCs w:val="18"/>
    </w:rPr>
  </w:style>
  <w:style w:type="character" w:customStyle="1" w:styleId="49">
    <w:name w:val="页脚 Char"/>
    <w:basedOn w:val="26"/>
    <w:link w:val="14"/>
    <w:autoRedefine/>
    <w:qFormat/>
    <w:uiPriority w:val="99"/>
    <w:rPr>
      <w:rFonts w:ascii="Tahoma" w:hAnsi="Tahoma"/>
      <w:sz w:val="18"/>
      <w:szCs w:val="18"/>
    </w:rPr>
  </w:style>
  <w:style w:type="character" w:customStyle="1" w:styleId="50">
    <w:name w:val="批注框文本 Char"/>
    <w:basedOn w:val="26"/>
    <w:link w:val="13"/>
    <w:autoRedefine/>
    <w:semiHidden/>
    <w:qFormat/>
    <w:uiPriority w:val="99"/>
    <w:rPr>
      <w:rFonts w:ascii="Tahoma" w:hAnsi="Tahoma"/>
      <w:sz w:val="18"/>
      <w:szCs w:val="18"/>
    </w:rPr>
  </w:style>
  <w:style w:type="paragraph" w:customStyle="1" w:styleId="51">
    <w:name w:val="Char Char2 Char"/>
    <w:basedOn w:val="1"/>
    <w:autoRedefine/>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2">
    <w:name w:val="普通(网站) Char"/>
    <w:link w:val="23"/>
    <w:autoRedefine/>
    <w:qFormat/>
    <w:uiPriority w:val="0"/>
    <w:rPr>
      <w:rFonts w:eastAsia="宋体"/>
      <w:kern w:val="2"/>
      <w:sz w:val="24"/>
      <w:szCs w:val="24"/>
    </w:rPr>
  </w:style>
  <w:style w:type="paragraph" w:customStyle="1" w:styleId="53">
    <w:name w:val="列出段落1"/>
    <w:basedOn w:val="1"/>
    <w:autoRedefine/>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4">
    <w:name w:val="p141"/>
    <w:autoRedefine/>
    <w:qFormat/>
    <w:uiPriority w:val="0"/>
    <w:rPr>
      <w:sz w:val="21"/>
      <w:szCs w:val="21"/>
    </w:rPr>
  </w:style>
  <w:style w:type="paragraph" w:customStyle="1" w:styleId="55">
    <w:name w:val="图"/>
    <w:basedOn w:val="1"/>
    <w:autoRedefine/>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6">
    <w:name w:val="正文无缩进"/>
    <w:basedOn w:val="38"/>
    <w:autoRedefine/>
    <w:qFormat/>
    <w:uiPriority w:val="0"/>
    <w:pPr>
      <w:ind w:firstLine="0" w:firstLineChars="0"/>
    </w:pPr>
  </w:style>
  <w:style w:type="paragraph" w:customStyle="1" w:styleId="57">
    <w:name w:val="一级条标题"/>
    <w:basedOn w:val="58"/>
    <w:next w:val="59"/>
    <w:autoRedefine/>
    <w:qFormat/>
    <w:uiPriority w:val="0"/>
    <w:pPr>
      <w:tabs>
        <w:tab w:val="left" w:pos="720"/>
      </w:tabs>
      <w:spacing w:beforeLines="0" w:afterLines="0"/>
      <w:outlineLvl w:val="2"/>
    </w:pPr>
  </w:style>
  <w:style w:type="paragraph" w:customStyle="1" w:styleId="58">
    <w:name w:val="章标题"/>
    <w:next w:val="1"/>
    <w:autoRedefine/>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9">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Table Paragraph"/>
    <w:basedOn w:val="1"/>
    <w:autoRedefine/>
    <w:qFormat/>
    <w:uiPriority w:val="1"/>
  </w:style>
  <w:style w:type="paragraph" w:customStyle="1" w:styleId="61">
    <w:name w:val="正文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样式6 正文"/>
    <w:autoRedefine/>
    <w:qFormat/>
    <w:uiPriority w:val="0"/>
    <w:pPr>
      <w:widowControl w:val="0"/>
      <w:tabs>
        <w:tab w:val="left" w:pos="420"/>
      </w:tabs>
      <w:spacing w:line="360" w:lineRule="auto"/>
      <w:ind w:firstLine="482"/>
      <w:jc w:val="both"/>
    </w:pPr>
    <w:rPr>
      <w:rFonts w:ascii="Times New Roman"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72</Pages>
  <Words>28574</Words>
  <Characters>29196</Characters>
  <Lines>264</Lines>
  <Paragraphs>74</Paragraphs>
  <TotalTime>2</TotalTime>
  <ScaleCrop>false</ScaleCrop>
  <LinksUpToDate>false</LinksUpToDate>
  <CharactersWithSpaces>31460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2024-01-19T07:16:51Z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EDA76340EDF64C6D9EE0A2B415EB7E0A_13</vt:lpwstr>
  </property>
</Properties>
</file>