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6"/>
        <w:ind w:firstLine="240"/>
        <w:rPr>
          <w:rFonts w:ascii="黑体" w:eastAsia="黑体"/>
          <w:color w:val="auto"/>
          <w:szCs w:val="21"/>
          <w:highlight w:val="none"/>
        </w:rPr>
      </w:pPr>
    </w:p>
    <w:p>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GDZT2023145A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东莞市厚街镇新围社区卫生服务中心大楼家具及会议系统设备采购项目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东莞市厚街镇新围股份经济联合社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3"/>
        <w:ind w:left="0" w:leftChars="0"/>
        <w:rPr>
          <w:color w:val="auto"/>
          <w:sz w:val="40"/>
          <w:szCs w:val="40"/>
          <w:highlight w:val="none"/>
        </w:rPr>
      </w:pPr>
      <w:r>
        <w:rPr>
          <w:rFonts w:hint="eastAsia"/>
          <w:color w:val="auto"/>
          <w:sz w:val="40"/>
          <w:szCs w:val="40"/>
          <w:highlight w:val="none"/>
        </w:rPr>
        <w:t>目录</w:t>
      </w:r>
    </w:p>
    <w:p>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73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76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88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89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90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91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92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93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94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95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96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97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98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98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99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100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101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102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103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104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106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107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东莞市厚街镇新围股份经济联合社</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东莞市厚街镇新围社区卫生服务中心大楼家具及会议系统设备采购项目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GDZT2023145A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东莞市厚街镇新围社区卫生服务中心大楼家具及会议系统设备采购项目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东莞市厚街镇新围社区卫生服务中心大楼家具及会议系统设备采购项目</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 xml:space="preserve">967,730.77 </w:t>
            </w:r>
            <w:r>
              <w:rPr>
                <w:rFonts w:hint="eastAsia" w:ascii="宋体" w:hAnsi="宋体"/>
                <w:color w:val="auto"/>
                <w:szCs w:val="21"/>
                <w:highlight w:val="none"/>
              </w:rPr>
              <w:t>元</w:t>
            </w:r>
          </w:p>
        </w:tc>
      </w:tr>
    </w:tbl>
    <w:p>
      <w:pPr>
        <w:pStyle w:val="10"/>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（3）投标人的单位负责人为同一人或者存在直接控股、管理关系的不同投标人，不得参加同一合同项下的政府采购活动。为本项</w:t>
      </w:r>
      <w:bookmarkStart w:id="385" w:name="_GoBack"/>
      <w:bookmarkEnd w:id="385"/>
      <w:r>
        <w:rPr>
          <w:rFonts w:hint="eastAsia" w:ascii="宋体" w:hAnsi="宋体"/>
          <w:color w:val="auto"/>
          <w:szCs w:val="21"/>
          <w:highlight w:val="none"/>
        </w:rPr>
        <w:t xml:space="preserve">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15</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15</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29</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29</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刘工</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东莞市厚街镇</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0769-81717138</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p>
    <w:p>
      <w:pPr>
        <w:pStyle w:val="10"/>
        <w:rPr>
          <w:color w:val="auto"/>
          <w:sz w:val="21"/>
          <w:szCs w:val="21"/>
          <w:highlight w:val="none"/>
        </w:rPr>
      </w:pPr>
    </w:p>
    <w:p>
      <w:pPr>
        <w:pStyle w:val="3"/>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3"/>
        <w:spacing w:before="0" w:after="0" w:line="360" w:lineRule="auto"/>
        <w:rPr>
          <w:color w:val="auto"/>
          <w:highlight w:val="none"/>
        </w:rPr>
      </w:pPr>
      <w:bookmarkStart w:id="8" w:name="_Toc5749"/>
      <w:bookmarkStart w:id="9" w:name="_Toc13473"/>
      <w:bookmarkStart w:id="10" w:name="_Hlk55300595"/>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29685"/>
            <w:bookmarkStart w:id="18" w:name="_Toc30638"/>
            <w:bookmarkStart w:id="19" w:name="_Toc2479"/>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体系认证</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rPr>
              <w:t>具有由国家认监委批准设立的认证机构颁发并在有效期内的质量管理体系认证、</w:t>
            </w:r>
            <w:r>
              <w:rPr>
                <w:rFonts w:hint="eastAsia" w:ascii="宋体" w:hAnsi="宋体" w:eastAsia="宋体" w:cs="宋体"/>
                <w:color w:val="auto"/>
                <w:kern w:val="2"/>
                <w:sz w:val="21"/>
                <w:szCs w:val="21"/>
                <w:highlight w:val="none"/>
              </w:rPr>
              <w:t>环境管理体系认证</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职业健康管理体系认证</w:t>
            </w:r>
            <w:r>
              <w:rPr>
                <w:rFonts w:hint="eastAsia" w:ascii="宋体" w:hAnsi="宋体" w:eastAsia="宋体" w:cs="宋体"/>
                <w:color w:val="auto"/>
                <w:kern w:val="2"/>
                <w:sz w:val="21"/>
                <w:szCs w:val="21"/>
                <w:highlight w:val="none"/>
                <w:lang w:eastAsia="zh-CN"/>
              </w:rPr>
              <w:t>、</w:t>
            </w:r>
            <w:r>
              <w:rPr>
                <w:rFonts w:ascii="Helvetica" w:hAnsi="Helvetica" w:eastAsia="Helvetica" w:cs="Helvetica"/>
                <w:i w:val="0"/>
                <w:iCs w:val="0"/>
                <w:caps w:val="0"/>
                <w:color w:val="auto"/>
                <w:spacing w:val="0"/>
                <w:sz w:val="21"/>
                <w:szCs w:val="21"/>
                <w:highlight w:val="none"/>
                <w:shd w:val="clear" w:fill="FFFFFF"/>
              </w:rPr>
              <w:t>商品售后服务评价认证</w:t>
            </w:r>
            <w:r>
              <w:rPr>
                <w:rFonts w:hint="eastAsia" w:ascii="宋体" w:hAnsi="宋体" w:eastAsia="宋体" w:cs="宋体"/>
                <w:color w:val="auto"/>
                <w:sz w:val="21"/>
                <w:szCs w:val="21"/>
                <w:highlight w:val="none"/>
                <w:lang w:val="en-US" w:eastAsia="zh-CN"/>
              </w:rPr>
              <w:t>的，每提供一项认证证书</w:t>
            </w:r>
            <w:r>
              <w:rPr>
                <w:rFonts w:hint="eastAsia" w:ascii="宋体" w:hAnsi="宋体" w:eastAsia="宋体" w:cs="宋体"/>
                <w:color w:val="auto"/>
                <w:sz w:val="21"/>
                <w:szCs w:val="21"/>
                <w:highlight w:val="none"/>
                <w:lang w:val="zh-CN"/>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w:t>
            </w:r>
            <w:r>
              <w:rPr>
                <w:rFonts w:hint="eastAsia" w:ascii="宋体" w:hAnsi="宋体" w:eastAsia="宋体" w:cs="宋体"/>
                <w:color w:val="auto"/>
                <w:sz w:val="21"/>
                <w:szCs w:val="21"/>
                <w:highlight w:val="none"/>
                <w:lang w:val="en-US" w:eastAsia="zh-CN"/>
              </w:rPr>
              <w:t>本项</w:t>
            </w:r>
            <w:r>
              <w:rPr>
                <w:rFonts w:hint="eastAsia" w:ascii="宋体" w:hAnsi="宋体" w:eastAsia="宋体" w:cs="宋体"/>
                <w:color w:val="auto"/>
                <w:sz w:val="21"/>
                <w:szCs w:val="21"/>
                <w:highlight w:val="none"/>
                <w:lang w:val="zh-CN"/>
              </w:rPr>
              <w:t>最高得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zh-CN"/>
              </w:rPr>
              <w:t>注：须提供有效证书复印件并加盖投标人公章，不符合以上要求的不得分。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投标人具有</w:t>
            </w:r>
            <w:r>
              <w:rPr>
                <w:rFonts w:hint="eastAsia" w:ascii="宋体" w:hAnsi="宋体" w:eastAsia="宋体" w:cs="宋体"/>
                <w:bCs/>
                <w:color w:val="auto"/>
                <w:sz w:val="21"/>
                <w:szCs w:val="21"/>
                <w:highlight w:val="none"/>
                <w:lang w:val="en-US" w:eastAsia="zh-CN"/>
              </w:rPr>
              <w:t>家具供货</w:t>
            </w:r>
            <w:r>
              <w:rPr>
                <w:rFonts w:hint="eastAsia" w:ascii="宋体" w:eastAsia="宋体" w:cs="宋体"/>
                <w:bCs/>
                <w:color w:val="auto"/>
                <w:sz w:val="21"/>
                <w:szCs w:val="21"/>
                <w:highlight w:val="none"/>
                <w:lang w:val="en-US" w:eastAsia="zh-CN"/>
              </w:rPr>
              <w:t>（或信息系统设备供货）</w:t>
            </w:r>
            <w:r>
              <w:rPr>
                <w:rFonts w:hint="eastAsia" w:ascii="宋体" w:hAnsi="宋体" w:eastAsia="宋体" w:cs="宋体"/>
                <w:bCs/>
                <w:color w:val="auto"/>
                <w:sz w:val="21"/>
                <w:szCs w:val="21"/>
                <w:highlight w:val="none"/>
                <w:lang w:val="zh-CN" w:eastAsia="zh-CN"/>
              </w:rPr>
              <w:t>类</w:t>
            </w:r>
            <w:r>
              <w:rPr>
                <w:rFonts w:hint="eastAsia" w:ascii="宋体" w:hAnsi="宋体" w:eastAsia="宋体" w:cs="宋体"/>
                <w:bCs/>
                <w:color w:val="auto"/>
                <w:sz w:val="21"/>
                <w:szCs w:val="21"/>
                <w:highlight w:val="none"/>
                <w:lang w:val="en-US" w:eastAsia="zh-CN"/>
              </w:rPr>
              <w:t>项目业绩的</w:t>
            </w:r>
            <w:r>
              <w:rPr>
                <w:rFonts w:hint="eastAsia" w:ascii="宋体" w:hAnsi="宋体" w:eastAsia="宋体" w:cs="宋体"/>
                <w:bCs/>
                <w:color w:val="auto"/>
                <w:sz w:val="21"/>
                <w:szCs w:val="21"/>
                <w:highlight w:val="none"/>
                <w:lang w:val="zh-CN"/>
              </w:rPr>
              <w:t>，每提供一个合同业绩得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分，本项最高得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zh-CN"/>
              </w:rPr>
              <w:t>注：须提供合同复印件加盖投标人公章，</w:t>
            </w:r>
            <w:r>
              <w:rPr>
                <w:rFonts w:hint="eastAsia" w:ascii="宋体" w:hAnsi="宋体" w:eastAsia="宋体" w:cs="宋体"/>
                <w:bCs/>
                <w:color w:val="auto"/>
                <w:sz w:val="21"/>
                <w:szCs w:val="21"/>
                <w:highlight w:val="none"/>
              </w:rPr>
              <w:t>否则不得分</w:t>
            </w:r>
            <w:r>
              <w:rPr>
                <w:rFonts w:hint="eastAsia" w:ascii="宋体" w:hAnsi="宋体" w:eastAsia="宋体" w:cs="宋体"/>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供货方案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根据投标人提供的供货方案</w:t>
            </w:r>
            <w:r>
              <w:rPr>
                <w:rFonts w:hint="eastAsia" w:ascii="宋体" w:hAnsi="宋体" w:eastAsia="宋体" w:cs="宋体"/>
                <w:bCs/>
                <w:color w:val="auto"/>
                <w:sz w:val="21"/>
                <w:szCs w:val="21"/>
                <w:highlight w:val="none"/>
                <w:lang w:val="zh-CN"/>
              </w:rPr>
              <w:t>（包括但不限于供货</w:t>
            </w:r>
            <w:r>
              <w:rPr>
                <w:rFonts w:hint="eastAsia" w:ascii="宋体" w:hAnsi="宋体" w:eastAsia="宋体" w:cs="宋体"/>
                <w:bCs/>
                <w:color w:val="auto"/>
                <w:sz w:val="21"/>
                <w:szCs w:val="21"/>
                <w:highlight w:val="none"/>
                <w:lang w:val="en-US" w:eastAsia="zh-CN"/>
              </w:rPr>
              <w:t>时间安排、进度计划、运输、安装调试</w:t>
            </w:r>
            <w:r>
              <w:rPr>
                <w:rFonts w:hint="eastAsia" w:ascii="宋体" w:hAnsi="宋体" w:eastAsia="宋体" w:cs="宋体"/>
                <w:bCs/>
                <w:color w:val="auto"/>
                <w:sz w:val="21"/>
                <w:szCs w:val="21"/>
                <w:highlight w:val="none"/>
                <w:lang w:val="zh-CN"/>
              </w:rPr>
              <w:t>等）</w:t>
            </w:r>
            <w:r>
              <w:rPr>
                <w:rFonts w:hint="eastAsia" w:ascii="宋体" w:eastAsia="宋体" w:cs="宋体"/>
                <w:color w:val="auto"/>
                <w:sz w:val="21"/>
                <w:szCs w:val="21"/>
                <w:highlight w:val="none"/>
              </w:rPr>
              <w:t>进行综合评审：</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供货方案科学完整、合理、可行，得15分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供货方案较完整、较合理、较可行，得10分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供货方案基本完整、基本合理、基本可行，得5分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供货方案简单，可行性差，得1分</w:t>
            </w:r>
            <w:r>
              <w:rPr>
                <w:rFonts w:hint="eastAsia" w:asci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质量保障措施</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根据投标人提供质量保障措施方案（包括但不限于质量目标、项目质量的控制）进行评审：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质量目标非常明确、项目质量的控制非常详细、检验手段非常科学，得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质量目标比较明确、项目质量的控制较为详细、检验手段比较科学，得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质量目标基本明确、项目质量的控制一般、检验手段一般，得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质量目标不够明确、项目质量的控制不够可行、检验手段一般，得1分；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kern w:val="2"/>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产品使用培训方案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根据投标人提供的产品使用培训方案进行综合评审： </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方案科学合理完整，可操作性强，针对性强，得15分；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方案科学较合理完整，可操作性较强，针对性较强，得10分；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方案基本完整，可操作性一般，针对性一般，得5分；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方案不完整，可操作性差，针对性差，得1分； </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根据售后服务方案、售后点技术力量</w:t>
            </w:r>
            <w:r>
              <w:rPr>
                <w:rFonts w:hint="eastAsia" w:ascii="宋体" w:eastAsia="宋体"/>
                <w:color w:val="auto"/>
                <w:sz w:val="21"/>
                <w:szCs w:val="21"/>
                <w:highlight w:val="none"/>
                <w:lang w:eastAsia="zh-CN"/>
              </w:rPr>
              <w:t>、</w:t>
            </w:r>
            <w:r>
              <w:rPr>
                <w:rFonts w:hint="eastAsia" w:ascii="宋体" w:eastAsia="宋体"/>
                <w:color w:val="auto"/>
                <w:sz w:val="21"/>
                <w:szCs w:val="21"/>
                <w:highlight w:val="none"/>
              </w:rPr>
              <w:t>出现紧急情况时的服务措施等进行</w:t>
            </w:r>
            <w:r>
              <w:rPr>
                <w:rFonts w:hint="eastAsia" w:ascii="宋体" w:eastAsia="宋体" w:cs="宋体"/>
                <w:color w:val="auto"/>
                <w:sz w:val="21"/>
                <w:szCs w:val="21"/>
                <w:highlight w:val="none"/>
              </w:rPr>
              <w:t>综合评审：</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科学完整、合理、可行，得</w:t>
            </w:r>
            <w:r>
              <w:rPr>
                <w:rFonts w:hint="eastAsia" w:ascii="宋体" w:eastAsia="宋体" w:cs="宋体"/>
                <w:color w:val="auto"/>
                <w:sz w:val="21"/>
                <w:szCs w:val="21"/>
                <w:highlight w:val="none"/>
                <w:lang w:val="en-US" w:eastAsia="zh-CN"/>
              </w:rPr>
              <w:t>15</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较完整、较合理、较可行，得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基本完整、基本合理、基本可行，得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简单，可行性差，得1分</w:t>
            </w:r>
            <w:r>
              <w:rPr>
                <w:rFonts w:hint="eastAsia" w:asci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投标报价得分=(评标基准价／投标报价)×价格权值</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3095"/>
      <w:bookmarkStart w:id="22" w:name="_Toc19746"/>
      <w:bookmarkStart w:id="23" w:name="_Toc1110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18488"/>
      <w:bookmarkStart w:id="25" w:name="_Toc22803"/>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16848"/>
      <w:bookmarkStart w:id="28" w:name="_Toc21002"/>
      <w:bookmarkStart w:id="29" w:name="_Toc13400"/>
      <w:r>
        <w:rPr>
          <w:rFonts w:hint="eastAsia" w:ascii="宋体" w:hAnsi="宋体"/>
          <w:color w:val="auto"/>
          <w:sz w:val="21"/>
          <w:szCs w:val="21"/>
          <w:highlight w:val="none"/>
        </w:rPr>
        <w:t>2.</w:t>
      </w:r>
      <w:bookmarkStart w:id="30" w:name="_Toc303084246"/>
      <w:bookmarkStart w:id="31" w:name="_Toc298847174"/>
      <w:bookmarkStart w:id="32" w:name="_Toc1530"/>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3909"/>
      <w:bookmarkStart w:id="38" w:name="_Toc15945"/>
      <w:bookmarkStart w:id="39" w:name="_Toc12536"/>
      <w:r>
        <w:rPr>
          <w:rFonts w:hint="eastAsia" w:ascii="宋体" w:hAnsi="宋体"/>
          <w:color w:val="auto"/>
          <w:sz w:val="21"/>
          <w:szCs w:val="21"/>
          <w:highlight w:val="none"/>
        </w:rPr>
        <w:t>4.投标费用</w:t>
      </w:r>
      <w:bookmarkEnd w:id="37"/>
      <w:bookmarkEnd w:id="38"/>
      <w:bookmarkEnd w:id="39"/>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9094"/>
      <w:r>
        <w:rPr>
          <w:rFonts w:hint="eastAsia" w:ascii="宋体" w:hAnsi="宋体"/>
          <w:color w:val="auto"/>
          <w:sz w:val="21"/>
          <w:szCs w:val="21"/>
          <w:highlight w:val="none"/>
        </w:rPr>
        <w:t>5.知识产权</w:t>
      </w:r>
      <w:bookmarkEnd w:id="40"/>
      <w:bookmarkEnd w:id="41"/>
      <w:bookmarkEnd w:id="42"/>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16571"/>
      <w:bookmarkStart w:id="47" w:name="_Toc1381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23726"/>
      <w:bookmarkStart w:id="60" w:name="_Toc4773"/>
      <w:bookmarkStart w:id="61" w:name="_Toc16712"/>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303084256"/>
      <w:bookmarkStart w:id="66" w:name="_Toc382049103"/>
      <w:bookmarkStart w:id="67" w:name="_Toc307934854"/>
      <w:bookmarkStart w:id="68" w:name="_Toc28866"/>
      <w:bookmarkStart w:id="69" w:name="_Toc7728"/>
      <w:bookmarkStart w:id="70" w:name="_Toc12145"/>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6535"/>
      <w:bookmarkStart w:id="80" w:name="_Toc18911"/>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8"/>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25817"/>
      <w:bookmarkStart w:id="88" w:name="_Toc12456"/>
      <w:bookmarkStart w:id="89" w:name="_Toc3025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200"/>
      <w:bookmarkStart w:id="92" w:name="_Toc24109"/>
      <w:bookmarkStart w:id="93" w:name="_Toc31124"/>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303084264"/>
      <w:bookmarkStart w:id="95" w:name="_Toc24997"/>
      <w:bookmarkStart w:id="96" w:name="_Toc23678"/>
      <w:bookmarkStart w:id="97" w:name="_Toc382049111"/>
      <w:bookmarkStart w:id="98" w:name="_Toc473"/>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9649"/>
      <w:bookmarkStart w:id="104" w:name="_Toc8526"/>
      <w:bookmarkStart w:id="105" w:name="_Toc13212"/>
      <w:r>
        <w:rPr>
          <w:rFonts w:hint="eastAsia" w:ascii="宋体" w:hAnsi="宋体"/>
          <w:color w:val="auto"/>
          <w:sz w:val="21"/>
          <w:szCs w:val="21"/>
          <w:highlight w:val="none"/>
        </w:rPr>
        <w:t>19.投标样品（如需提交）</w:t>
      </w:r>
      <w:bookmarkEnd w:id="103"/>
      <w:bookmarkEnd w:id="104"/>
      <w:bookmarkEnd w:id="105"/>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23477"/>
      <w:bookmarkStart w:id="107" w:name="_Toc5900"/>
      <w:bookmarkStart w:id="108" w:name="_Toc7689"/>
      <w:bookmarkStart w:id="109" w:name="_Toc382049112"/>
      <w:bookmarkStart w:id="110" w:name="_Toc303084265"/>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0"/>
        <w:rPr>
          <w:color w:val="auto"/>
          <w:highlight w:val="none"/>
        </w:rPr>
      </w:pPr>
    </w:p>
    <w:p>
      <w:pPr>
        <w:pStyle w:val="4"/>
        <w:spacing w:line="480" w:lineRule="auto"/>
        <w:jc w:val="center"/>
        <w:rPr>
          <w:rFonts w:ascii="宋体" w:hAnsi="宋体"/>
          <w:color w:val="auto"/>
          <w:highlight w:val="none"/>
        </w:rPr>
      </w:pPr>
      <w:bookmarkStart w:id="115" w:name="_Toc23466"/>
      <w:bookmarkStart w:id="116" w:name="_Toc5049"/>
      <w:bookmarkStart w:id="117" w:name="_Toc29574"/>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8458"/>
      <w:bookmarkStart w:id="119" w:name="_Toc27700"/>
      <w:bookmarkStart w:id="120" w:name="_Toc24251"/>
      <w:r>
        <w:rPr>
          <w:rFonts w:hint="eastAsia" w:ascii="宋体" w:hAnsi="宋体"/>
          <w:color w:val="auto"/>
          <w:sz w:val="21"/>
          <w:szCs w:val="21"/>
          <w:highlight w:val="none"/>
        </w:rPr>
        <w:t>22.开标</w:t>
      </w:r>
      <w:bookmarkEnd w:id="118"/>
      <w:bookmarkEnd w:id="119"/>
      <w:bookmarkEnd w:id="120"/>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5974"/>
      <w:bookmarkStart w:id="122" w:name="_Toc552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26402"/>
      <w:bookmarkStart w:id="125" w:name="_Toc32730"/>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1742"/>
      <w:bookmarkStart w:id="131" w:name="_Toc29184"/>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7593"/>
      <w:bookmarkStart w:id="134" w:name="_Toc17683"/>
      <w:bookmarkStart w:id="135" w:name="_Toc22192"/>
      <w:r>
        <w:rPr>
          <w:rFonts w:hint="eastAsia" w:ascii="宋体" w:hAnsi="宋体"/>
          <w:color w:val="auto"/>
          <w:sz w:val="21"/>
          <w:szCs w:val="21"/>
          <w:highlight w:val="none"/>
        </w:rPr>
        <w:t>27.优惠政策</w:t>
      </w:r>
      <w:bookmarkEnd w:id="133"/>
      <w:bookmarkEnd w:id="134"/>
      <w:bookmarkEnd w:id="13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20328"/>
      <w:bookmarkStart w:id="138" w:name="_Toc22591"/>
      <w:bookmarkStart w:id="139" w:name="_Toc382049120"/>
      <w:bookmarkStart w:id="140" w:name="_Toc31141"/>
      <w:bookmarkStart w:id="141"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29310"/>
      <w:bookmarkStart w:id="143" w:name="_Toc12251"/>
      <w:bookmarkStart w:id="144" w:name="_Toc5528"/>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508284011"/>
      <w:bookmarkStart w:id="146" w:name="_Toc27817"/>
      <w:bookmarkStart w:id="147" w:name="_Toc6696"/>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29283"/>
      <w:bookmarkStart w:id="150" w:name="_Toc12440"/>
      <w:bookmarkStart w:id="151" w:name="_Toc508284013"/>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2262"/>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7405"/>
      <w:bookmarkStart w:id="157" w:name="_Toc25756"/>
      <w:bookmarkStart w:id="158" w:name="_Toc29009"/>
      <w:bookmarkStart w:id="159" w:name="_Toc382049124"/>
      <w:bookmarkStart w:id="160" w:name="_Toc2744"/>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17974"/>
      <w:bookmarkStart w:id="166" w:name="_Toc25498"/>
      <w:bookmarkStart w:id="167" w:name="_Toc22900"/>
      <w:r>
        <w:rPr>
          <w:rFonts w:hint="eastAsia" w:ascii="宋体" w:hAnsi="宋体"/>
          <w:color w:val="auto"/>
          <w:sz w:val="21"/>
          <w:szCs w:val="21"/>
          <w:highlight w:val="none"/>
        </w:rPr>
        <w:t>33.询问</w:t>
      </w:r>
      <w:bookmarkEnd w:id="165"/>
      <w:bookmarkEnd w:id="166"/>
      <w:bookmarkEnd w:id="167"/>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2767"/>
      <w:bookmarkStart w:id="169" w:name="_Toc11264"/>
      <w:bookmarkStart w:id="170" w:name="_Toc8234"/>
      <w:r>
        <w:rPr>
          <w:rFonts w:hint="eastAsia" w:ascii="宋体" w:hAnsi="宋体"/>
          <w:color w:val="auto"/>
          <w:sz w:val="21"/>
          <w:szCs w:val="21"/>
          <w:highlight w:val="none"/>
        </w:rPr>
        <w:t>34.质疑</w:t>
      </w:r>
      <w:bookmarkEnd w:id="168"/>
      <w:bookmarkEnd w:id="169"/>
      <w:bookmarkEnd w:id="170"/>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5690"/>
      <w:bookmarkStart w:id="172" w:name="_Toc8919"/>
      <w:bookmarkStart w:id="173" w:name="_Toc24383"/>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6548"/>
      <w:bookmarkStart w:id="175" w:name="_Toc21187"/>
      <w:bookmarkStart w:id="176" w:name="_Toc10082"/>
      <w:r>
        <w:rPr>
          <w:rFonts w:hint="eastAsia" w:ascii="宋体" w:hAnsi="宋体"/>
          <w:color w:val="auto"/>
          <w:sz w:val="21"/>
          <w:szCs w:val="21"/>
          <w:highlight w:val="none"/>
        </w:rPr>
        <w:t>35.招标文件的解释权</w:t>
      </w:r>
      <w:bookmarkEnd w:id="174"/>
      <w:bookmarkEnd w:id="175"/>
      <w:bookmarkEnd w:id="176"/>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8"/>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15</w:t>
            </w:r>
            <w:r>
              <w:rPr>
                <w:rFonts w:hint="eastAsia" w:ascii="宋体" w:hAnsi="宋体" w:eastAsia="宋体" w:cs="宋体"/>
                <w:bCs/>
                <w:color w:val="auto"/>
                <w:kern w:val="44"/>
                <w:sz w:val="21"/>
                <w:szCs w:val="21"/>
                <w:highlight w:val="none"/>
              </w:rPr>
              <w:t>天</w:t>
            </w:r>
            <w:r>
              <w:rPr>
                <w:rFonts w:hint="eastAsia" w:ascii="宋体" w:hAnsi="宋体" w:eastAsia="宋体" w:cs="宋体"/>
                <w:bCs/>
                <w:color w:val="auto"/>
                <w:kern w:val="44"/>
                <w:sz w:val="21"/>
                <w:szCs w:val="21"/>
                <w:highlight w:val="none"/>
                <w:lang w:val="en-US" w:eastAsia="zh-CN"/>
              </w:rPr>
              <w:t>内完成供货、安装、调试及验收</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widowControl w:val="0"/>
              <w:autoSpaceDE w:val="0"/>
              <w:autoSpaceDN w:val="0"/>
              <w:adjustRightInd/>
              <w:snapToGrid/>
              <w:spacing w:after="0" w:line="288" w:lineRule="auto"/>
              <w:ind w:firstLine="420" w:firstLineChars="200"/>
              <w:rPr>
                <w:rFonts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1</w:t>
            </w:r>
            <w:r>
              <w:rPr>
                <w:rFonts w:hint="eastAsia" w:ascii="宋体" w:hAnsi="宋体" w:eastAsia="宋体" w:cs="宋体"/>
                <w:color w:val="auto"/>
                <w:sz w:val="21"/>
                <w:szCs w:val="21"/>
                <w:highlight w:val="none"/>
                <w:lang w:val="zh-CN" w:bidi="zh-CN"/>
              </w:rPr>
              <w:t>）签订合同后，支付合同总价的30%；</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2</w:t>
            </w: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供货</w:t>
            </w:r>
            <w:r>
              <w:rPr>
                <w:rFonts w:hint="eastAsia" w:ascii="宋体" w:hAnsi="宋体" w:eastAsia="宋体" w:cs="宋体"/>
                <w:color w:val="auto"/>
                <w:sz w:val="21"/>
                <w:szCs w:val="21"/>
                <w:highlight w:val="none"/>
                <w:lang w:val="zh-CN" w:bidi="zh-CN"/>
              </w:rPr>
              <w:t>安装</w:t>
            </w:r>
            <w:r>
              <w:rPr>
                <w:rFonts w:hint="eastAsia" w:ascii="宋体" w:hAnsi="宋体" w:eastAsia="宋体" w:cs="宋体"/>
                <w:color w:val="auto"/>
                <w:sz w:val="21"/>
                <w:szCs w:val="21"/>
                <w:highlight w:val="none"/>
                <w:lang w:bidi="zh-CN"/>
              </w:rPr>
              <w:t>及</w:t>
            </w:r>
            <w:r>
              <w:rPr>
                <w:rFonts w:hint="eastAsia" w:ascii="宋体" w:hAnsi="宋体" w:eastAsia="宋体" w:cs="宋体"/>
                <w:color w:val="auto"/>
                <w:sz w:val="21"/>
                <w:szCs w:val="21"/>
                <w:highlight w:val="none"/>
                <w:lang w:val="zh-CN" w:bidi="zh-CN"/>
              </w:rPr>
              <w:t>调试结束，提交全部报告材料，并验收合格后，支付</w:t>
            </w:r>
            <w:r>
              <w:rPr>
                <w:rFonts w:hint="eastAsia" w:ascii="宋体" w:hAnsi="宋体" w:cs="宋体"/>
                <w:color w:val="auto"/>
                <w:sz w:val="21"/>
                <w:szCs w:val="21"/>
                <w:highlight w:val="none"/>
                <w:lang w:val="en-US" w:bidi="zh-CN"/>
              </w:rPr>
              <w:t>至</w:t>
            </w:r>
            <w:r>
              <w:rPr>
                <w:rFonts w:hint="eastAsia" w:ascii="宋体" w:hAnsi="宋体" w:eastAsia="宋体" w:cs="宋体"/>
                <w:color w:val="auto"/>
                <w:sz w:val="21"/>
                <w:szCs w:val="21"/>
                <w:highlight w:val="none"/>
                <w:lang w:val="zh-CN" w:bidi="zh-CN"/>
              </w:rPr>
              <w:t>合同总价的</w:t>
            </w:r>
            <w:r>
              <w:rPr>
                <w:rFonts w:hint="eastAsia" w:ascii="宋体" w:hAnsi="宋体" w:cs="宋体"/>
                <w:color w:val="auto"/>
                <w:sz w:val="21"/>
                <w:szCs w:val="21"/>
                <w:highlight w:val="none"/>
                <w:lang w:val="en-US" w:bidi="zh-CN"/>
              </w:rPr>
              <w:t>100</w:t>
            </w:r>
            <w:r>
              <w:rPr>
                <w:rFonts w:hint="eastAsia" w:ascii="宋体" w:hAnsi="宋体" w:eastAsia="宋体" w:cs="宋体"/>
                <w:color w:val="auto"/>
                <w:sz w:val="21"/>
                <w:szCs w:val="21"/>
                <w:highlight w:val="none"/>
                <w:lang w:val="zh-CN" w:bidi="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color w:val="auto"/>
          <w:highlight w:val="none"/>
        </w:rPr>
      </w:pPr>
    </w:p>
    <w:p>
      <w:pPr>
        <w:pStyle w:val="1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4"/>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pPr>
        <w:pStyle w:val="5"/>
        <w:bidi w:val="0"/>
        <w:rPr>
          <w:rFonts w:hint="eastAsia" w:eastAsia="宋体"/>
          <w:color w:val="auto"/>
          <w:highlight w:val="none"/>
          <w:lang w:val="en-US" w:eastAsia="zh-CN"/>
        </w:rPr>
      </w:pPr>
      <w:bookmarkStart w:id="182" w:name="_Toc31278"/>
      <w:bookmarkStart w:id="183" w:name="_Toc14462"/>
      <w:bookmarkStart w:id="184" w:name="_Toc24679"/>
      <w:bookmarkStart w:id="185" w:name="_Toc13112"/>
      <w:r>
        <w:rPr>
          <w:rFonts w:hint="eastAsia" w:eastAsia="宋体"/>
          <w:color w:val="auto"/>
          <w:highlight w:val="none"/>
          <w:lang w:val="en-US" w:eastAsia="zh-CN"/>
        </w:rPr>
        <w:t>一、项目基本要求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3、对于影响货物正常工作的必要组成部分，无论在技术规范中指出与否，投标人都应提供并在投标文件中明确列出。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6</w:t>
      </w:r>
      <w:r>
        <w:rPr>
          <w:rFonts w:hint="eastAsia"/>
          <w:color w:val="auto"/>
          <w:sz w:val="21"/>
          <w:szCs w:val="21"/>
          <w:highlight w:val="none"/>
          <w:lang w:val="en-US"/>
        </w:rPr>
        <w:t>、投标</w:t>
      </w:r>
      <w:r>
        <w:rPr>
          <w:rFonts w:hint="eastAsia"/>
          <w:color w:val="auto"/>
          <w:sz w:val="21"/>
          <w:szCs w:val="21"/>
          <w:highlight w:val="none"/>
          <w:lang w:val="en-US" w:eastAsia="zh-CN"/>
        </w:rPr>
        <w:t>人</w:t>
      </w:r>
      <w:r>
        <w:rPr>
          <w:rFonts w:hint="eastAsia"/>
          <w:color w:val="auto"/>
          <w:sz w:val="21"/>
          <w:szCs w:val="21"/>
          <w:highlight w:val="none"/>
          <w:lang w:val="en-US"/>
        </w:rPr>
        <w:t xml:space="preserve">须负责投标货物的运输、验收、试运行和售后服务、培训等。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、本项目为一个整体，投标人必须对本项目整体进行投标，不能只对其中一部分货物进行投标，且要提供详细的技术资料。</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、投标人提供的产品必须符合招标文件要求的技术参数及功能要求。</w:t>
      </w:r>
    </w:p>
    <w:p>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eastAsia="zh-CN"/>
        </w:rPr>
        <w:t>10</w:t>
      </w:r>
      <w:r>
        <w:rPr>
          <w:rFonts w:hint="eastAsia"/>
          <w:color w:val="auto"/>
          <w:sz w:val="21"/>
          <w:szCs w:val="21"/>
          <w:highlight w:val="none"/>
          <w:lang w:val="en-US"/>
        </w:rPr>
        <w:t>、本项目主要标的的名称（即核心产品）为：</w:t>
      </w:r>
      <w:r>
        <w:rPr>
          <w:rFonts w:hint="eastAsia" w:ascii="宋体" w:hAnsi="宋体" w:eastAsia="宋体" w:cs="宋体"/>
          <w:color w:val="auto"/>
          <w:sz w:val="21"/>
          <w:szCs w:val="21"/>
          <w:highlight w:val="none"/>
          <w:lang w:val="en-US" w:eastAsia="zh-CN"/>
        </w:rPr>
        <w:t>数字化档案管理密集柜</w:t>
      </w:r>
      <w:r>
        <w:rPr>
          <w:rFonts w:hint="eastAsia"/>
          <w:color w:val="auto"/>
          <w:sz w:val="21"/>
          <w:szCs w:val="21"/>
          <w:highlight w:val="none"/>
          <w:lang w:val="en-US"/>
        </w:rPr>
        <w:t>。</w:t>
      </w:r>
    </w:p>
    <w:p>
      <w:pPr>
        <w:rPr>
          <w:color w:val="auto"/>
          <w:highlight w:val="none"/>
          <w:lang w:val="en-US"/>
        </w:rPr>
      </w:pPr>
    </w:p>
    <w:p>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二</w:t>
      </w:r>
      <w:r>
        <w:rPr>
          <w:rFonts w:hint="eastAsia" w:eastAsia="宋体"/>
          <w:color w:val="auto"/>
          <w:highlight w:val="none"/>
          <w:lang w:val="en-US" w:eastAsia="zh-CN"/>
        </w:rPr>
        <w:t>、项目清单</w:t>
      </w:r>
    </w:p>
    <w:p>
      <w:pPr>
        <w:bidi w:val="0"/>
        <w:rPr>
          <w:rFonts w:hint="eastAsia" w:ascii="宋体" w:hAnsi="宋体" w:eastAsia="宋体" w:cs="宋体"/>
          <w:color w:val="auto"/>
          <w:sz w:val="21"/>
          <w:szCs w:val="21"/>
          <w:highlight w:val="none"/>
          <w:lang w:eastAsia="zh-CN"/>
        </w:rPr>
      </w:pPr>
      <w:r>
        <w:rPr>
          <w:rFonts w:hint="eastAsia"/>
          <w:color w:val="auto"/>
          <w:highlight w:val="none"/>
          <w:lang w:val="en-US" w:eastAsia="zh-CN"/>
        </w:rPr>
        <w:t>1、</w:t>
      </w:r>
      <w:r>
        <w:rPr>
          <w:rFonts w:hint="eastAsia"/>
          <w:color w:val="auto"/>
          <w:highlight w:val="none"/>
          <w:lang w:eastAsia="zh-CN"/>
        </w:rPr>
        <w:t>家具</w:t>
      </w:r>
      <w:r>
        <w:rPr>
          <w:rFonts w:hint="eastAsia"/>
          <w:color w:val="auto"/>
          <w:highlight w:val="none"/>
          <w:lang w:val="en-US" w:eastAsia="zh-CN"/>
        </w:rPr>
        <w:t>清单</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965"/>
        <w:gridCol w:w="5723"/>
        <w:gridCol w:w="641"/>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项目名称</w:t>
            </w:r>
          </w:p>
        </w:tc>
        <w:tc>
          <w:tcPr>
            <w:tcW w:w="3358"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项目特征描述</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计量单位</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警务室大厅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治安办公室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单位沙发</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1.西皮饰面，质感柔和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2.40密度高弹力海绵，坐感舒适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3.双面抛光、烘干、除虫处理实木木架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4.锰钢蛇簧加平衡线处理，永不变形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5.铁电镀沙发脚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三位沙发</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1.西皮饰面，质感柔和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2.40密度高弹力海绵，坐感舒适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3.双面抛光、烘干、除虫处理实木木架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4.锰钢蛇簧加平衡线处理，永不变形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5.铁电镀沙发脚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长茶几</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1.1200W*600D*400H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2.采用环保高密度刨花板；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3.饰面纸：采用饰面纸；压纹采用钢板，浮雕细腻，质感明显</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4.PVC封边：采用厚PVC封边带，厚度≥2mm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5.胶水：采用热熔胶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6.结构：黑色五金钢脚，稳固时尚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方茶几</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1.600W*600D*400H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2.采用环保高密度刨花板；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3.饰面纸：采用饰面纸；压纹采用钢板，浮雕细腻，质感明显</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4.PVC封边：采用厚PVC封边带，厚度≥2mm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5.胶水：采用热熔胶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6.结构：黑色五金钢脚，稳固时尚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文件柜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1.台柜规格:1200*400*2000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2.材料种类、规格:1纯三聚氰胺(允许偏差±5mm),台面厚度25mm；2、颜色：尤加利；3、饰面：采用浸渍胶膜纸；封边 ：2mm厚激光封边 。采用高温封边热溶胶 ，经全自动封边机热压与板材粘连无丝无缝 ，在不同地区气温、  湿度的变化中不受影响 ，能长期不变形 、不开裂；4、采用环保E1级人造板，厚度≥25mm，侧板、背板厚度≥15mm，密度≥0.65g/cm³ ，2h吸水厚度膨胀率：≤0.7%；内结合强度≥0.35MPa；静曲强度：≥16.7MPa ，表面结合强度≥0.9MPa；甲醛释放限量≤0.03mg/m³。笨和甲苯检测结果未检出，TVOC≤0.2mg/m³，经防虫、防腐化学处理，稳定性好，握钉力强，不易变形；符合GB/T15102-2017和GB18580-2017标准;5、环保白乳胶：游离甲醛≤0.05g/kg，苯≤0.01g/kg，甲苯+二甲苯≤0.04g/kg，总挥发性有机物≤70g/L；符合GB 18583-2008标准；6、环保PVC封边：厚度≥2.0mm,四周采用同色封四边处理,物理性能佳，严密平整，线条均匀，转角过渡自然，经过刨光干燥防虫防腐等处理，甲醛释放限量：1m³气候箱法 E1≤0.124mg/m³；7、五金件：导轨、铰链金属表面耐腐蚀，采用五金配件，经防锈处理，符合QB/T2454-2013和QB/T2189-2013标准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茶水柜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1.台柜规格:1600W*400D*1000H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2.材料种类、规格:1、面材：采用三聚氰胺饰面板，需符合GB/T15102-2006浸渍胶膜纸饰面人造板标准要求。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2、基材 ：采用符合国家E0级三聚氰胺板 ，具有阻燃 、防腐蚀 、耐磨等特点 ，符合国际E1级环保标准 ，通过国家绿色环保认证；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3、、封边 ：2mm厚激光封边 。厚度≥5.0mm，无缝封边，色泽均匀一致，具有良好的耐气候性能，确保在本地区气温、湿度的变化中不受影响，能长期不变形、不开裂，耐污、耐磨、防撞、防水、防虫，保证板材封边质量，延长产品使用寿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4、胶水、采用热溶胶，品质优异，证贴合及封边牢固，经得起寒冷和高温气候考验，胶水中</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有害物质的含量远</w:t>
            </w:r>
            <w:r>
              <w:rPr>
                <w:rFonts w:hint="eastAsia" w:ascii="宋体" w:hAnsi="宋体" w:cs="宋体"/>
                <w:color w:val="auto"/>
                <w:sz w:val="21"/>
                <w:szCs w:val="21"/>
                <w:highlight w:val="none"/>
                <w:lang w:val="en-US" w:eastAsia="zh-CN"/>
              </w:rPr>
              <w:t>低于</w:t>
            </w:r>
            <w:r>
              <w:rPr>
                <w:rFonts w:hint="eastAsia" w:ascii="宋体" w:hAnsi="宋体" w:eastAsia="宋体" w:cs="宋体"/>
                <w:color w:val="auto"/>
                <w:sz w:val="21"/>
                <w:szCs w:val="21"/>
                <w:highlight w:val="none"/>
                <w:lang w:val="en-US" w:eastAsia="zh-CN"/>
              </w:rPr>
              <w:t>国家标准。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5、五金配件：采用五金连接件，永不生锈腐蚀，拼装紧凑牢固。所有五金配件做防锈、防腐处理。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通道位置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1.规格尺寸:四人位：长度≥2320mm×宽≥680mm×高≥760mm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1）材质结构：采用冷轧钢板材料利用全自动高速冲孔技术，压力机冷压成型技术，板面网孔，座板后背采用三角形大支架无椅托结构，支架厚度≥1.1mm，支撑点V型铁厚度4.5mm，安装便捷，坚固耐用，不易变形，表面经酸洗防锈处理后静电喷涂，涂层厚度≥70μm，座面厚度≥1.2mm。（2）椅座/背承托支架：采用1.1mm冷板冲压成型，用于承托整个椅座背,承托跨度为≥750mm，表面静电喷涂，涂层厚度≥70μm，光滑平顺、色泽饱满、均匀，不易磨损掉漆。（3）承重压力：每个座位可承受≥120KG的静止压力，经久耐用。2、扶手、脚（可根据客户要求选择扶手/脚材质）（1）扶手材质：①采用铝合金压铸一体成型，外观设计线条优美，简洁大方，扶手面直径宽度≥45mm ,扶手高度≥290mm,长度≥355mm ,表面静电喷涂，涂层厚度≥70μm，表面光滑、色泽饱满，不易磨损掉漆。       ②采用20*40mm冷拉管弯型焊接成型，厚度≥1.1mm，扶手面直径宽度≥40mm，高度≥290mm，长度≥355mm,表面静电喷涂，涂层厚度≥70μm，表面光滑、色泽饱满，不易磨损掉漆。（2）站脚材质：①采用铝合金压铸一体成型，直径宽度≥30-40mm ,高度≥280mm，跨度长度≥620mm,表面静电喷涂，涂层厚度≥70μm，表面光滑，不易磨损掉漆，脚底配用圆形带五金装饰面橡胶脚垫，不会刮损地面。②采用冷轧钢板冲压成型，厚度为≥1.1mm,高度≥280mm，跨度长度≥620mm,表面静电喷涂，涂层厚度≥70μm，表面光滑，不易磨损掉漆，脚底配用圆形带五金装饰面橡胶脚垫，不会刮损地面。3、横梁：采用1.3mm厚度冷轧钢板压型焊接成三角形105*105*125mm，表面静电喷涂，涂层厚度≥70μm，表面光滑、色泽饱满，不易磨损掉漆，横梁两头配有塑料胶塞。</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拍照室/监控室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办公桌</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1.规格尺寸:2000*600*750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2.1 、饰面 ：纯三聚氰胺浸胶简称 MFC ，高克重且覆盖力强 ，确保耐磨抗划 、耐高温 、耐酸碱 、易清洁；  纹理自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然 ，颜色一致 ，环保性能指标完全达到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，板材内甲醛及有害物质释放量达到国家 E1标准， 甲醛释放量≤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0. 124mg/m3,环保性能指标完全达到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：2mm厚激光封边 。采用高温封边热溶胶 ，经全自动封边机热压与板材粘连无丝无缝 ，在不同地区气温</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、胶粘剂 ：采用胶粘剂 ，色泽美观 ，不变色 ，光滑耐磨 ，油漆硬度达2H ，达到不变色 、不含铅 ，抗冲力、</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耐热和耐缩涨 ，胶合剂采用环保胶合剂 。环保性能指标完全符合 GB 18583-2008；</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、导轨 ：符合QB/T 2454-2013《家具五金抽屉导轨》标准 ，下沉量不超过抽屉导轨拉出长度 3%；</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 、门铰 ：采用连接件 、内置阻力铰链 ,具有三维调整功能 ，静音 、  自关闭 ，缓冲装置的三节无声滑轨 ，静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音， 门铰可开合不少于40000次 ，性能指标完全符合QB/T 2454-2013；</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 、钢架 ：采用冷轧钢 ，表面经脱脂 、清洗 、酸洗 、磷化 、表调 、清洗 、烘干 、喷塑 ，经200℃高温固化，</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铁钉刺击无痕迹 ，不脱落 ，不开裂 ，抗腐蚀性强 ，涂层牢固 ，美观大方。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 、五金配件 ：采用五金配件 ，所有五金件作防锈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农林水办公室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屏风卡位</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1.台柜规格:1400*1400*1050H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 、屏风 ：采用30款屏风；  屏风结构屏风：  高为1050mm ，地面往上至750mm选用纯三聚氰胺浸胶简称 MFC板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屏风 ，750MM往上至1050MM屏风采用钢化条纹玻璃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，具有阻燃 、防腐蚀 、耐磨等特点 ，符合国际E1级环保标准 ，通过国家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绿色环保认证；  所有板材经过蒸压煮 、烘干 、杀菌 、杀虫处理 、防腐处理 ，含水率≤9% ，抗弯力强 ，不易变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：2mm厚PVC封边 。采用高温封边热溶胶 ，经全自动封边机热压与板材粘连无丝无缝 ，在不同地区气</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温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、贴面胶 ：采用环保胶水 ，符合国际E1级环保标准；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、五金配件 ：采用五金配件 ，所有五金件都经防锈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文件柜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1.台柜规格:1200*400*2000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2.材料种类、规格:1纯三聚氰胺(允许偏差±5mm),台面厚度25mm；2、颜色：尤加利；3、饰面：采用浸渍胶膜纸；封边 ：2mm厚激光封边 。采用高温封边热溶胶 ，经全自动封边机热压与板材粘连无丝无缝 ，在不同地区气温、  湿度的变化中不受影响 ，能长期不变形 、不开裂；4、采用环保E1级人造板，厚度≥25mm，侧板、背板厚度≥15mm，密度≥0.65g/cm³ ，2h吸水厚度膨胀率：≤0.7%；内结合强度≥0.35MPa；静曲强度：≥16.7MPa ，表面结合强度≥0.9MPa；甲醛释放限量≤0.03mg/m³。笨和甲苯检测结果未检出，TVOC≤0.2mg/m³，经防虫、防腐化学处理，稳定性好，握钉力强，不易变形；符合GB/T15102-2017和GB18580-2017标准;5、环保白乳胶：游离甲醛≤0.05g/kg，苯≤0.01g/kg，甲苯+二甲苯≤0.04g/kg，总挥发性有机物≤70g/L；符合GB 18583-2008标准；6、环保PVC封边：厚度≥2.0mm,四周采用同色封四边处理,物理性能佳，严密平整，线条均匀，转角过渡自然，经过刨光干燥防虫防腐等处理，甲醛释放限量：1m³气候箱法 E1≤0.124mg/m³；7、五金件：导轨、铰链金属表面耐腐蚀，采用五金配件，经防锈处理，符合QB/T2454-2013和QB/T2189-2013标准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城建国土办公室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屏风卡位</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1.台柜规格:1400*1400*1050H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 、屏风 ：采用30款屏风；  屏风结构屏风：  高为1050mm ，地面往上至750mm选用纯三聚氰胺浸胶简称 MFC板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屏风 ，750MM往上至1050MM屏风采用钢化条纹玻璃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，具有阻燃 、防腐蚀 、耐磨等特点 ，符合国际E1级环保标准 ，通过国家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绿色环保认证；  所有板材经过蒸压煮 、烘干 、杀菌 、杀虫处理 、防腐处理 ，含水率≤9% ，抗弯力强 ，不易变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：2mm厚PVC封边 。采用高温封边热溶胶 ，经全自动封边机热压与板材粘连无丝无缝 ，在不同地区气</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温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、贴面胶 ：采用环保胶水 ，符合国际E1级环保标准；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、五金配件 ：采用五金配件 ，所有五金件都经防锈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会议台</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1.规格尺寸:3200W*1400D*750H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2.1、面材：采用三聚氰胺饰面板，需符合GB/T15102-2006浸渍胶膜纸饰面人造板标准要求。其中甲醛释放量≤0.05mg/m³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2、基材：采用环保刨花板，甲醛释放量≤0.124mg/m³。达到国家环保标准，并经过防虫、防腐等化学处理。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3、封边 ：2mm厚激光封边 。采用高温封边热溶胶 ，经全自动封边机热压与板材粘连无丝无缝 ，在不同地区气温、  湿度的变化中不受影响 ，能长期不变形 、不开裂；色泽均匀一致，具有良好的耐气候性能，确保在本地区气温、湿度的变化中不受影响，能长期不变形、不开裂，耐污、耐磨、防撞、防水、防虫，保证板材封边质量，延长产品使用寿命。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4、胶水、采用热溶胶，品质优异，证贴合及封边牢固，经得起寒冷和高温气候考验，胶水中</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有害物质的含量远</w:t>
            </w:r>
            <w:r>
              <w:rPr>
                <w:rFonts w:hint="eastAsia" w:ascii="宋体" w:hAnsi="宋体" w:cs="宋体"/>
                <w:color w:val="auto"/>
                <w:sz w:val="21"/>
                <w:szCs w:val="21"/>
                <w:highlight w:val="none"/>
                <w:lang w:val="en-US" w:eastAsia="zh-CN"/>
              </w:rPr>
              <w:t>低于</w:t>
            </w:r>
            <w:r>
              <w:rPr>
                <w:rFonts w:hint="eastAsia" w:ascii="宋体" w:hAnsi="宋体" w:eastAsia="宋体" w:cs="宋体"/>
                <w:color w:val="auto"/>
                <w:sz w:val="21"/>
                <w:szCs w:val="21"/>
                <w:highlight w:val="none"/>
                <w:lang w:val="en-US" w:eastAsia="zh-CN"/>
              </w:rPr>
              <w:t>国家标准。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5、五金配件：采用五金连接件，永不生锈腐蚀，拼装紧凑牢固。所有五金配件做防锈、防腐处理。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会议椅  西皮</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1.多层实木板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2.45≥度高回弹海绵</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3.2厚加1套管黑色双管弓形架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4.连体固体西皮扶手</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文件柜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1.台柜规格:1200*400*2000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2.材料种类、规格:1纯三聚氰胺(允许偏差±5mm),台面厚度25mm；2、颜色：尤加利；3、饰面：采用浸渍胶膜纸；封边 ：2mm厚激光封边 。采用高温封边热溶胶 ，经全自动封边机热压与板材粘连无丝无缝 ，在不同地区气温、  湿度的变化中不受影响 ，能长期不变形 、不开裂；4、采用环保E1级人造板，厚度≥25mm，侧板、背板厚度≥15mm，密度≥0.65g/cm³ ，2h吸水厚度膨胀率：≤0.7%；内结合强度≥0.35MPa；静曲强度：≥16.7MPa ，表面结合强度≥0.9MPa；甲醛释放限量≤0.03mg/m³。笨和甲苯检测结果未检出，TVOC≤0.2mg/m³，经防虫、防腐化学处理，稳定性好，握钉力强，不易变形；符合GB/T15102-2017和GB18580-2017标准;5、环保白乳胶：游离甲醛≤0.05g/kg，苯≤0.01g/kg，甲苯+二甲苯≤0.04g/kg，总挥发性有机物≤70g/L；符合GB 18583-2008标准；6、环保PVC封边：厚度≥2.0mm,四周采用同色封四边处理,物理性能佳，严密平整，线条均匀，转角过渡自然，经过刨光干燥防虫防腐等处理，甲醛释放限量：1m³气候箱法 E1≤0.124mg/m³；7、五金件：导轨、铰链金属表面耐腐蚀，采用五金配件，经防锈处理，符合QB/T2454-2013和QB/T2189-2013标准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网格中心/网格、应急、三防调度室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办公桌</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1.规格尺寸:1400W*1000D*1100H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2.1 、饰面 ：纯三聚氰胺浸胶简称 MFC ，高克重且覆盖力强 ，确保耐磨抗划 、耐高温 、耐酸碱 、易清洁；  纹理自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然 ，颜色一致 ，环保性能指标完全达到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，板材内甲醛及有害物质释放量达到国家 E1标准， 甲醛释放量≤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0. 124mg/m3,环保性能指标完全达到 GB 18580-2017；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：2mm厚激光封边 。采用高温封边热溶胶 ，经全自动封边机热压与板材粘连无丝无缝 ，在不同地区气温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、胶粘剂 ：采用胶粘剂 ，不变色 ，光滑耐磨 ，不含铅 ，抗冲力 、耐热和耐缩涨 ，胶合剂采用环保胶合剂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环保性能指标完全符合 GB 18583-2008；</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、钢架 ：采用冷轧钢 ，表面经脱脂 、清洗 、酸洗 、磷化 、表调 、清洗 、烘干 、喷塑 ，经200℃高温固化，</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铁钉刺击无痕迹 ，不脱落 ，不开裂 ，抗腐蚀性强 ，涂层牢固。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 、喷涂 ：采用粉末 ，利用高压气体将塑粉雾化后静电喷涂 ，烘干 ，表面均匀 ，膜厚在50-75μm；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 、五金配件 ：采用五金配件 ，所有五金件作防锈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文件柜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1.台柜规格:1200*400*2000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2.材料种类、规格:1纯三聚氰胺(允许偏差±5mm),台面厚度25mm；2、颜色：尤加利；3、饰面：采用浸渍胶膜纸；封边 ：2mm厚激光封边 。采用高温封边热溶胶 ，经全自动封边机热压与板材粘连无丝无缝 ，在不同地区气温、  湿度的变化中不受影响 ，能长期不变形 、不开裂；4、采用环保E1级人造板，厚度≥25mm，侧板、背板厚度≥15mm，密度≥0.65g/cm³ ，2h吸水厚度膨胀率：≤0.7%；内结合强度≥0.35MPa；静曲强度：≥16.7MPa ，表面结合强度≥0.9MPa；甲醛释放限量≤0.03mg/m³。笨和甲苯检测结果未检出，TVOC≤0.2mg/m³，经防虫、防腐化学处理，稳定性好，握钉力强，不易变形；符合GB/T15102-2017和GB18580-2017标准;5、环保白乳胶：游离甲醛≤0.05g/kg，苯≤0.01g/kg，甲苯+二甲苯≤0.04g/kg，总挥发性有机物≤70g/L；符合GB 18583-2008标准；6、环保PVC封边：厚度≥2.0mm,四周采用同色封四边处理,物理性能佳，严密平整，线条均匀，转角过渡自然，经过刨光干燥防虫防腐等处理，甲醛释放限量：1m³气候箱法 E1≤0.124mg/m³；7、五金件：导轨、铰链金属表面耐腐蚀，采用五金配件，经防锈处理，符合QB/T2454-2013和QB/T2189-2013标准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会议桌</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1.规格尺寸:3600W* 1400D*750H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2.1 、饰面 ：纯三聚氰胺浸胶简称 MFC ，高克重且覆盖力强 ，确保耐磨抗划 、耐高温 、耐酸碱 、易清洁；  纹理自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然 ，颜色一致 ，环保性能指标完全达到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，板材内甲醛及有害物质释放量达到国家 E1标准， 甲醛释放量≤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0. 124mg/m3,环保性能指标完全达到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：2mm厚激光封边 。采用高温封边热溶胶 ，经全自动封边机热压与板材粘连无丝无缝 ，在不同地区气温</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、胶粘剂 ：采用胶粘剂 ，不变色 ，光滑耐磨 ，不含铅 ，抗冲力 、耐热和耐缩涨 ，胶合剂采用环保胶合剂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环保性能指标完全符合 GB 18583-2008；</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、五金配件 ：采用五金配件 ，所有五金件作防锈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会议椅  西皮</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1.多层实木板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2.45≥度高回弹海绵</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3.2厚加1套管黑色双管弓形架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4.连体固体西皮扶手</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值班及警务备勤室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上下床</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1.规格尺寸:2000x1000x1750mm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2.床2000x1000x1750mm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床脚：40x40x1.2</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床刀：25x50x1.2</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床板方：25x25x1.0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护栏：20x20x1.0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梯：20x40x1.2</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橡木梯板：18厘，实木床板。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前护栏设计：护栏为折弯无棱角设计无棱角，避免磕碰。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楼梯设计：楼梯采用钢板，踏板设计有防滑纹，底部加方管加固加大安全系数。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床头设计：采用拼接式圆管护栏。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床架主体：原材料采用1.2mm冷轧钢板，表面有多条加强筋，将材质强度发挥到底，静态承重可达1000KG，动态承重可达到500KG。</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床垫（6分棕垫）</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1.尺寸：1500*2000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2.床垫（6分棕垫）</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被褥枕头全套装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1.规格尺寸:1500*2000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2.梦泊莱牛奶绒被套  冬 秋二件被芯+二件被套+枕芯+枕套+床套</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两门衣柜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1.台柜规格:800*500*1800H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面材：采用阻燃板，耐磨、防污、硬度高，表面哑光效果持久。内材：采用高密度环保刨花板，经防虫、防腐等化学处理，刚性好、不变形、比重合理，达到国际握钉力测试标准，甲醛释放量等各项技术指标，均达到国际E0级环保标准。五金：采用配件，安装快捷简便，持久耐用。</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警长办公室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办公桌</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1.规格尺寸:1400*1200*750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2.1 、饰面 ：纯三聚氰胺浸胶简称 MFC ，高克重且覆盖力强 ，确保耐磨抗划 、耐高温 、耐酸碱 、易清洁；  纹理自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然 ，颜色一致 ，环保性能指标完全达到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，板材内甲醛及有害物质释放量达到国家 E1标准， 甲醛释放量≤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0. 124mg/m3,环保性能指标完全达到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：2mm厚激光封边 。采用高温封边热溶胶 ，经全自动封边机热压与板材粘连无丝无缝 ，在不同地区气温</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、胶粘剂 ：采用胶粘剂 ，色泽美观 ，不变色 ，光滑耐磨 ，油漆硬度达2H ，达到不变色 、不含铅 ，抗冲力、</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耐热和耐缩涨 ，胶合剂采用环保胶合剂 。环保性能指标完全符合 GB 18583-2008；</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、导轨 ：符合QB/T 2454-2013《家具五金抽屉导轨》标准 ，下沉量不超过抽屉导轨拉出长度 3%；</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 、门铰 ：采用连接件 、内置阻力铰链 ,具有三维调整功能 ，静音 、  自关闭 ，缓冲装置的三节无声滑轨 ，静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音， 门铰可开合不少于40000次 ，性能指标完全符合QB/T 2454-2013；</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 、钢架 ：采用冷轧钢 ，表面经脱脂 、清洗 、酸洗 、磷化 、表调 、清洗 、烘干 、喷塑 ，经200℃高温固化，</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铁钉刺击无痕迹 ，不脱落 ，不开裂 ，抗腐蚀性强 ，涂层牢固 ，美观大方。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 、五金配件 ：采用五金配件 ，所有五金件作防锈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 西皮</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1.1.椅架：采用实木制作，木材含水率小于7%，经过防虫、防腐蚀处理，无结疤，强度高，韧性好，表面亚光，持久防火防水，不变形，底板下加固三根50㎜左右的实木衬，用以支撑座板。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2.座板：为大于20㎜厚的多层夹板，经过热压成型。</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3.椅面：采用西皮，防潮、防腐、防皱,皮面细腻柔软，手感舒适，耐拉力，结实耐用。</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4.海绵：采用一次成型阻燃PU发泡高弹力海绵，密度达45㎏/m3，回弹力达90%，久压不变形，软硬适中，无添加再生棉，透气性好。</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5.扶手：榆木扶手，经过耐酸碱处理，防腐蚀、防火、防水、耐磨、不变形，表面亚光效果。</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6.脚架：五金，静音滑轮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单位沙发</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1.西皮饰面，质感柔和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2.40密度高弹力海绵，坐感舒适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3.双面抛光、烘干、除虫处理实木木架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4.锰钢蛇簧加平衡线处理，永不变形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5.铁电镀沙发脚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三位沙发</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1.西皮饰面，质感柔和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2.40密度高弹力海绵，坐感舒适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3.双面抛光、烘干、除虫处理实木木架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4.锰钢蛇簧加平衡线处理，永不变形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5.铁电镀沙发脚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长茶几</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1.1200W*600D*400H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2.采用环保高密度刨花板；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3.饰面纸：采用饰面纸；压纹采用钢板，浮雕细腻，质感明显</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4.PVC封边：采用厚PVC封边带，厚度≥2mm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5.胶水：采用热熔胶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6.结构：黑色五金钢脚，稳固时尚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方茶几</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1.600W*600D*400H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2.采用环保高密度刨花板；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3.饰面纸：采用饰面纸；压纹采用钢板，浮雕细腻，质感明显</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4.PVC封边：采用厚PVC封边带，厚度≥2mm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5.胶水：采用热熔胶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6.结构：黑色五金钢脚，稳固时尚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文件柜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1.台柜规格:1200*400*2000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2.材料种类、规格:1纯三聚氰胺(允许偏差±5mm),台面厚度25mm；2、颜色：尤加利；3、饰面：采用浸渍胶膜纸；封边 ：2mm厚激光封边 。采用高温封边热溶胶 ，经全自动封边机热压与板材粘连无丝无缝 ，在不同地区气温、  湿度的变化中不受影响 ，能长期不变形 、不开裂；4、采用环保E1级人造板，厚度≥25mm，侧板、背板厚度≥15mm，密度≥0.65g/cm³ ，2h吸水厚度膨胀率：≤0.7%；内结合强度≥0.35MPa；静曲强度：≥16.7MPa ，表面结合强度≥0.9MPa；甲醛释放限量≤0.03mg/m³。笨和甲苯检测结果未检出，TVOC≤0.2mg/m³，经防虫、防腐化学处理，稳定性好，握钉力强，不易变形；符合GB/T15102-2017和GB18580-2017标准;5、环保白乳胶：游离甲醛≤0.05g/kg，苯≤0.01g/kg，甲苯+二甲苯≤0.04g/kg，总挥发性有机物≤70g/L；符合GB 18583-2008标准；6、环保PVC封边：厚度≥2.0mm,四周采用同色封四边处理,物理性能佳，严密平整，线条均匀，转角过渡自然，经过刨光干燥防虫防腐等处理，甲醛释放限量：1m³气候箱法 E1≤0.124mg/m³；7、五金件：导轨、铰链金属表面耐腐蚀，采用五金配件，经防锈处理，符合QB/T2454-2013和QB/T2189-2013标准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中型会议室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会议桌</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1.规格尺寸:6000W*1800D*750H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2.1 、饰面 ：纯三聚氰胺浸胶简称 MFC ，高克重且覆盖力强 ，确保耐磨抗划 、耐高温 、耐酸碱 、易清洁；  纹理自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然 ，颜色一致 ，环保性能指标完全达到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，板材内甲醛及有害物质释放量达到国家 E1标准， 甲醛释放量≤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0. 124mg/m3,环保性能指标完全达到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：2mm厚激光封边 。采用高温封边热溶胶 ，经全自动封边机热压与板材粘连无丝无缝 ，在不同地区气温</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、胶粘剂 ：采用胶粘剂 ，不变色 ，光滑耐磨 ，不含铅 ，抗冲力 、耐热和耐缩涨 ，胶合剂采用环保胶合剂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环保性能指标完全符合 GB 18583-2008；</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、五金配件 ：采用五金配件 ，所有五金件作防锈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会议椅  西皮</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1.多层实木板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2.45≥度高回弹海绵</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3.2厚加1套管黑色双管弓形架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4.连体固体西皮扶手</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办公桌</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1.规格尺寸:1800W*1800D*760H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2.1、面材：采用三聚氰胺饰面板，需符合GB/T15102-2006浸渍胶膜纸饰面人造板标准要求。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2、基材：采用环保刨花板，甲醛释放量≤0.124mg/m³。达到国家环保标准，并经过防虫、防腐等化学处理。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3、封边 ：2mm厚激光封边 。厚度≥5.0mm，无缝封边，色泽均匀一致，具有良好的耐气候性能，确保在本地区气温、湿度的变化中不受影响，能长期不变形、不开裂，耐污、耐磨、防撞、防水、防虫，保证板材封边质量，延长产品使用寿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4、胶水、采用热溶胶，品质优异，证贴合及封边牢固，经得起寒冷和高温气候考验，胶水中</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有害物质的含量远</w:t>
            </w:r>
            <w:r>
              <w:rPr>
                <w:rFonts w:hint="eastAsia" w:ascii="宋体" w:hAnsi="宋体" w:cs="宋体"/>
                <w:color w:val="auto"/>
                <w:sz w:val="21"/>
                <w:szCs w:val="21"/>
                <w:highlight w:val="none"/>
                <w:lang w:val="en-US" w:eastAsia="zh-CN"/>
              </w:rPr>
              <w:t>低于</w:t>
            </w:r>
            <w:r>
              <w:rPr>
                <w:rFonts w:hint="eastAsia" w:ascii="宋体" w:hAnsi="宋体" w:eastAsia="宋体" w:cs="宋体"/>
                <w:color w:val="auto"/>
                <w:sz w:val="21"/>
                <w:szCs w:val="21"/>
                <w:highlight w:val="none"/>
                <w:lang w:val="en-US" w:eastAsia="zh-CN"/>
              </w:rPr>
              <w:t>国家标准。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5、五金配件：采用五金连接件，永不生锈腐蚀，拼装紧凑牢固。所有五金配件做防锈、防腐处理。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 西皮</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1.1.椅架：采用实木制作，木材含水率小于7%，经过防虫、防腐蚀处理，无结疤，强度高，韧性好，表面亚光，持久防火防水，不变形，底板下加固三根50㎜左右的实木衬，用以支撑座板。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2.座板：为大于20㎜厚的多层夹板，经过热压成型。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3.椅面：采用西皮，防潮、防腐、防皱,皮面细腻柔软，手感舒适，耐拉力，结实耐用。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4.海绵：采用一次成型阻燃PU发泡高弹力海绵，密度达45㎏/m3，回弹力达90%，久压不变形，软硬适中，无添加再生棉，透气性好。                                               5.扶手：榆木扶手，经过耐酸碱处理，防腐蚀、防火、防水、耐磨、不变形，表面亚光效果。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6.脚架：五金，静音滑轮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文件柜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1.台柜规格:1200*400*2000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2.材料种类、规格:1纯三聚氰胺(允许偏差±5mm),台面厚度25mm；2、颜色：尤加利；3、饰面：采用浸渍胶膜纸；封边 ：2mm厚激光封边 。采用高温封边热溶胶 ，经全自动封边机热压与板材粘连无丝无缝 ，在不同地区气温、  湿度的变化中不受影响 ，能长期不变形 、不开裂；4、采用环保E1级人造板，厚度≥25mm，侧板、背板厚度≥15mm，密度≥0.65g/cm³ ，2h吸水厚度膨胀率：≤0.7%；内结合强度≥0.35MPa；静曲强度：≥16.7MPa ，表面结合强度≥0.9MPa；甲醛释放限量≤0.03mg/m³。笨和甲苯检测结果未检出，TVOC≤0.2mg/m³，经防虫、防腐化学处理，稳定性好，握钉力强，不易变形；符合GB/T15102-2017和GB18580-2017标准;5、环保白乳胶：游离甲醛≤0.05g/kg，苯≤0.01g/kg，甲苯+二甲苯≤0.04g/kg，总挥发性有机物≤70g/L；符合GB 18583-2008标准；6、环保PVC封边：厚度≥2.0mm,四周采用同色封四边处理,物理性能佳，严密平整，线条均匀，转角过渡自然，经过刨光干燥防虫防腐等处理，甲醛释放限量：1m³气候箱法 E1≤0.124mg/m³；7、五金件：导轨、铰链金属表面耐腐蚀，采用五金配件，经防锈处理，符合QB/T2454-2013和QB/T2189-2013标准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单位沙发</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1.西皮饰面，质感柔和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2.40密度高弹力海绵，坐感舒适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3.双面抛光、烘干、除虫处理实木木架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4.锰钢蛇簧加平衡线处理，永不变形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5.铁电镀沙发脚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三位沙发</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1.西皮饰面，质感柔和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2.40密度高弹力海绵，坐感舒适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3.双面抛光、烘干、除虫处理实木木架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4.锰钢蛇簧加平衡线处理，永不变形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5.铁电镀沙发脚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长茶几</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1.1200W*600D*400H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2.采用环保高密度刨花板；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3.饰面纸：采用饰面纸；压纹采用钢板，浮雕细腻，质感明显</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4.PVC封边：采用厚PVC封边带，厚度≥2mm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5.胶水：采用热熔胶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6.结构：黑色五金钢脚，稳固时尚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方茶几</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1.600W*600D*400H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2.采用环保高密度刨花板；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3.饰面纸：采用饰面纸；压纹采用钢板，浮雕细腻，质感明显</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4.PVC封边：采用厚PVC封边带，厚度≥2mm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5.胶水：采用热熔胶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6.结构：黑色五金钢脚，稳固时尚</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会议桌</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1.规格尺寸:2400W* 1000D*750H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2.基材：采用E0级中密度纤维板，经防虫、防腐等化学处理， 木材含水率＜10%，甲醛释放量＜1.4mg/L，可溶性铅＜9mg/kg，抗弯力强，不易变形，环保无毒。2、饰面：进口0.8mm胡桃木贴面，木纹纹理自然，拼合细密，台面正反面均贴木皮。3、油漆：选用环保型哑光聚脂漆，在恒温、恒湿、高度防尘的面漆房采用五底三面油漆工艺喷涂，光亮平整，漆腊硬度高，透明度好。4、五金配件：采用五金配件。经防锈、防腐等特殊处理，美观耐用。</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1.中背，带扶手网布面料覆面；内衬环保高回弹一次成形 PU 泡棉座、背衬板采用 E1 级弯曲木胶合板，电镀五金钢架</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市政、执法办公室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屏风卡位</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1.台柜规格:1400*1400*1050H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 、屏风 ：采用30款屏风；  屏风结构屏风：  高为1050mm ，地面往上至750mm选用纯三聚氰胺浸胶简称 MFC板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屏风 ，750MM往上至1050MM屏风采用钢化条纹玻璃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，具有阻燃 、防腐蚀 、耐磨等特点 ，符合国际E1级环保标准 ，通过国家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绿色环保认证；  所有板材经过蒸压煮 、烘干 、杀菌 、杀虫处理 、防腐处理 ，含水率≤9% ，抗弯力强 ，不易变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：2mm厚PVC封边 。采用高温封边热溶胶 ，经全自动封边机热压与板材粘连无丝无缝 ，在不同地区气</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温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、贴面胶 ：采用环保胶水 ，符合国际E1级环保标准；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、五金配件 ：采用五金配件 ，所有五金件都经防锈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49</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文件柜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1.台柜规格:1200*400*2000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2.材料种类、规格:1纯三聚氰胺(允许偏差±5mm),台面厚度25mm；2、颜色：尤加利；3、饰面：采用浸渍胶膜纸；封边 ：2mm厚激光封边 。采用高温封边热溶胶 ，经全自动封边机热压与板材粘连无丝无缝 ，在不同地区气温、  湿度的变化中不受影响 ，能长期不变形 、不开裂；4、采用环保E1级人造板，厚度≥25mm，侧板、背板厚度≥15mm，密度≥0.65g/cm³ ，2h吸水厚度膨胀率：≤0.7%；内结合强度≥0.35MPa；静曲强度：≥16.7MPa ，表面结合强度≥0.9MPa；甲醛释放限量≤0.03mg/m³。笨和甲苯检测结果未检出，TVOC≤0.2mg/m³，经防虫、防腐化学处理，稳定性好，握钉力强，不易变形；符合GB/T15102-2017和GB18580-2017标准;5、环保白乳胶：游离甲醛≤0.05g/kg，苯≤0.01g/kg，甲苯+二甲苯≤0.04g/kg，总挥发性有机物≤70g/L；符合GB 18583-2008标准；6、环保PVC封边：厚度≥2.0mm,四周采用同色封四边处理,物理性能佳，严密平整，线条均匀，转角过渡自然，经过刨光干燥防虫防腐等处理，甲醛释放限量：1m³气候箱法 E1≤0.124mg/m³；7、五金件：导轨、铰链金属表面耐腐蚀，采用五金配件，经防锈处理，符合QB/T2454-2013和QB/T2189-2013标准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宣传办公室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屏风卡位</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1.台柜规格:1400*1400*1050H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 、屏风 ：采用30款屏风；  屏风结构屏风：  高为1050mm ，地面往上至750mm选用纯三聚氰胺浸胶简称 MFC板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屏风 ，750MM往上至1050MM屏风采用钢化条纹玻璃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，具有阻燃 、防腐蚀 、耐磨等特点 ，符合国际E1级环保标准 ，通过国家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绿色环保认证；  所有板材经过蒸压煮 、烘干 、杀菌 、杀虫处理 、防腐处理 ，含水率≤9% ，抗弯力强 ，不易变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：2mm厚PVC封边 。采用高温封边热溶胶 ，经全自动封边机热压与板材粘连无丝无缝 ，在不同地区气</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温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、贴面胶 ：采用环保胶水 ，符合国际E1级环保标准；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、五金配件 ：采用五金配件 ，所有五金件都经防锈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文件柜</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1.台柜规格:1200*400*2000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2.材料种类、规格:1纯三聚氰胺(允许偏差±5mm),台面厚度25mm；2、颜色：尤加利；3、饰面：采用浸渍胶膜纸；封边 ：2mm厚激光封边 。采用高温封边热溶胶 ，经全自动封边机热压与板材粘连无丝无缝 ，在不同地区气温、  湿度的变化中不受影响 ，能长期不变形 、不开裂；4、采用环保E1级人造板，厚度≥25mm，侧板、背板厚度≥15mm，密度≥0.65g/cm³ ，2h吸水厚度膨胀率：≤0.7%；内结合强度≥0.35MPa；静曲强度：≥16.7MPa ，表面结合强度≥0.9MPa；甲醛释放限量≤0.03mg/m³。笨和甲苯检测结果未检出，TVOC≤0.2mg/m³，经防虫、防腐化学处理，稳定性好，握钉力强，不易变形；符合GB/T15102-2017和GB18580-2017标准;5、环保白乳胶：游离甲醛≤0.05g/kg，苯≤0.01g/kg，甲苯+二甲苯≤0.04g/kg，总挥发性有机物≤70g/L；符合GB 18583-2008标准；6、环保PVC封边：厚度≥2.0mm,四周采用同色封四边处理,物理性能佳，严密平整，线条均匀，转角过渡自然，经过刨光干燥防虫防腐等处理，甲醛释放限量：1m³气候箱法 E1≤0.124mg/m³；7、五金件：导轨、铰链金属表面耐腐蚀，采用五金配件，经防锈处理，符合QB/T2454-2013和QB/T2189-2013标准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卫健办公室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53</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屏风卡位</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1.台柜规格:1400*1400*1050H</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2.材料种类、规格:1 、屏风 ：采用30款屏风；  屏风结构屏风：  高为1050mm ，地面往上至750mm选用纯三聚氰胺浸胶简称 MFC板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屏风 ，750MM往上至1050MM屏风采用钢化条纹玻璃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，具有阻燃 、防腐蚀 、耐磨等特点 ，符合国际E1级环保标准 ，通过国家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绿色环保认证；  所有板材经过蒸压煮 、烘干 、杀菌 、杀虫处理 、防腐处理 ，含水率≤9% ，抗弯力强 ，不易变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：2mm厚PVC封边 。采用高温封边热溶胶 ，经全自动封边机热压与板材粘连无丝无缝 ，在不同地区气</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温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、贴面胶 ：采用环保胶水 ，符合国际E1级环保标准；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、五金配件 ：采用五金配件 ，所有五金件都经防锈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社区档案室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olor w:val="auto"/>
                <w:szCs w:val="21"/>
                <w:highlight w:val="none"/>
              </w:rPr>
              <w:t>●</w:t>
            </w:r>
            <w:r>
              <w:rPr>
                <w:rFonts w:hint="eastAsia" w:ascii="宋体" w:hAnsi="宋体" w:eastAsia="宋体" w:cs="宋体"/>
                <w:color w:val="auto"/>
                <w:sz w:val="21"/>
                <w:szCs w:val="21"/>
                <w:highlight w:val="none"/>
                <w:lang w:val="en-US" w:eastAsia="zh-CN"/>
              </w:rPr>
              <w:t>数字化档案管理密集柜+3年系统维护</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1.台柜规格:22列尺寸：L12740*W3955*H2500双面6层，边列带门</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m3</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56</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台式机</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1.处理器/8GB/512 SDD/Intel®UHD Graphics 630/蓝牙/Wifi/Windows 1064位 家庭版/有线键盘鼠标/三年保修三年上门/23.8寸显示器</w:t>
            </w:r>
            <w:r>
              <w:rPr>
                <w:rFonts w:hint="eastAsia" w:ascii="宋体" w:hAnsi="宋体" w:eastAsia="宋体" w:cs="宋体"/>
                <w:color w:val="auto"/>
                <w:sz w:val="21"/>
                <w:szCs w:val="21"/>
                <w:highlight w:val="none"/>
                <w:lang w:val="en-US" w:eastAsia="zh-CN"/>
              </w:rPr>
              <w:br w:type="textWrapping"/>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办公桌</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1.规格尺寸:1200*600*750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2.1 、饰面 ：纯三聚氰胺浸胶简称 MFC ，高克重且覆盖力强 ，确保耐磨抗划 、耐高温 、耐酸碱 、易清洁；  纹理自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然 ，颜色一致 ，环保性能指标完全达到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 、基材 ：采用符合国家E0级三聚氰胺板 ，板材内甲醛及有害物质释放量达到国家 E1标准， 甲醛释放量≤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0. 124mg/m3,环保性能指标完全达到 GB 18580-2017；</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 、封边 ：2mm厚激光封边 。采用高温封边热溶胶 ，经全自动封边机热压与板材粘连无丝无缝 ，在不同地区气温</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湿度的变化中不受影响 ，能长期不变形 、不开裂；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 、胶粘剂 ：采用胶粘剂 ，色泽美观 ，不变色 ，光滑耐磨 ，油漆硬度达2H ，达到不变色 、不含铅 ，抗冲力、</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耐热和耐缩涨 ，胶合剂采用环保胶合剂 。环保性能指标完全符合 GB 18583-2008；</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 、导轨 ：符合QB/T 2454-2013《家具五金抽屉导轨》标准 ，下沉量不超过抽屉导轨拉出长度 3%；</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 、门铰 ：采用连接件 、内置阻力铰链 ,具有三维调整功能 ，静音 、  自关闭 ，缓冲装置的三节无声滑轨 ，静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音， 门铰可开合不少于40000次 ，性能指标完全符合QB/T 2454-2013；</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 、钢架 ：采用冷轧钢 ，表面经脱脂 、清洗 、酸洗 、磷化 、表调 、清洗 、烘干 、喷塑 ，经200℃高温固化，</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铁钉刺击无痕迹 ，不脱落 ，不开裂 ，抗腐蚀性强 ，涂层牢固 ，美观大方。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 、五金配件 ：采用五金配件 ，所有五金件作防锈 、防腐处理；"</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w:t>
            </w:r>
          </w:p>
        </w:tc>
        <w:tc>
          <w:tcPr>
            <w:tcW w:w="56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办公椅</w:t>
            </w:r>
          </w:p>
        </w:tc>
        <w:tc>
          <w:tcPr>
            <w:tcW w:w="3358"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1.黑色尼龙加玻纤背架，配固定腰靠</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2.高密度切割海棉</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3.原位锁定底盘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4.连体固定PP扶手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5.#85黑色汽杆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6.∮310黑色PP高脚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7.φ50MM黑色PA轮</w:t>
            </w:r>
          </w:p>
        </w:tc>
        <w:tc>
          <w:tcPr>
            <w:tcW w:w="37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43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bl>
    <w:p>
      <w:pPr>
        <w:bidi w:val="0"/>
        <w:rPr>
          <w:rFonts w:hint="eastAsia" w:ascii="宋体" w:hAnsi="宋体" w:eastAsia="宋体" w:cs="宋体"/>
          <w:color w:val="auto"/>
          <w:sz w:val="21"/>
          <w:szCs w:val="21"/>
          <w:highlight w:val="none"/>
        </w:rPr>
      </w:pPr>
      <w:r>
        <w:rPr>
          <w:rFonts w:hint="eastAsia"/>
          <w:color w:val="auto"/>
          <w:highlight w:val="none"/>
          <w:lang w:val="en-US" w:eastAsia="zh-CN"/>
        </w:rPr>
        <w:t>2、</w:t>
      </w:r>
      <w:r>
        <w:rPr>
          <w:rFonts w:hint="eastAsia"/>
          <w:color w:val="auto"/>
          <w:highlight w:val="none"/>
          <w:lang w:eastAsia="zh-CN"/>
        </w:rPr>
        <w:t>安装</w:t>
      </w:r>
      <w:r>
        <w:rPr>
          <w:rFonts w:hint="eastAsia"/>
          <w:color w:val="auto"/>
          <w:highlight w:val="none"/>
          <w:lang w:val="en-US" w:eastAsia="zh-CN"/>
        </w:rPr>
        <w:t>清单</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166"/>
        <w:gridCol w:w="5596"/>
        <w:gridCol w:w="646"/>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序号</w:t>
            </w:r>
          </w:p>
        </w:tc>
        <w:tc>
          <w:tcPr>
            <w:tcW w:w="684" w:type="pct"/>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项目名称</w:t>
            </w:r>
          </w:p>
        </w:tc>
        <w:tc>
          <w:tcPr>
            <w:tcW w:w="3283" w:type="pct"/>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项目特征描述</w:t>
            </w:r>
          </w:p>
        </w:tc>
        <w:tc>
          <w:tcPr>
            <w:tcW w:w="379" w:type="pct"/>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计量单位</w:t>
            </w:r>
          </w:p>
        </w:tc>
        <w:tc>
          <w:tcPr>
            <w:tcW w:w="395" w:type="pct"/>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84"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拼接屏（液晶拼接单元）</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1.名称:1.对比度4500:1、55寸1.8MM拼接缝隙显示单元，1211*（H) x682(V)；2.A级液晶面板，超窄边拼接单元，物理拼接缝隙≤1.8mm，显示模式为16：9；3.面板</w:t>
            </w:r>
            <w:r>
              <w:rPr>
                <w:rFonts w:hint="eastAsia" w:ascii="宋体" w:hAnsi="宋体" w:cs="宋体"/>
                <w:color w:val="auto"/>
                <w:sz w:val="21"/>
                <w:szCs w:val="21"/>
                <w:highlight w:val="none"/>
                <w:lang w:val="en-US" w:eastAsia="zh-CN"/>
              </w:rPr>
              <w:t>满足日常使用</w:t>
            </w:r>
            <w:r>
              <w:rPr>
                <w:rFonts w:hint="eastAsia" w:ascii="宋体" w:hAnsi="宋体" w:eastAsia="宋体" w:cs="宋体"/>
                <w:color w:val="auto"/>
                <w:sz w:val="21"/>
                <w:szCs w:val="21"/>
                <w:highlight w:val="none"/>
                <w:lang w:val="en-US" w:eastAsia="zh-CN"/>
              </w:rPr>
              <w:t>；4.响应时间≦5m；5.亮度800CD；6.亮度一致性≥96%；7.色彩均匀性≥96%；8.可视角度≥178°；9.分辨率：支持4096×2160、2560x1440、1920*1080；10.液晶单元整机具备防眩光功能 ；11.具有断电保护功能 ；12.采用3D高画质图像数字处理技术，有效消除杂波干扰，边缘锯齿现象，具备降噪等级调节功能；13.采用特殊显示技术，可提高图像锐度，液晶单元具备四级图像模式调节功能，及色温模式调节；14.具备智能温控，根据室内环境温度自动开启屏体散热功能； 15液晶单元具备智能防灼屏功能；16.内置拼接处理器支持15*15屏的处理能力，内置框架效果，拼接后图像无失真；17.（1-15）项需提供</w:t>
            </w:r>
            <w:r>
              <w:rPr>
                <w:rFonts w:hint="eastAsia" w:ascii="宋体" w:hAnsi="宋体" w:cs="宋体"/>
                <w:color w:val="auto"/>
                <w:sz w:val="21"/>
                <w:szCs w:val="21"/>
                <w:highlight w:val="none"/>
                <w:lang w:val="en-US" w:eastAsia="zh-CN"/>
              </w:rPr>
              <w:t>第三方</w:t>
            </w:r>
            <w:r>
              <w:rPr>
                <w:rFonts w:hint="eastAsia" w:ascii="宋体" w:hAnsi="宋体" w:eastAsia="宋体" w:cs="宋体"/>
                <w:color w:val="auto"/>
                <w:sz w:val="21"/>
                <w:szCs w:val="21"/>
                <w:highlight w:val="none"/>
                <w:lang w:val="en-US" w:eastAsia="zh-CN"/>
              </w:rPr>
              <w:t>检测机构出具的检测报告；18.设备外壳金属表面具备达到盐雾10级或以上要求 ；19.漏光低于0.02 cd/m2；20.抗强光干扰：液晶单元可抵抗太阳光等强光干扰，照度在95K Lus能正常工作；21.电源：100VAC～240VAC(50/60Hz；22.平均无故障时间：60000个小时（即6.8年，工业级面板），支持7*24小时连续播放；23.支持HDMI、VGA、DVI、BNC、DP等多种信号输入；24.菜单语言：中文、英文；支持OSD菜单、画面冻结、3D梳状滤波、TNR降噪、信号缓冲等功能 ；25.拼接方案：采取2行×2列单元拼接；功能特性：全屏显示，分屏显示，任意组合显示2.规格:55寸液晶拼接单元 1.8MM拼接缝隙显示单元，1211mm（长) x682mm(高)x117mm（厚）</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3.提供安装调试培训验收等，大屏原厂1年技术支持、7*24小时电话支持/1年保修</w:t>
            </w:r>
          </w:p>
        </w:tc>
        <w:tc>
          <w:tcPr>
            <w:tcW w:w="37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395"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84"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图像拼接处理器</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1.名称:1.输出接口：8路DVI，可任意映射，单口最大支持分辨率为1920×1080@60Hz，支持自定义分辨率 。</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2.信号输入数量：8路 单通道支持HDMI接入（信号源为CVBS、VGA、DVI-I/D的配转接头）。</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3.高帧率处理：内部运算处理采用60Hz高帧率模式，保障动态画面流畅显示。</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4.四画面显示，无物理通道限制 。</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5.支持输入信号任意拼接、开窗、画中画、叠加、漫游、缩放、跨屏等，单屏支持2个图层。</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6.功能卡选配项：选配功能卡具有可视化预监回显功能。</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7.EDID配置管理：支持EDID（Extended Display Identification Data，扩展显示识别数据）的读取、修改、自定义。</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8.Super Resolution放大技术：视频补偿处理算法。画面缩小无尺度限制，并保留图像细节，减轻画面放大多倍后产生的失焦现象。</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9.去黑边/剪裁功能：解决前端信号（尤其是VGA信号及非标准摄像头的输出信号）产生的黑边问题，针对任意信号源做任意裁剪（依旧保持满屏状态）。</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10.通道保护：对设备输入、输出I/O接口进行保护，避免过电压、过电流的冲击；通道间相互独立，且彼此互补。</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11.支持一键黑屏/蓝屏，画面冻结 。</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12.输出亮度/对比度调节：实时、快捷进行屏体整体显示效果调整。</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13.支持按键锁定 。</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14.纯硬件FPGA架构：无CPU、无内核、无中毒与崩溃风险，系统运行稳定。平均故障时间MTBF&gt;30,000小时，支持365×24小时的连续运行。</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 PC端控制：操作简洁直观，显示屏体的实时信息及信号源实时状态（静态更新）。</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多级管理权限：可以设置不同的用户、权限级别，定义不同的允许操作、限制操作，实现对操作人员权限的技术层面的限制管理，回显功能：软件界面上可实时查看到信号源状态（动态更新），实时显示屏幕显示状态（动态更新）；将信号源预览画面通过拖拽到模拟操作区指定画面的方式进行快速信号源切换;</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17.以上功能必须逐一响应，并在供货时对相关功能检测报告；</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18.采用纯硬件架构，无操作系统，无硬盘，免维护，避免工控式系统的死机、硬件冲突、蓝屏以及计算机病毒侵入等问题；可以频繁开关机，启动时间小于 1 秒；稳定可靠，固化系统数据，意外断电不会造成设备受损；</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19.2行×2列多单元拼接，全屏显示，分屏显示，任意组合显示(多路信号输入输出)。</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20.支持对比度增强技术，针对不同信号自动匹配，支持细节表现增强技术，有效消除锯齿边缘。</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21.满足视频矩阵BNC、RGB、DVI、HDMI、VGA、DP等信号显示。</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22.内置画面拼接模块，快速搭建拼屏幕墙；控制方式灵活，具有按键面板和遥控操作，提供标准RS-232、RJ45、HDMI通讯端口，兼容各种环境，方便用户与各种远端控制设备配合使用。</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23.电源：输入电压为220V（50Hz），内置低功耗电源，超静音散热设计。</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24.辅助材料：HDMI、DVI、VGA线缆：根据现场设备摆放进行确定；水晶头、控制线缆、电工胶布，螺丝、工具等。</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25.显示本地工作台、其它工作站输出的视频信号，可随时切换、调取信息。"</w:t>
            </w:r>
          </w:p>
        </w:tc>
        <w:tc>
          <w:tcPr>
            <w:tcW w:w="379"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395"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684"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后台视频编辑处理器</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1.名称:1.支持4K超高清视频硬件解码，降低电脑CPU占用率。</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2.具有编辑渲染/丢帧渲染等渲染方式；支持软解/硬解解码方式，输出图像帧率1-60Hz任意调整。</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3.支持多级抗锯齿处理，消除图像输出边缘凹凸锯齿现象。</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4.支持流媒体/网页/office等多种文件播放管理；Word/PPT实现自动翻页滚动播放。</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5.支持字幕/正计时/倒计时/数字时钟/模拟时钟/表格/天气等多种小工具。</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6.支持多格式视频信号采集播放。</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7.支持图像的分割重组，完成不同角度的拼接显示。</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8.支持画面透明度/羽化/亮度/对比度调整，支持画面旋转/镜像显示。</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9.支持多文件列表播放，单文件循环播放等多种播放方式。</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10.支持场景预存、读取和自动轮巡，不限制场景保存数量。</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11.支持场景/画面的淡入淡出无缝切换，无黑屏、花屏、闪屏等不良现象。</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12.支持素材可独立播放预览，确保播放无失误。</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13.支持素材标签管理，可根据不同应用场景对素材进行分类管理。</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84"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前维护伸缩支架</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1.名称:前维护支架，质地轻巧，强度可靠，连接处均采用角码螺丝固定，结构稳定牢靠，便于安装拆卸；搭配40挂钩，可实现上下水平调节，左右紧密度调节，前后平整度调节；</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684"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工作站</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1.名称:1.CPU≧i5处理器。</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2.主板型号：B560；内存：≧16G DDR4 3200MHz。</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3.硬盘≧128G固态硬盘+1T机械硬盘,SATA2接口及以上，转速7200rpm。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4.显卡：独立显卡，4G显存，包含VGA、HDMI 两种接口。</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5.扩展槽≧1个PCI-E。</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6.接口：至少4个USB接口，不少于2个USB3.0接口，前置USB要分离，互不干扰使用；网卡≧10/100/1000M以太网卡。</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7.支持全天24小时工作，工业级主机。</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8.显示器≧21寸宽屏液晶显示器；键盘、鼠标：USB接口，防水抗菌键盘，光电鼠标。</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9.操作系统：正版Windows10操作系统；附带软件：拼接屏控制软件及生产信息屏控制软件，可实施画面控制、生产信息播放（多页面轮流显示）。</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84"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显示屏：室内单红P3.75</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1.名称:模组数量：12*2=24</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1.像素管直径:3.75mm点；2.间 距:4.75mm像素管；3.最佳视距 5m—100m ； 4.发光点颜色:1红；5.密度:44321点/m2 ；6.基色:红；7.单元板尺寸 :304mm×152mm；8.模组行列数:长64点×高32点；9.分辨率:2048点/块； 10.可显示：内容；11.文字屏体重量：15kg/m2 ；12.屏体厚度 ≤10cm；13.外框结构:专用外框</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2.规格:定制高清P3.75</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3.提供安装调试培训验收等，大屏原厂1年技术支持、7*24小时电话支持/1年保修</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m2</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684"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固定钢架结构</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1.材质:25*50 20*40镀锌国标扁通，根据图纸，要求满焊。结构含黑色铝合金边</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m2</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684"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发送卡</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1.名称:板载100M网络接口+USB接口，可定制RS232或RS485，U盘稳定上传距离≤7.5米；单双色512K点：宽度≤8192点，高度≤256点</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684"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网线</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1.名称:六类网线 无氧铜千兆网线100米/箱</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2.规格:CAT6</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684"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电缆</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1.名称：电缆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2.规格：3*5mm2</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684"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配管</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1.名称：配管</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2.配置方式：综合</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3.规格：PC20</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84"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小电箱</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1.名称：小电箱</w:t>
            </w:r>
          </w:p>
        </w:tc>
        <w:tc>
          <w:tcPr>
            <w:tcW w:w="379"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会议阵列音柱(ABS塑料+玻纤3寸，160W）黑色</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1.功能特点:1.阵列声柱扬声器采用流线型设计，外形美观实用，适合各种建筑空间扩声，音质优美动听；</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2.通过线阵列声柱扬声器中的恒定波束技术，解决传统会议室扬声器投射与干扰的难题；</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3.解决传统会议室扬声器体积过大，壁挂在墙上而不美观的问题；</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4.采用ABS混合玻璃纤维强化箱体，坚固耐用；</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5.铝制网罩，防锈材料，前方的波导元件与箱体后方的阻尼口形成一个独特的低频心型扩散，扩音效果佳；</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6.精确设计的扬声器频率响应，优化人声部分的高保真还原；</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7.采用4*3寸高性能铁氧体驱动单元，拼接排列扬声器设计，用较少的扬声器实现更大范围的声场覆盖；</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8.适合于中小型视频会议室、数字法庭、会议中心、阶梯教室等语言类扩声系统；</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1.额定功率：160W、2.峰值功率：480W、3.阻抗：8Ω、4.频率响应：100Hz-18KHz、5.灵敏度：91dB、6.扬声器单元：4*3"铁氧体驱动单元、7.最大声压级:116dB、8.覆盖角度:(H)120°(V)20°、9.插座:10个M6、10.安装：壁挂/墙面嵌入安装、11.颜色：黑色、12.重量：3.80kg、13.产品尺寸(W*D*H)：100*150*530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2.规格:S-9C403A</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两通道专业功放300W</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1.功能特点:1.此类功放既有传统AB类的音质，又有数字D类的效率，两者完美结合；整机省电的同时，出来的声音干净圆润，低频控制力又好；</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高速光电隔离限幅，改变了传统限幅压缩模式，限幅压缩失真大、动作慢等问题；整机大动态下限幅启控保证失真1%以下，尽而出来的声音更完美；3.两声道功放有三档输入灵敏度选择（支持0.775V/1V/1.44V），可轻松接纳宽幅度范围信号源输入；4.采用智能控制强制散热设计，具有风机噪音小，散热效率高等特点；具有完善可靠的安全保护措施和工作状态指示，让用户放心使用；5.具有完善的软启动、消波限幅、过热、过载、短路、欠压、输出直流保护功能；6.具有立体声、并联、桥接三种模式选择；</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输出功率：立体声8Ω：2*300W；立体声4Ω：2*400W；桥接单声道8Ω：800W；2.音频输入输出：2路XLR卡侬母接口、2路XLR卡侬公接口；3.输出接口：2路欧姆接口和2组接线柱；4.信噪比：100dB；5.转换速率：60V/us；6.阻尼系数：≥300@8ohms；7.频率响应：＜±0.1db,20HZ+20KHZ；8.总谐波失真：≦0.05%Ratedpower@8欧1kHZ；9.互调失真：≦0.04%Ratedpower@8欧；10.输入灵敏度：0.775V,1.0V,1.44V可调；11.输入阻抗：10KΩ非平衡、20KΩ平衡；12.共模拟制比：≦-75db；13.串音衰减：≦-70db；14.指示灯：电源、保护、限幅、信号；15.供电：AC220V、50/60HZ；16.消耗功率（满载）：900W；17.工作温度：10℃-40℃；18.分离度：(@1KHz)：≥80dB；19.失真度：≤0.05%；20.重量：8kg；21.产品尺寸（L*W*H）：485*330*89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2.规格:S-300CZ</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2编组8路调音台</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1.8路XLR平衡式话筒输入，话筒输入接口带48V幻象电源，可以单独控制每路幻象电源开关，兼容8路6.35mm非平衡输入；1组6.35mm立体声输入，可连接立体声设备；2.4组母线（立体声+两编组）输出，2路AUX辅助输出；1路监听输出，1路录音输出；3.高品质、低噪音的话筒输入，低噪音的前置放大，具有强大的抗干扰能力；4.2组AUX辅助输出AUX1为推子前和推子后，AUX2为推子后；5.内置24种模式DSP数字效果器，数字显示效果种类；6.高精度三色精确电平柱，准确显示输出电平；7.MP3播放器带USB电脑声卡输入，手机蓝牙连接；8.具有13个60MM行程高分析度推子；</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麦克风输入：8路（8个XLR接口）2.立体声输入通道:1组（2个单插6.35mm）3.输出通道：2组立体主输出（2路XLR接口、2路单插6.35mm接口）、2路编组输出（单插6.35mm接口）、2路辅助输出（单插6.35mm接口）、1组立体声监听输出 4.录音通道：1组莲花输入，1组莲花输出5.USB接口：外接U盘播放音乐，支持蓝牙连接6.效果器：24种DSP数字效果器7.幻象电源：48V8.频率范围：20Hz-20KHz9.信噪比：&gt;90dB10.分离度：&gt;80dB11.高音：±15dB/12KHz)12.中音：±15dB/2.5KHz)13.低音：±15dB/80Hz)14.输入阻抗：40KΩ平衡/20KΩ15.输出阻抗：200Ω平衡/100Ω不平衡16.供电电源：220V/AC/50Hz17.功耗：25W18.重量：4.5kg19.产品尺寸(W*D*H)：390*395*110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2.规格:SM-8X-2</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音频处理器会议矩阵4*4</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1.4路平衡式话筒\线路输入，4路平衡式音频输出，采用凤凰插接口；2.内置USB声卡，支持音乐播放、录制和软视频会议；3.拥有AFC(反馈抑制)、ANS(噪声抑制)、滤波器等处理模块；4.具有自定义的用户操作界面，实现多台设备集中控制，可通过本机的RS232控制第三方设备；5.全功能矩阵混音，输入混音电平可调节；6.16组预设，每个预设独立工作；7.支持通道贝、LINK和分组功能；8.支持R232＆UDP中控，UDP端口可自由设定，可查看控制软件代码；9.处理器芯片采用ADI架构，40bitDSP浮点运算引擎，提供自由配制软件架构；11.多种控制方式，可通过网页、手机、平板、按键面板、触摸面板等方式管理；</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处理器：ADISHARC21489；2.采样率/量化位数：48K/24bit；3.模拟输入、输出通道数量：4*4；4.以太网接口：1个；5.控制口：RS232*1；6.输入增益：0/6/12/18/24/30/36/42/48dB；7.幻象电源：+48V；8.频率响应(20~20kHz)：±0.5dB；9.最大电平：+18dBu；10.THD+N：&lt;-100dB@17dBu；11.输入动态范围：110dB；12.输出动态范围：112dB；13.通道隔离度@1kHz：108dB；14.输入阻抗(平衡接法)：5.4KΩ；15.输出阻抗(平衡接法)：600Ω；16.系统延时：&lt;3ms；17.电源：AC110-240V,50Hz/60Hz；18.重量：3kg；19.产品尺寸（L*W*H）:482*200*45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2.规格:SM-440</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UHF段液晶显示真分集可调频无线咪双手持(一拖二)</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采用UHF超高频段双真分集接收，并采用DPLL数字锁相环多信道频率合成技术；2.提供各200个可调频率，真正分集式接收,有效避免断频现象和延长接收距离，频率范围640-690MHz；3.具有红外对频功能，能方便、快捷的使发射机与接收机频率同步；4.超强的抗干扰能力，能有效抑制由外部带来的噪音干扰及同频干扰；5.接收机背面设置4条橡胶接收天线，增强接收的信号，外观大方得体；6.具有2路XLR平衡输出，1路混合非平衡输出，适合连接各种外置设备；7.1U标准机箱，金属面板，LCD液晶显示屏显示工作状态，功能操作简；8.使用距离：空旷环境：80-100米，复杂环境：50-80米；9.含1台接收主机和2个无线手持话筒；</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接收机指标：1.载波频段：UHF640-690MHz；2.调制方式：FM；3.频道数：200频道；4.频率稳定性：±0.005%；5.频段宽度：50MHz；6.接收灵敏度：12-32dBuV；7.频率响应：50Hz-16KHz；8.综合S/N比：＜105dB；9.电源：DC12V-18V</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发射器指标：1.发射功率：10mW-30mW可调；2.最大频道数：200；3.谐波辐射：＞-50dB；4.最大偏移度：±35KHz；5.供电电压：1.5VAA电池*2；6.使用时间：6-8小时</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2.规格:S-840UH</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高效抑制处理器</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有效抑制话筒啸叫，消除反馈于未然，一键式操作模式，简单好用；2.自适应全频带反馈抑制功能(AFC)，高效处理高清语音环境中的声反馈问题，对于高灵敏度、全指向型、锐心形、超心形等话筒有显著的抑制啸叫功能，提升灵敏度高、声音通透干净无压缩感，传声增益提升幅度：9-18dB；3.采用非传统反馈处理技术的自适应房间反馈预测消除数字处理，实现反馈一键操作，无需复杂调试；4.接口丰富，支持高低电平的输入和输出，卡侬XLR-3与大三芯1/4”TRS直插兼顾，可灵活应用，输入带48V幻象供电开关；5.平衡和非平衡两种输出方式，输出大小连续可调，输出有总的信号指示灯和峰值指示灯，调试方便；</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1.输入接口：2路卡侬XLR平衡输入（支持幻象48V供电）、2路6.35mm大二芯非平衡输入；2.输出接口：1路卡侬XLR平衡输出，1路6.35mm大二芯非平衡输出；3.旁通开关：AFC；4.增益匹配：±0.2dB；5.频率响应：20Hz-20kHz；6.信噪比：&gt;100dB；7.总谐波失真：0.005%；8.电源：AC200V-240V，50/60Hz；9.重量：2.4kg；10.产品尺寸(L*W*H)：483*198*45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2.规格:SM-203B</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电源时序器</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1.功能特点:1.8通道电源口顺序开启逆序关闭,每路输出带指示灯；2.具有1路短路触发接口，可以通过短接信号控制开关；</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产品参数：1.额定输出电压：交流220V，50Hz；2.可控制电源：8路；3.每路动作延时时间：1秒；4.单路最大承受无功功率：2200W；5.最大承受无功总功率:6000W；6.开启类型：方船型开关；7.重量：2.7kg；</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8.产品尺寸（L*W*H）：480*185*46mm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2.规格:SM-208</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无线视频跟踪会议系统主机</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面板采用坚固的铝合金，精准数控加工立体面和表面阳极化抗氧化处理，拉丝银铝板与有机片的结合，外形美观耐用，19英寸标准机柜2U设计大小；2.最大可使用128支话筒，可匹配多支主席、代表话筒；3.具备两种发言模式：主席模式、先进先出模式，发言人数可调1-4人同时发言；4.配备彩色TFT显示屏，可选择中英文语言菜单显示；5.具备RS-485和RS-232接口控制摄像头，可连接中控实现视频跟踪，增加高清HDMI无缝矩阵可实现高清视频会议，通过USB接口连接电脑软件调试简单直观；6.UHF频率自动跟踪锁定功能，具备20组系统通道可供选择，选择一次即可同时改变四通道使用频率；7.内置中度啸叫抑制功能，可降低一定啸叫程度；8.主席话筒具备优先功能，一键关闭所有开启中的代表话筒；9.主机具备实时监测功能，主机断电，会议单元自动关闭，方便、环保节能；10.具备高强度防手机电磁波干扰设计，可以杜绝手机信号干扰噪音；11.内置高保真音质MP3录音，最大支持32GU盘，录音清晰、储存方便；</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1.输入电压：DC12V/2A；2.输出功耗：24W；3.频率响应：20Hz-20KHz；4.信噪比：85dB（1KHzTHD1%）；5.单机话筒容量：128台；6.ANT接口：2个；7.ANTDATA接口:1个；8.PC连接端口：1个；9.输出：卡侬XLR*1（平衡），大二芯6.35mm*1（非平衡）；10.显示屏：彩色TFT显示屏；11.中控控制端口：RS232*1、RS485*1；12.无障碍直线60米-80米；13.颜色：灰黑；14.重量：7.1kg；15.产品尺寸（L*W*H）：480*325*88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2.规格:S-5300</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无线视频跟踪会议主席单元(短咪杆）</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话筒具备高强度防手机电磁波干扰设计，可以杜绝手机干扰噪音邻频干扰抑制；2.话筒表面使用哑光黑铝合金面板，搭配黑色有机玻璃，银白色倒边，靓丽优雅，坚固耐用；3.话筒开关使用汽车级别橡胶开关按键，具有持久耐用，轻微机械声特点；4.采用专业高保真、心形指向性电容咪芯，单方形短咪杆设计，声音洪亮清脆；5.话筒具有2.4寸彩色显示屏，色彩艳丽，实时显示话筒状态：剩余电量、ID号、使用频道以及发言时间计算；6.内置大容量充电式锂电池，一次充电可待机20小时，连续使用时间达7小时，话筒使用不分正反面TYPE-C接口充电；7.配合摄像跟踪系统，开启话筒可实现摄像跟踪功能；8.配备灯环，显示工作状态；9.主席话筒具备优先功能,一键关闭所有开启中的代表话筒；</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1.工作电压：3V-5V；2.频率范围：600MHz-690MHz；3.功率消耗：230mA/h；4.传声器类型：心形指向；5.发射功率：10mW；6.频率响应：20Hz-20KHz；7.信噪比：65dB；8.灵敏度：-47dBV；9.安装方式：桌面式；10.电池：1600mA锂电池；10.重量：1.4kg；11.咪杆长度：200mm；12.底座尺寸：160*110*60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2.规格:S-5302C</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无线视频跟踪会议主席单元(短咪杆）</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话筒具备高强度防手机电磁波干扰设计，可以杜绝手机干扰噪音邻频干扰抑制；2.话筒表面使用哑光黑铝合金面板，搭配黑色有机玻璃，银白色倒边，靓丽优雅，坚固耐用；3.话筒开关使用汽车级别橡胶开关按键，具有持久耐用，轻微机械声特点；4.采用专业高保真、心形指向性电容咪芯，单方形短咪杆设计，声音洪亮清脆；5.话筒具有2.4寸彩色显示屏，色彩艳丽，实时显示话筒状态：剩余电量、ID号、使用频道以及发言时间计算；6.内置大容量充电式锂电池，一次充电可待机20小时，连续使用时间达7小时，话筒使用不分正反面TYPE-C接口充电；7.配合摄像跟踪系统，开启话筒可实现摄像跟踪功能；8.配备灯环，显示工作状态；9.主席话筒具备优先功能,一键关闭所有开启中的代表话筒；</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1.工作电压：3V-5V；2.频率范围：600MHz-690MHz；3.功率消耗：230mA/h；4.传声器类型：心形指向；5.发射功率：10mW；6.频率响应：20Hz-20KHz；7.信噪比：65dB；8.灵敏度：-47dBV；9.安装方式：桌面式；10.电池：1600mA锂电池；10.重量：1.4kg；11.咪杆长度：200mm；12.底座尺寸：160*110*60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2.规格:S-5302D</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天线放大器</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1.功能特点:1.天线放大器，在500MHZ-1G的频率范围内提供持续及稳定的接收/发射讯号，可供无线麦克风系统或其他UHF产品使用；2.小型及轻量：天线放大器整合到小型的封装内，并可串接在连接线中央；</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产品参数：1.工作电压：9V/0.6A；2.电压驻波比：输入：﹤3：1；输出：﹤3：1；3.频率范围：500MHz～1G；4.噪声：3.6dB；5.端子：TNC；6.工作温度：-20℃至60℃；7.重量：0.136kg（不含支架）；7.产品尺寸：65*26*55mm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2.规格:S-5300-AR</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麦克风充电电源</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功能特点:1.28口USB充电机，最多可同时28个充电设备；2.多重短路保护，短接自动切断输出；3.输入、输出过流、欠压保护，智能恒流输出，自动识别充电设备，最大输出电流1A；4.具备防漏电保护，漏电自动切断输出；5.带灯电源开关，开关状态一目了然，防止漏开；6.数码实时显示充电电压，电压输出高低可视化；</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产品参数：1.输出电压：5V/1A；2.功率：90W；3.产品尺寸：420X180X61mm</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2.规格:S-5300-AD</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连接线</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1.名称:连接线[2米卡侬头（母）--卡侬头（公）]</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2.规格:AC-RG2</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音频隔离器</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1.隔离静噪抗干扰器，消除“嗡”音和“嗞”音“超大电流声”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2.规格:S-YP0101</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机柜</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1.名称:定制 高度600*宽度600*深度1045 19U机柜   黑色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2.规格:19U</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多媒体桌插</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1.名称:插座八孔  白色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2.规格:公牛</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话筒线</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1.名称:话筒线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2.规格:RVPE2*0.5</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视频线</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1.名称:纯铜视频线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2.规格:HDMI</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网线</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1.名称:六类网线 无氧铜千兆网线100米/箱</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2.规格:CAT6</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水晶头</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1.名称:六类网络水晶头6类8芯Cat6电脑网线RJ45连接器8P8C可搭配安普网线 工程级六类水晶头（100个/盒）1盒</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2.规格:CAT6-RJ45</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音箱线</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1.名称:HIFI音响线，300芯蓝色透明</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2.规格:RVH300P</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1.配线形式:电源线RVVP电线电缆 国标纯铜环保</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2.型号、规格:RVV3*1.5</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镀锌线管</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1.名称:DN=25/32mm，厚度：1.8mm，每支钢管通常定尺长度为3000mm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2.配置形式:暗配</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接口</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1.名称:VGA接头、电源两脚插头、电源三脚插头、6.35单插头、3.5单插头、RCA莲花头、卡农头（公、母）、9针公与母串口接头、音箱欧姆头等辅材</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批</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室内全彩</w:t>
            </w:r>
            <w:r>
              <w:rPr>
                <w:rFonts w:hint="eastAsia" w:ascii="宋体" w:hAnsi="宋体" w:cs="宋体"/>
                <w:i w:val="0"/>
                <w:iCs w:val="0"/>
                <w:color w:val="auto"/>
                <w:kern w:val="0"/>
                <w:sz w:val="21"/>
                <w:szCs w:val="21"/>
                <w:highlight w:val="none"/>
                <w:u w:val="none"/>
                <w:lang w:val="en-US" w:eastAsia="zh-CN" w:bidi="ar"/>
              </w:rPr>
              <w:t>显示屏</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1.1.像素点间距：≤1.86mm；2.像素构成：1R1G1B；3.像素密度：≥288762Dots/㎡；4.亮度：0-1500cd/㎡可调，具有蓝光抑制功能；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亮度均匀性：≥99%；6.刷新率：≥3840Hz；7.整屏平整度：≤0.1mm；8.色温：1000-10000K可调；9.色度均匀性：±0.002Cx,Cy之内；10.反光率：≤2％；11.水平/垂直视角：≥170°；12.防护性能：具有防静电、防电磁干扰、防潮、防腐蚀、防虫、抗震动、抗雷击等功能，具有电源过压、过流、断电保护、分布上电措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2.开关电源5V40A</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3.规格:P1.86</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4.设计、安装费、系统集成费、调试、人员培训费、人工保险费用、一年维保费用（包含）</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m2</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高清视频处理器</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支持输入源一键切换选择；2、支持外置独立音频；3、支持USB播放功能，使用更方便；4、支持全屏缩放、点对点缩放、自定义缩放、自定义分辨率输出；5、支持4网口输出，最大带载230万像素；6、支持创建用户场景作为模板，保存后可直接调用，操作方便快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2.规格:二合一处理器</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接收卡</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1.名称:1.集成HUB75接口，无需再配转接板，更方便；2.减少接插连接件，减少故障点，故障率更低；3.支持常规芯片实现高刷新、高灰度、高亮度；4.全新灰度引擎，低灰度表现更佳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2.规格:908</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控制软件</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1.名称:支持多窗口多区域显示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支持正倒计时、安全天数、农历、世界时钟等数字时钟、模拟时钟等功能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支持播放日历、标签、图片、文本、表格、数据库、幻灯片、动画、视频等播放特技功能丰富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超过30种播方式，每幅都可以单独做特技，花样齐全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系统软件可在线升级，设置软件和播放软件独立使用，界面友好，操作简单</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配线</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1.规格:4mm2线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2.材质:铜芯</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电箱</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1.名称:漏电保护</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边框支架</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1.材质:黑色铝合金包边/2*4方通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含边框尺寸：2.97*1.69=5.02平方</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m2</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显示屏：室内单红P3.75</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1.名称:模组数量：10*3=30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1.像素管直径:3.75mm点；2.间 距:4.75mm像素管；3.最佳视距 5m—100m ； 4.发光点颜色:1红；5.密度:44321点/m2 ；6.基色:红；7.单元板尺寸 :304mm×152mm；8.模组行列数:长64点×高32点；9.分辨率:2048点/块； 10.可显示：内容；11.文字屏体重量：15kg/m2 ；12.屏体厚度 ≤10cm；13.外框结构:专用外框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2.规格:定制高清P3.75</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3.提供安装调试培训验收等，大屏原厂1年技术支持、7*24小时电话支持/1年保修</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m2</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固定钢架结构</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1.材质:采用前维护；龙骨：40mm*20mm ；四周边框：黑色铝合金边框</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m2</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控制卡</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1.名称:板载100M网络接口+USB接口，可定制RS232或RS485，U盘稳定上传距离≤7.5米；单双色512K点：宽度≤8192点，高度≤256点</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网线</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1.名称:六类网线 无氧铜千兆网线100米/箱</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2.规格:CAT6</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电缆</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1.名称：电缆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2.规格：3*5mm2</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49</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配管</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1.名称：配管</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2.配置方式：综合</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3.规格：PC20</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684"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小电箱</w:t>
            </w:r>
          </w:p>
        </w:tc>
        <w:tc>
          <w:tcPr>
            <w:tcW w:w="3283" w:type="pct"/>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1.名称：小电箱</w:t>
            </w:r>
          </w:p>
        </w:tc>
        <w:tc>
          <w:tcPr>
            <w:tcW w:w="37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39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r>
    </w:tbl>
    <w:p>
      <w:pPr>
        <w:rPr>
          <w:rFonts w:hint="eastAsia" w:ascii="宋体" w:hAnsi="宋体" w:cs="Times New Roman"/>
          <w:b/>
          <w:bCs/>
          <w:color w:val="auto"/>
          <w:szCs w:val="21"/>
          <w:highlight w:val="none"/>
        </w:rPr>
      </w:pPr>
    </w:p>
    <w:p>
      <w:pPr>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color w:val="auto"/>
          <w:highlight w:val="none"/>
        </w:rPr>
      </w:pPr>
    </w:p>
    <w:p>
      <w:pPr>
        <w:pStyle w:val="34"/>
        <w:ind w:left="0" w:leftChars="0" w:firstLine="0" w:firstLineChars="0"/>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3430"/>
      <w:bookmarkStart w:id="190" w:name="_Toc1534"/>
      <w:bookmarkStart w:id="191" w:name="_Toc21155"/>
    </w:p>
    <w:p>
      <w:pPr>
        <w:pStyle w:val="4"/>
        <w:spacing w:line="240" w:lineRule="auto"/>
        <w:jc w:val="center"/>
        <w:rPr>
          <w:rFonts w:ascii="宋体" w:hAnsi="宋体" w:cs="宋体"/>
          <w:color w:val="auto"/>
          <w:highlight w:val="none"/>
        </w:rPr>
      </w:pPr>
      <w:bookmarkStart w:id="192" w:name="_Toc16730"/>
      <w:bookmarkStart w:id="193" w:name="_Toc19575"/>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198" w:name="_Toc1478"/>
      <w:bookmarkStart w:id="199" w:name="_Toc23749"/>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26830"/>
      <w:bookmarkStart w:id="202" w:name="_Toc679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0"/>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26"/>
        <w:rPr>
          <w:color w:val="auto"/>
          <w:highlight w:val="none"/>
        </w:rPr>
      </w:pPr>
    </w:p>
    <w:p>
      <w:pPr>
        <w:rPr>
          <w:color w:val="auto"/>
          <w:highlight w:val="none"/>
        </w:rPr>
      </w:pPr>
    </w:p>
    <w:p>
      <w:pPr>
        <w:pStyle w:val="4"/>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5"/>
        <w:rPr>
          <w:rFonts w:ascii="黑体" w:eastAsia="黑体"/>
          <w:color w:val="auto"/>
          <w:sz w:val="32"/>
          <w:szCs w:val="32"/>
          <w:highlight w:val="none"/>
        </w:rPr>
      </w:pPr>
    </w:p>
    <w:p>
      <w:pPr>
        <w:pStyle w:val="35"/>
        <w:rPr>
          <w:rFonts w:ascii="黑体" w:eastAsia="黑体"/>
          <w:color w:val="auto"/>
          <w:sz w:val="32"/>
          <w:szCs w:val="32"/>
          <w:highlight w:val="none"/>
        </w:rPr>
      </w:pPr>
    </w:p>
    <w:p>
      <w:pPr>
        <w:pStyle w:val="4"/>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5"/>
        <w:rPr>
          <w:color w:val="auto"/>
          <w:highlight w:val="none"/>
        </w:rPr>
      </w:pPr>
    </w:p>
    <w:p>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8960153"/>
      <w:bookmarkStart w:id="223" w:name="_Toc509927455"/>
      <w:bookmarkStart w:id="224" w:name="_Toc510171693"/>
      <w:bookmarkStart w:id="225" w:name="_Toc17761"/>
      <w:bookmarkStart w:id="226" w:name="_Toc20910"/>
      <w:bookmarkStart w:id="227" w:name="_Toc509479530"/>
      <w:bookmarkStart w:id="228" w:name="_Toc22970"/>
      <w:bookmarkStart w:id="229" w:name="_Toc30247"/>
      <w:bookmarkStart w:id="230" w:name="_Toc508898066"/>
      <w:bookmarkStart w:id="231" w:name="_Toc508958703"/>
      <w:bookmarkStart w:id="232" w:name="_Toc30277"/>
      <w:bookmarkStart w:id="233" w:name="_Toc509844825"/>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0"/>
        <w:rPr>
          <w:color w:val="auto"/>
          <w:highlight w:val="none"/>
        </w:rPr>
      </w:pPr>
    </w:p>
    <w:p>
      <w:pPr>
        <w:ind w:firstLine="420" w:firstLineChars="200"/>
        <w:rPr>
          <w:rFonts w:ascii="宋体" w:hAnsi="宋体"/>
          <w:color w:val="auto"/>
          <w:szCs w:val="21"/>
          <w:highlight w:val="none"/>
        </w:rPr>
      </w:pPr>
      <w:bookmarkStart w:id="234" w:name="_Toc508960154"/>
      <w:bookmarkStart w:id="235" w:name="_Toc31520"/>
      <w:bookmarkStart w:id="236" w:name="_Toc510171694"/>
      <w:bookmarkStart w:id="237" w:name="_Toc26216"/>
      <w:bookmarkStart w:id="238" w:name="_Toc509844826"/>
      <w:bookmarkStart w:id="239" w:name="_Toc508898067"/>
      <w:bookmarkStart w:id="240" w:name="_Toc5447"/>
      <w:bookmarkStart w:id="241" w:name="_Toc508958704"/>
      <w:bookmarkStart w:id="242" w:name="_Toc28527"/>
      <w:bookmarkStart w:id="243" w:name="_Toc509927456"/>
      <w:bookmarkStart w:id="244" w:name="_Toc21053"/>
      <w:bookmarkStart w:id="245" w:name="_Toc509479531"/>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10171695"/>
      <w:bookmarkStart w:id="247" w:name="_Toc24848"/>
      <w:bookmarkStart w:id="248" w:name="_Toc509479532"/>
      <w:bookmarkStart w:id="249" w:name="_Toc509927457"/>
      <w:bookmarkStart w:id="250" w:name="_Toc14653"/>
      <w:bookmarkStart w:id="251" w:name="_Toc9148"/>
      <w:bookmarkStart w:id="252" w:name="_Toc508960155"/>
      <w:bookmarkStart w:id="253" w:name="_Toc28126"/>
      <w:bookmarkStart w:id="254" w:name="_Toc508898068"/>
      <w:bookmarkStart w:id="255" w:name="_Toc508958705"/>
      <w:bookmarkStart w:id="256" w:name="_Toc509844827"/>
      <w:bookmarkStart w:id="257" w:name="_Toc286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9927458"/>
      <w:bookmarkStart w:id="259" w:name="_Toc509479533"/>
      <w:bookmarkStart w:id="260" w:name="_Toc9837"/>
      <w:bookmarkStart w:id="261" w:name="_Toc28686"/>
      <w:bookmarkStart w:id="262" w:name="_Toc7858"/>
      <w:bookmarkStart w:id="263" w:name="_Toc508960156"/>
      <w:bookmarkStart w:id="264" w:name="_Toc22981"/>
      <w:bookmarkStart w:id="265" w:name="_Toc510171696"/>
      <w:bookmarkStart w:id="266" w:name="_Toc508958706"/>
      <w:bookmarkStart w:id="267" w:name="_Toc508898069"/>
      <w:bookmarkStart w:id="268" w:name="_Toc28044"/>
      <w:bookmarkStart w:id="269" w:name="_Toc509844828"/>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289"/>
      <w:bookmarkStart w:id="271" w:name="_Toc18843"/>
      <w:bookmarkStart w:id="272" w:name="_Toc510171697"/>
      <w:bookmarkStart w:id="273" w:name="_Toc508898070"/>
      <w:bookmarkStart w:id="274" w:name="_Toc508960157"/>
      <w:bookmarkStart w:id="275" w:name="_Toc508958707"/>
      <w:bookmarkStart w:id="276" w:name="_Toc509479534"/>
      <w:bookmarkStart w:id="277" w:name="_Toc509844829"/>
      <w:bookmarkStart w:id="278" w:name="_Toc50992745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1"/>
        <w:spacing w:line="500" w:lineRule="atLeast"/>
        <w:ind w:firstLine="3517" w:firstLineChars="1675"/>
        <w:rPr>
          <w:rFonts w:ascii="宋体" w:eastAsia="宋体"/>
          <w:color w:val="auto"/>
          <w:sz w:val="21"/>
          <w:szCs w:val="21"/>
          <w:highlight w:val="none"/>
        </w:rPr>
      </w:pP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highlight w:val="none"/>
        </w:rPr>
      </w:pPr>
    </w:p>
    <w:p>
      <w:pPr>
        <w:rPr>
          <w:color w:val="auto"/>
          <w:highlight w:val="none"/>
        </w:rPr>
      </w:pPr>
      <w:bookmarkStart w:id="285" w:name="_Toc16412"/>
    </w:p>
    <w:p>
      <w:pPr>
        <w:pStyle w:val="4"/>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1"/>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0"/>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4926"/>
      <w:bookmarkStart w:id="296" w:name="_Toc28067"/>
      <w:bookmarkStart w:id="297" w:name="_Toc29995"/>
      <w:bookmarkStart w:id="298" w:name="_Toc5919"/>
      <w:bookmarkStart w:id="299" w:name="_Toc1511"/>
      <w:bookmarkStart w:id="300" w:name="_Toc17470"/>
      <w:bookmarkStart w:id="301" w:name="_Toc24210"/>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pStyle w:val="4"/>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1"/>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10"/>
        <w:ind w:left="0"/>
        <w:rPr>
          <w:color w:val="auto"/>
          <w:highlight w:val="none"/>
        </w:rPr>
      </w:pPr>
    </w:p>
    <w:p>
      <w:pPr>
        <w:pStyle w:val="4"/>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464"/>
      <w:bookmarkStart w:id="320" w:name="_Toc18668"/>
      <w:bookmarkStart w:id="321" w:name="_Toc1274"/>
      <w:bookmarkStart w:id="322" w:name="_Toc4827"/>
      <w:bookmarkStart w:id="323" w:name="_Toc6080"/>
      <w:bookmarkStart w:id="324" w:name="_Toc26078"/>
    </w:p>
    <w:p>
      <w:pPr>
        <w:pStyle w:val="4"/>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9560"/>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12049"/>
            <w:bookmarkStart w:id="331" w:name="_Toc21739"/>
            <w:bookmarkStart w:id="332" w:name="_Toc4304"/>
            <w:bookmarkStart w:id="333" w:name="_Toc27090"/>
            <w:bookmarkStart w:id="334" w:name="_Toc15368"/>
            <w:bookmarkStart w:id="335" w:name="_Toc16872"/>
            <w:bookmarkStart w:id="336" w:name="_Toc22448"/>
            <w:bookmarkStart w:id="337" w:name="_Toc14815"/>
            <w:bookmarkStart w:id="338" w:name="_Toc10045"/>
            <w:bookmarkStart w:id="339" w:name="_Toc2700"/>
            <w:bookmarkStart w:id="340" w:name="_Toc1016"/>
            <w:bookmarkStart w:id="341" w:name="_Toc26124"/>
            <w:bookmarkStart w:id="342" w:name="_Toc15903"/>
            <w:bookmarkStart w:id="343" w:name="_Toc7333"/>
            <w:bookmarkStart w:id="344" w:name="_Toc22879"/>
            <w:bookmarkStart w:id="345" w:name="_Toc19251"/>
            <w:bookmarkStart w:id="346" w:name="_Toc27442"/>
            <w:bookmarkStart w:id="347" w:name="_Toc21809"/>
            <w:bookmarkStart w:id="348" w:name="_Toc8312"/>
            <w:bookmarkStart w:id="349" w:name="_Toc8490"/>
            <w:bookmarkStart w:id="350" w:name="_Toc22917"/>
            <w:bookmarkStart w:id="351" w:name="_Toc32531"/>
            <w:bookmarkStart w:id="352" w:name="_Toc2466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2153"/>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29838"/>
            <w:bookmarkStart w:id="358" w:name="_Toc16003"/>
            <w:bookmarkStart w:id="359" w:name="_Toc17296"/>
            <w:bookmarkStart w:id="360" w:name="_Toc5992"/>
            <w:bookmarkStart w:id="361" w:name="_Toc20139"/>
            <w:bookmarkStart w:id="362" w:name="_Toc5563"/>
            <w:bookmarkStart w:id="363" w:name="_Toc3701"/>
            <w:bookmarkStart w:id="364" w:name="_Toc20820"/>
            <w:bookmarkStart w:id="365" w:name="_Toc1912"/>
            <w:bookmarkStart w:id="366" w:name="_Toc1330"/>
            <w:bookmarkStart w:id="367" w:name="_Toc17642"/>
            <w:bookmarkStart w:id="368" w:name="_Toc27185"/>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857"/>
            <w:bookmarkStart w:id="370" w:name="_Toc19105"/>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w:t>
      </w:r>
    </w:p>
    <w:p>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8"/>
        <w:rPr>
          <w:rFonts w:ascii="宋体" w:hAnsi="宋体"/>
          <w:color w:val="auto"/>
          <w:szCs w:val="21"/>
          <w:highlight w:val="none"/>
        </w:rPr>
      </w:pPr>
    </w:p>
    <w:p>
      <w:pPr>
        <w:pStyle w:val="38"/>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0"/>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0"/>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0"/>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0"/>
        <w:rPr>
          <w:color w:val="auto"/>
          <w:highlight w:val="none"/>
        </w:rPr>
      </w:pPr>
    </w:p>
    <w:p>
      <w:pPr>
        <w:rPr>
          <w:color w:val="auto"/>
          <w:highlight w:val="none"/>
        </w:rPr>
      </w:pPr>
    </w:p>
    <w:p>
      <w:pPr>
        <w:pStyle w:val="1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C41BE8"/>
    <w:rsid w:val="04DF1036"/>
    <w:rsid w:val="050F6021"/>
    <w:rsid w:val="05A97DEC"/>
    <w:rsid w:val="05C81981"/>
    <w:rsid w:val="05C9779C"/>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9E0D79"/>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552CAB"/>
    <w:rsid w:val="0C7B2220"/>
    <w:rsid w:val="0D890E47"/>
    <w:rsid w:val="0DBD266C"/>
    <w:rsid w:val="0DC64A00"/>
    <w:rsid w:val="0DFC60BA"/>
    <w:rsid w:val="0E1243D2"/>
    <w:rsid w:val="0E4249F1"/>
    <w:rsid w:val="0E7A447D"/>
    <w:rsid w:val="0E8417B5"/>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1E903EC"/>
    <w:rsid w:val="11F2417A"/>
    <w:rsid w:val="1267657C"/>
    <w:rsid w:val="12C60D80"/>
    <w:rsid w:val="131867D4"/>
    <w:rsid w:val="131F7A3A"/>
    <w:rsid w:val="132645D0"/>
    <w:rsid w:val="13455ABC"/>
    <w:rsid w:val="1370322B"/>
    <w:rsid w:val="13A21329"/>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CF7BDC"/>
    <w:rsid w:val="17D54E75"/>
    <w:rsid w:val="17E62B67"/>
    <w:rsid w:val="180C0192"/>
    <w:rsid w:val="180F4499"/>
    <w:rsid w:val="18221ECE"/>
    <w:rsid w:val="190B7894"/>
    <w:rsid w:val="19302282"/>
    <w:rsid w:val="19A2789F"/>
    <w:rsid w:val="19F0243E"/>
    <w:rsid w:val="1A2C3A27"/>
    <w:rsid w:val="1A460CF5"/>
    <w:rsid w:val="1A7F297D"/>
    <w:rsid w:val="1A946D87"/>
    <w:rsid w:val="1AB16AC1"/>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6B76B3"/>
    <w:rsid w:val="1EA40BB4"/>
    <w:rsid w:val="1F43381C"/>
    <w:rsid w:val="1F6170AE"/>
    <w:rsid w:val="1FA4148D"/>
    <w:rsid w:val="20121621"/>
    <w:rsid w:val="201A421D"/>
    <w:rsid w:val="202F0AD2"/>
    <w:rsid w:val="20341172"/>
    <w:rsid w:val="204E554F"/>
    <w:rsid w:val="20590035"/>
    <w:rsid w:val="20C35213"/>
    <w:rsid w:val="20FC799E"/>
    <w:rsid w:val="21CD5F4F"/>
    <w:rsid w:val="22154DDD"/>
    <w:rsid w:val="22213E42"/>
    <w:rsid w:val="22336873"/>
    <w:rsid w:val="226A41D4"/>
    <w:rsid w:val="23175889"/>
    <w:rsid w:val="23675953"/>
    <w:rsid w:val="238C2182"/>
    <w:rsid w:val="239015D1"/>
    <w:rsid w:val="23BB4E7D"/>
    <w:rsid w:val="23C172D6"/>
    <w:rsid w:val="23F04F64"/>
    <w:rsid w:val="24270557"/>
    <w:rsid w:val="24814CBE"/>
    <w:rsid w:val="24AC168B"/>
    <w:rsid w:val="258C3BEC"/>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5E3AFD"/>
    <w:rsid w:val="297A5FC4"/>
    <w:rsid w:val="2A1113BC"/>
    <w:rsid w:val="2A8D4F8F"/>
    <w:rsid w:val="2A911082"/>
    <w:rsid w:val="2A917B34"/>
    <w:rsid w:val="2AE3766F"/>
    <w:rsid w:val="2B174B96"/>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E449B6"/>
    <w:rsid w:val="2FF37AB3"/>
    <w:rsid w:val="304A650F"/>
    <w:rsid w:val="30890978"/>
    <w:rsid w:val="308C7755"/>
    <w:rsid w:val="30DE36F9"/>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065AB"/>
    <w:rsid w:val="3572424F"/>
    <w:rsid w:val="35DE1E08"/>
    <w:rsid w:val="35FC3844"/>
    <w:rsid w:val="366061FD"/>
    <w:rsid w:val="36621B40"/>
    <w:rsid w:val="366B5A1C"/>
    <w:rsid w:val="36794DEF"/>
    <w:rsid w:val="36AD519D"/>
    <w:rsid w:val="36B57705"/>
    <w:rsid w:val="36E75B41"/>
    <w:rsid w:val="373563ED"/>
    <w:rsid w:val="374F1A0B"/>
    <w:rsid w:val="3778009F"/>
    <w:rsid w:val="37A103ED"/>
    <w:rsid w:val="37A358C5"/>
    <w:rsid w:val="37EA5E6E"/>
    <w:rsid w:val="37FA0B59"/>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905BAD"/>
    <w:rsid w:val="40A51286"/>
    <w:rsid w:val="40CE3DC0"/>
    <w:rsid w:val="40D7455A"/>
    <w:rsid w:val="40E743E5"/>
    <w:rsid w:val="4110038E"/>
    <w:rsid w:val="41734CBA"/>
    <w:rsid w:val="41C01B53"/>
    <w:rsid w:val="41DD7057"/>
    <w:rsid w:val="420F7A65"/>
    <w:rsid w:val="4216611A"/>
    <w:rsid w:val="422D4870"/>
    <w:rsid w:val="423E300F"/>
    <w:rsid w:val="425656C8"/>
    <w:rsid w:val="4257273C"/>
    <w:rsid w:val="425D7213"/>
    <w:rsid w:val="42605346"/>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E004E6"/>
    <w:rsid w:val="47841568"/>
    <w:rsid w:val="479D1D34"/>
    <w:rsid w:val="47B609C0"/>
    <w:rsid w:val="47CF543E"/>
    <w:rsid w:val="482D31EA"/>
    <w:rsid w:val="485970A0"/>
    <w:rsid w:val="48847961"/>
    <w:rsid w:val="48A41906"/>
    <w:rsid w:val="48B65C71"/>
    <w:rsid w:val="48F303D7"/>
    <w:rsid w:val="492837FF"/>
    <w:rsid w:val="492E6A57"/>
    <w:rsid w:val="49894B84"/>
    <w:rsid w:val="49B86103"/>
    <w:rsid w:val="49F306B0"/>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C84BDF"/>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7675F9"/>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75FDD"/>
    <w:rsid w:val="5CFD533A"/>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8544E6"/>
    <w:rsid w:val="60A4258E"/>
    <w:rsid w:val="61014BB6"/>
    <w:rsid w:val="61027308"/>
    <w:rsid w:val="612E1A5D"/>
    <w:rsid w:val="61816046"/>
    <w:rsid w:val="61C55CA9"/>
    <w:rsid w:val="61FF417F"/>
    <w:rsid w:val="62182687"/>
    <w:rsid w:val="62391564"/>
    <w:rsid w:val="626D6B63"/>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A229F3"/>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74144"/>
    <w:rsid w:val="6C187AE1"/>
    <w:rsid w:val="6C9C0875"/>
    <w:rsid w:val="6C9D1F03"/>
    <w:rsid w:val="6CAA3931"/>
    <w:rsid w:val="6D3933CA"/>
    <w:rsid w:val="6D7B61EC"/>
    <w:rsid w:val="6DC3266E"/>
    <w:rsid w:val="6DD049FF"/>
    <w:rsid w:val="6DDB72FC"/>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BC5308"/>
    <w:rsid w:val="6FD47A25"/>
    <w:rsid w:val="6FE77107"/>
    <w:rsid w:val="6FF44026"/>
    <w:rsid w:val="6FFB146E"/>
    <w:rsid w:val="70180A92"/>
    <w:rsid w:val="701A5C74"/>
    <w:rsid w:val="706516C3"/>
    <w:rsid w:val="707B510C"/>
    <w:rsid w:val="70864A71"/>
    <w:rsid w:val="70896E68"/>
    <w:rsid w:val="70D35446"/>
    <w:rsid w:val="714556B4"/>
    <w:rsid w:val="715B60E9"/>
    <w:rsid w:val="71E96309"/>
    <w:rsid w:val="71EA1FED"/>
    <w:rsid w:val="72284A0C"/>
    <w:rsid w:val="722853DA"/>
    <w:rsid w:val="72C16204"/>
    <w:rsid w:val="72CC29CD"/>
    <w:rsid w:val="730313F6"/>
    <w:rsid w:val="731E1007"/>
    <w:rsid w:val="73370D24"/>
    <w:rsid w:val="7359268C"/>
    <w:rsid w:val="73676C3F"/>
    <w:rsid w:val="739503EB"/>
    <w:rsid w:val="73A05B28"/>
    <w:rsid w:val="73C07D69"/>
    <w:rsid w:val="749E2255"/>
    <w:rsid w:val="74A82DB5"/>
    <w:rsid w:val="74AB340D"/>
    <w:rsid w:val="74B42AE4"/>
    <w:rsid w:val="74D430B7"/>
    <w:rsid w:val="750A429D"/>
    <w:rsid w:val="75167F59"/>
    <w:rsid w:val="754D77D2"/>
    <w:rsid w:val="755948DD"/>
    <w:rsid w:val="755D38A7"/>
    <w:rsid w:val="755D72AA"/>
    <w:rsid w:val="755F5A0F"/>
    <w:rsid w:val="75614792"/>
    <w:rsid w:val="75784473"/>
    <w:rsid w:val="757E044C"/>
    <w:rsid w:val="75977BC3"/>
    <w:rsid w:val="75B161B3"/>
    <w:rsid w:val="75C56F82"/>
    <w:rsid w:val="75E470E3"/>
    <w:rsid w:val="762F7BAA"/>
    <w:rsid w:val="76736B32"/>
    <w:rsid w:val="76E3765E"/>
    <w:rsid w:val="76FC2AFA"/>
    <w:rsid w:val="773F0836"/>
    <w:rsid w:val="77653671"/>
    <w:rsid w:val="778546CC"/>
    <w:rsid w:val="77B56730"/>
    <w:rsid w:val="77C04A8B"/>
    <w:rsid w:val="77D85DB3"/>
    <w:rsid w:val="780252A0"/>
    <w:rsid w:val="78027772"/>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outlineLvl w:val="2"/>
    </w:pPr>
    <w:rPr>
      <w:b/>
      <w:bCs/>
      <w:sz w:val="28"/>
      <w:szCs w:val="32"/>
    </w:rPr>
  </w:style>
  <w:style w:type="paragraph" w:styleId="5">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2"/>
    <w:semiHidden/>
    <w:unhideWhenUsed/>
    <w:qFormat/>
    <w:uiPriority w:val="99"/>
    <w:rPr>
      <w:sz w:val="18"/>
      <w:szCs w:val="18"/>
    </w:rPr>
  </w:style>
  <w:style w:type="paragraph" w:styleId="15">
    <w:name w:val="footer"/>
    <w:basedOn w:val="1"/>
    <w:link w:val="51"/>
    <w:unhideWhenUsed/>
    <w:qFormat/>
    <w:uiPriority w:val="99"/>
    <w:pPr>
      <w:tabs>
        <w:tab w:val="center" w:pos="4153"/>
        <w:tab w:val="right" w:pos="8306"/>
      </w:tabs>
    </w:pPr>
    <w:rPr>
      <w:sz w:val="18"/>
      <w:szCs w:val="18"/>
    </w:rPr>
  </w:style>
  <w:style w:type="paragraph" w:styleId="16">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10"/>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3"/>
    <w:qFormat/>
    <w:uiPriority w:val="9"/>
    <w:rPr>
      <w:rFonts w:asciiTheme="majorHAnsi" w:hAnsiTheme="majorHAnsi" w:eastAsiaTheme="majorEastAsia" w:cstheme="majorBidi"/>
      <w:b/>
      <w:bCs/>
      <w:sz w:val="32"/>
      <w:szCs w:val="32"/>
    </w:rPr>
  </w:style>
  <w:style w:type="character" w:customStyle="1" w:styleId="37">
    <w:name w:val="标题 3 Char"/>
    <w:basedOn w:val="29"/>
    <w:link w:val="4"/>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5"/>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4"/>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2"/>
    <w:semiHidden/>
    <w:qFormat/>
    <w:uiPriority w:val="99"/>
    <w:rPr>
      <w:rFonts w:ascii="宋体" w:hAnsi="Courier New" w:eastAsia="宋体" w:cs="Courier New"/>
      <w:sz w:val="21"/>
      <w:szCs w:val="21"/>
    </w:rPr>
  </w:style>
  <w:style w:type="character" w:customStyle="1" w:styleId="50">
    <w:name w:val="页眉 Char"/>
    <w:basedOn w:val="29"/>
    <w:link w:val="16"/>
    <w:qFormat/>
    <w:uiPriority w:val="99"/>
    <w:rPr>
      <w:rFonts w:ascii="Tahoma" w:hAnsi="Tahoma"/>
      <w:sz w:val="18"/>
      <w:szCs w:val="18"/>
    </w:rPr>
  </w:style>
  <w:style w:type="character" w:customStyle="1" w:styleId="51">
    <w:name w:val="页脚 Char"/>
    <w:basedOn w:val="29"/>
    <w:link w:val="15"/>
    <w:qFormat/>
    <w:uiPriority w:val="99"/>
    <w:rPr>
      <w:rFonts w:ascii="Tahoma" w:hAnsi="Tahoma"/>
      <w:sz w:val="18"/>
      <w:szCs w:val="18"/>
    </w:rPr>
  </w:style>
  <w:style w:type="character" w:customStyle="1" w:styleId="52">
    <w:name w:val="批注框文本 Char"/>
    <w:basedOn w:val="29"/>
    <w:link w:val="14"/>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110</Pages>
  <Words>50648</Words>
  <Characters>57688</Characters>
  <Lines>392</Lines>
  <Paragraphs>110</Paragraphs>
  <TotalTime>3</TotalTime>
  <ScaleCrop>false</ScaleCrop>
  <LinksUpToDate>false</LinksUpToDate>
  <CharactersWithSpaces>60890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2023-12-08T08:20:28Z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E5362C52FB8747C0B1A23A30DFF4ADE7</vt:lpwstr>
  </property>
</Properties>
</file>