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9"/>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2"/>
                    <a:srcRect l="6233" t="18358" r="67326" b="19339"/>
                    <a:stretch>
                      <a:fillRect/>
                    </a:stretch>
                  </pic:blipFill>
                  <pic:spPr>
                    <a:xfrm>
                      <a:off x="0" y="0"/>
                      <a:ext cx="2129790" cy="2035175"/>
                    </a:xfrm>
                    <a:prstGeom prst="rect">
                      <a:avLst/>
                    </a:prstGeom>
                  </pic:spPr>
                </pic:pic>
              </a:graphicData>
            </a:graphic>
          </wp:inline>
        </w:drawing>
      </w:r>
    </w:p>
    <w:p>
      <w:pPr>
        <w:pStyle w:val="25"/>
        <w:ind w:left="0" w:firstLine="0" w:firstLineChars="0"/>
        <w:rPr>
          <w:rFonts w:ascii="黑体" w:eastAsia="黑体"/>
          <w:color w:val="auto"/>
          <w:szCs w:val="21"/>
          <w:highlight w:val="none"/>
        </w:rPr>
      </w:pPr>
    </w:p>
    <w:tbl>
      <w:tblPr>
        <w:tblStyle w:val="27"/>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GDZT2023157C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石鼓社区大件废弃物收集、清运、处置，牛皮癣清理，河道保洁服务采购项目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东莞市塘厦镇石鼓股份经济联合社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7"/>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2"/>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3"/>
                    <a:stretch>
                      <a:fillRect/>
                    </a:stretch>
                  </pic:blipFill>
                  <pic:spPr>
                    <a:xfrm>
                      <a:off x="0" y="0"/>
                      <a:ext cx="5266690" cy="2566670"/>
                    </a:xfrm>
                    <a:prstGeom prst="rect">
                      <a:avLst/>
                    </a:prstGeom>
                  </pic:spPr>
                </pic:pic>
              </a:graphicData>
            </a:graphic>
          </wp:inline>
        </w:drawing>
      </w:r>
    </w:p>
    <w:p>
      <w:pPr>
        <w:pStyle w:val="22"/>
        <w:ind w:left="0" w:leftChars="0"/>
        <w:rPr>
          <w:color w:val="auto"/>
          <w:sz w:val="40"/>
          <w:szCs w:val="40"/>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cols w:space="708" w:num="1"/>
          <w:titlePg/>
          <w:docGrid w:type="lines" w:linePitch="360" w:charSpace="0"/>
        </w:sectPr>
      </w:pPr>
    </w:p>
    <w:p>
      <w:pPr>
        <w:pStyle w:val="22"/>
        <w:ind w:left="0" w:leftChars="0"/>
        <w:rPr>
          <w:color w:val="auto"/>
          <w:sz w:val="40"/>
          <w:szCs w:val="40"/>
          <w:highlight w:val="none"/>
        </w:rPr>
      </w:pPr>
      <w:r>
        <w:rPr>
          <w:rFonts w:hint="eastAsia"/>
          <w:color w:val="auto"/>
          <w:sz w:val="40"/>
          <w:szCs w:val="40"/>
          <w:highlight w:val="none"/>
        </w:rPr>
        <w:t>目录</w:t>
      </w:r>
    </w:p>
    <w:p>
      <w:pPr>
        <w:pStyle w:val="22"/>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w:t>
      </w:r>
      <w:r>
        <w:rPr>
          <w:rFonts w:hint="eastAsia" w:ascii="宋体" w:hAnsi="宋体" w:eastAsia="宋体" w:cs="宋体"/>
          <w:b w:val="0"/>
          <w:bCs/>
          <w:color w:val="auto"/>
          <w:sz w:val="21"/>
          <w:szCs w:val="21"/>
          <w:highlight w:val="none"/>
        </w:rPr>
        <w:t>资格条件承诺函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2"/>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4"/>
        <w:jc w:val="center"/>
        <w:rPr>
          <w:rFonts w:ascii="宋体" w:hAnsi="宋体" w:cs="宋体"/>
          <w:color w:val="auto"/>
          <w:highlight w:val="none"/>
        </w:rPr>
      </w:pPr>
      <w:bookmarkStart w:id="2" w:name="_Toc8850"/>
      <w:bookmarkStart w:id="3" w:name="_Toc7123"/>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东莞市塘厦镇石鼓股份经济联合社</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石鼓社区大件废弃物收集、清运、处置，牛皮癣清理，河道保洁服务采购项目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GDZT2023157C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石鼓社区大件废弃物收集、清运、处置，牛皮癣清理，河道保洁服务采购项目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1"/>
        <w:gridCol w:w="5115"/>
        <w:gridCol w:w="840"/>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36"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6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0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9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36"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3068" w:type="pct"/>
            <w:noWrap/>
            <w:tcMar>
              <w:top w:w="15" w:type="dxa"/>
              <w:left w:w="15" w:type="dxa"/>
              <w:right w:w="15" w:type="dxa"/>
            </w:tcMar>
            <w:vAlign w:val="center"/>
          </w:tcPr>
          <w:p>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石鼓社区大件废弃物收集、清运、处置，牛皮癣清理，河道保洁服务采购项目</w:t>
            </w:r>
          </w:p>
        </w:tc>
        <w:tc>
          <w:tcPr>
            <w:tcW w:w="50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091"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b/>
                <w:bCs/>
                <w:color w:val="auto"/>
                <w:szCs w:val="21"/>
                <w:highlight w:val="none"/>
                <w:lang w:val="en-US" w:eastAsia="zh-CN"/>
              </w:rPr>
              <w:t>8,506,167.84</w:t>
            </w:r>
            <w:r>
              <w:rPr>
                <w:rFonts w:hint="eastAsia" w:ascii="宋体" w:hAnsi="宋体"/>
                <w:b/>
                <w:bCs/>
                <w:color w:val="auto"/>
                <w:szCs w:val="21"/>
                <w:highlight w:val="none"/>
              </w:rPr>
              <w:t>元</w:t>
            </w:r>
          </w:p>
        </w:tc>
      </w:tr>
    </w:tbl>
    <w:p>
      <w:pPr>
        <w:ind w:firstLine="420" w:firstLineChars="200"/>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4、本项目不接受联合体投标</w:t>
      </w: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1.投标人应具备《中华人民共和国政府采购法》第二十二条规定的条件，提供下列材料：</w:t>
      </w:r>
      <w:bookmarkStart w:id="387" w:name="_GoBack"/>
      <w:bookmarkEnd w:id="387"/>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2）有依法缴纳税收和社会保障资金的良好记录：投标文件中提供《资格条件承诺函》。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3）具有良好的商业信誉和健全的财务会计制度：投标文件中提供《资格条件承诺函》。</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4）履行合同所必需的设备和专业技术能力：投标文件中提供《资格条件承诺函》。  </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5）参加采购活动前3年内，在经营活动中没有重大违法记录：投标（响应）文件中提供《资格条件承诺函》。 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eastAsia="宋体" w:cs="宋体"/>
          <w:b w:val="0"/>
          <w:bCs/>
          <w:color w:val="auto"/>
          <w:sz w:val="21"/>
          <w:szCs w:val="21"/>
          <w:highlight w:val="none"/>
        </w:rPr>
      </w:pP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.本项目特定的资格要求：</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1)供应商未被列入“信用中国”网站(www.creditchina.gov.cn)“记录失信被执行人或税收违法黑名单”记录名单； 不处于中国政府采购网(www.ccgp.gov.cn)“政府采购严重违法失信行为信息记录”中的禁止参加政府采购活动期间。 （以采购代理机构于投标（响应） 截止时间当天在“信用中国”网站（www.creditchina.gov.cn） 及中国政府采购网（http://www.ccgp.gov.cn/） 查询结果为准， 如相关失信记录已失效， 供应商需提供相关证明资料）。</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2)单位负责人为同一人或者存在直接控股、 管理关系的不同供应商，不得同时参加本采购项目（或采购包） 投标（响应）。 为本项目提供整体设计、 规范编制或者项目管理、 监理、 检测等服务的供应商， 不得再参与本项目投标（响应）。 投标（报价） 函相关承诺要求内容。</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26</w:t>
      </w:r>
      <w:r>
        <w:rPr>
          <w:rFonts w:hint="eastAsia" w:ascii="宋体" w:hAnsi="宋体"/>
          <w:bCs/>
          <w:color w:val="auto"/>
          <w:szCs w:val="21"/>
          <w:highlight w:val="none"/>
        </w:rPr>
        <w:t>日下午14：</w:t>
      </w:r>
      <w:r>
        <w:rPr>
          <w:rFonts w:hint="eastAsia" w:ascii="宋体" w:hAnsi="宋体"/>
          <w:bCs/>
          <w:color w:val="auto"/>
          <w:szCs w:val="21"/>
          <w:highlight w:val="none"/>
          <w:lang w:val="en-US" w:eastAsia="zh-CN"/>
        </w:rPr>
        <w:t>3</w:t>
      </w:r>
      <w:r>
        <w:rPr>
          <w:rFonts w:hint="eastAsia" w:ascii="宋体" w:hAnsi="宋体"/>
          <w:bCs/>
          <w:color w:val="auto"/>
          <w:szCs w:val="21"/>
          <w:highlight w:val="none"/>
        </w:rPr>
        <w:t>0～1</w:t>
      </w:r>
      <w:r>
        <w:rPr>
          <w:rFonts w:hint="eastAsia" w:ascii="宋体" w:hAnsi="宋体"/>
          <w:bCs/>
          <w:color w:val="auto"/>
          <w:szCs w:val="21"/>
          <w:highlight w:val="none"/>
          <w:lang w:val="en-US" w:eastAsia="zh-CN"/>
        </w:rPr>
        <w:t>5</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26</w:t>
      </w:r>
      <w:r>
        <w:rPr>
          <w:rFonts w:hint="eastAsia" w:ascii="宋体" w:hAnsi="宋体"/>
          <w:bCs/>
          <w:color w:val="auto"/>
          <w:szCs w:val="21"/>
          <w:highlight w:val="none"/>
        </w:rPr>
        <w:t>日下午1</w:t>
      </w:r>
      <w:r>
        <w:rPr>
          <w:rFonts w:hint="eastAsia" w:ascii="宋体" w:hAnsi="宋体"/>
          <w:bCs/>
          <w:color w:val="auto"/>
          <w:szCs w:val="21"/>
          <w:highlight w:val="none"/>
          <w:lang w:val="en-US" w:eastAsia="zh-CN"/>
        </w:rPr>
        <w:t>5</w:t>
      </w:r>
      <w:r>
        <w:rPr>
          <w:rFonts w:hint="eastAsia" w:ascii="宋体" w:hAnsi="宋体"/>
          <w:bCs/>
          <w:color w:val="auto"/>
          <w:szCs w:val="21"/>
          <w:highlight w:val="none"/>
        </w:rPr>
        <w:t>时</w:t>
      </w:r>
      <w:r>
        <w:rPr>
          <w:rFonts w:hint="eastAsia" w:ascii="宋体" w:hAnsi="宋体"/>
          <w:bCs/>
          <w:color w:val="auto"/>
          <w:szCs w:val="21"/>
          <w:highlight w:val="none"/>
          <w:lang w:val="en-US" w:eastAsia="zh-CN"/>
        </w:rPr>
        <w:t>0</w:t>
      </w:r>
      <w:r>
        <w:rPr>
          <w:rFonts w:hint="eastAsia" w:ascii="宋体" w:hAnsi="宋体"/>
          <w:bCs/>
          <w:color w:val="auto"/>
          <w:szCs w:val="21"/>
          <w:highlight w:val="none"/>
        </w:rPr>
        <w:t>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广东省东莞市塘厦镇迎宾大道13号行政办事服务大楼2</w:t>
      </w:r>
      <w:r>
        <w:rPr>
          <w:rFonts w:hint="eastAsia" w:ascii="宋体" w:hAnsi="宋体"/>
          <w:color w:val="auto"/>
          <w:szCs w:val="21"/>
          <w:highlight w:val="none"/>
          <w:lang w:val="en-US" w:eastAsia="zh-CN"/>
        </w:rPr>
        <w:t>09</w:t>
      </w:r>
      <w:r>
        <w:rPr>
          <w:rFonts w:hint="eastAsia" w:ascii="宋体" w:hAnsi="宋体"/>
          <w:color w:val="auto"/>
          <w:szCs w:val="21"/>
          <w:highlight w:val="none"/>
        </w:rPr>
        <w:t>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黄先生</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东莞市塘厦镇</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0769-87726607</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hint="eastAsia"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w:t>
      </w: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2"/>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6"/>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 w:val="21"/>
                <w:szCs w:val="21"/>
                <w:highlight w:val="none"/>
                <w:lang w:val="en-US" w:eastAsia="zh-CN"/>
              </w:rPr>
              <w:t>集体</w:t>
            </w:r>
            <w:r>
              <w:rPr>
                <w:rFonts w:hint="eastAsia" w:ascii="宋体" w:hAnsi="宋体" w:eastAsia="宋体"/>
                <w:color w:val="auto"/>
                <w:sz w:val="21"/>
                <w:szCs w:val="21"/>
                <w:highlight w:val="none"/>
              </w:rPr>
              <w:t>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w:t>
            </w:r>
            <w:r>
              <w:rPr>
                <w:rFonts w:hint="eastAsia" w:ascii="宋体" w:hAnsi="宋体"/>
                <w:color w:val="auto"/>
                <w:szCs w:val="21"/>
                <w:highlight w:val="none"/>
                <w:lang w:val="en-US" w:eastAsia="zh-CN"/>
              </w:rPr>
              <w:t>采购人</w:t>
            </w:r>
            <w:r>
              <w:rPr>
                <w:rFonts w:hint="eastAsia" w:ascii="宋体" w:hAnsi="宋体"/>
                <w:color w:val="auto"/>
                <w:szCs w:val="21"/>
                <w:highlight w:val="none"/>
              </w:rPr>
              <w:t>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9"/>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p>
    <w:p>
      <w:pPr>
        <w:pStyle w:val="2"/>
        <w:spacing w:before="0" w:after="0" w:line="360" w:lineRule="auto"/>
        <w:rPr>
          <w:color w:val="auto"/>
          <w:highlight w:val="none"/>
        </w:rPr>
      </w:pPr>
      <w:bookmarkStart w:id="8" w:name="_Toc5749"/>
      <w:bookmarkStart w:id="9" w:name="_Hlk55300595"/>
      <w:bookmarkStart w:id="10" w:name="_Toc13473"/>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bookmarkStart w:id="17" w:name="_Toc29685"/>
            <w:bookmarkStart w:id="18" w:name="_Toc2479"/>
            <w:bookmarkStart w:id="19" w:name="_Toc30638"/>
            <w:bookmarkStart w:id="20" w:name="_Toc14146"/>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lang w:eastAsia="zh-CN"/>
              </w:rPr>
              <w:t>文件</w:t>
            </w:r>
            <w:r>
              <w:rPr>
                <w:rFonts w:hint="eastAsia" w:ascii="宋体" w:hAnsi="宋体" w:eastAsia="宋体" w:cs="宋体"/>
                <w:color w:val="auto"/>
                <w:sz w:val="21"/>
                <w:szCs w:val="21"/>
                <w:highlight w:val="none"/>
              </w:rPr>
              <w:t>要求且价格最低的</w:t>
            </w:r>
            <w:r>
              <w:rPr>
                <w:rFonts w:hint="eastAsia" w:ascii="宋体" w:hAnsi="宋体" w:cs="宋体"/>
                <w:color w:val="auto"/>
                <w:sz w:val="21"/>
                <w:szCs w:val="21"/>
                <w:highlight w:val="none"/>
                <w:lang w:val="en-US" w:eastAsia="zh-CN"/>
              </w:rPr>
              <w:t>投标</w:t>
            </w:r>
            <w:r>
              <w:rPr>
                <w:rFonts w:hint="eastAsia" w:ascii="宋体" w:hAnsi="宋体" w:eastAsia="宋体" w:cs="宋体"/>
                <w:color w:val="auto"/>
                <w:sz w:val="21"/>
                <w:szCs w:val="21"/>
                <w:highlight w:val="none"/>
              </w:rPr>
              <w:t>报价为评标基准价，其价格分为满分。其他</w:t>
            </w:r>
            <w:r>
              <w:rPr>
                <w:rFonts w:hint="eastAsia" w:ascii="宋体" w:hAnsi="宋体" w:cs="宋体"/>
                <w:color w:val="auto"/>
                <w:sz w:val="21"/>
                <w:szCs w:val="21"/>
                <w:highlight w:val="none"/>
                <w:lang w:val="en-US" w:eastAsia="zh-CN"/>
              </w:rPr>
              <w:t>投标人</w:t>
            </w:r>
            <w:r>
              <w:rPr>
                <w:rFonts w:hint="eastAsia" w:ascii="宋体" w:hAnsi="宋体" w:eastAsia="宋体" w:cs="宋体"/>
                <w:color w:val="auto"/>
                <w:sz w:val="21"/>
                <w:szCs w:val="21"/>
                <w:highlight w:val="none"/>
              </w:rPr>
              <w:t>的价格分统一按照下列公式计算：</w:t>
            </w:r>
          </w:p>
          <w:p>
            <w:pPr>
              <w:pStyle w:val="40"/>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报价得分=(评标基准价／</w:t>
            </w:r>
            <w:r>
              <w:rPr>
                <w:rFonts w:hint="eastAsia" w:asci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25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51" w:type="dxa"/>
            <w:tcBorders>
              <w:top w:val="single" w:color="auto" w:sz="4" w:space="0"/>
              <w:left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根据</w:t>
            </w:r>
            <w:r>
              <w:rPr>
                <w:rFonts w:hint="eastAsia" w:ascii="宋体" w:eastAsia="宋体" w:cs="宋体"/>
                <w:bCs/>
                <w:color w:val="auto"/>
                <w:sz w:val="21"/>
                <w:szCs w:val="21"/>
                <w:highlight w:val="none"/>
                <w:lang w:val="zh-CN"/>
              </w:rPr>
              <w:t>投标人</w:t>
            </w:r>
            <w:r>
              <w:rPr>
                <w:rFonts w:hint="eastAsia" w:ascii="宋体" w:eastAsia="宋体" w:cs="宋体"/>
                <w:bCs/>
                <w:color w:val="auto"/>
                <w:sz w:val="21"/>
                <w:szCs w:val="21"/>
                <w:highlight w:val="none"/>
                <w:lang w:val="en-US" w:eastAsia="zh-CN"/>
              </w:rPr>
              <w:t>具有的</w:t>
            </w:r>
            <w:r>
              <w:rPr>
                <w:rFonts w:hint="eastAsia" w:ascii="宋体" w:eastAsia="宋体" w:cs="宋体"/>
                <w:bCs/>
                <w:color w:val="auto"/>
                <w:sz w:val="21"/>
                <w:szCs w:val="21"/>
                <w:highlight w:val="none"/>
                <w:lang w:val="zh-CN"/>
              </w:rPr>
              <w:t>垃圾</w:t>
            </w:r>
            <w:r>
              <w:rPr>
                <w:rFonts w:hint="eastAsia" w:ascii="宋体" w:eastAsia="宋体" w:cs="宋体"/>
                <w:bCs/>
                <w:color w:val="auto"/>
                <w:sz w:val="21"/>
                <w:szCs w:val="21"/>
                <w:highlight w:val="none"/>
                <w:lang w:val="zh-CN" w:eastAsia="zh-CN"/>
              </w:rPr>
              <w:t>清理/</w:t>
            </w:r>
            <w:r>
              <w:rPr>
                <w:rFonts w:hint="eastAsia" w:ascii="宋体" w:eastAsia="宋体" w:cs="宋体"/>
                <w:bCs/>
                <w:color w:val="auto"/>
                <w:sz w:val="21"/>
                <w:szCs w:val="21"/>
                <w:highlight w:val="none"/>
                <w:lang w:val="zh-CN"/>
              </w:rPr>
              <w:t>清（转）运</w:t>
            </w:r>
            <w:r>
              <w:rPr>
                <w:rFonts w:hint="eastAsia" w:ascii="宋体" w:eastAsia="宋体" w:cs="宋体"/>
                <w:bCs/>
                <w:color w:val="auto"/>
                <w:sz w:val="21"/>
                <w:szCs w:val="21"/>
                <w:highlight w:val="none"/>
                <w:lang w:val="zh-CN" w:eastAsia="zh-CN"/>
              </w:rPr>
              <w:t>或环卫保洁或河道保洁或牛皮癣清理类项目</w:t>
            </w:r>
            <w:r>
              <w:rPr>
                <w:rFonts w:hint="eastAsia" w:ascii="宋体" w:eastAsia="宋体" w:cs="宋体"/>
                <w:bCs/>
                <w:color w:val="auto"/>
                <w:sz w:val="21"/>
                <w:szCs w:val="21"/>
                <w:highlight w:val="none"/>
                <w:lang w:val="zh-CN"/>
              </w:rPr>
              <w:t>业绩</w:t>
            </w:r>
            <w:r>
              <w:rPr>
                <w:rFonts w:hint="eastAsia" w:ascii="宋体" w:hAnsi="宋体" w:eastAsia="宋体" w:cs="宋体"/>
                <w:bCs/>
                <w:color w:val="auto"/>
                <w:sz w:val="21"/>
                <w:szCs w:val="21"/>
                <w:highlight w:val="none"/>
                <w:lang w:val="en-US" w:eastAsia="zh-CN"/>
              </w:rPr>
              <w:t>进行评审</w:t>
            </w:r>
            <w:r>
              <w:rPr>
                <w:rFonts w:hint="eastAsia" w:ascii="宋体" w:hAnsi="宋体" w:eastAsia="宋体" w:cs="宋体"/>
                <w:bCs/>
                <w:color w:val="auto"/>
                <w:sz w:val="21"/>
                <w:szCs w:val="21"/>
                <w:highlight w:val="none"/>
                <w:lang w:val="zh-CN"/>
              </w:rPr>
              <w:t>，每提供一个合同业绩得</w:t>
            </w:r>
            <w:r>
              <w:rPr>
                <w:rFonts w:hint="eastAsia" w:asci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20</w:t>
            </w:r>
            <w:r>
              <w:rPr>
                <w:rFonts w:hint="eastAsia" w:ascii="宋体" w:hAnsi="宋体" w:eastAsia="宋体" w:cs="宋体"/>
                <w:bCs/>
                <w:color w:val="auto"/>
                <w:sz w:val="21"/>
                <w:szCs w:val="21"/>
                <w:highlight w:val="none"/>
                <w:lang w:val="zh-CN"/>
              </w:rPr>
              <w:t>分。</w:t>
            </w:r>
          </w:p>
          <w:p>
            <w:pPr>
              <w:pStyle w:val="40"/>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zh-CN"/>
              </w:rPr>
              <w:t>注：须提供合同复印件加盖</w:t>
            </w:r>
            <w:r>
              <w:rPr>
                <w:rFonts w:hint="eastAsia" w:ascii="宋体" w:eastAsia="宋体" w:cs="宋体"/>
                <w:bCs/>
                <w:color w:val="auto"/>
                <w:sz w:val="21"/>
                <w:szCs w:val="21"/>
                <w:highlight w:val="none"/>
                <w:lang w:val="zh-CN"/>
              </w:rPr>
              <w:t>投标人</w:t>
            </w:r>
            <w:r>
              <w:rPr>
                <w:rFonts w:hint="eastAsia" w:ascii="宋体" w:hAnsi="宋体" w:eastAsia="宋体" w:cs="宋体"/>
                <w:bCs/>
                <w:color w:val="auto"/>
                <w:sz w:val="21"/>
                <w:szCs w:val="21"/>
                <w:highlight w:val="none"/>
                <w:lang w:val="zh-CN"/>
              </w:rPr>
              <w:t>公章，</w:t>
            </w:r>
            <w:r>
              <w:rPr>
                <w:rFonts w:hint="eastAsia" w:ascii="宋体" w:hAns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651" w:type="dxa"/>
            <w:tcBorders>
              <w:left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left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提供的服务响应时间承诺进行评分。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内到现场，得3分；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承诺在接到采购人通知后3小时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cs="宋体"/>
                <w:bCs/>
                <w:color w:val="auto"/>
                <w:sz w:val="21"/>
                <w:szCs w:val="21"/>
                <w:highlight w:val="none"/>
                <w:lang w:eastAsia="zh-CN"/>
              </w:rPr>
              <w:t>投标人</w:t>
            </w:r>
            <w:r>
              <w:rPr>
                <w:rFonts w:hint="eastAsia" w:ascii="宋体" w:hAnsi="宋体" w:eastAsia="宋体" w:cs="宋体"/>
                <w:bCs/>
                <w:color w:val="auto"/>
                <w:sz w:val="21"/>
                <w:szCs w:val="21"/>
                <w:highlight w:val="none"/>
                <w:lang w:val="en-US" w:eastAsia="zh-CN"/>
              </w:rPr>
              <w:t>未承诺或</w:t>
            </w:r>
            <w:r>
              <w:rPr>
                <w:rFonts w:hint="eastAsia" w:ascii="宋体" w:hAnsi="宋体" w:cs="宋体"/>
                <w:bCs/>
                <w:color w:val="auto"/>
                <w:sz w:val="21"/>
                <w:szCs w:val="21"/>
                <w:highlight w:val="none"/>
                <w:lang w:val="en-US" w:eastAsia="zh-CN"/>
              </w:rPr>
              <w:t>其他情况</w:t>
            </w:r>
            <w:r>
              <w:rPr>
                <w:rFonts w:hint="eastAsia" w:ascii="宋体" w:hAnsi="宋体" w:eastAsia="宋体" w:cs="宋体"/>
                <w:bCs/>
                <w:color w:val="auto"/>
                <w:sz w:val="21"/>
                <w:szCs w:val="21"/>
                <w:highlight w:val="none"/>
              </w:rPr>
              <w:t>，不得分。</w:t>
            </w:r>
          </w:p>
          <w:p>
            <w:pPr>
              <w:pStyle w:val="40"/>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bCs/>
                <w:color w:val="auto"/>
                <w:sz w:val="21"/>
                <w:szCs w:val="21"/>
                <w:highlight w:val="none"/>
                <w:lang w:val="pt-BR"/>
              </w:rPr>
            </w:pPr>
            <w:r>
              <w:rPr>
                <w:rFonts w:hint="eastAsia" w:asci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提供服务承诺书并加盖</w:t>
            </w:r>
            <w:r>
              <w:rPr>
                <w:rFonts w:hint="eastAsia" w:asci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val="zh-CN"/>
              </w:rPr>
              <w:t>，</w:t>
            </w:r>
            <w:r>
              <w:rPr>
                <w:rFonts w:hint="eastAsia" w:ascii="宋体" w:hAns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w:t>
            </w:r>
            <w:r>
              <w:rPr>
                <w:rFonts w:hint="eastAsia" w:ascii="宋体" w:hAnsi="宋体" w:cs="宋体"/>
                <w:bCs/>
                <w:color w:val="auto"/>
                <w:sz w:val="21"/>
                <w:szCs w:val="21"/>
                <w:highlight w:val="none"/>
                <w:lang w:val="en-US" w:eastAsia="zh-CN"/>
              </w:rPr>
              <w:t>60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after="0" w:line="240" w:lineRule="auto"/>
              <w:ind w:left="0" w:leftChars="0" w:right="0" w:righ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 xml:space="preserve">对项目的理解     </w:t>
            </w:r>
          </w:p>
        </w:tc>
        <w:tc>
          <w:tcPr>
            <w:tcW w:w="59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对本项目概况、特征、工作范围、工作标准与技术要求的理解以及对项目实施地点的熟悉了解程度等进行综合评价：</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对项目充分理解的，深刻认识的，得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对项目较充分理解的，较深刻认识的，得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对项目基本理解，基本认识的，得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对项目理解欠缺，认识一般的，得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zh-CN"/>
              </w:rPr>
              <w:t>分</w:t>
            </w:r>
            <w:r>
              <w:rPr>
                <w:rFonts w:hint="eastAsia" w:ascii="宋体" w:hAnsi="宋体" w:cs="宋体"/>
                <w:color w:val="auto"/>
                <w:kern w:val="2"/>
                <w:sz w:val="21"/>
                <w:szCs w:val="21"/>
                <w:highlight w:val="none"/>
                <w:lang w:val="zh-CN"/>
              </w:rPr>
              <w:t>；</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无提供，不得分</w:t>
            </w:r>
            <w:r>
              <w:rPr>
                <w:rFonts w:hint="eastAsia" w:ascii="宋体" w:hAnsi="宋体" w:cs="宋体"/>
                <w:color w:val="auto"/>
                <w:kern w:val="2"/>
                <w:sz w:val="21"/>
                <w:szCs w:val="21"/>
                <w:highlight w:val="none"/>
                <w:lang w:val="en-US"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spacing w:before="0" w:after="0" w:line="240" w:lineRule="auto"/>
              <w:ind w:left="0" w:leftChars="0" w:right="0" w:righ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 xml:space="preserve">项目实施方案    </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根据各投标人针对本项目作出的垃圾收运实施方案（包括但不限于垃圾清运、垃圾收集、</w:t>
            </w:r>
            <w:r>
              <w:rPr>
                <w:rFonts w:hint="eastAsia" w:ascii="宋体" w:hAnsi="宋体"/>
                <w:color w:val="auto"/>
                <w:szCs w:val="21"/>
                <w:highlight w:val="none"/>
                <w:lang w:eastAsia="zh-CN"/>
              </w:rPr>
              <w:t>牛皮癣清理、河道保洁、</w:t>
            </w:r>
            <w:r>
              <w:rPr>
                <w:rFonts w:hint="eastAsia" w:ascii="宋体" w:hAnsi="宋体" w:eastAsia="宋体" w:cs="宋体"/>
                <w:color w:val="auto"/>
                <w:kern w:val="2"/>
                <w:sz w:val="21"/>
                <w:szCs w:val="21"/>
                <w:highlight w:val="none"/>
                <w:lang w:val="zh-CN"/>
              </w:rPr>
              <w:t>巡查监督等）是否具有针对性、可行性、科学性等进行综合评价：</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方案完善具体、针对性强、可行性强、科学合理的，得</w:t>
            </w:r>
            <w:r>
              <w:rPr>
                <w:rFonts w:hint="eastAsia" w:ascii="宋体" w:hAnsi="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方案比较完善、针对性较强、可行性较强、较合理的，得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方案不够具体、针对性一般、可行性一般、合理的，得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方案简单，针对性差，可行性差的，得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zh-CN"/>
              </w:rPr>
              <w:t>分</w:t>
            </w:r>
            <w:r>
              <w:rPr>
                <w:rFonts w:hint="eastAsia" w:ascii="宋体" w:hAnsi="宋体" w:cs="宋体"/>
                <w:color w:val="auto"/>
                <w:kern w:val="2"/>
                <w:sz w:val="21"/>
                <w:szCs w:val="21"/>
                <w:highlight w:val="none"/>
                <w:lang w:val="zh-CN"/>
              </w:rPr>
              <w:t>；</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420" w:firstLineChars="200"/>
              <w:jc w:val="left"/>
              <w:textAlignment w:val="auto"/>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en-US" w:eastAsia="zh-CN"/>
              </w:rPr>
              <w:t>无提供，不得分</w:t>
            </w:r>
            <w:r>
              <w:rPr>
                <w:rFonts w:hint="eastAsia" w:ascii="宋体" w:hAnsi="宋体" w:cs="宋体"/>
                <w:color w:val="auto"/>
                <w:kern w:val="2"/>
                <w:sz w:val="21"/>
                <w:szCs w:val="21"/>
                <w:highlight w:val="none"/>
                <w:lang w:val="en-US"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leftChars="0" w:right="0" w:rightChars="0"/>
              <w:jc w:val="center"/>
              <w:textAlignment w:val="auto"/>
              <w:outlineLvl w:val="9"/>
              <w:rPr>
                <w:rFonts w:hint="default" w:ascii="宋体" w:hAnsi="宋体" w:eastAsia="宋体" w:cs="宋体"/>
                <w:bCs/>
                <w:color w:val="auto"/>
                <w:sz w:val="21"/>
                <w:szCs w:val="21"/>
                <w:highlight w:val="none"/>
                <w:lang w:val="en-US" w:eastAsia="zh-CN"/>
              </w:rPr>
            </w:pPr>
            <w:r>
              <w:rPr>
                <w:rFonts w:hint="eastAsia" w:ascii="宋体" w:cs="宋体"/>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after="0" w:line="240" w:lineRule="auto"/>
              <w:ind w:left="0" w:leftChars="0" w:right="0" w:righ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质量及安全保证措施</w:t>
            </w:r>
          </w:p>
        </w:tc>
        <w:tc>
          <w:tcPr>
            <w:tcW w:w="592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根据本项目的要求，提供项目总体质量目标、安全及分期目标、提供保证措施等方案进行综合评价：</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总体质量目标、安全及分期目标非常明确可行、保证措施方案非常详细的得</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总体质量目标、安全及分期目标比较明确可行、保证措施方案比较详细的得</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总体质量目标、安全及分期目标一般、保证措施方案一般的得</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总体质量目标、安全及分期目标不明确、可行性差、内容简单的得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zh-CN"/>
              </w:rPr>
              <w:t>分</w:t>
            </w:r>
            <w:r>
              <w:rPr>
                <w:rFonts w:hint="eastAsia" w:ascii="宋体" w:hAnsi="宋体" w:cs="宋体"/>
                <w:color w:val="auto"/>
                <w:kern w:val="2"/>
                <w:sz w:val="21"/>
                <w:szCs w:val="21"/>
                <w:highlight w:val="none"/>
                <w:lang w:val="zh-CN"/>
              </w:rPr>
              <w:t>；</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420" w:firstLineChars="200"/>
              <w:jc w:val="left"/>
              <w:textAlignment w:val="auto"/>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en-US" w:eastAsia="zh-CN"/>
              </w:rPr>
              <w:t>无提供，不得分</w:t>
            </w:r>
            <w:r>
              <w:rPr>
                <w:rFonts w:hint="eastAsia" w:ascii="宋体" w:hAnsi="宋体" w:cs="宋体"/>
                <w:color w:val="auto"/>
                <w:kern w:val="2"/>
                <w:sz w:val="21"/>
                <w:szCs w:val="21"/>
                <w:highlight w:val="none"/>
                <w:lang w:val="en-US"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after="0" w:line="240" w:lineRule="auto"/>
              <w:ind w:left="0" w:leftChars="0" w:right="0" w:righ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服务自律承诺</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根据各投标人承诺的服务及作出违约责任的内容进行综合评价：</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提供服务</w:t>
            </w:r>
            <w:r>
              <w:rPr>
                <w:rFonts w:hint="eastAsia" w:ascii="宋体" w:hAnsi="宋体" w:cs="宋体"/>
                <w:color w:val="auto"/>
                <w:kern w:val="2"/>
                <w:sz w:val="21"/>
                <w:szCs w:val="21"/>
                <w:highlight w:val="none"/>
                <w:lang w:val="en-US" w:eastAsia="zh-CN"/>
              </w:rPr>
              <w:t>方案完善</w:t>
            </w:r>
            <w:r>
              <w:rPr>
                <w:rFonts w:hint="eastAsia" w:ascii="宋体" w:hAnsi="宋体" w:eastAsia="宋体" w:cs="宋体"/>
                <w:color w:val="auto"/>
                <w:kern w:val="2"/>
                <w:sz w:val="21"/>
                <w:szCs w:val="21"/>
                <w:highlight w:val="none"/>
                <w:lang w:val="zh-CN"/>
              </w:rPr>
              <w:t>，作出违约责任等承诺具体可行、非常详细的得</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提供服务</w:t>
            </w:r>
            <w:r>
              <w:rPr>
                <w:rFonts w:hint="eastAsia" w:ascii="宋体" w:hAnsi="宋体" w:cs="宋体"/>
                <w:color w:val="auto"/>
                <w:kern w:val="2"/>
                <w:sz w:val="21"/>
                <w:szCs w:val="21"/>
                <w:highlight w:val="none"/>
                <w:lang w:val="en-US" w:eastAsia="zh-CN"/>
              </w:rPr>
              <w:t>方案较完善</w:t>
            </w:r>
            <w:r>
              <w:rPr>
                <w:rFonts w:hint="eastAsia" w:ascii="宋体" w:hAnsi="宋体" w:eastAsia="宋体" w:cs="宋体"/>
                <w:color w:val="auto"/>
                <w:kern w:val="2"/>
                <w:sz w:val="21"/>
                <w:szCs w:val="21"/>
                <w:highlight w:val="none"/>
                <w:lang w:val="zh-CN"/>
              </w:rPr>
              <w:t>，作出违约责任等承诺的</w:t>
            </w:r>
            <w:r>
              <w:rPr>
                <w:rFonts w:hint="eastAsia" w:ascii="宋体" w:hAnsi="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lang w:val="zh-CN"/>
              </w:rPr>
              <w:t>可行的得</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color w:val="auto"/>
                <w:highlight w:val="none"/>
                <w:lang w:val="zh-CN"/>
              </w:rPr>
            </w:pPr>
            <w:r>
              <w:rPr>
                <w:rFonts w:hint="eastAsia" w:ascii="宋体" w:hAnsi="宋体" w:eastAsia="宋体" w:cs="宋体"/>
                <w:color w:val="auto"/>
                <w:kern w:val="2"/>
                <w:sz w:val="21"/>
                <w:szCs w:val="21"/>
                <w:highlight w:val="none"/>
                <w:lang w:val="zh-CN"/>
              </w:rPr>
              <w:t>提供服务</w:t>
            </w:r>
            <w:r>
              <w:rPr>
                <w:rFonts w:hint="eastAsia" w:ascii="宋体" w:hAnsi="宋体" w:cs="宋体"/>
                <w:color w:val="auto"/>
                <w:kern w:val="2"/>
                <w:sz w:val="21"/>
                <w:szCs w:val="21"/>
                <w:highlight w:val="none"/>
                <w:lang w:val="en-US" w:eastAsia="zh-CN"/>
              </w:rPr>
              <w:t>方案</w:t>
            </w:r>
            <w:r>
              <w:rPr>
                <w:rFonts w:hint="eastAsia" w:ascii="宋体" w:hAnsi="宋体" w:eastAsia="宋体" w:cs="宋体"/>
                <w:color w:val="auto"/>
                <w:kern w:val="2"/>
                <w:sz w:val="21"/>
                <w:szCs w:val="21"/>
                <w:highlight w:val="none"/>
                <w:lang w:val="en-US" w:eastAsia="zh-CN"/>
              </w:rPr>
              <w:t>一般</w:t>
            </w:r>
            <w:r>
              <w:rPr>
                <w:rFonts w:hint="eastAsia" w:ascii="宋体" w:hAnsi="宋体" w:eastAsia="宋体" w:cs="宋体"/>
                <w:color w:val="auto"/>
                <w:kern w:val="2"/>
                <w:sz w:val="21"/>
                <w:szCs w:val="21"/>
                <w:highlight w:val="none"/>
                <w:lang w:val="zh-CN"/>
              </w:rPr>
              <w:t>，作出违约责任等承诺的可行性一般的得</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提供服务</w:t>
            </w:r>
            <w:r>
              <w:rPr>
                <w:rFonts w:hint="eastAsia" w:ascii="宋体" w:hAnsi="宋体" w:cs="宋体"/>
                <w:color w:val="auto"/>
                <w:kern w:val="2"/>
                <w:sz w:val="21"/>
                <w:szCs w:val="21"/>
                <w:highlight w:val="none"/>
                <w:lang w:val="en-US" w:eastAsia="zh-CN"/>
              </w:rPr>
              <w:t>方案</w:t>
            </w:r>
            <w:r>
              <w:rPr>
                <w:rFonts w:hint="eastAsia" w:ascii="宋体" w:hAnsi="宋体" w:eastAsia="宋体" w:cs="宋体"/>
                <w:color w:val="auto"/>
                <w:kern w:val="2"/>
                <w:sz w:val="21"/>
                <w:szCs w:val="21"/>
                <w:highlight w:val="none"/>
                <w:lang w:val="zh-CN"/>
              </w:rPr>
              <w:t>较差，作出违约责任等承诺的可行性差、内容简单的得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420" w:firstLineChars="200"/>
              <w:jc w:val="left"/>
              <w:textAlignment w:val="auto"/>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en-US" w:eastAsia="zh-CN"/>
              </w:rPr>
              <w:t>无提供，不得分</w:t>
            </w:r>
            <w:r>
              <w:rPr>
                <w:rFonts w:hint="eastAsia" w:ascii="宋体" w:hAnsi="宋体" w:cs="宋体"/>
                <w:color w:val="auto"/>
                <w:kern w:val="2"/>
                <w:sz w:val="21"/>
                <w:szCs w:val="21"/>
                <w:highlight w:val="none"/>
                <w:lang w:val="en-US"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leftChars="0" w:right="0" w:righ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应急方案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针对台风、暴雨等天气影响，重大接待任务，重大节假日或活动等特殊情况制定应急处置方案，包括传达机制、人员和设备调配、责任分工等进行综合评价：</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应急方案科学合理，能针对上述情况提出具体方案，可操作性强，得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lang w:val="zh-CN"/>
              </w:rPr>
              <w:t>分</w:t>
            </w:r>
            <w:r>
              <w:rPr>
                <w:rFonts w:hint="eastAsia" w:ascii="宋体" w:hAnsi="宋体" w:cs="宋体"/>
                <w:color w:val="auto"/>
                <w:kern w:val="2"/>
                <w:sz w:val="21"/>
                <w:szCs w:val="21"/>
                <w:highlight w:val="none"/>
                <w:lang w:val="zh-CN"/>
              </w:rPr>
              <w:t>；</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应急方案合理，能针对上述情况提出方案，</w:t>
            </w:r>
            <w:r>
              <w:rPr>
                <w:rFonts w:hint="eastAsia" w:ascii="宋体" w:hAnsi="宋体" w:cs="宋体"/>
                <w:color w:val="auto"/>
                <w:kern w:val="2"/>
                <w:sz w:val="21"/>
                <w:szCs w:val="21"/>
                <w:highlight w:val="none"/>
                <w:lang w:val="en-US" w:eastAsia="zh-CN"/>
              </w:rPr>
              <w:t>有一定的</w:t>
            </w:r>
            <w:r>
              <w:rPr>
                <w:rFonts w:hint="eastAsia" w:ascii="宋体" w:hAnsi="宋体" w:eastAsia="宋体" w:cs="宋体"/>
                <w:color w:val="auto"/>
                <w:kern w:val="2"/>
                <w:sz w:val="21"/>
                <w:szCs w:val="21"/>
                <w:highlight w:val="none"/>
                <w:lang w:val="zh-CN"/>
              </w:rPr>
              <w:t>可操作性，得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val="zh-CN"/>
              </w:rPr>
              <w:t>分</w:t>
            </w:r>
            <w:r>
              <w:rPr>
                <w:rFonts w:hint="eastAsia" w:ascii="宋体" w:hAnsi="宋体" w:cs="宋体"/>
                <w:color w:val="auto"/>
                <w:kern w:val="2"/>
                <w:sz w:val="21"/>
                <w:szCs w:val="21"/>
                <w:highlight w:val="none"/>
                <w:lang w:val="zh-CN"/>
              </w:rPr>
              <w:t>；</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应急方案基本完整，能针对上述情况提出简单方案，可操作性一般，得</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val="zh-CN"/>
              </w:rPr>
              <w:t>分</w:t>
            </w:r>
            <w:r>
              <w:rPr>
                <w:rFonts w:hint="eastAsia" w:ascii="宋体" w:hAnsi="宋体" w:cs="宋体"/>
                <w:color w:val="auto"/>
                <w:kern w:val="2"/>
                <w:sz w:val="21"/>
                <w:szCs w:val="21"/>
                <w:highlight w:val="none"/>
                <w:lang w:val="zh-CN"/>
              </w:rPr>
              <w:t>；</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应急方案简单，不能应对上述情况，得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zh-CN"/>
              </w:rPr>
              <w:t>分</w:t>
            </w:r>
            <w:r>
              <w:rPr>
                <w:rFonts w:hint="eastAsia" w:ascii="宋体" w:hAnsi="宋体" w:cs="宋体"/>
                <w:color w:val="auto"/>
                <w:kern w:val="2"/>
                <w:sz w:val="21"/>
                <w:szCs w:val="21"/>
                <w:highlight w:val="none"/>
                <w:lang w:val="zh-CN"/>
              </w:rPr>
              <w:t>；</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无提供，不得分</w:t>
            </w:r>
            <w:r>
              <w:rPr>
                <w:rFonts w:hint="eastAsia" w:ascii="宋体" w:hAnsi="宋体" w:cs="宋体"/>
                <w:color w:val="auto"/>
                <w:kern w:val="2"/>
                <w:sz w:val="21"/>
                <w:szCs w:val="21"/>
                <w:highlight w:val="none"/>
                <w:lang w:val="en-US"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after="0" w:line="240" w:lineRule="auto"/>
              <w:ind w:left="0" w:leftChars="0" w:right="0" w:rightChars="0" w:firstLine="0" w:firstLineChars="0"/>
              <w:jc w:val="center"/>
              <w:textAlignment w:val="auto"/>
              <w:outlineLvl w:val="9"/>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kern w:val="0"/>
                <w:sz w:val="21"/>
                <w:szCs w:val="21"/>
                <w:highlight w:val="none"/>
                <w:lang w:val="en-US" w:eastAsia="zh-CN"/>
              </w:rPr>
              <w:t>项目管理制度</w:t>
            </w:r>
          </w:p>
        </w:tc>
        <w:tc>
          <w:tcPr>
            <w:tcW w:w="5920"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420" w:firstLineChars="200"/>
              <w:jc w:val="left"/>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根据供应商提供的项目管理制度</w:t>
            </w:r>
            <w:r>
              <w:rPr>
                <w:rFonts w:hint="eastAsia" w:ascii="宋体" w:hAnsi="宋体" w:eastAsia="宋体" w:cs="宋体"/>
                <w:color w:val="auto"/>
                <w:kern w:val="2"/>
                <w:sz w:val="21"/>
                <w:szCs w:val="21"/>
                <w:highlight w:val="none"/>
                <w:lang w:val="zh-CN"/>
              </w:rPr>
              <w:t>进行综合评价：</w:t>
            </w:r>
          </w:p>
          <w:p>
            <w:pPr>
              <w:pStyle w:val="40"/>
              <w:keepNext w:val="0"/>
              <w:keepLines w:val="0"/>
              <w:pageBreakBefore w:val="0"/>
              <w:kinsoku/>
              <w:wordWrap/>
              <w:overflowPunct/>
              <w:topLinePunct w:val="0"/>
              <w:autoSpaceDE/>
              <w:autoSpaceDN/>
              <w:bidi w:val="0"/>
              <w:spacing w:line="240" w:lineRule="auto"/>
              <w:ind w:firstLine="420" w:firstLineChars="200"/>
              <w:jc w:val="left"/>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项目管理制度详细完整，针对性强，可行性高的，得10分；</w:t>
            </w:r>
          </w:p>
          <w:p>
            <w:pPr>
              <w:pStyle w:val="40"/>
              <w:keepNext w:val="0"/>
              <w:keepLines w:val="0"/>
              <w:pageBreakBefore w:val="0"/>
              <w:kinsoku/>
              <w:wordWrap/>
              <w:overflowPunct/>
              <w:topLinePunct w:val="0"/>
              <w:autoSpaceDE/>
              <w:autoSpaceDN/>
              <w:bidi w:val="0"/>
              <w:spacing w:line="240" w:lineRule="auto"/>
              <w:ind w:firstLine="420" w:firstLineChars="200"/>
              <w:jc w:val="left"/>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项目管理制度较完整，针对性较强，可行性较高的，得6分；</w:t>
            </w:r>
          </w:p>
          <w:p>
            <w:pPr>
              <w:pStyle w:val="40"/>
              <w:keepNext w:val="0"/>
              <w:keepLines w:val="0"/>
              <w:pageBreakBefore w:val="0"/>
              <w:kinsoku/>
              <w:wordWrap/>
              <w:overflowPunct/>
              <w:topLinePunct w:val="0"/>
              <w:autoSpaceDE/>
              <w:autoSpaceDN/>
              <w:bidi w:val="0"/>
              <w:spacing w:line="240" w:lineRule="auto"/>
              <w:ind w:firstLine="420" w:firstLineChars="200"/>
              <w:jc w:val="left"/>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项目管理制度一般，针对性一般，可行性一般的，得3分；</w:t>
            </w:r>
          </w:p>
          <w:p>
            <w:pPr>
              <w:pStyle w:val="40"/>
              <w:keepNext w:val="0"/>
              <w:keepLines w:val="0"/>
              <w:pageBreakBefore w:val="0"/>
              <w:kinsoku/>
              <w:wordWrap/>
              <w:overflowPunct/>
              <w:topLinePunct w:val="0"/>
              <w:autoSpaceDE/>
              <w:autoSpaceDN/>
              <w:bidi w:val="0"/>
              <w:spacing w:line="240" w:lineRule="auto"/>
              <w:ind w:firstLine="420" w:firstLineChars="200"/>
              <w:jc w:val="left"/>
              <w:textAlignment w:val="auto"/>
              <w:rPr>
                <w:rFonts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项目管理制度较差，针对性较差，可行性较差的，得1分；</w:t>
            </w:r>
          </w:p>
          <w:p>
            <w:pPr>
              <w:pStyle w:val="40"/>
              <w:keepNext w:val="0"/>
              <w:keepLines w:val="0"/>
              <w:pageBreakBefore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无提供，不得分</w:t>
            </w:r>
            <w:r>
              <w:rPr>
                <w:rFonts w:hint="eastAsia" w:ascii="宋体" w:hAnsi="宋体" w:cs="宋体"/>
                <w:color w:val="auto"/>
                <w:kern w:val="2"/>
                <w:sz w:val="21"/>
                <w:szCs w:val="21"/>
                <w:highlight w:val="none"/>
                <w:lang w:val="en-US"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w:t>
            </w:r>
            <w:r>
              <w:rPr>
                <w:rFonts w:hint="eastAsia" w:ascii="宋体" w:hAnsi="宋体" w:cs="宋体"/>
                <w:b/>
                <w:color w:val="auto"/>
                <w:sz w:val="21"/>
                <w:szCs w:val="21"/>
                <w:highlight w:val="none"/>
                <w:lang w:eastAsia="zh-CN"/>
              </w:rPr>
              <w:t>投标</w:t>
            </w:r>
            <w:r>
              <w:rPr>
                <w:rFonts w:hint="eastAsia" w:ascii="宋体" w:hAnsi="宋体" w:eastAsia="宋体" w:cs="宋体"/>
                <w:b/>
                <w:color w:val="auto"/>
                <w:sz w:val="21"/>
                <w:szCs w:val="21"/>
                <w:highlight w:val="none"/>
              </w:rPr>
              <w:t>材料因模糊不清导致评标委员会无法清晰辨认进行评审的，视为无效材料。</w:t>
            </w:r>
          </w:p>
        </w:tc>
      </w:tr>
    </w:tbl>
    <w:p>
      <w:pPr>
        <w:pStyle w:val="9"/>
        <w:rPr>
          <w:rFonts w:hint="eastAsia"/>
          <w:color w:val="auto"/>
          <w:highlight w:val="none"/>
        </w:rPr>
      </w:pPr>
    </w:p>
    <w:p>
      <w:pPr>
        <w:pStyle w:val="25"/>
        <w:rPr>
          <w:rFonts w:hint="eastAsia"/>
          <w:color w:val="auto"/>
          <w:highlight w:val="none"/>
        </w:rPr>
      </w:pPr>
    </w:p>
    <w:p>
      <w:pPr>
        <w:pStyle w:val="2"/>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4"/>
        <w:spacing w:line="480" w:lineRule="auto"/>
        <w:jc w:val="center"/>
        <w:rPr>
          <w:rFonts w:ascii="宋体" w:hAnsi="宋体"/>
          <w:color w:val="auto"/>
          <w:highlight w:val="none"/>
        </w:rPr>
      </w:pPr>
      <w:bookmarkStart w:id="21" w:name="_Toc19746"/>
      <w:bookmarkStart w:id="22" w:name="_Toc3095"/>
      <w:bookmarkStart w:id="23" w:name="_Toc11105"/>
      <w:r>
        <w:rPr>
          <w:rFonts w:hint="eastAsia" w:ascii="宋体" w:hAnsi="宋体"/>
          <w:color w:val="auto"/>
          <w:highlight w:val="none"/>
        </w:rPr>
        <w:t>第一章说明</w:t>
      </w:r>
      <w:bookmarkEnd w:id="21"/>
      <w:bookmarkEnd w:id="22"/>
      <w:bookmarkEnd w:id="23"/>
    </w:p>
    <w:p>
      <w:pPr>
        <w:pStyle w:val="5"/>
        <w:widowControl w:val="0"/>
        <w:overflowPunct w:val="0"/>
        <w:spacing w:line="240" w:lineRule="auto"/>
        <w:rPr>
          <w:rFonts w:ascii="宋体" w:hAnsi="宋体"/>
          <w:color w:val="auto"/>
          <w:sz w:val="21"/>
          <w:szCs w:val="21"/>
          <w:highlight w:val="none"/>
        </w:rPr>
      </w:pPr>
      <w:bookmarkStart w:id="24" w:name="_Toc22803"/>
      <w:bookmarkStart w:id="25" w:name="_Toc22847"/>
      <w:bookmarkStart w:id="26" w:name="_Toc18488"/>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7" w:name="_Toc16848"/>
      <w:bookmarkStart w:id="28" w:name="_Toc21002"/>
      <w:bookmarkStart w:id="29" w:name="_Toc13400"/>
      <w:r>
        <w:rPr>
          <w:rFonts w:hint="eastAsia" w:ascii="宋体" w:hAnsi="宋体"/>
          <w:color w:val="auto"/>
          <w:sz w:val="21"/>
          <w:szCs w:val="21"/>
          <w:highlight w:val="none"/>
        </w:rPr>
        <w:t>2.</w:t>
      </w:r>
      <w:bookmarkStart w:id="30" w:name="_Toc1530"/>
      <w:bookmarkStart w:id="31" w:name="_Toc303084246"/>
      <w:bookmarkStart w:id="32" w:name="_Toc382049092"/>
      <w:bookmarkStart w:id="33" w:name="_Toc298847174"/>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4" w:name="_Toc2996"/>
      <w:bookmarkStart w:id="35" w:name="_Toc3780"/>
      <w:bookmarkStart w:id="36" w:name="_Toc9710"/>
      <w:r>
        <w:rPr>
          <w:rFonts w:hint="eastAsia" w:ascii="宋体" w:hAnsi="宋体"/>
          <w:color w:val="auto"/>
          <w:sz w:val="21"/>
          <w:szCs w:val="21"/>
          <w:highlight w:val="none"/>
        </w:rPr>
        <w:t>3.货物和服务</w:t>
      </w:r>
      <w:bookmarkEnd w:id="34"/>
      <w:bookmarkEnd w:id="35"/>
      <w:bookmarkEnd w:id="36"/>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7" w:name="_Toc12536"/>
      <w:bookmarkStart w:id="38" w:name="_Toc15945"/>
      <w:bookmarkStart w:id="39" w:name="_Toc13909"/>
      <w:r>
        <w:rPr>
          <w:rFonts w:hint="eastAsia" w:ascii="宋体" w:hAnsi="宋体"/>
          <w:color w:val="auto"/>
          <w:sz w:val="21"/>
          <w:szCs w:val="21"/>
          <w:highlight w:val="none"/>
        </w:rPr>
        <w:t>4.投标费用</w:t>
      </w:r>
      <w:bookmarkEnd w:id="37"/>
      <w:bookmarkEnd w:id="38"/>
      <w:bookmarkEnd w:id="39"/>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0" w:name="_Toc19532"/>
      <w:bookmarkStart w:id="41" w:name="_Toc19094"/>
      <w:bookmarkStart w:id="42" w:name="_Toc25040"/>
      <w:r>
        <w:rPr>
          <w:rFonts w:hint="eastAsia" w:ascii="宋体" w:hAnsi="宋体"/>
          <w:color w:val="auto"/>
          <w:sz w:val="21"/>
          <w:szCs w:val="21"/>
          <w:highlight w:val="none"/>
        </w:rPr>
        <w:t>5.知识产权</w:t>
      </w:r>
      <w:bookmarkEnd w:id="40"/>
      <w:bookmarkEnd w:id="41"/>
      <w:bookmarkEnd w:id="42"/>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3" w:name="_Toc21930"/>
      <w:bookmarkStart w:id="44" w:name="_Toc31885"/>
      <w:bookmarkStart w:id="45" w:name="_Toc8432"/>
      <w:r>
        <w:rPr>
          <w:rFonts w:hint="eastAsia" w:ascii="宋体" w:hAnsi="宋体"/>
          <w:color w:val="auto"/>
          <w:sz w:val="21"/>
          <w:szCs w:val="21"/>
          <w:highlight w:val="none"/>
        </w:rPr>
        <w:t>6.关于联合体投标</w:t>
      </w:r>
      <w:bookmarkEnd w:id="43"/>
      <w:bookmarkEnd w:id="44"/>
      <w:bookmarkEnd w:id="45"/>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6" w:name="_Toc32331"/>
      <w:bookmarkStart w:id="47" w:name="_Toc1381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5"/>
        <w:widowControl w:val="0"/>
        <w:overflowPunct w:val="0"/>
        <w:spacing w:line="240" w:lineRule="auto"/>
        <w:rPr>
          <w:rFonts w:ascii="宋体" w:hAnsi="宋体"/>
          <w:color w:val="auto"/>
          <w:sz w:val="21"/>
          <w:szCs w:val="21"/>
          <w:highlight w:val="none"/>
        </w:rPr>
      </w:pPr>
      <w:bookmarkStart w:id="53" w:name="_Toc21771"/>
      <w:bookmarkStart w:id="54" w:name="_Toc1423"/>
      <w:bookmarkStart w:id="55" w:name="_Toc13494"/>
      <w:r>
        <w:rPr>
          <w:rFonts w:hint="eastAsia" w:ascii="宋体" w:hAnsi="宋体"/>
          <w:color w:val="auto"/>
          <w:sz w:val="21"/>
          <w:szCs w:val="21"/>
          <w:highlight w:val="none"/>
        </w:rPr>
        <w:t>8.招标文件的组成</w:t>
      </w:r>
      <w:bookmarkEnd w:id="53"/>
      <w:bookmarkEnd w:id="54"/>
      <w:bookmarkEnd w:id="55"/>
    </w:p>
    <w:p>
      <w:pPr>
        <w:pStyle w:val="37"/>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rPr>
          <w:rFonts w:ascii="宋体" w:hAnsi="宋体"/>
          <w:color w:val="auto"/>
          <w:sz w:val="21"/>
          <w:szCs w:val="21"/>
          <w:highlight w:val="none"/>
        </w:rPr>
      </w:pPr>
      <w:bookmarkStart w:id="56" w:name="_Toc14217"/>
      <w:bookmarkStart w:id="57" w:name="_Toc17274"/>
      <w:bookmarkStart w:id="58" w:name="_Toc7997"/>
      <w:r>
        <w:rPr>
          <w:rFonts w:hint="eastAsia" w:ascii="宋体" w:hAnsi="宋体"/>
          <w:color w:val="auto"/>
          <w:sz w:val="21"/>
          <w:szCs w:val="21"/>
          <w:highlight w:val="none"/>
        </w:rPr>
        <w:t>9.招标文件的澄清或修改</w:t>
      </w:r>
      <w:bookmarkEnd w:id="56"/>
      <w:bookmarkEnd w:id="57"/>
      <w:bookmarkEnd w:id="58"/>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4"/>
        <w:spacing w:line="480" w:lineRule="auto"/>
        <w:jc w:val="center"/>
        <w:rPr>
          <w:rFonts w:ascii="宋体" w:hAnsi="宋体"/>
          <w:color w:val="auto"/>
          <w:highlight w:val="none"/>
        </w:rPr>
      </w:pPr>
      <w:bookmarkStart w:id="59" w:name="_Toc4773"/>
      <w:bookmarkStart w:id="60" w:name="_Toc23726"/>
      <w:bookmarkStart w:id="61" w:name="_Toc16712"/>
      <w:r>
        <w:rPr>
          <w:rFonts w:hint="eastAsia" w:ascii="宋体" w:hAnsi="宋体"/>
          <w:color w:val="auto"/>
          <w:highlight w:val="none"/>
        </w:rPr>
        <w:t>第三章投标文件的编制</w:t>
      </w:r>
      <w:bookmarkEnd w:id="59"/>
      <w:bookmarkEnd w:id="60"/>
      <w:bookmarkEnd w:id="61"/>
    </w:p>
    <w:p>
      <w:pPr>
        <w:pStyle w:val="5"/>
        <w:widowControl w:val="0"/>
        <w:overflowPunct w:val="0"/>
        <w:rPr>
          <w:rFonts w:ascii="宋体" w:hAnsi="宋体"/>
          <w:color w:val="auto"/>
          <w:sz w:val="21"/>
          <w:szCs w:val="21"/>
          <w:highlight w:val="none"/>
        </w:rPr>
      </w:pPr>
      <w:bookmarkStart w:id="62" w:name="_Toc20623"/>
      <w:bookmarkStart w:id="63" w:name="_Toc7434"/>
      <w:bookmarkStart w:id="64" w:name="_Toc28092"/>
      <w:r>
        <w:rPr>
          <w:rFonts w:hint="eastAsia" w:ascii="宋体" w:hAnsi="宋体"/>
          <w:color w:val="auto"/>
          <w:sz w:val="21"/>
          <w:szCs w:val="21"/>
          <w:highlight w:val="none"/>
        </w:rPr>
        <w:t>10.投标文件的语言及度量衡单位</w:t>
      </w:r>
      <w:bookmarkEnd w:id="62"/>
      <w:bookmarkEnd w:id="63"/>
      <w:bookmarkEnd w:id="64"/>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65" w:name="_Toc303084256"/>
      <w:bookmarkStart w:id="66" w:name="_Toc7728"/>
      <w:bookmarkStart w:id="67" w:name="_Toc382049103"/>
      <w:bookmarkStart w:id="68" w:name="_Toc28866"/>
      <w:bookmarkStart w:id="69" w:name="_Toc18999"/>
      <w:bookmarkStart w:id="70" w:name="_Toc307934854"/>
      <w:bookmarkStart w:id="71" w:name="_Toc12145"/>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rPr>
          <w:rFonts w:ascii="宋体" w:hAnsi="宋体"/>
          <w:color w:val="auto"/>
          <w:sz w:val="21"/>
          <w:szCs w:val="21"/>
          <w:highlight w:val="none"/>
        </w:rPr>
      </w:pPr>
      <w:bookmarkStart w:id="72" w:name="_Toc21747"/>
      <w:bookmarkStart w:id="73" w:name="_Toc30189"/>
      <w:bookmarkStart w:id="74" w:name="_Toc3882"/>
      <w:r>
        <w:rPr>
          <w:rFonts w:hint="eastAsia" w:ascii="宋体" w:hAnsi="宋体"/>
          <w:color w:val="auto"/>
          <w:sz w:val="21"/>
          <w:szCs w:val="21"/>
          <w:highlight w:val="none"/>
        </w:rPr>
        <w:t>12.投标文件编制</w:t>
      </w:r>
      <w:bookmarkEnd w:id="72"/>
      <w:bookmarkEnd w:id="73"/>
      <w:bookmarkEnd w:id="74"/>
    </w:p>
    <w:p>
      <w:pPr>
        <w:pStyle w:val="37"/>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7"/>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7"/>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rPr>
          <w:rFonts w:ascii="宋体" w:hAnsi="宋体"/>
          <w:color w:val="auto"/>
          <w:sz w:val="21"/>
          <w:szCs w:val="21"/>
          <w:highlight w:val="none"/>
        </w:rPr>
      </w:pPr>
      <w:bookmarkStart w:id="76" w:name="_Toc17188"/>
      <w:bookmarkStart w:id="77" w:name="_Toc7847"/>
      <w:bookmarkStart w:id="78" w:name="_Toc259"/>
      <w:r>
        <w:rPr>
          <w:rFonts w:hint="eastAsia" w:ascii="宋体" w:hAnsi="宋体"/>
          <w:color w:val="auto"/>
          <w:sz w:val="21"/>
          <w:szCs w:val="21"/>
          <w:highlight w:val="none"/>
        </w:rPr>
        <w:t>13.投标报价说明</w:t>
      </w:r>
      <w:bookmarkEnd w:id="76"/>
      <w:bookmarkEnd w:id="77"/>
      <w:bookmarkEnd w:id="78"/>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rPr>
          <w:rFonts w:ascii="宋体" w:hAnsi="宋体"/>
          <w:color w:val="auto"/>
          <w:sz w:val="21"/>
          <w:szCs w:val="21"/>
          <w:highlight w:val="none"/>
        </w:rPr>
      </w:pPr>
      <w:bookmarkStart w:id="79" w:name="_Toc18911"/>
      <w:bookmarkStart w:id="80" w:name="_Toc27724"/>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7"/>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84" w:name="_Toc19520"/>
      <w:bookmarkStart w:id="85" w:name="_Toc30815"/>
      <w:bookmarkStart w:id="86" w:name="_Toc22169"/>
      <w:r>
        <w:rPr>
          <w:rFonts w:hint="eastAsia" w:ascii="宋体" w:hAnsi="宋体"/>
          <w:color w:val="auto"/>
          <w:sz w:val="21"/>
          <w:szCs w:val="21"/>
          <w:highlight w:val="none"/>
        </w:rPr>
        <w:t>15.★投标有效期</w:t>
      </w:r>
      <w:bookmarkEnd w:id="84"/>
      <w:bookmarkEnd w:id="85"/>
      <w:bookmarkEnd w:id="86"/>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87" w:name="_Toc25817"/>
      <w:bookmarkStart w:id="88" w:name="_Toc30257"/>
      <w:bookmarkStart w:id="89" w:name="_Toc12456"/>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37"/>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rPr>
          <w:rFonts w:ascii="宋体" w:hAnsi="宋体"/>
          <w:color w:val="auto"/>
          <w:highlight w:val="none"/>
        </w:rPr>
      </w:pPr>
      <w:bookmarkStart w:id="91" w:name="_Toc24109"/>
      <w:bookmarkStart w:id="92" w:name="_Toc3200"/>
      <w:bookmarkStart w:id="93" w:name="_Toc31124"/>
      <w:r>
        <w:rPr>
          <w:rFonts w:hint="eastAsia" w:ascii="宋体" w:hAnsi="宋体"/>
          <w:color w:val="auto"/>
          <w:highlight w:val="none"/>
        </w:rPr>
        <w:t>第四章投标文件的递交</w:t>
      </w:r>
      <w:bookmarkEnd w:id="91"/>
      <w:bookmarkEnd w:id="92"/>
      <w:bookmarkEnd w:id="93"/>
    </w:p>
    <w:p>
      <w:pPr>
        <w:pStyle w:val="5"/>
        <w:widowControl w:val="0"/>
        <w:overflowPunct w:val="0"/>
        <w:rPr>
          <w:rFonts w:ascii="宋体" w:hAnsi="宋体"/>
          <w:color w:val="auto"/>
          <w:sz w:val="21"/>
          <w:szCs w:val="21"/>
          <w:highlight w:val="none"/>
        </w:rPr>
      </w:pPr>
      <w:bookmarkStart w:id="94" w:name="_Toc382049111"/>
      <w:bookmarkStart w:id="95" w:name="_Toc473"/>
      <w:bookmarkStart w:id="96" w:name="_Toc23678"/>
      <w:bookmarkStart w:id="97" w:name="_Toc29590"/>
      <w:bookmarkStart w:id="98" w:name="_Toc303084264"/>
      <w:bookmarkStart w:id="99" w:name="_Toc24997"/>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00" w:name="_Toc17417"/>
      <w:bookmarkStart w:id="101" w:name="_Toc8628"/>
      <w:bookmarkStart w:id="102" w:name="_Toc7473"/>
      <w:r>
        <w:rPr>
          <w:rFonts w:hint="eastAsia" w:ascii="宋体" w:hAnsi="宋体"/>
          <w:color w:val="auto"/>
          <w:sz w:val="21"/>
          <w:szCs w:val="21"/>
          <w:highlight w:val="none"/>
        </w:rPr>
        <w:t>18.迟交的投标文件</w:t>
      </w:r>
      <w:bookmarkEnd w:id="100"/>
      <w:bookmarkEnd w:id="101"/>
      <w:bookmarkEnd w:id="102"/>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rPr>
          <w:rFonts w:ascii="宋体" w:hAnsi="宋体"/>
          <w:color w:val="auto"/>
          <w:sz w:val="21"/>
          <w:szCs w:val="21"/>
          <w:highlight w:val="none"/>
        </w:rPr>
      </w:pPr>
      <w:bookmarkStart w:id="103" w:name="_Toc8526"/>
      <w:bookmarkStart w:id="104" w:name="_Toc19649"/>
      <w:bookmarkStart w:id="105" w:name="_Toc13212"/>
      <w:r>
        <w:rPr>
          <w:rFonts w:hint="eastAsia" w:ascii="宋体" w:hAnsi="宋体"/>
          <w:color w:val="auto"/>
          <w:sz w:val="21"/>
          <w:szCs w:val="21"/>
          <w:highlight w:val="none"/>
        </w:rPr>
        <w:t>19.投标样品（如需提交）</w:t>
      </w:r>
      <w:bookmarkEnd w:id="103"/>
      <w:bookmarkEnd w:id="104"/>
      <w:bookmarkEnd w:id="105"/>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rPr>
          <w:rFonts w:ascii="宋体" w:hAnsi="宋体"/>
          <w:color w:val="auto"/>
          <w:sz w:val="21"/>
          <w:szCs w:val="21"/>
          <w:highlight w:val="none"/>
        </w:rPr>
      </w:pPr>
      <w:bookmarkStart w:id="106" w:name="_Toc303084265"/>
      <w:bookmarkStart w:id="107" w:name="_Toc382049112"/>
      <w:bookmarkStart w:id="108" w:name="_Toc9777"/>
      <w:bookmarkStart w:id="109" w:name="_Toc23477"/>
      <w:bookmarkStart w:id="110" w:name="_Toc7689"/>
      <w:bookmarkStart w:id="111" w:name="_Toc5900"/>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rPr>
          <w:rFonts w:ascii="宋体" w:hAnsi="宋体"/>
          <w:color w:val="auto"/>
          <w:sz w:val="21"/>
          <w:szCs w:val="21"/>
          <w:highlight w:val="none"/>
        </w:rPr>
      </w:pPr>
      <w:bookmarkStart w:id="112" w:name="_Toc11133"/>
      <w:bookmarkStart w:id="113" w:name="_Toc6003"/>
      <w:bookmarkStart w:id="114" w:name="_Toc15569"/>
      <w:r>
        <w:rPr>
          <w:rFonts w:hint="eastAsia" w:ascii="宋体" w:hAnsi="宋体"/>
          <w:color w:val="auto"/>
          <w:sz w:val="21"/>
          <w:szCs w:val="21"/>
          <w:highlight w:val="none"/>
        </w:rPr>
        <w:t>21.投标文件的补充、修改与撤回</w:t>
      </w:r>
      <w:bookmarkEnd w:id="112"/>
      <w:bookmarkEnd w:id="113"/>
      <w:bookmarkEnd w:id="114"/>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9"/>
        <w:rPr>
          <w:color w:val="auto"/>
          <w:highlight w:val="none"/>
        </w:rPr>
      </w:pPr>
    </w:p>
    <w:p>
      <w:pPr>
        <w:pStyle w:val="4"/>
        <w:spacing w:line="480" w:lineRule="auto"/>
        <w:jc w:val="center"/>
        <w:rPr>
          <w:rFonts w:ascii="宋体" w:hAnsi="宋体"/>
          <w:color w:val="auto"/>
          <w:highlight w:val="none"/>
        </w:rPr>
      </w:pPr>
      <w:bookmarkStart w:id="115" w:name="_Toc5049"/>
      <w:bookmarkStart w:id="116" w:name="_Toc29574"/>
      <w:bookmarkStart w:id="117" w:name="_Toc23466"/>
      <w:r>
        <w:rPr>
          <w:rFonts w:hint="eastAsia" w:ascii="宋体" w:hAnsi="宋体"/>
          <w:color w:val="auto"/>
          <w:highlight w:val="none"/>
        </w:rPr>
        <w:t>第五章开标与评标</w:t>
      </w:r>
      <w:bookmarkEnd w:id="115"/>
      <w:bookmarkEnd w:id="116"/>
      <w:bookmarkEnd w:id="117"/>
    </w:p>
    <w:p>
      <w:pPr>
        <w:pStyle w:val="5"/>
        <w:widowControl w:val="0"/>
        <w:overflowPunct w:val="0"/>
        <w:rPr>
          <w:rFonts w:ascii="宋体" w:hAnsi="宋体"/>
          <w:color w:val="auto"/>
          <w:sz w:val="21"/>
          <w:szCs w:val="21"/>
          <w:highlight w:val="none"/>
        </w:rPr>
      </w:pPr>
      <w:bookmarkStart w:id="118" w:name="_Toc27700"/>
      <w:bookmarkStart w:id="119" w:name="_Toc28458"/>
      <w:bookmarkStart w:id="120" w:name="_Toc24251"/>
      <w:r>
        <w:rPr>
          <w:rFonts w:hint="eastAsia" w:ascii="宋体" w:hAnsi="宋体"/>
          <w:color w:val="auto"/>
          <w:sz w:val="21"/>
          <w:szCs w:val="21"/>
          <w:highlight w:val="none"/>
        </w:rPr>
        <w:t>22.开标</w:t>
      </w:r>
      <w:bookmarkEnd w:id="118"/>
      <w:bookmarkEnd w:id="119"/>
      <w:bookmarkEnd w:id="120"/>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121" w:name="_Toc5524"/>
      <w:bookmarkStart w:id="122" w:name="_Toc4921"/>
      <w:bookmarkStart w:id="123" w:name="_Toc5974"/>
      <w:r>
        <w:rPr>
          <w:rFonts w:hint="eastAsia" w:ascii="宋体" w:hAnsi="宋体"/>
          <w:color w:val="auto"/>
          <w:sz w:val="21"/>
          <w:szCs w:val="21"/>
          <w:highlight w:val="none"/>
        </w:rPr>
        <w:t>23.评标委员会及评标方法</w:t>
      </w:r>
      <w:bookmarkEnd w:id="121"/>
      <w:bookmarkEnd w:id="122"/>
      <w:bookmarkEnd w:id="123"/>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24" w:name="_Toc32730"/>
      <w:bookmarkStart w:id="125" w:name="_Toc15231"/>
      <w:bookmarkStart w:id="126" w:name="_Toc26402"/>
      <w:r>
        <w:rPr>
          <w:rFonts w:hint="eastAsia" w:ascii="宋体" w:hAnsi="宋体"/>
          <w:color w:val="auto"/>
          <w:sz w:val="21"/>
          <w:szCs w:val="21"/>
          <w:highlight w:val="none"/>
        </w:rPr>
        <w:t>24.评审原则及评标过程的保密</w:t>
      </w:r>
      <w:bookmarkEnd w:id="124"/>
      <w:bookmarkEnd w:id="125"/>
      <w:bookmarkEnd w:id="126"/>
    </w:p>
    <w:p>
      <w:pPr>
        <w:pStyle w:val="37"/>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rPr>
          <w:rFonts w:ascii="宋体" w:hAnsi="宋体"/>
          <w:color w:val="auto"/>
          <w:sz w:val="21"/>
          <w:szCs w:val="21"/>
          <w:highlight w:val="none"/>
        </w:rPr>
      </w:pPr>
      <w:bookmarkStart w:id="127" w:name="_Toc16745"/>
      <w:bookmarkStart w:id="128" w:name="_Toc18436"/>
      <w:bookmarkStart w:id="129" w:name="_Toc3762"/>
      <w:r>
        <w:rPr>
          <w:rFonts w:hint="eastAsia" w:ascii="宋体" w:hAnsi="宋体"/>
          <w:color w:val="auto"/>
          <w:sz w:val="21"/>
          <w:szCs w:val="21"/>
          <w:highlight w:val="none"/>
        </w:rPr>
        <w:t>25.投标文件的初审</w:t>
      </w:r>
      <w:bookmarkEnd w:id="127"/>
      <w:bookmarkEnd w:id="128"/>
      <w:bookmarkEnd w:id="129"/>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rPr>
          <w:rFonts w:ascii="宋体" w:hAnsi="宋体"/>
          <w:color w:val="auto"/>
          <w:sz w:val="21"/>
          <w:szCs w:val="21"/>
          <w:highlight w:val="none"/>
        </w:rPr>
      </w:pPr>
      <w:bookmarkStart w:id="130" w:name="_Toc29184"/>
      <w:bookmarkStart w:id="131" w:name="_Toc27673"/>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3" w:name="_Toc7593"/>
      <w:bookmarkStart w:id="134" w:name="_Toc22192"/>
      <w:bookmarkStart w:id="135" w:name="_Toc17683"/>
      <w:r>
        <w:rPr>
          <w:rFonts w:hint="eastAsia" w:ascii="宋体" w:hAnsi="宋体"/>
          <w:color w:val="auto"/>
          <w:sz w:val="21"/>
          <w:szCs w:val="21"/>
          <w:highlight w:val="none"/>
        </w:rPr>
        <w:t>27.优惠政策</w:t>
      </w:r>
      <w:bookmarkEnd w:id="133"/>
      <w:bookmarkEnd w:id="134"/>
      <w:bookmarkEnd w:id="135"/>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eastAsia="zh-CN"/>
        </w:rPr>
        <w:t>其他未列明行业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eastAsia="zh-CN"/>
        </w:rPr>
        <w:t>其他未列明行业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eastAsia="zh-CN"/>
        </w:rPr>
        <w:t>其他未列明行业</w:t>
      </w:r>
      <w:r>
        <w:rPr>
          <w:rFonts w:hint="eastAsia" w:ascii="宋体" w:hAnsi="宋体"/>
          <w:color w:val="auto"/>
          <w:szCs w:val="21"/>
          <w:highlight w:val="none"/>
        </w:rPr>
        <w:t>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6" w:name="_Toc316375620"/>
      <w:bookmarkStart w:id="137" w:name="_Toc12115"/>
      <w:bookmarkStart w:id="138" w:name="_Toc20328"/>
      <w:bookmarkStart w:id="139" w:name="_Toc22591"/>
      <w:bookmarkStart w:id="140" w:name="_Toc31141"/>
      <w:bookmarkStart w:id="141" w:name="_Toc382049120"/>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rPr>
          <w:rFonts w:ascii="宋体" w:hAnsi="宋体"/>
          <w:color w:val="auto"/>
          <w:highlight w:val="none"/>
        </w:rPr>
      </w:pPr>
      <w:bookmarkStart w:id="142" w:name="_Toc5528"/>
      <w:bookmarkStart w:id="143" w:name="_Toc29310"/>
      <w:bookmarkStart w:id="144" w:name="_Toc12251"/>
      <w:r>
        <w:rPr>
          <w:rFonts w:hint="eastAsia" w:ascii="宋体" w:hAnsi="宋体"/>
          <w:color w:val="auto"/>
          <w:highlight w:val="none"/>
        </w:rPr>
        <w:t>第六章授予合同</w:t>
      </w:r>
      <w:bookmarkEnd w:id="142"/>
      <w:bookmarkEnd w:id="143"/>
      <w:bookmarkEnd w:id="144"/>
    </w:p>
    <w:p>
      <w:pPr>
        <w:pStyle w:val="5"/>
        <w:widowControl w:val="0"/>
        <w:overflowPunct w:val="0"/>
        <w:rPr>
          <w:rFonts w:ascii="宋体" w:hAnsi="宋体"/>
          <w:color w:val="auto"/>
          <w:sz w:val="21"/>
          <w:szCs w:val="21"/>
          <w:highlight w:val="none"/>
        </w:rPr>
      </w:pPr>
      <w:bookmarkStart w:id="145" w:name="_Toc17778"/>
      <w:bookmarkStart w:id="146" w:name="_Toc508284011"/>
      <w:bookmarkStart w:id="147" w:name="_Toc27817"/>
      <w:bookmarkStart w:id="148" w:name="_Toc6696"/>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rPr>
          <w:rFonts w:ascii="宋体" w:hAnsi="宋体"/>
          <w:color w:val="auto"/>
          <w:sz w:val="21"/>
          <w:szCs w:val="21"/>
          <w:highlight w:val="none"/>
        </w:rPr>
      </w:pPr>
      <w:bookmarkStart w:id="149" w:name="_Toc29283"/>
      <w:bookmarkStart w:id="150" w:name="_Toc508284013"/>
      <w:bookmarkStart w:id="151" w:name="_Toc12440"/>
      <w:bookmarkStart w:id="152" w:name="_Toc23136"/>
      <w:r>
        <w:rPr>
          <w:rFonts w:hint="eastAsia" w:ascii="宋体" w:hAnsi="宋体"/>
          <w:color w:val="auto"/>
          <w:sz w:val="21"/>
          <w:szCs w:val="21"/>
          <w:highlight w:val="none"/>
        </w:rPr>
        <w:t>30.发布采购结果</w:t>
      </w:r>
      <w:bookmarkEnd w:id="149"/>
      <w:bookmarkEnd w:id="150"/>
      <w:bookmarkEnd w:id="151"/>
      <w:bookmarkEnd w:id="152"/>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rPr>
          <w:rFonts w:ascii="宋体" w:hAnsi="宋体"/>
          <w:color w:val="auto"/>
          <w:sz w:val="21"/>
          <w:szCs w:val="21"/>
          <w:highlight w:val="none"/>
        </w:rPr>
      </w:pPr>
      <w:bookmarkStart w:id="153" w:name="_Toc27279"/>
      <w:bookmarkStart w:id="154" w:name="_Toc22262"/>
      <w:bookmarkStart w:id="155" w:name="_Toc22451"/>
      <w:r>
        <w:rPr>
          <w:rFonts w:hint="eastAsia" w:ascii="宋体" w:hAnsi="宋体"/>
          <w:color w:val="auto"/>
          <w:sz w:val="21"/>
          <w:szCs w:val="21"/>
          <w:highlight w:val="none"/>
        </w:rPr>
        <w:t>31.合同的签订与履行</w:t>
      </w:r>
      <w:bookmarkEnd w:id="153"/>
      <w:bookmarkEnd w:id="154"/>
      <w:bookmarkEnd w:id="155"/>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rPr>
          <w:rFonts w:ascii="宋体" w:hAnsi="宋体"/>
          <w:color w:val="auto"/>
          <w:sz w:val="21"/>
          <w:szCs w:val="21"/>
          <w:highlight w:val="none"/>
        </w:rPr>
      </w:pPr>
      <w:bookmarkStart w:id="156" w:name="_Toc7405"/>
      <w:bookmarkStart w:id="157" w:name="_Toc29009"/>
      <w:bookmarkStart w:id="158" w:name="_Toc303084277"/>
      <w:bookmarkStart w:id="159" w:name="_Toc2744"/>
      <w:bookmarkStart w:id="160" w:name="_Toc25756"/>
      <w:bookmarkStart w:id="161" w:name="_Toc38204912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rPr>
          <w:rFonts w:ascii="宋体" w:hAnsi="宋体"/>
          <w:color w:val="auto"/>
          <w:highlight w:val="none"/>
        </w:rPr>
      </w:pPr>
      <w:bookmarkStart w:id="162" w:name="_Toc7360"/>
      <w:bookmarkStart w:id="163" w:name="_Toc13694"/>
      <w:bookmarkStart w:id="164" w:name="_Toc20699"/>
      <w:r>
        <w:rPr>
          <w:rFonts w:hint="eastAsia" w:ascii="宋体" w:hAnsi="宋体"/>
          <w:color w:val="auto"/>
          <w:highlight w:val="none"/>
        </w:rPr>
        <w:t>第七章询问或质疑</w:t>
      </w:r>
      <w:bookmarkEnd w:id="162"/>
      <w:bookmarkEnd w:id="163"/>
      <w:bookmarkEnd w:id="164"/>
    </w:p>
    <w:p>
      <w:pPr>
        <w:pStyle w:val="5"/>
        <w:widowControl w:val="0"/>
        <w:overflowPunct w:val="0"/>
        <w:rPr>
          <w:rFonts w:ascii="宋体" w:hAnsi="宋体"/>
          <w:color w:val="auto"/>
          <w:sz w:val="21"/>
          <w:szCs w:val="21"/>
          <w:highlight w:val="none"/>
        </w:rPr>
      </w:pPr>
      <w:bookmarkStart w:id="165" w:name="_Toc25498"/>
      <w:bookmarkStart w:id="166" w:name="_Toc22900"/>
      <w:bookmarkStart w:id="167" w:name="_Toc17974"/>
      <w:r>
        <w:rPr>
          <w:rFonts w:hint="eastAsia" w:ascii="宋体" w:hAnsi="宋体"/>
          <w:color w:val="auto"/>
          <w:sz w:val="21"/>
          <w:szCs w:val="21"/>
          <w:highlight w:val="none"/>
        </w:rPr>
        <w:t>33.询问</w:t>
      </w:r>
      <w:bookmarkEnd w:id="165"/>
      <w:bookmarkEnd w:id="166"/>
      <w:bookmarkEnd w:id="167"/>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68" w:name="_Toc11264"/>
      <w:bookmarkStart w:id="169" w:name="_Toc8234"/>
      <w:bookmarkStart w:id="170" w:name="_Toc2767"/>
      <w:r>
        <w:rPr>
          <w:rFonts w:hint="eastAsia" w:ascii="宋体" w:hAnsi="宋体"/>
          <w:color w:val="auto"/>
          <w:sz w:val="21"/>
          <w:szCs w:val="21"/>
          <w:highlight w:val="none"/>
        </w:rPr>
        <w:t>34.质疑</w:t>
      </w:r>
      <w:bookmarkEnd w:id="168"/>
      <w:bookmarkEnd w:id="169"/>
      <w:bookmarkEnd w:id="170"/>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rPr>
          <w:rFonts w:ascii="宋体" w:hAnsi="宋体"/>
          <w:color w:val="auto"/>
          <w:highlight w:val="none"/>
        </w:rPr>
      </w:pPr>
      <w:bookmarkStart w:id="171" w:name="_Toc8919"/>
      <w:bookmarkStart w:id="172" w:name="_Toc24383"/>
      <w:bookmarkStart w:id="173" w:name="_Toc5690"/>
      <w:r>
        <w:rPr>
          <w:rFonts w:hint="eastAsia" w:ascii="宋体" w:hAnsi="宋体"/>
          <w:color w:val="auto"/>
          <w:highlight w:val="none"/>
        </w:rPr>
        <w:t>第八章其他</w:t>
      </w:r>
      <w:bookmarkEnd w:id="171"/>
      <w:bookmarkEnd w:id="172"/>
      <w:bookmarkEnd w:id="173"/>
    </w:p>
    <w:p>
      <w:pPr>
        <w:pStyle w:val="5"/>
        <w:widowControl w:val="0"/>
        <w:overflowPunct w:val="0"/>
        <w:rPr>
          <w:rFonts w:ascii="宋体" w:hAnsi="宋体"/>
          <w:color w:val="auto"/>
          <w:sz w:val="21"/>
          <w:szCs w:val="21"/>
          <w:highlight w:val="none"/>
        </w:rPr>
      </w:pPr>
      <w:bookmarkStart w:id="174" w:name="_Toc6548"/>
      <w:bookmarkStart w:id="175" w:name="_Toc10082"/>
      <w:bookmarkStart w:id="176" w:name="_Toc21187"/>
      <w:r>
        <w:rPr>
          <w:rFonts w:hint="eastAsia" w:ascii="宋体" w:hAnsi="宋体"/>
          <w:color w:val="auto"/>
          <w:sz w:val="21"/>
          <w:szCs w:val="21"/>
          <w:highlight w:val="none"/>
        </w:rPr>
        <w:t>35.招标文件的解释权</w:t>
      </w:r>
      <w:bookmarkEnd w:id="174"/>
      <w:bookmarkEnd w:id="175"/>
      <w:bookmarkEnd w:id="176"/>
    </w:p>
    <w:p>
      <w:pPr>
        <w:pStyle w:val="37"/>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2"/>
        <w:spacing w:before="0" w:after="0" w:line="240" w:lineRule="auto"/>
        <w:rPr>
          <w:color w:val="auto"/>
          <w:sz w:val="28"/>
          <w:szCs w:val="28"/>
          <w:highlight w:val="none"/>
        </w:rPr>
      </w:pPr>
      <w:bookmarkStart w:id="177" w:name="_Toc382"/>
      <w:bookmarkStart w:id="178" w:name="_Toc31854"/>
      <w:bookmarkStart w:id="179" w:name="_Toc7011"/>
      <w:r>
        <w:rPr>
          <w:rFonts w:hint="eastAsia"/>
          <w:color w:val="auto"/>
          <w:sz w:val="28"/>
          <w:szCs w:val="28"/>
          <w:highlight w:val="none"/>
        </w:rPr>
        <w:t>第五部分 用户需求书</w:t>
      </w:r>
      <w:bookmarkEnd w:id="177"/>
      <w:bookmarkEnd w:id="178"/>
      <w:bookmarkEnd w:id="179"/>
    </w:p>
    <w:p>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6"/>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301"/>
        <w:gridCol w:w="66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6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3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666" w:type="dxa"/>
            <w:vAlign w:val="center"/>
          </w:tcPr>
          <w:p>
            <w:pPr>
              <w:pStyle w:val="37"/>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3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6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none"/>
                <w:lang w:eastAsia="zh-CN"/>
              </w:rPr>
              <w:t>自</w:t>
            </w:r>
            <w:r>
              <w:rPr>
                <w:rFonts w:hint="eastAsia" w:ascii="宋体" w:hAnsi="宋体" w:eastAsia="宋体" w:cs="宋体"/>
                <w:color w:val="auto"/>
                <w:sz w:val="21"/>
                <w:szCs w:val="21"/>
                <w:highlight w:val="none"/>
                <w:u w:val="none"/>
              </w:rPr>
              <w:t>合同</w:t>
            </w:r>
            <w:r>
              <w:rPr>
                <w:rFonts w:hint="eastAsia" w:ascii="宋体" w:hAnsi="宋体" w:eastAsia="宋体" w:cs="宋体"/>
                <w:color w:val="auto"/>
                <w:sz w:val="21"/>
                <w:szCs w:val="21"/>
                <w:highlight w:val="none"/>
                <w:u w:val="none"/>
                <w:lang w:eastAsia="zh-CN"/>
              </w:rPr>
              <w:t>签订并</w:t>
            </w:r>
            <w:r>
              <w:rPr>
                <w:rFonts w:hint="eastAsia" w:ascii="宋体" w:hAnsi="宋体" w:eastAsia="宋体" w:cs="宋体"/>
                <w:color w:val="auto"/>
                <w:sz w:val="21"/>
                <w:szCs w:val="21"/>
                <w:highlight w:val="none"/>
                <w:u w:val="none"/>
              </w:rPr>
              <w:t>生效之日</w:t>
            </w:r>
            <w:r>
              <w:rPr>
                <w:rFonts w:hint="eastAsia" w:ascii="宋体" w:hAnsi="宋体" w:eastAsia="宋体" w:cs="宋体"/>
                <w:color w:val="auto"/>
                <w:sz w:val="21"/>
                <w:szCs w:val="21"/>
                <w:highlight w:val="none"/>
                <w:u w:val="none"/>
                <w:lang w:val="en-US" w:eastAsia="zh-CN"/>
              </w:rPr>
              <w:t>起3年。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3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666" w:type="dxa"/>
            <w:vAlign w:val="center"/>
          </w:tcPr>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国家规定应由中标人缴纳的各种费用包含在合同价内，中标人须按规定向有关部门缴纳。</w:t>
            </w:r>
          </w:p>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2、承包费用按月支付</w:t>
            </w: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val="en-US" w:bidi="zh-CN"/>
              </w:rPr>
              <w:t>即每月</w:t>
            </w:r>
            <w:r>
              <w:rPr>
                <w:rFonts w:hint="eastAsia" w:ascii="宋体" w:hAnsi="宋体" w:eastAsia="宋体" w:cs="宋体"/>
                <w:color w:val="auto"/>
                <w:sz w:val="21"/>
                <w:szCs w:val="21"/>
                <w:highlight w:val="none"/>
                <w:lang w:val="en-US" w:eastAsia="zh-CN"/>
              </w:rPr>
              <w:t>承包费用</w:t>
            </w:r>
            <w:r>
              <w:rPr>
                <w:rFonts w:hint="eastAsia" w:ascii="宋体" w:hAnsi="宋体" w:eastAsia="宋体" w:cs="宋体"/>
                <w:color w:val="auto"/>
                <w:sz w:val="21"/>
                <w:szCs w:val="21"/>
                <w:highlight w:val="none"/>
                <w:lang w:val="en-US" w:bidi="zh-CN"/>
              </w:rPr>
              <w:t>=合同总价</w:t>
            </w:r>
            <w:r>
              <w:rPr>
                <w:rFonts w:hint="default" w:ascii="宋体" w:hAnsi="宋体" w:eastAsia="宋体" w:cs="宋体"/>
                <w:color w:val="auto"/>
                <w:sz w:val="21"/>
                <w:szCs w:val="21"/>
                <w:highlight w:val="none"/>
                <w:lang w:val="en-US" w:bidi="zh-CN"/>
              </w:rPr>
              <w:t>÷</w:t>
            </w:r>
            <w:r>
              <w:rPr>
                <w:rFonts w:hint="eastAsia" w:ascii="宋体" w:hAnsi="宋体" w:cs="宋体"/>
                <w:color w:val="auto"/>
                <w:sz w:val="21"/>
                <w:szCs w:val="21"/>
                <w:highlight w:val="none"/>
                <w:lang w:val="en-US" w:bidi="zh-CN"/>
              </w:rPr>
              <w:t>36个月</w:t>
            </w: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中标人</w:t>
            </w:r>
            <w:r>
              <w:rPr>
                <w:rFonts w:hint="eastAsia" w:ascii="宋体" w:hAnsi="宋体" w:eastAsia="宋体" w:cs="宋体"/>
                <w:color w:val="auto"/>
                <w:sz w:val="21"/>
                <w:szCs w:val="21"/>
                <w:highlight w:val="none"/>
                <w:lang w:val="en-US" w:eastAsia="zh-CN"/>
              </w:rPr>
              <w:t>每月</w:t>
            </w:r>
            <w:r>
              <w:rPr>
                <w:rFonts w:hint="eastAsia" w:ascii="宋体" w:hAnsi="宋体" w:eastAsia="宋体" w:cs="宋体"/>
                <w:color w:val="auto"/>
                <w:sz w:val="21"/>
                <w:szCs w:val="21"/>
                <w:highlight w:val="none"/>
              </w:rPr>
              <w:t>在收取承包费前需提供有效的发票给采购人。中标人每月10日前将等额合法有效的发票提交给采购人，如发现中标人所提供的发票存在作假的情况交由税务部门处理，同时采购人有权拒绝支付承包费，并可提前解除本合同。如无特殊情况，采购人收到中标人的发票后，于每月15日前将上个月的承包款支付给中标人。</w:t>
            </w:r>
          </w:p>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采购人对中标人的工作实行检查监督，若当月评分为“差”，则从当月承包款中扣除相应金额。</w:t>
            </w:r>
          </w:p>
          <w:p>
            <w:pPr>
              <w:keepNext w:val="0"/>
              <w:keepLines w:val="0"/>
              <w:pageBreakBefore w:val="0"/>
              <w:widowControl/>
              <w:kinsoku/>
              <w:wordWrap/>
              <w:overflowPunct/>
              <w:topLinePunct w:val="0"/>
              <w:autoSpaceDE/>
              <w:autoSpaceDN/>
              <w:bidi w:val="0"/>
              <w:adjustRightInd w:val="0"/>
              <w:snapToGrid w:val="0"/>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中标人方应尽责任按要求完成承包范围内的工作，如遇到风灾、水灾等不可抗力的自然灾害或遇到举行特殊活动情况的，由社区负责进行整改处理并承担因此造成的费用。如因外部请款手续或中标人原因导致不能按时付款或付款迟延的，不以违约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13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6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301" w:type="dxa"/>
            <w:vAlign w:val="center"/>
          </w:tcPr>
          <w:p>
            <w:pPr>
              <w:pStyle w:val="69"/>
              <w:keepNext w:val="0"/>
              <w:keepLines w:val="0"/>
              <w:pageBreakBefore w:val="0"/>
              <w:kinsoku/>
              <w:wordWrap/>
              <w:overflowPunct/>
              <w:topLinePunct w:val="0"/>
              <w:autoSpaceDE w:val="0"/>
              <w:autoSpaceDN w:val="0"/>
              <w:bidi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Cs w:val="21"/>
                <w:highlight w:val="none"/>
              </w:rPr>
              <w:t>验收要求</w:t>
            </w:r>
          </w:p>
        </w:tc>
        <w:tc>
          <w:tcPr>
            <w:tcW w:w="66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eastAsia="zh-CN"/>
              </w:rPr>
              <w:t>按国家及相关行业标准进行验收。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3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cs="宋体"/>
                <w:color w:val="auto"/>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6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3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color w:val="auto"/>
                <w:sz w:val="21"/>
                <w:szCs w:val="21"/>
                <w:highlight w:val="none"/>
              </w:rPr>
            </w:pPr>
            <w:r>
              <w:rPr>
                <w:rFonts w:ascii="宋体" w:hAnsi="宋体" w:eastAsia="宋体"/>
                <w:color w:val="auto"/>
                <w:szCs w:val="21"/>
                <w:highlight w:val="none"/>
              </w:rPr>
              <w:t>其它要求</w:t>
            </w:r>
          </w:p>
        </w:tc>
        <w:tc>
          <w:tcPr>
            <w:tcW w:w="66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p>
    <w:p>
      <w:pPr>
        <w:pStyle w:val="9"/>
        <w:rPr>
          <w:color w:val="auto"/>
          <w:highlight w:val="none"/>
          <w:lang w:val="en-US"/>
        </w:rPr>
      </w:pPr>
    </w:p>
    <w:p>
      <w:pPr>
        <w:pStyle w:val="4"/>
        <w:numPr>
          <w:ilvl w:val="0"/>
          <w:numId w:val="9"/>
        </w:numPr>
        <w:jc w:val="center"/>
        <w:rPr>
          <w:color w:val="auto"/>
          <w:highlight w:val="none"/>
        </w:rPr>
      </w:pPr>
      <w:bookmarkStart w:id="181" w:name="_Toc19316"/>
      <w:r>
        <w:rPr>
          <w:rFonts w:hint="eastAsia" w:ascii="宋体" w:hAnsi="宋体"/>
          <w:color w:val="auto"/>
          <w:highlight w:val="none"/>
        </w:rPr>
        <w:t>技术需求书</w:t>
      </w:r>
      <w:bookmarkEnd w:id="181"/>
    </w:p>
    <w:p>
      <w:pPr>
        <w:bidi w:val="0"/>
        <w:spacing w:line="360" w:lineRule="auto"/>
        <w:outlineLvl w:val="3"/>
        <w:rPr>
          <w:rFonts w:hint="eastAsia"/>
          <w:b/>
          <w:bCs/>
          <w:color w:val="auto"/>
          <w:sz w:val="24"/>
          <w:szCs w:val="24"/>
          <w:highlight w:val="none"/>
        </w:rPr>
      </w:pPr>
      <w:bookmarkStart w:id="182" w:name="_Toc17944"/>
      <w:bookmarkStart w:id="183" w:name="_Toc14462"/>
      <w:bookmarkStart w:id="184" w:name="_Toc13112"/>
      <w:bookmarkStart w:id="185" w:name="_Toc24679"/>
      <w:bookmarkStart w:id="186" w:name="_Toc31278"/>
      <w:r>
        <w:rPr>
          <w:rFonts w:hint="eastAsia"/>
          <w:b/>
          <w:bCs/>
          <w:color w:val="auto"/>
          <w:sz w:val="24"/>
          <w:szCs w:val="24"/>
          <w:highlight w:val="none"/>
        </w:rPr>
        <w:t>一、项目概况</w:t>
      </w:r>
      <w:bookmarkEnd w:id="182"/>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为进一步加强石鼓社区大件</w:t>
      </w:r>
      <w:r>
        <w:rPr>
          <w:rFonts w:hint="eastAsia" w:ascii="宋体" w:hAnsi="宋体" w:eastAsia="宋体" w:cs="宋体"/>
          <w:color w:val="auto"/>
          <w:sz w:val="21"/>
          <w:szCs w:val="21"/>
          <w:highlight w:val="none"/>
          <w:lang w:val="en-US" w:eastAsia="zh-CN"/>
        </w:rPr>
        <w:t>废弃物的</w:t>
      </w:r>
      <w:r>
        <w:rPr>
          <w:rFonts w:hint="eastAsia" w:ascii="宋体" w:hAnsi="宋体" w:eastAsia="宋体" w:cs="宋体"/>
          <w:color w:val="auto"/>
          <w:sz w:val="21"/>
          <w:szCs w:val="21"/>
          <w:highlight w:val="none"/>
        </w:rPr>
        <w:t>处理</w:t>
      </w:r>
      <w:r>
        <w:rPr>
          <w:rFonts w:hint="eastAsia" w:ascii="宋体" w:hAnsi="宋体" w:eastAsia="宋体" w:cs="宋体"/>
          <w:color w:val="auto"/>
          <w:sz w:val="21"/>
          <w:szCs w:val="21"/>
          <w:highlight w:val="none"/>
          <w:lang w:eastAsia="zh-CN"/>
        </w:rPr>
        <w:t>、牛皮癣清理、河道保洁</w:t>
      </w:r>
      <w:r>
        <w:rPr>
          <w:rFonts w:hint="eastAsia" w:ascii="宋体" w:hAnsi="宋体" w:eastAsia="宋体" w:cs="宋体"/>
          <w:color w:val="auto"/>
          <w:sz w:val="21"/>
          <w:szCs w:val="21"/>
          <w:highlight w:val="none"/>
        </w:rPr>
        <w:t>，防止污染环境，促使我社区城市精细化管理水平明显提升，城市品质明显提高。</w:t>
      </w:r>
      <w:r>
        <w:rPr>
          <w:rFonts w:hint="eastAsia" w:ascii="宋体" w:hAnsi="宋体" w:eastAsia="宋体" w:cs="宋体"/>
          <w:color w:val="auto"/>
          <w:sz w:val="21"/>
          <w:szCs w:val="21"/>
          <w:highlight w:val="none"/>
          <w:lang w:val="en-US" w:eastAsia="zh-CN"/>
        </w:rPr>
        <w:t>现通过公开招标的方式选取一家单位承包石鼓社区大件废弃物收集、清运、处置，牛皮癣清理，河道保洁服务工作。</w:t>
      </w:r>
    </w:p>
    <w:p>
      <w:pPr>
        <w:bidi w:val="0"/>
        <w:spacing w:line="360" w:lineRule="auto"/>
        <w:outlineLvl w:val="3"/>
        <w:rPr>
          <w:rFonts w:hint="eastAsia"/>
          <w:b/>
          <w:bCs/>
          <w:color w:val="auto"/>
          <w:sz w:val="24"/>
          <w:szCs w:val="24"/>
          <w:highlight w:val="none"/>
          <w:lang w:val="en-US" w:eastAsia="zh-CN"/>
        </w:rPr>
      </w:pPr>
      <w:r>
        <w:rPr>
          <w:rFonts w:hint="eastAsia"/>
          <w:b/>
          <w:bCs/>
          <w:color w:val="auto"/>
          <w:sz w:val="24"/>
          <w:szCs w:val="24"/>
          <w:highlight w:val="none"/>
          <w:lang w:val="en-US" w:eastAsia="zh-CN"/>
        </w:rPr>
        <w:t>二、服务清单</w:t>
      </w:r>
    </w:p>
    <w:tbl>
      <w:tblPr>
        <w:tblStyle w:val="26"/>
        <w:tblW w:w="837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7"/>
        <w:gridCol w:w="1542"/>
        <w:gridCol w:w="3772"/>
        <w:gridCol w:w="1170"/>
        <w:gridCol w:w="11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07"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54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377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项目特征描述</w:t>
            </w:r>
          </w:p>
        </w:tc>
        <w:tc>
          <w:tcPr>
            <w:tcW w:w="117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计量单位</w:t>
            </w:r>
          </w:p>
        </w:tc>
        <w:tc>
          <w:tcPr>
            <w:tcW w:w="118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预计数量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07"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154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377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117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118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0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5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废旧家具垃圾</w:t>
            </w:r>
          </w:p>
        </w:tc>
        <w:tc>
          <w:tcPr>
            <w:tcW w:w="37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1.种类、规格:废旧家具垃圾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2.运距.:300km</w:t>
            </w:r>
          </w:p>
        </w:tc>
        <w:tc>
          <w:tcPr>
            <w:tcW w:w="11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t/月</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0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5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建筑装饰材料收集处理</w:t>
            </w:r>
          </w:p>
        </w:tc>
        <w:tc>
          <w:tcPr>
            <w:tcW w:w="37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1.岩石类别:建筑装饰材料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2.弃碴运距:300km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3.其他:含处理</w:t>
            </w:r>
          </w:p>
        </w:tc>
        <w:tc>
          <w:tcPr>
            <w:tcW w:w="11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m3/月</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0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5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牛皮癣清理</w:t>
            </w:r>
          </w:p>
        </w:tc>
        <w:tc>
          <w:tcPr>
            <w:tcW w:w="37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1.名称:清除牛皮癣</w:t>
            </w:r>
          </w:p>
        </w:tc>
        <w:tc>
          <w:tcPr>
            <w:tcW w:w="11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m2/月</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0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5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河道保洁</w:t>
            </w:r>
          </w:p>
        </w:tc>
        <w:tc>
          <w:tcPr>
            <w:tcW w:w="37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1.岩石类别:河道保洁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2.其他:水域漂浮垃圾清除打捞，每月打捞4次</w:t>
            </w:r>
          </w:p>
        </w:tc>
        <w:tc>
          <w:tcPr>
            <w:tcW w:w="11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km/月</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bl>
    <w:p>
      <w:pPr>
        <w:bidi w:val="0"/>
        <w:rPr>
          <w:rFonts w:hint="default"/>
          <w:color w:val="auto"/>
          <w:highlight w:val="none"/>
          <w:lang w:val="en-US" w:eastAsia="zh-CN"/>
        </w:rPr>
      </w:pPr>
    </w:p>
    <w:p>
      <w:pPr>
        <w:bidi w:val="0"/>
        <w:spacing w:line="360" w:lineRule="auto"/>
        <w:outlineLvl w:val="3"/>
        <w:rPr>
          <w:rFonts w:hint="default" w:eastAsia="宋体"/>
          <w:b/>
          <w:bCs/>
          <w:color w:val="auto"/>
          <w:sz w:val="24"/>
          <w:szCs w:val="24"/>
          <w:highlight w:val="none"/>
          <w:lang w:val="en-US" w:eastAsia="zh-CN"/>
        </w:rPr>
      </w:pPr>
      <w:bookmarkStart w:id="187" w:name="_Toc21980"/>
      <w:r>
        <w:rPr>
          <w:rFonts w:hint="eastAsia"/>
          <w:b/>
          <w:bCs/>
          <w:color w:val="auto"/>
          <w:sz w:val="24"/>
          <w:szCs w:val="24"/>
          <w:highlight w:val="none"/>
          <w:lang w:val="en-US" w:eastAsia="zh-CN"/>
        </w:rPr>
        <w:t>三</w:t>
      </w:r>
      <w:r>
        <w:rPr>
          <w:rFonts w:hint="eastAsia"/>
          <w:b/>
          <w:bCs/>
          <w:color w:val="auto"/>
          <w:sz w:val="24"/>
          <w:szCs w:val="24"/>
          <w:highlight w:val="none"/>
        </w:rPr>
        <w:t>、服务范围</w:t>
      </w:r>
      <w:bookmarkEnd w:id="187"/>
      <w:r>
        <w:rPr>
          <w:rFonts w:hint="eastAsia"/>
          <w:b/>
          <w:bCs/>
          <w:color w:val="auto"/>
          <w:sz w:val="24"/>
          <w:szCs w:val="24"/>
          <w:highlight w:val="none"/>
          <w:lang w:val="en-US" w:eastAsia="zh-CN"/>
        </w:rPr>
        <w:t>及内容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1、服务范围：</w:t>
      </w:r>
      <w:r>
        <w:rPr>
          <w:rFonts w:hint="eastAsia" w:ascii="宋体" w:hAnsi="宋体"/>
          <w:color w:val="auto"/>
          <w:szCs w:val="21"/>
          <w:highlight w:val="none"/>
          <w:lang w:eastAsia="zh-CN"/>
        </w:rPr>
        <w:t>石鼓社区大件废弃物收集、清运、处置，牛皮癣清理，河道保洁服务</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2、服务内容：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）大件废弃物收集、清运、处置</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具体负责处理采购人社区辖区内产生的大件废弃物。堆放地点收集到一定量后，采购人通知本项目中标人安排运走处理，需要的人工、机械、车辆等设备及处理费用全部由中标人负责</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并承担全部安全生产、文明施工、环境保护等责任。采购人将安排专人全程监督中标人进行装运，并做好相关的台账和图片记录。</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注：</w:t>
      </w:r>
      <w:r>
        <w:rPr>
          <w:rFonts w:hint="eastAsia" w:ascii="宋体" w:hAnsi="宋体" w:eastAsia="宋体" w:cs="宋体"/>
          <w:color w:val="auto"/>
          <w:sz w:val="21"/>
          <w:szCs w:val="21"/>
          <w:highlight w:val="none"/>
        </w:rPr>
        <w:t>本项目所提及大件废弃物是指废旧家具垃圾</w:t>
      </w:r>
      <w:r>
        <w:rPr>
          <w:rFonts w:hint="eastAsia" w:ascii="宋体" w:hAnsi="宋体" w:cs="宋体"/>
          <w:color w:val="auto"/>
          <w:sz w:val="21"/>
          <w:szCs w:val="21"/>
          <w:highlight w:val="none"/>
          <w:lang w:val="en-US" w:eastAsia="zh-CN"/>
        </w:rPr>
        <w:t>和</w:t>
      </w:r>
      <w:r>
        <w:rPr>
          <w:rFonts w:hint="eastAsia" w:ascii="宋体" w:hAnsi="宋体" w:eastAsia="宋体" w:cs="宋体"/>
          <w:color w:val="auto"/>
          <w:sz w:val="21"/>
          <w:szCs w:val="21"/>
          <w:highlight w:val="none"/>
        </w:rPr>
        <w:t>建筑装饰材料收集处理</w:t>
      </w:r>
      <w:r>
        <w:rPr>
          <w:rFonts w:hint="eastAsia" w:ascii="宋体" w:hAnsi="宋体" w:cs="宋体"/>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eastAsia="宋体" w:cs="宋体"/>
          <w:color w:val="auto"/>
          <w:sz w:val="21"/>
          <w:szCs w:val="21"/>
          <w:highlight w:val="none"/>
          <w:lang w:eastAsia="zh-CN"/>
        </w:rPr>
        <w:t>牛皮癣</w:t>
      </w:r>
      <w:r>
        <w:rPr>
          <w:rFonts w:hint="eastAsia" w:ascii="宋体" w:hAnsi="宋体" w:eastAsia="宋体" w:cs="宋体"/>
          <w:color w:val="auto"/>
          <w:sz w:val="21"/>
          <w:szCs w:val="21"/>
          <w:highlight w:val="none"/>
          <w:lang w:val="en-US" w:eastAsia="zh-CN"/>
        </w:rPr>
        <w:t>清理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清理</w:t>
      </w:r>
      <w:r>
        <w:rPr>
          <w:rFonts w:hint="eastAsia" w:ascii="宋体" w:hAnsi="宋体" w:eastAsia="宋体" w:cs="宋体"/>
          <w:color w:val="auto"/>
          <w:sz w:val="21"/>
          <w:szCs w:val="21"/>
          <w:highlight w:val="none"/>
        </w:rPr>
        <w:t>道路两侧、台阶、侧石、各种市政公共设施、建（构）筑物全部表面（包括商店卷闸）上的乱涂写、张贴、刻画、张挂物等“牛皮癣”，</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必须配备专业的牛皮癣清理队伍和设备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参照全国文明城市和国家卫生城市的管理要求对承包范围内的“牛皮癣”进行清理。清理期间，必须遵守交通、环境保护、安全生产等方面的管理规定，并承担全部安全生产、文明施工、环境保护等责任。</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河道保洁</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利用机械或人工对河道水面上及河道内水面所浸泡到的绿色植物丛中的垃圾、杂草、枯枝落叶、漂浮物、水草、水浮莲等杂物进行打捞清理、</w:t>
      </w:r>
      <w:r>
        <w:rPr>
          <w:rFonts w:hint="eastAsia" w:ascii="宋体" w:hAnsi="宋体" w:eastAsia="宋体" w:cs="宋体"/>
          <w:color w:val="auto"/>
          <w:sz w:val="21"/>
          <w:szCs w:val="21"/>
          <w:highlight w:val="none"/>
          <w:lang w:eastAsia="zh-CN"/>
        </w:rPr>
        <w:t>及时</w:t>
      </w:r>
      <w:r>
        <w:rPr>
          <w:rFonts w:hint="eastAsia" w:ascii="宋体" w:hAnsi="宋体" w:eastAsia="宋体" w:cs="宋体"/>
          <w:color w:val="auto"/>
          <w:sz w:val="21"/>
          <w:szCs w:val="21"/>
          <w:highlight w:val="none"/>
        </w:rPr>
        <w:t>处理水面油污、</w:t>
      </w:r>
      <w:r>
        <w:rPr>
          <w:rFonts w:hint="eastAsia" w:ascii="宋体" w:hAnsi="宋体" w:eastAsia="宋体" w:cs="宋体"/>
          <w:color w:val="auto"/>
          <w:sz w:val="21"/>
          <w:szCs w:val="21"/>
          <w:highlight w:val="none"/>
          <w:lang w:val="en-US" w:eastAsia="zh-CN"/>
        </w:rPr>
        <w:t>做好河道水面保洁工作，及时处置打捞清理后的垃圾。</w:t>
      </w:r>
      <w:r>
        <w:rPr>
          <w:rFonts w:hint="eastAsia" w:ascii="宋体" w:hAnsi="宋体" w:eastAsia="宋体" w:cs="宋体"/>
          <w:color w:val="auto"/>
          <w:sz w:val="21"/>
          <w:szCs w:val="21"/>
          <w:highlight w:val="none"/>
        </w:rPr>
        <w:t>并承担全部安全生产、文明施工、环境保护等责任。</w:t>
      </w:r>
    </w:p>
    <w:p>
      <w:pPr>
        <w:bidi w:val="0"/>
        <w:spacing w:line="360" w:lineRule="auto"/>
        <w:outlineLvl w:val="3"/>
        <w:rPr>
          <w:rFonts w:hint="eastAsia"/>
          <w:b/>
          <w:bCs/>
          <w:color w:val="auto"/>
          <w:sz w:val="24"/>
          <w:szCs w:val="24"/>
          <w:highlight w:val="none"/>
        </w:rPr>
      </w:pPr>
      <w:r>
        <w:rPr>
          <w:rFonts w:hint="eastAsia"/>
          <w:b/>
          <w:bCs/>
          <w:color w:val="auto"/>
          <w:sz w:val="24"/>
          <w:szCs w:val="24"/>
          <w:highlight w:val="none"/>
          <w:lang w:val="en-US" w:eastAsia="zh-CN"/>
        </w:rPr>
        <w:t>四</w:t>
      </w:r>
      <w:r>
        <w:rPr>
          <w:rFonts w:hint="eastAsia"/>
          <w:b/>
          <w:bCs/>
          <w:color w:val="auto"/>
          <w:sz w:val="24"/>
          <w:szCs w:val="24"/>
          <w:highlight w:val="none"/>
        </w:rPr>
        <w:t>、服务要求</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（一）人员及设备配备要求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1、作业人员按要求统一着装，言行规范，注意仪容仪表及公众形象，作业时穿戴工作服和工作证。</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2、中标人所配备车辆有合法的证件，保险手续齐全，驾驶人员均应持有机动车驾驶证等相应的资质证书。</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3、各项作业车辆定期维修、保养，确保车辆车况良好，外观整洁。</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车辆和设备要求：中标人确保投入本项目的设备、车辆能满足本项目需求，在实际作业过程中如仍不能满足工作需求的，或部分设备在操作过程中损坏不能再继续使用而影响日常工作效率的，需要增置或补充车辆和设备直至满足作业需求为止，确保相应的工作能按质按量完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5、人员配备要求：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(1)中标人委派一名项目主管负责与采购人对接工作。</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(2)本项目需配备足够人员，自主巡检并随时听从采购人对各项工作的安排。</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（二）处置要求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1、中标人负责将已收集的大件</w:t>
      </w:r>
      <w:r>
        <w:rPr>
          <w:rFonts w:hint="eastAsia" w:ascii="宋体" w:hAnsi="宋体" w:eastAsia="宋体" w:cs="宋体"/>
          <w:color w:val="auto"/>
          <w:sz w:val="21"/>
          <w:szCs w:val="21"/>
          <w:highlight w:val="none"/>
          <w:lang w:val="en-US" w:eastAsia="zh-CN"/>
        </w:rPr>
        <w:t>废弃物</w:t>
      </w:r>
      <w:r>
        <w:rPr>
          <w:rFonts w:hint="eastAsia" w:ascii="宋体" w:hAnsi="宋体" w:eastAsia="宋体" w:cs="宋体"/>
          <w:color w:val="auto"/>
          <w:sz w:val="21"/>
          <w:szCs w:val="21"/>
          <w:highlight w:val="none"/>
        </w:rPr>
        <w:t>分类进行无害化处理，要确保后续处理途径的合法性，不得造成二次污染。由于处置不当而造成的一切负面影响和法律后果由中标人自行承担。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2.根据采购人的委托，优先对承包区内因突发事件或不可预见问题导致无主可回收物进行回收、合理处置。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3、中标人接受采购人及群众的监督、指导和作业质量检查，接受合理化建议并积极配合工作安排。</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4、中标人设立应急队伍，一旦发生突发事件承诺时间内安排车辆、人员到现场处理。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5、文明作业，中标人车辆在载送垃圾时应确实做好加固、遮盖，在作业过程中无超载、超速和漏撒现象，避免垃圾掉落造成二次污染。</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6、按照东莞市有关要求，做好</w:t>
      </w:r>
      <w:r>
        <w:rPr>
          <w:rFonts w:hint="eastAsia" w:ascii="宋体" w:hAnsi="宋体" w:cs="宋体"/>
          <w:color w:val="auto"/>
          <w:sz w:val="21"/>
          <w:szCs w:val="21"/>
          <w:highlight w:val="none"/>
          <w:lang w:val="en-US" w:eastAsia="zh-CN"/>
        </w:rPr>
        <w:t>社区</w:t>
      </w:r>
      <w:r>
        <w:rPr>
          <w:rFonts w:hint="eastAsia" w:ascii="宋体" w:hAnsi="宋体"/>
          <w:color w:val="auto"/>
          <w:szCs w:val="21"/>
          <w:highlight w:val="none"/>
          <w:lang w:eastAsia="zh-CN"/>
        </w:rPr>
        <w:t>大件废弃物收集、清运、处置，牛皮癣清理，河道保洁服务</w:t>
      </w:r>
      <w:r>
        <w:rPr>
          <w:rFonts w:hint="eastAsia" w:ascii="宋体" w:hAnsi="宋体"/>
          <w:color w:val="auto"/>
          <w:szCs w:val="21"/>
          <w:highlight w:val="none"/>
          <w:lang w:val="en-US" w:eastAsia="zh-CN"/>
        </w:rPr>
        <w:t>工作</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7、其他垃圾必须无害化处理，转运至正规的处置地点。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8、合法经营，严禁偷倒、乱倒垃圾，严防产生二次污染、破坏环境的非法行为。</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9、垃圾须及时处理，杜绝对周边居民及商铺企业造成不良影响。</w:t>
      </w:r>
    </w:p>
    <w:p>
      <w:pPr>
        <w:bidi w:val="0"/>
        <w:spacing w:line="360" w:lineRule="auto"/>
        <w:outlineLvl w:val="3"/>
        <w:rPr>
          <w:rFonts w:hint="eastAsia"/>
          <w:b/>
          <w:bCs/>
          <w:color w:val="auto"/>
          <w:sz w:val="24"/>
          <w:szCs w:val="24"/>
          <w:highlight w:val="none"/>
        </w:rPr>
      </w:pPr>
      <w:bookmarkStart w:id="188" w:name="_Toc23066"/>
      <w:r>
        <w:rPr>
          <w:rFonts w:hint="eastAsia"/>
          <w:b/>
          <w:bCs/>
          <w:color w:val="auto"/>
          <w:sz w:val="24"/>
          <w:szCs w:val="24"/>
          <w:highlight w:val="none"/>
          <w:lang w:val="en-US" w:eastAsia="zh-CN"/>
        </w:rPr>
        <w:t>五</w:t>
      </w:r>
      <w:r>
        <w:rPr>
          <w:rFonts w:hint="eastAsia"/>
          <w:b/>
          <w:bCs/>
          <w:color w:val="auto"/>
          <w:sz w:val="24"/>
          <w:szCs w:val="24"/>
          <w:highlight w:val="none"/>
        </w:rPr>
        <w:t>、其他要求</w:t>
      </w:r>
      <w:bookmarkEnd w:id="188"/>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1、在服务期内，如有大型垃圾清扫行动、社区卫生大检查等突击性检查任务，中标人须全力配合工作，临时增加人员、设备以确保环境卫生达标。</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2、如中标人在承包期内其工作人员发生各种事故，包括治安、交通、消防、劳资纠纷等事件，所造成一切后果及损失由中标人负责承担。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3、中标人如果发现有乱倒，乱丢垃圾的企业或个人，应通知采购人进行查证处置。</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4、中标人落实安全生产措施，落实卫生防疫，作业车辆及员工责任。在进行清理作业时，认真负责并注意安全操作。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5、如巡查检查发现对应垃圾处理不到位或不符合</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auto"/>
          <w:sz w:val="21"/>
          <w:szCs w:val="21"/>
          <w:highlight w:val="none"/>
        </w:rPr>
        <w:t>要求的，中标人接到处理通知（图片形式）后，须在承诺时间内完成处理，否则按规定扣分。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6、服务</w:t>
      </w:r>
      <w:r>
        <w:rPr>
          <w:rFonts w:hint="eastAsia" w:ascii="宋体" w:hAnsi="宋体" w:cs="宋体"/>
          <w:color w:val="auto"/>
          <w:sz w:val="21"/>
          <w:szCs w:val="21"/>
          <w:highlight w:val="none"/>
          <w:lang w:val="en-US" w:eastAsia="zh-CN"/>
        </w:rPr>
        <w:t>期</w:t>
      </w:r>
      <w:r>
        <w:rPr>
          <w:rFonts w:hint="eastAsia" w:ascii="宋体" w:hAnsi="宋体" w:eastAsia="宋体" w:cs="宋体"/>
          <w:color w:val="auto"/>
          <w:sz w:val="21"/>
          <w:szCs w:val="21"/>
          <w:highlight w:val="none"/>
          <w:lang w:val="en-US" w:eastAsia="zh-CN"/>
        </w:rPr>
        <w:t>内如发现社区</w:t>
      </w:r>
      <w:r>
        <w:rPr>
          <w:rFonts w:hint="eastAsia" w:ascii="宋体" w:hAnsi="宋体" w:cs="宋体"/>
          <w:color w:val="auto"/>
          <w:sz w:val="21"/>
          <w:szCs w:val="21"/>
          <w:highlight w:val="none"/>
          <w:lang w:val="en-US" w:eastAsia="zh-CN"/>
        </w:rPr>
        <w:t>范围内有其他</w:t>
      </w:r>
      <w:r>
        <w:rPr>
          <w:rFonts w:hint="eastAsia" w:ascii="宋体" w:hAnsi="宋体" w:eastAsia="宋体" w:cs="宋体"/>
          <w:color w:val="auto"/>
          <w:sz w:val="21"/>
          <w:szCs w:val="21"/>
          <w:highlight w:val="none"/>
          <w:lang w:val="en-US" w:eastAsia="zh-CN"/>
        </w:rPr>
        <w:t>偷倒物品</w:t>
      </w:r>
      <w:r>
        <w:rPr>
          <w:rFonts w:hint="eastAsia" w:ascii="宋体" w:hAnsi="宋体" w:cs="宋体"/>
          <w:color w:val="auto"/>
          <w:sz w:val="21"/>
          <w:szCs w:val="21"/>
          <w:highlight w:val="none"/>
          <w:lang w:val="en-US" w:eastAsia="zh-CN"/>
        </w:rPr>
        <w:t>或垃圾的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中标单位须</w:t>
      </w:r>
      <w:r>
        <w:rPr>
          <w:rFonts w:hint="eastAsia" w:ascii="宋体" w:hAnsi="宋体" w:cs="宋体"/>
          <w:color w:val="auto"/>
          <w:sz w:val="21"/>
          <w:szCs w:val="21"/>
          <w:highlight w:val="none"/>
          <w:lang w:val="en-US" w:eastAsia="zh-CN"/>
        </w:rPr>
        <w:t>及时进行清运处理。</w:t>
      </w:r>
    </w:p>
    <w:p>
      <w:pPr>
        <w:bidi w:val="0"/>
        <w:spacing w:line="360" w:lineRule="auto"/>
        <w:outlineLvl w:val="3"/>
        <w:rPr>
          <w:rFonts w:hint="eastAsia"/>
          <w:b/>
          <w:bCs/>
          <w:color w:val="auto"/>
          <w:sz w:val="24"/>
          <w:szCs w:val="24"/>
          <w:highlight w:val="none"/>
        </w:rPr>
      </w:pPr>
      <w:bookmarkStart w:id="189" w:name="_Toc6529"/>
      <w:r>
        <w:rPr>
          <w:rFonts w:hint="eastAsia"/>
          <w:b/>
          <w:bCs/>
          <w:color w:val="auto"/>
          <w:sz w:val="24"/>
          <w:szCs w:val="24"/>
          <w:highlight w:val="none"/>
          <w:lang w:val="en-US" w:eastAsia="zh-CN"/>
        </w:rPr>
        <w:t>六</w:t>
      </w:r>
      <w:r>
        <w:rPr>
          <w:rFonts w:hint="eastAsia"/>
          <w:b/>
          <w:bCs/>
          <w:color w:val="auto"/>
          <w:sz w:val="24"/>
          <w:szCs w:val="24"/>
          <w:highlight w:val="none"/>
        </w:rPr>
        <w:t>、双方权利义务</w:t>
      </w:r>
      <w:bookmarkEnd w:id="189"/>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（1）负责派员监督、考核中标人承包范围内的服务质量，发现问题及时知会中标人，以便处理；对中标人合理之工作要求及建议，应予以支持和配合。</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（2）有权制定相应之管理措施、监督标准、考核标准等。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（3）按时支付中标人的服务费用。</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2、中标人：</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（1）中标人严格按照双方所共同制订之各项作业标准，为采购人提供专业服务，并严格教育、培训和管理派驻采购人</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工作人员。遵守采购人所订规章制度，保持良好的工作环境和秩序，爱护采购人的财物，维护采购人良好的形象。对行为不良员工，中标人须予以严肃处理；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照合同文件规定的工人人数、机械设备数按时按质做好服务工作。安排机械状况合格的垃圾收运车辆，选派素质良好、工作认真的工作人员（包括现场负责）进驻现场工作。指定现场主管人员，具体安排及全面督导日常服务工作，巡检现场服务情况及做好工作日志，及时处理采购人投诉，并保证与采购人相关负责人日常联系，以便于工作配合与协调。</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（3）中标人应接受采购人关于服务计划的合理建议和要求；每月工作结束提交工作量统计，工作总结并按有关管理制度要求做好内业资料备查。</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（4）每月若对采购人投诉（特别是服务质量问题）未予及时正确处理和解决达两次以上，采购人有权提出书面警告，责令其予以正确处理、解决；</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（5）负责承担中标人员工</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食宿、保险、工资、劳保福利及其它一切费用，管理好员工并严格要求遵守各项规章制度。如中标人在作业过程中损坏有采购人公共设施，损坏物品照价赔偿；</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（6）中标人自行负责承包业务所需要保洁设备、工具、材料，按合同规定的服务范围和工作要求，高质量完成各项工作，并严格执行有关安全作业规定；</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中标人派驻采购人的所有工作人员须经指定医院体检合格和专业培训合格；并向采购人提交所有工作人员的有效身份证、照片等相关证件及复印件。在工作时间必须身着中标人作业工服、佩戴工作证，着装整洁，并在工作时间内不得随意离开其工作岗位闲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（8）中标人派驻采购人的工作人员，在中标人主管不在场时，应接受采购人管理人员的监督和指导，并接受采购人按双方确定的工作检验标准对其工作进行检查和改正；</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（9）中标人在进行处置大件废弃物时，应当采取安全防护措施，如在承包期内发生任何事故导致第三方遭受财产损失或人身损害的，均由中标人自行负责；</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（10）如遇有关部门的工作检查等特殊情况，中标人须全力配合搞好服务工作。</w:t>
      </w:r>
      <w:bookmarkStart w:id="190" w:name="_Toc2226"/>
    </w:p>
    <w:p>
      <w:pPr>
        <w:bidi w:val="0"/>
        <w:spacing w:line="360" w:lineRule="auto"/>
        <w:outlineLvl w:val="3"/>
        <w:rPr>
          <w:rFonts w:hint="eastAsia"/>
          <w:b/>
          <w:bCs/>
          <w:color w:val="auto"/>
          <w:sz w:val="24"/>
          <w:szCs w:val="24"/>
          <w:highlight w:val="none"/>
        </w:rPr>
      </w:pPr>
      <w:r>
        <w:rPr>
          <w:rFonts w:hint="eastAsia"/>
          <w:b/>
          <w:bCs/>
          <w:color w:val="auto"/>
          <w:sz w:val="24"/>
          <w:szCs w:val="24"/>
          <w:highlight w:val="none"/>
          <w:lang w:val="en-US" w:eastAsia="zh-CN"/>
        </w:rPr>
        <w:t>七</w:t>
      </w:r>
      <w:r>
        <w:rPr>
          <w:rFonts w:hint="eastAsia"/>
          <w:b/>
          <w:bCs/>
          <w:color w:val="auto"/>
          <w:sz w:val="24"/>
          <w:szCs w:val="24"/>
          <w:highlight w:val="none"/>
        </w:rPr>
        <w:t>、考核办法</w:t>
      </w:r>
      <w:bookmarkEnd w:id="190"/>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（一）检查验收制度</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1、以采购人和中标人各派员对本项目各项工作进行定期检查，实际工作开展情况及服务成效进行综合评分。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2、采购人每月按照评分情况向中标人支付承包款项，每月的扣分罚款从当月承包款中扣除。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（二）考核评分办法</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1、本项目评分考核分为优，中，差，三个档次，具体考核评分标准由采购人根据实际情况确定。</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2、当月考核评级属“中”（含）以上的为达标，评级为“差”扣除中标人</w:t>
      </w:r>
      <w:r>
        <w:rPr>
          <w:rFonts w:hint="eastAsia" w:ascii="宋体" w:hAnsi="宋体" w:cs="宋体"/>
          <w:color w:val="auto"/>
          <w:sz w:val="21"/>
          <w:szCs w:val="21"/>
          <w:highlight w:val="none"/>
          <w:lang w:val="en-US" w:eastAsia="zh-CN"/>
        </w:rPr>
        <w:t>当月</w:t>
      </w:r>
      <w:r>
        <w:rPr>
          <w:rFonts w:hint="eastAsia" w:ascii="宋体" w:hAnsi="宋体" w:eastAsia="宋体" w:cs="宋体"/>
          <w:color w:val="auto"/>
          <w:sz w:val="21"/>
          <w:szCs w:val="21"/>
          <w:highlight w:val="none"/>
        </w:rPr>
        <w:t>承包款5000元，连续</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个月评级为“差”的采购人有权单方解除合同。</w:t>
      </w:r>
    </w:p>
    <w:p>
      <w:pPr>
        <w:bidi w:val="0"/>
        <w:rPr>
          <w:rFonts w:hint="eastAsia"/>
          <w:color w:val="auto"/>
          <w:highlight w:val="none"/>
        </w:rPr>
      </w:pPr>
    </w:p>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3"/>
      <w:bookmarkEnd w:id="184"/>
      <w:bookmarkEnd w:id="185"/>
      <w:bookmarkEnd w:id="186"/>
      <w:bookmarkStart w:id="191" w:name="_Toc12485"/>
      <w:bookmarkStart w:id="192" w:name="_Toc21448"/>
    </w:p>
    <w:p>
      <w:pPr>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2"/>
        <w:spacing w:before="0" w:after="0" w:line="240" w:lineRule="auto"/>
        <w:rPr>
          <w:color w:val="auto"/>
          <w:sz w:val="28"/>
          <w:szCs w:val="28"/>
          <w:highlight w:val="none"/>
        </w:rPr>
      </w:pPr>
      <w:bookmarkStart w:id="193" w:name="_Toc12014"/>
      <w:r>
        <w:rPr>
          <w:rFonts w:hint="eastAsia"/>
          <w:color w:val="auto"/>
          <w:sz w:val="28"/>
          <w:szCs w:val="28"/>
          <w:highlight w:val="none"/>
        </w:rPr>
        <w:t>第六部分 合同格式（仅供参考）</w:t>
      </w:r>
      <w:bookmarkEnd w:id="191"/>
      <w:bookmarkEnd w:id="192"/>
      <w:bookmarkEnd w:id="193"/>
      <w:bookmarkStart w:id="194" w:name="_Toc13430"/>
      <w:bookmarkStart w:id="195" w:name="_Toc21155"/>
      <w:bookmarkStart w:id="196" w:name="_Toc1534"/>
    </w:p>
    <w:bookmarkEnd w:id="194"/>
    <w:bookmarkEnd w:id="195"/>
    <w:bookmarkEnd w:id="196"/>
    <w:p>
      <w:pPr>
        <w:ind w:firstLine="562" w:firstLineChars="200"/>
        <w:jc w:val="center"/>
        <w:rPr>
          <w:rFonts w:hint="eastAsia" w:ascii="宋体" w:hAnsi="宋体"/>
          <w:b/>
          <w:bCs/>
          <w:color w:val="auto"/>
          <w:sz w:val="28"/>
          <w:szCs w:val="28"/>
          <w:highlight w:val="none"/>
        </w:rPr>
      </w:pPr>
      <w:r>
        <w:rPr>
          <w:rFonts w:hint="eastAsia" w:ascii="宋体" w:hAnsi="宋体"/>
          <w:b/>
          <w:bCs/>
          <w:color w:val="auto"/>
          <w:sz w:val="28"/>
          <w:szCs w:val="28"/>
          <w:highlight w:val="none"/>
          <w:lang w:eastAsia="zh-CN"/>
        </w:rPr>
        <w:t>石鼓社区大件废弃物收集、清运、处置，牛皮癣清理，河道保洁服务采购项目</w:t>
      </w:r>
      <w:r>
        <w:rPr>
          <w:rFonts w:hint="eastAsia" w:ascii="宋体" w:hAnsi="宋体"/>
          <w:b/>
          <w:bCs/>
          <w:color w:val="auto"/>
          <w:sz w:val="28"/>
          <w:szCs w:val="28"/>
          <w:highlight w:val="none"/>
        </w:rPr>
        <w:t>承包合同</w:t>
      </w:r>
    </w:p>
    <w:p>
      <w:pPr>
        <w:rPr>
          <w:rFonts w:hint="eastAsia" w:ascii="宋体" w:hAnsi="宋体"/>
          <w:color w:val="auto"/>
          <w:szCs w:val="21"/>
          <w:highlight w:val="none"/>
        </w:rPr>
      </w:pPr>
      <w:r>
        <w:rPr>
          <w:rFonts w:hint="eastAsia" w:ascii="宋体" w:hAnsi="宋体"/>
          <w:color w:val="auto"/>
          <w:szCs w:val="21"/>
          <w:highlight w:val="none"/>
        </w:rPr>
        <w:t>合同编号：</w:t>
      </w:r>
    </w:p>
    <w:p>
      <w:pPr>
        <w:rPr>
          <w:rFonts w:hint="eastAsia" w:ascii="宋体" w:hAnsi="宋体"/>
          <w:color w:val="auto"/>
          <w:szCs w:val="21"/>
          <w:highlight w:val="none"/>
        </w:rPr>
      </w:pPr>
      <w:r>
        <w:rPr>
          <w:rFonts w:hint="eastAsia" w:ascii="宋体" w:hAnsi="宋体"/>
          <w:color w:val="auto"/>
          <w:szCs w:val="21"/>
          <w:highlight w:val="none"/>
        </w:rPr>
        <w:t>甲方：东莞市塘厦镇石鼓股份经济联合社</w:t>
      </w:r>
    </w:p>
    <w:p>
      <w:pPr>
        <w:spacing w:line="420" w:lineRule="atLeast"/>
        <w:rPr>
          <w:rFonts w:ascii="宋体" w:hAnsi="宋体"/>
          <w:color w:val="auto"/>
          <w:szCs w:val="21"/>
          <w:highlight w:val="none"/>
        </w:rPr>
      </w:pPr>
      <w:r>
        <w:rPr>
          <w:rFonts w:hint="eastAsia" w:ascii="宋体" w:hAnsi="宋体"/>
          <w:color w:val="auto"/>
          <w:szCs w:val="21"/>
          <w:highlight w:val="none"/>
        </w:rPr>
        <w:t xml:space="preserve">乙方：“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(采购代理机构)</w:t>
      </w:r>
      <w:r>
        <w:rPr>
          <w:rFonts w:hint="eastAsia" w:ascii="宋体" w:hAnsi="宋体"/>
          <w:color w:val="auto"/>
          <w:szCs w:val="21"/>
          <w:highlight w:val="none"/>
        </w:rPr>
        <w:t>组织对</w:t>
      </w:r>
      <w:r>
        <w:rPr>
          <w:rFonts w:hint="eastAsia" w:ascii="宋体" w:hAnsi="宋体"/>
          <w:color w:val="auto"/>
          <w:szCs w:val="21"/>
          <w:highlight w:val="none"/>
          <w:u w:val="single"/>
          <w:lang w:eastAsia="zh-CN"/>
        </w:rPr>
        <w:t>石鼓社区大件废弃物收集、清运、处置，牛皮癣清理，河道保洁服务采购项目</w:t>
      </w:r>
      <w:r>
        <w:rPr>
          <w:rFonts w:hint="eastAsia" w:ascii="宋体" w:hAnsi="宋体"/>
          <w:color w:val="auto"/>
          <w:szCs w:val="21"/>
          <w:highlight w:val="none"/>
        </w:rPr>
        <w:t>（采购项目编号为）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进行采购，于</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年</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月</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日通过公开招标，经评标委员会评定乙方为中标单位。为了保护甲、乙双方合法权益，根据《中华人民共和国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w:t>
      </w:r>
      <w:r>
        <w:rPr>
          <w:rFonts w:hint="eastAsia" w:ascii="宋体" w:hAnsi="宋体"/>
          <w:color w:val="auto"/>
          <w:szCs w:val="21"/>
          <w:highlight w:val="none"/>
          <w:u w:val="single"/>
          <w:lang w:eastAsia="zh-CN"/>
        </w:rPr>
        <w:t>石鼓社区大件废弃物收集、清运、处置，牛皮癣清理，河道保洁服务采购项目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7" w:name="_Toc86481558"/>
      <w:r>
        <w:rPr>
          <w:rFonts w:hint="eastAsia" w:ascii="宋体" w:hAnsi="宋体"/>
          <w:b/>
          <w:color w:val="auto"/>
          <w:szCs w:val="21"/>
          <w:highlight w:val="none"/>
        </w:rPr>
        <w:t>第三条 服务内容、标准及要求</w:t>
      </w:r>
    </w:p>
    <w:p>
      <w:pPr>
        <w:ind w:firstLine="420" w:firstLineChars="200"/>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olor w:val="auto"/>
          <w:szCs w:val="21"/>
          <w:highlight w:val="none"/>
          <w:u w:val="single"/>
          <w:lang w:eastAsia="zh-CN"/>
        </w:rPr>
        <w:t>石鼓社区大件废弃物收集、清运、处置，牛皮癣清理，河道保洁服务</w:t>
      </w:r>
      <w:r>
        <w:rPr>
          <w:rFonts w:hint="eastAsia" w:ascii="宋体" w:hAnsi="宋体" w:cs="仿宋"/>
          <w:color w:val="auto"/>
          <w:szCs w:val="21"/>
          <w:highlight w:val="none"/>
          <w:u w:val="single"/>
          <w:shd w:val="clear" w:color="auto" w:fill="FFFFFF"/>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宋体" w:hAnsi="宋体" w:cs="宋体"/>
          <w:color w:val="auto"/>
          <w:sz w:val="21"/>
          <w:szCs w:val="21"/>
          <w:highlight w:val="none"/>
          <w:u w:val="none"/>
          <w:lang w:val="en-US" w:eastAsia="zh-CN"/>
        </w:rPr>
      </w:pPr>
      <w:r>
        <w:rPr>
          <w:rFonts w:hint="eastAsia" w:ascii="宋体" w:hAnsi="宋体" w:eastAsia="宋体" w:cstheme="minorBidi"/>
          <w:color w:val="auto"/>
          <w:kern w:val="0"/>
          <w:sz w:val="21"/>
          <w:szCs w:val="21"/>
          <w:highlight w:val="none"/>
          <w:u w:val="none"/>
          <w:lang w:val="en-US" w:eastAsia="zh-CN" w:bidi="ar-SA"/>
        </w:rPr>
        <w:t>2、采购标准：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）大件废弃物收集、清运、处置</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具体负责处理采购人社区辖区内产生的大件废弃物。堆放地点收集到一定量后，采购人通知本项目中标人安排运走处理，需要的人工、机械、车辆等设备及处理费用全部由中标人负责</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并承担全部安全生产、文明施工、环境保护等责任。采购人将安排专人全程监督中标人进行装运，并做好相关的台账和图片记录。</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注：</w:t>
      </w:r>
      <w:r>
        <w:rPr>
          <w:rFonts w:hint="eastAsia" w:ascii="宋体" w:hAnsi="宋体" w:eastAsia="宋体" w:cs="宋体"/>
          <w:color w:val="auto"/>
          <w:sz w:val="21"/>
          <w:szCs w:val="21"/>
          <w:highlight w:val="none"/>
        </w:rPr>
        <w:t>本项目所提及大件废弃物是指废旧家具垃圾</w:t>
      </w:r>
      <w:r>
        <w:rPr>
          <w:rFonts w:hint="eastAsia" w:ascii="宋体" w:hAnsi="宋体" w:cs="宋体"/>
          <w:color w:val="auto"/>
          <w:sz w:val="21"/>
          <w:szCs w:val="21"/>
          <w:highlight w:val="none"/>
          <w:lang w:val="en-US" w:eastAsia="zh-CN"/>
        </w:rPr>
        <w:t>和</w:t>
      </w:r>
      <w:r>
        <w:rPr>
          <w:rFonts w:hint="eastAsia" w:ascii="宋体" w:hAnsi="宋体" w:eastAsia="宋体" w:cs="宋体"/>
          <w:color w:val="auto"/>
          <w:sz w:val="21"/>
          <w:szCs w:val="21"/>
          <w:highlight w:val="none"/>
        </w:rPr>
        <w:t>建筑装饰材料收集处理</w:t>
      </w:r>
      <w:r>
        <w:rPr>
          <w:rFonts w:hint="eastAsia" w:ascii="宋体" w:hAnsi="宋体" w:cs="宋体"/>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eastAsia="宋体" w:cs="宋体"/>
          <w:color w:val="auto"/>
          <w:sz w:val="21"/>
          <w:szCs w:val="21"/>
          <w:highlight w:val="none"/>
          <w:lang w:eastAsia="zh-CN"/>
        </w:rPr>
        <w:t>牛皮癣</w:t>
      </w:r>
      <w:r>
        <w:rPr>
          <w:rFonts w:hint="eastAsia" w:ascii="宋体" w:hAnsi="宋体" w:eastAsia="宋体" w:cs="宋体"/>
          <w:color w:val="auto"/>
          <w:sz w:val="21"/>
          <w:szCs w:val="21"/>
          <w:highlight w:val="none"/>
          <w:lang w:val="en-US" w:eastAsia="zh-CN"/>
        </w:rPr>
        <w:t>清理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清理</w:t>
      </w:r>
      <w:r>
        <w:rPr>
          <w:rFonts w:hint="eastAsia" w:ascii="宋体" w:hAnsi="宋体" w:eastAsia="宋体" w:cs="宋体"/>
          <w:color w:val="auto"/>
          <w:sz w:val="21"/>
          <w:szCs w:val="21"/>
          <w:highlight w:val="none"/>
        </w:rPr>
        <w:t>道路两侧、台阶、侧石、各种市政公共设施、建（构）筑物全部表面（包括商店卷闸）上的乱涂写、张贴、刻画、张挂物等“牛皮癣”，</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必须配备专业的牛皮癣清理队伍和设备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参照全国文明城市和国家卫生城市的管理要求对承包范围内的“牛皮癣”进行清理。清理期间，必须遵守交通、环境保护、安全生产等方面的管理规定，并承担全部安全生产、文明施工、环境保护等责任。</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河道保洁</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利用机械或人工对河道水面上及河道内水面所浸泡到的绿色植物丛中的垃圾、杂草、枯枝落叶、漂浮物、水草、水浮莲等杂物进行打捞清理、</w:t>
      </w:r>
      <w:r>
        <w:rPr>
          <w:rFonts w:hint="eastAsia" w:ascii="宋体" w:hAnsi="宋体" w:eastAsia="宋体" w:cs="宋体"/>
          <w:color w:val="auto"/>
          <w:sz w:val="21"/>
          <w:szCs w:val="21"/>
          <w:highlight w:val="none"/>
          <w:lang w:eastAsia="zh-CN"/>
        </w:rPr>
        <w:t>及时</w:t>
      </w:r>
      <w:r>
        <w:rPr>
          <w:rFonts w:hint="eastAsia" w:ascii="宋体" w:hAnsi="宋体" w:eastAsia="宋体" w:cs="宋体"/>
          <w:color w:val="auto"/>
          <w:sz w:val="21"/>
          <w:szCs w:val="21"/>
          <w:highlight w:val="none"/>
        </w:rPr>
        <w:t>处理水面油污、</w:t>
      </w:r>
      <w:r>
        <w:rPr>
          <w:rFonts w:hint="eastAsia" w:ascii="宋体" w:hAnsi="宋体" w:eastAsia="宋体" w:cs="宋体"/>
          <w:color w:val="auto"/>
          <w:sz w:val="21"/>
          <w:szCs w:val="21"/>
          <w:highlight w:val="none"/>
          <w:lang w:val="en-US" w:eastAsia="zh-CN"/>
        </w:rPr>
        <w:t>做好河道水面保洁工作，及时处置打捞清理后的垃圾。</w:t>
      </w:r>
      <w:r>
        <w:rPr>
          <w:rFonts w:hint="eastAsia" w:ascii="宋体" w:hAnsi="宋体" w:eastAsia="宋体" w:cs="宋体"/>
          <w:color w:val="auto"/>
          <w:sz w:val="21"/>
          <w:szCs w:val="21"/>
          <w:highlight w:val="none"/>
        </w:rPr>
        <w:t>并承担全部安全生产、文明施工、环境保护等责任。</w:t>
      </w:r>
    </w:p>
    <w:p>
      <w:pPr>
        <w:numPr>
          <w:ilvl w:val="0"/>
          <w:numId w:val="2"/>
        </w:numPr>
        <w:ind w:left="0" w:leftChars="0" w:firstLine="420" w:firstLineChars="200"/>
        <w:rPr>
          <w:rFonts w:hint="eastAsia" w:ascii="宋体" w:hAnsi="宋体" w:cs="仿宋"/>
          <w:color w:val="auto"/>
          <w:szCs w:val="21"/>
          <w:highlight w:val="none"/>
          <w:shd w:val="clear" w:color="auto" w:fill="FFFFFF"/>
          <w:lang w:val="en-US" w:eastAsia="zh-CN"/>
        </w:rPr>
      </w:pPr>
      <w:r>
        <w:rPr>
          <w:rFonts w:hint="eastAsia" w:ascii="宋体" w:hAnsi="宋体" w:cs="仿宋"/>
          <w:color w:val="auto"/>
          <w:szCs w:val="21"/>
          <w:highlight w:val="none"/>
          <w:shd w:val="clear" w:color="auto" w:fill="FFFFFF"/>
          <w:lang w:val="en-US" w:eastAsia="zh-CN"/>
        </w:rPr>
        <w:t>服务清单</w:t>
      </w:r>
    </w:p>
    <w:tbl>
      <w:tblPr>
        <w:tblStyle w:val="26"/>
        <w:tblW w:w="837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7"/>
        <w:gridCol w:w="1542"/>
        <w:gridCol w:w="3772"/>
        <w:gridCol w:w="1170"/>
        <w:gridCol w:w="11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07"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54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377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项目特征描述</w:t>
            </w:r>
          </w:p>
        </w:tc>
        <w:tc>
          <w:tcPr>
            <w:tcW w:w="117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计量单位</w:t>
            </w:r>
          </w:p>
        </w:tc>
        <w:tc>
          <w:tcPr>
            <w:tcW w:w="118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预计数量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07"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154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377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117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c>
          <w:tcPr>
            <w:tcW w:w="118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0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5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废旧家具垃圾</w:t>
            </w:r>
          </w:p>
        </w:tc>
        <w:tc>
          <w:tcPr>
            <w:tcW w:w="37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1.种类、规格:废旧家具垃圾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2.运距.:300km</w:t>
            </w:r>
          </w:p>
        </w:tc>
        <w:tc>
          <w:tcPr>
            <w:tcW w:w="11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t/月</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0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5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建筑装饰材料收集处理</w:t>
            </w:r>
          </w:p>
        </w:tc>
        <w:tc>
          <w:tcPr>
            <w:tcW w:w="37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1.岩石类别:建筑装饰材料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2.弃碴运距:300km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3.其他:含处理</w:t>
            </w:r>
          </w:p>
        </w:tc>
        <w:tc>
          <w:tcPr>
            <w:tcW w:w="11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m3/月</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0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5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牛皮癣清理</w:t>
            </w:r>
          </w:p>
        </w:tc>
        <w:tc>
          <w:tcPr>
            <w:tcW w:w="37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1.名称:清除牛皮癣</w:t>
            </w:r>
          </w:p>
        </w:tc>
        <w:tc>
          <w:tcPr>
            <w:tcW w:w="11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m2/月</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70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5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河道保洁</w:t>
            </w:r>
          </w:p>
        </w:tc>
        <w:tc>
          <w:tcPr>
            <w:tcW w:w="37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1.岩石类别:河道保洁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2.其他:水域漂浮垃圾清除打捞，每月打捞4次</w:t>
            </w:r>
          </w:p>
        </w:tc>
        <w:tc>
          <w:tcPr>
            <w:tcW w:w="11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km/月</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bl>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lang w:val="en-US" w:eastAsia="zh-CN"/>
        </w:rPr>
        <w:t>4</w:t>
      </w:r>
      <w:r>
        <w:rPr>
          <w:rFonts w:hint="eastAsia" w:ascii="宋体" w:hAnsi="宋体" w:cs="仿宋"/>
          <w:color w:val="auto"/>
          <w:szCs w:val="21"/>
          <w:highlight w:val="none"/>
          <w:shd w:val="clear" w:color="auto" w:fill="FFFFFF"/>
        </w:rPr>
        <w:t>、具体采购内容采购标准及要求以招标文件用户需求书及乙方投标文件承诺条款及方案为准。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w:t>
      </w:r>
      <w:r>
        <w:rPr>
          <w:rFonts w:hint="eastAsia" w:ascii="宋体" w:hAnsi="宋体"/>
          <w:color w:val="auto"/>
          <w:szCs w:val="21"/>
          <w:highlight w:val="none"/>
          <w:lang w:val="en-US" w:eastAsia="zh-CN"/>
        </w:rPr>
        <w:t>3</w:t>
      </w:r>
      <w:r>
        <w:rPr>
          <w:rFonts w:hint="eastAsia" w:ascii="宋体" w:hAnsi="宋体"/>
          <w:color w:val="auto"/>
          <w:szCs w:val="21"/>
          <w:highlight w:val="none"/>
        </w:rPr>
        <w:t>年，合同生效之日自</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年</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日至</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年</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w:t>
      </w:r>
      <w:r>
        <w:rPr>
          <w:rFonts w:hint="eastAsia" w:ascii="宋体" w:hAnsi="宋体"/>
          <w:color w:val="auto"/>
          <w:szCs w:val="21"/>
          <w:highlight w:val="none"/>
          <w:u w:val="single"/>
        </w:rPr>
        <w:t>石鼓社区</w:t>
      </w:r>
      <w:r>
        <w:rPr>
          <w:rFonts w:hint="eastAsia" w:ascii="宋体" w:hAnsi="宋体"/>
          <w:color w:val="auto"/>
          <w:szCs w:val="21"/>
          <w:highlight w:val="none"/>
        </w:rPr>
        <w:t>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3"/>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3"/>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w:t>
      </w:r>
      <w:r>
        <w:rPr>
          <w:rFonts w:hint="eastAsia" w:ascii="宋体" w:hAnsi="宋体"/>
          <w:color w:val="auto"/>
          <w:szCs w:val="21"/>
          <w:highlight w:val="none"/>
          <w:lang w:val="en-US" w:eastAsia="zh-CN"/>
        </w:rPr>
        <w:t>5</w:t>
      </w:r>
      <w:r>
        <w:rPr>
          <w:rFonts w:hint="eastAsia" w:ascii="宋体" w:hAnsi="宋体"/>
          <w:color w:val="auto"/>
          <w:szCs w:val="21"/>
          <w:highlight w:val="none"/>
        </w:rPr>
        <w:t>%的违约金。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7"/>
    <w:p>
      <w:pPr>
        <w:ind w:firstLine="422" w:firstLineChars="200"/>
        <w:rPr>
          <w:rFonts w:ascii="宋体" w:hAnsi="宋体"/>
          <w:b/>
          <w:color w:val="auto"/>
          <w:szCs w:val="21"/>
          <w:highlight w:val="none"/>
        </w:rPr>
      </w:pPr>
      <w:bookmarkStart w:id="198"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9" w:name="_Toc86481569"/>
      <w:r>
        <w:rPr>
          <w:rFonts w:hint="eastAsia" w:ascii="宋体" w:hAnsi="宋体"/>
          <w:b/>
          <w:color w:val="auto"/>
          <w:szCs w:val="21"/>
          <w:highlight w:val="none"/>
        </w:rPr>
        <w:t>第十二条 合同生效</w:t>
      </w:r>
      <w:bookmarkEnd w:id="199"/>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w:t>
      </w:r>
      <w:r>
        <w:rPr>
          <w:rFonts w:hint="eastAsia" w:ascii="宋体" w:hAnsi="宋体"/>
          <w:color w:val="auto"/>
          <w:szCs w:val="21"/>
          <w:highlight w:val="none"/>
          <w:lang w:eastAsia="zh-CN"/>
        </w:rPr>
        <w:t>一</w:t>
      </w:r>
      <w:r>
        <w:rPr>
          <w:rFonts w:hint="eastAsia" w:ascii="宋体" w:hAnsi="宋体"/>
          <w:color w:val="auto"/>
          <w:szCs w:val="21"/>
          <w:highlight w:val="none"/>
        </w:rPr>
        <w:t>式</w:t>
      </w:r>
      <w:r>
        <w:rPr>
          <w:rFonts w:hint="eastAsia" w:ascii="宋体" w:hAnsi="宋体"/>
          <w:color w:val="auto"/>
          <w:szCs w:val="21"/>
          <w:highlight w:val="none"/>
          <w:lang w:eastAsia="zh-CN"/>
        </w:rPr>
        <w:t>三</w:t>
      </w:r>
      <w:r>
        <w:rPr>
          <w:rFonts w:hint="eastAsia" w:ascii="宋体" w:hAnsi="宋体"/>
          <w:color w:val="auto"/>
          <w:szCs w:val="21"/>
          <w:highlight w:val="none"/>
        </w:rPr>
        <w:t>份，其中甲方</w:t>
      </w:r>
      <w:r>
        <w:rPr>
          <w:rFonts w:hint="eastAsia" w:ascii="宋体" w:hAnsi="宋体"/>
          <w:color w:val="auto"/>
          <w:szCs w:val="21"/>
          <w:highlight w:val="none"/>
          <w:lang w:eastAsia="zh-CN"/>
        </w:rPr>
        <w:t>一</w:t>
      </w:r>
      <w:r>
        <w:rPr>
          <w:rFonts w:hint="eastAsia" w:ascii="宋体" w:hAnsi="宋体"/>
          <w:color w:val="auto"/>
          <w:szCs w:val="21"/>
          <w:highlight w:val="none"/>
        </w:rPr>
        <w:t>份、乙方</w:t>
      </w:r>
      <w:r>
        <w:rPr>
          <w:rFonts w:hint="eastAsia" w:ascii="宋体" w:hAnsi="宋体"/>
          <w:color w:val="auto"/>
          <w:szCs w:val="21"/>
          <w:highlight w:val="none"/>
          <w:lang w:eastAsia="zh-CN"/>
        </w:rPr>
        <w:t>一</w:t>
      </w:r>
      <w:r>
        <w:rPr>
          <w:rFonts w:hint="eastAsia" w:ascii="宋体" w:hAnsi="宋体"/>
          <w:color w:val="auto"/>
          <w:szCs w:val="21"/>
          <w:highlight w:val="none"/>
        </w:rPr>
        <w:t>份，采购代理机构</w:t>
      </w:r>
      <w:r>
        <w:rPr>
          <w:rFonts w:hint="eastAsia" w:ascii="宋体" w:hAnsi="宋体"/>
          <w:color w:val="auto"/>
          <w:szCs w:val="21"/>
          <w:highlight w:val="none"/>
          <w:lang w:eastAsia="zh-CN"/>
        </w:rPr>
        <w:t>一</w:t>
      </w:r>
      <w:r>
        <w:rPr>
          <w:rFonts w:hint="eastAsia" w:ascii="宋体" w:hAnsi="宋体"/>
          <w:color w:val="auto"/>
          <w:szCs w:val="21"/>
          <w:highlight w:val="none"/>
        </w:rPr>
        <w:t>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8"/>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2、在执行本合同的过程中，所有经甲乙双方签署确认的文件（包括补充协议</w:t>
      </w:r>
      <w:r>
        <w:rPr>
          <w:rFonts w:hint="eastAsia" w:ascii="宋体" w:hAnsi="宋体"/>
          <w:color w:val="auto"/>
          <w:szCs w:val="21"/>
          <w:highlight w:val="none"/>
          <w:lang w:eastAsia="zh-CN"/>
        </w:rPr>
        <w:t>、</w:t>
      </w:r>
      <w:r>
        <w:rPr>
          <w:rFonts w:hint="eastAsia" w:ascii="宋体" w:hAnsi="宋体"/>
          <w:color w:val="auto"/>
          <w:szCs w:val="21"/>
          <w:highlight w:val="none"/>
        </w:rPr>
        <w:t>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pStyle w:val="9"/>
        <w:rPr>
          <w:rFonts w:cstheme="minorBidi"/>
          <w:color w:val="auto"/>
          <w:sz w:val="21"/>
          <w:szCs w:val="21"/>
          <w:highlight w:val="none"/>
          <w:lang w:val="en-US" w:bidi="ar-SA"/>
        </w:rPr>
      </w:pPr>
      <w:r>
        <w:rPr>
          <w:rFonts w:hint="eastAsia" w:cstheme="minorBidi"/>
          <w:color w:val="auto"/>
          <w:sz w:val="21"/>
          <w:szCs w:val="21"/>
          <w:highlight w:val="none"/>
          <w:lang w:val="en-US" w:bidi="ar-SA"/>
        </w:rPr>
        <w:t>以下无正文</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2"/>
        <w:spacing w:before="0" w:after="0" w:line="240" w:lineRule="auto"/>
        <w:rPr>
          <w:color w:val="auto"/>
          <w:sz w:val="28"/>
          <w:szCs w:val="28"/>
          <w:highlight w:val="none"/>
        </w:rPr>
      </w:pPr>
      <w:bookmarkStart w:id="200" w:name="_Toc1478"/>
      <w:bookmarkStart w:id="201" w:name="_Toc31587"/>
      <w:bookmarkStart w:id="202" w:name="_Toc23749"/>
      <w:r>
        <w:rPr>
          <w:rFonts w:hint="eastAsia"/>
          <w:color w:val="auto"/>
          <w:sz w:val="28"/>
          <w:szCs w:val="28"/>
          <w:highlight w:val="none"/>
        </w:rPr>
        <w:t>第七部分  投标文件格式</w:t>
      </w:r>
      <w:bookmarkEnd w:id="200"/>
      <w:bookmarkEnd w:id="201"/>
      <w:bookmarkEnd w:id="202"/>
    </w:p>
    <w:p>
      <w:pPr>
        <w:rPr>
          <w:color w:val="auto"/>
          <w:highlight w:val="none"/>
        </w:rPr>
      </w:pPr>
    </w:p>
    <w:p>
      <w:pPr>
        <w:pStyle w:val="4"/>
        <w:rPr>
          <w:color w:val="auto"/>
          <w:highlight w:val="none"/>
        </w:rPr>
      </w:pPr>
      <w:bookmarkStart w:id="203" w:name="_Toc26830"/>
      <w:bookmarkStart w:id="204" w:name="_Toc5794"/>
      <w:bookmarkStart w:id="205" w:name="_Toc6790"/>
      <w:r>
        <w:rPr>
          <w:rFonts w:hint="eastAsia"/>
          <w:color w:val="auto"/>
          <w:highlight w:val="none"/>
        </w:rPr>
        <w:t>投标文件目录</w:t>
      </w:r>
      <w:bookmarkEnd w:id="203"/>
      <w:bookmarkEnd w:id="204"/>
      <w:bookmarkEnd w:id="205"/>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06" w:name="_Toc18893"/>
      <w:bookmarkStart w:id="207" w:name="_Toc5670"/>
      <w:bookmarkStart w:id="208" w:name="_Toc25502"/>
      <w:r>
        <w:rPr>
          <w:rFonts w:hint="eastAsia"/>
          <w:color w:val="auto"/>
          <w:highlight w:val="none"/>
        </w:rPr>
        <w:t>评分标准索引表</w:t>
      </w:r>
      <w:bookmarkEnd w:id="206"/>
      <w:bookmarkEnd w:id="207"/>
      <w:bookmarkEnd w:id="208"/>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6"/>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6"/>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6"/>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6"/>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4"/>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8"/>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jc w:val="both"/>
              <w:rPr>
                <w:rFonts w:ascii="宋体" w:hAnsi="宋体" w:cs="宋体"/>
                <w:color w:val="auto"/>
                <w:szCs w:val="21"/>
                <w:highlight w:val="none"/>
              </w:rPr>
            </w:pPr>
          </w:p>
        </w:tc>
        <w:tc>
          <w:tcPr>
            <w:tcW w:w="5028" w:type="dxa"/>
            <w:vAlign w:val="center"/>
          </w:tcPr>
          <w:p>
            <w:pPr>
              <w:pStyle w:val="34"/>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9"/>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09" w:name="_Toc22080"/>
      <w:bookmarkStart w:id="210" w:name="_Toc8194"/>
      <w:bookmarkStart w:id="211" w:name="_Toc30640"/>
      <w:r>
        <w:rPr>
          <w:rFonts w:hint="eastAsia"/>
          <w:color w:val="auto"/>
          <w:highlight w:val="none"/>
        </w:rPr>
        <w:t>第一章价格文件</w:t>
      </w:r>
      <w:bookmarkEnd w:id="209"/>
      <w:bookmarkEnd w:id="210"/>
    </w:p>
    <w:p>
      <w:pPr>
        <w:pStyle w:val="4"/>
        <w:jc w:val="center"/>
        <w:rPr>
          <w:color w:val="auto"/>
          <w:highlight w:val="none"/>
        </w:rPr>
      </w:pPr>
      <w:bookmarkStart w:id="212" w:name="_Toc19750"/>
      <w:bookmarkStart w:id="213" w:name="_Toc4168"/>
      <w:r>
        <w:rPr>
          <w:rFonts w:hint="eastAsia"/>
          <w:color w:val="auto"/>
          <w:highlight w:val="none"/>
        </w:rPr>
        <w:t>一、唱标一览表</w:t>
      </w:r>
      <w:bookmarkEnd w:id="212"/>
      <w:bookmarkEnd w:id="213"/>
    </w:p>
    <w:p>
      <w:pPr>
        <w:rPr>
          <w:color w:val="auto"/>
          <w:highlight w:val="none"/>
        </w:rPr>
      </w:pPr>
    </w:p>
    <w:tbl>
      <w:tblPr>
        <w:tblStyle w:val="26"/>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rPr>
          <w:color w:val="auto"/>
          <w:highlight w:val="none"/>
        </w:rPr>
      </w:pPr>
    </w:p>
    <w:p>
      <w:pPr>
        <w:pStyle w:val="9"/>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pStyle w:val="25"/>
        <w:rPr>
          <w:color w:val="auto"/>
          <w:highlight w:val="none"/>
        </w:rPr>
      </w:pPr>
    </w:p>
    <w:p>
      <w:pPr>
        <w:rPr>
          <w:color w:val="auto"/>
          <w:highlight w:val="none"/>
        </w:rPr>
      </w:pPr>
    </w:p>
    <w:p>
      <w:pPr>
        <w:pStyle w:val="4"/>
        <w:jc w:val="center"/>
        <w:rPr>
          <w:color w:val="auto"/>
          <w:highlight w:val="none"/>
        </w:rPr>
      </w:pPr>
      <w:bookmarkStart w:id="214" w:name="_Toc31172"/>
      <w:bookmarkStart w:id="215" w:name="_Toc31062"/>
      <w:r>
        <w:rPr>
          <w:rFonts w:hint="eastAsia"/>
          <w:color w:val="auto"/>
          <w:highlight w:val="none"/>
        </w:rPr>
        <w:t>二、报价明细表</w:t>
      </w:r>
      <w:bookmarkEnd w:id="214"/>
      <w:bookmarkEnd w:id="215"/>
    </w:p>
    <w:p>
      <w:pPr>
        <w:pStyle w:val="34"/>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4"/>
        <w:rPr>
          <w:rFonts w:ascii="黑体" w:eastAsia="黑体"/>
          <w:color w:val="auto"/>
          <w:sz w:val="32"/>
          <w:szCs w:val="32"/>
          <w:highlight w:val="none"/>
        </w:rPr>
      </w:pPr>
    </w:p>
    <w:p>
      <w:pPr>
        <w:pStyle w:val="34"/>
        <w:rPr>
          <w:rFonts w:ascii="黑体" w:eastAsia="黑体"/>
          <w:color w:val="auto"/>
          <w:sz w:val="32"/>
          <w:szCs w:val="32"/>
          <w:highlight w:val="none"/>
        </w:rPr>
      </w:pPr>
    </w:p>
    <w:p>
      <w:pPr>
        <w:pStyle w:val="4"/>
        <w:jc w:val="center"/>
        <w:rPr>
          <w:color w:val="auto"/>
          <w:highlight w:val="none"/>
        </w:rPr>
      </w:pPr>
      <w:bookmarkStart w:id="216" w:name="_Toc23355"/>
      <w:bookmarkStart w:id="217" w:name="_Toc20974"/>
      <w:r>
        <w:rPr>
          <w:rFonts w:hint="eastAsia"/>
          <w:color w:val="auto"/>
          <w:highlight w:val="none"/>
        </w:rPr>
        <w:t>三、小型或微型企业（货物/服务/承担的工程）明细表</w:t>
      </w:r>
      <w:bookmarkEnd w:id="216"/>
      <w:bookmarkEnd w:id="217"/>
    </w:p>
    <w:tbl>
      <w:tblPr>
        <w:tblStyle w:val="26"/>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7"/>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注：</w:t>
      </w:r>
    </w:p>
    <w:p>
      <w:pPr>
        <w:ind w:firstLine="422" w:firstLineChars="200"/>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6"/>
          <w:rFonts w:hint="eastAsia" w:ascii="宋体" w:hAnsi="宋体" w:eastAsia="宋体" w:cs="宋体"/>
          <w:b/>
          <w:color w:val="auto"/>
          <w:sz w:val="21"/>
          <w:szCs w:val="21"/>
          <w:highlight w:val="none"/>
        </w:rPr>
        <w:t>；</w:t>
      </w:r>
    </w:p>
    <w:p>
      <w:pPr>
        <w:pStyle w:val="37"/>
        <w:ind w:firstLine="422"/>
        <w:rPr>
          <w:rFonts w:ascii="黑体" w:eastAsia="黑体"/>
          <w:color w:val="auto"/>
          <w:sz w:val="32"/>
          <w:szCs w:val="32"/>
          <w:highlight w:val="none"/>
        </w:rPr>
      </w:pPr>
      <w:r>
        <w:rPr>
          <w:rStyle w:val="46"/>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18" w:name="_Toc16718"/>
      <w:bookmarkStart w:id="219" w:name="_Toc13970"/>
      <w:r>
        <w:rPr>
          <w:rFonts w:hint="eastAsia"/>
          <w:color w:val="auto"/>
          <w:highlight w:val="none"/>
        </w:rPr>
        <w:t>四、节能产品或环境标志产品明细表</w:t>
      </w:r>
      <w:bookmarkEnd w:id="218"/>
      <w:bookmarkEnd w:id="219"/>
    </w:p>
    <w:tbl>
      <w:tblPr>
        <w:tblStyle w:val="2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4"/>
        <w:rPr>
          <w:color w:val="auto"/>
          <w:highlight w:val="none"/>
        </w:rPr>
      </w:pPr>
    </w:p>
    <w:p>
      <w:pPr>
        <w:tabs>
          <w:tab w:val="left" w:pos="284"/>
        </w:tabs>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注：</w:t>
      </w:r>
    </w:p>
    <w:p>
      <w:pPr>
        <w:tabs>
          <w:tab w:val="left" w:pos="284"/>
        </w:tabs>
        <w:ind w:firstLine="422" w:firstLineChars="200"/>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6"/>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220" w:name="_Toc10853"/>
      <w:bookmarkStart w:id="221" w:name="_Toc17482"/>
      <w:r>
        <w:rPr>
          <w:rFonts w:hint="eastAsia"/>
          <w:color w:val="auto"/>
          <w:highlight w:val="none"/>
        </w:rPr>
        <w:t>五、中小企业声明函</w:t>
      </w:r>
      <w:bookmarkEnd w:id="220"/>
      <w:bookmarkEnd w:id="221"/>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9"/>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2"/>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9"/>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9"/>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9"/>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9"/>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2"/>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9"/>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9"/>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9"/>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22" w:name="_Toc8560"/>
      <w:bookmarkStart w:id="223" w:name="_Toc7959"/>
      <w:r>
        <w:rPr>
          <w:rFonts w:hint="eastAsia"/>
          <w:color w:val="auto"/>
          <w:highlight w:val="none"/>
        </w:rPr>
        <w:t>六、残疾人福利性单位声明函</w:t>
      </w:r>
      <w:bookmarkEnd w:id="222"/>
      <w:bookmarkEnd w:id="223"/>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4" w:name="_Toc510171693"/>
      <w:bookmarkStart w:id="225" w:name="_Toc509844825"/>
      <w:bookmarkStart w:id="226" w:name="_Toc22970"/>
      <w:bookmarkStart w:id="227" w:name="_Toc508960153"/>
      <w:bookmarkStart w:id="228" w:name="_Toc30247"/>
      <w:bookmarkStart w:id="229" w:name="_Toc508898066"/>
      <w:bookmarkStart w:id="230" w:name="_Toc509927455"/>
      <w:bookmarkStart w:id="231" w:name="_Toc20910"/>
      <w:bookmarkStart w:id="232" w:name="_Toc30277"/>
      <w:bookmarkStart w:id="233" w:name="_Toc508958703"/>
      <w:bookmarkStart w:id="234" w:name="_Toc509479530"/>
      <w:bookmarkStart w:id="235" w:name="_Toc17761"/>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4"/>
      <w:bookmarkEnd w:id="225"/>
      <w:bookmarkEnd w:id="226"/>
      <w:bookmarkEnd w:id="227"/>
      <w:bookmarkEnd w:id="228"/>
      <w:bookmarkEnd w:id="229"/>
      <w:bookmarkEnd w:id="230"/>
      <w:bookmarkEnd w:id="231"/>
      <w:bookmarkEnd w:id="232"/>
      <w:bookmarkEnd w:id="233"/>
      <w:bookmarkEnd w:id="234"/>
      <w:bookmarkEnd w:id="235"/>
    </w:p>
    <w:p>
      <w:pPr>
        <w:pStyle w:val="9"/>
        <w:rPr>
          <w:color w:val="auto"/>
          <w:highlight w:val="none"/>
        </w:rPr>
      </w:pPr>
    </w:p>
    <w:p>
      <w:pPr>
        <w:ind w:firstLine="420" w:firstLineChars="200"/>
        <w:rPr>
          <w:rFonts w:ascii="宋体" w:hAnsi="宋体"/>
          <w:color w:val="auto"/>
          <w:szCs w:val="21"/>
          <w:highlight w:val="none"/>
        </w:rPr>
      </w:pPr>
      <w:bookmarkStart w:id="236" w:name="_Toc510171694"/>
      <w:bookmarkStart w:id="237" w:name="_Toc508960154"/>
      <w:bookmarkStart w:id="238" w:name="_Toc509479531"/>
      <w:bookmarkStart w:id="239" w:name="_Toc31520"/>
      <w:bookmarkStart w:id="240" w:name="_Toc21053"/>
      <w:bookmarkStart w:id="241" w:name="_Toc26216"/>
      <w:bookmarkStart w:id="242" w:name="_Toc509927456"/>
      <w:bookmarkStart w:id="243" w:name="_Toc5447"/>
      <w:bookmarkStart w:id="244" w:name="_Toc508958704"/>
      <w:bookmarkStart w:id="245" w:name="_Toc28527"/>
      <w:bookmarkStart w:id="246" w:name="_Toc509844826"/>
      <w:bookmarkStart w:id="247" w:name="_Toc508898067"/>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6"/>
      <w:bookmarkEnd w:id="237"/>
      <w:bookmarkEnd w:id="238"/>
      <w:bookmarkEnd w:id="239"/>
      <w:bookmarkEnd w:id="240"/>
      <w:bookmarkEnd w:id="241"/>
      <w:bookmarkEnd w:id="242"/>
      <w:bookmarkEnd w:id="243"/>
      <w:bookmarkEnd w:id="244"/>
      <w:bookmarkEnd w:id="245"/>
      <w:bookmarkEnd w:id="246"/>
      <w:bookmarkEnd w:id="247"/>
    </w:p>
    <w:p>
      <w:pPr>
        <w:ind w:firstLine="420" w:firstLineChars="200"/>
        <w:rPr>
          <w:rFonts w:ascii="宋体" w:hAnsi="宋体"/>
          <w:color w:val="auto"/>
          <w:szCs w:val="21"/>
          <w:highlight w:val="none"/>
        </w:rPr>
      </w:pPr>
      <w:bookmarkStart w:id="248" w:name="_Toc510171695"/>
      <w:bookmarkStart w:id="249" w:name="_Toc509927457"/>
      <w:bookmarkStart w:id="250" w:name="_Toc9148"/>
      <w:bookmarkStart w:id="251" w:name="_Toc508960155"/>
      <w:bookmarkStart w:id="252" w:name="_Toc28626"/>
      <w:bookmarkStart w:id="253" w:name="_Toc509479532"/>
      <w:bookmarkStart w:id="254" w:name="_Toc508958705"/>
      <w:bookmarkStart w:id="255" w:name="_Toc509844827"/>
      <w:bookmarkStart w:id="256" w:name="_Toc28126"/>
      <w:bookmarkStart w:id="257" w:name="_Toc508898068"/>
      <w:bookmarkStart w:id="258" w:name="_Toc24848"/>
      <w:bookmarkStart w:id="259" w:name="_Toc14653"/>
      <w:r>
        <w:rPr>
          <w:rFonts w:hint="eastAsia" w:ascii="宋体" w:hAnsi="宋体"/>
          <w:color w:val="auto"/>
          <w:szCs w:val="21"/>
          <w:highlight w:val="none"/>
        </w:rPr>
        <w:t>（2）中标人为残疾人福利性单位的，采购代理机构将随中标结果同时公告其《残疾人福利性单位声明函》，接受社会监督。</w:t>
      </w:r>
      <w:bookmarkEnd w:id="248"/>
      <w:bookmarkEnd w:id="249"/>
      <w:bookmarkEnd w:id="250"/>
      <w:bookmarkEnd w:id="251"/>
      <w:bookmarkEnd w:id="252"/>
      <w:bookmarkEnd w:id="253"/>
      <w:bookmarkEnd w:id="254"/>
      <w:bookmarkEnd w:id="255"/>
      <w:bookmarkEnd w:id="256"/>
      <w:bookmarkEnd w:id="257"/>
      <w:bookmarkEnd w:id="258"/>
      <w:bookmarkEnd w:id="259"/>
    </w:p>
    <w:p>
      <w:pPr>
        <w:ind w:firstLine="420" w:firstLineChars="200"/>
        <w:rPr>
          <w:rFonts w:ascii="宋体" w:hAnsi="宋体"/>
          <w:color w:val="auto"/>
          <w:szCs w:val="21"/>
          <w:highlight w:val="none"/>
        </w:rPr>
      </w:pPr>
      <w:bookmarkStart w:id="260" w:name="_Toc508960156"/>
      <w:bookmarkStart w:id="261" w:name="_Toc508898069"/>
      <w:bookmarkStart w:id="262" w:name="_Toc509479533"/>
      <w:bookmarkStart w:id="263" w:name="_Toc22981"/>
      <w:bookmarkStart w:id="264" w:name="_Toc9837"/>
      <w:bookmarkStart w:id="265" w:name="_Toc508958706"/>
      <w:bookmarkStart w:id="266" w:name="_Toc28044"/>
      <w:bookmarkStart w:id="267" w:name="_Toc509927458"/>
      <w:bookmarkStart w:id="268" w:name="_Toc28686"/>
      <w:bookmarkStart w:id="269" w:name="_Toc509844828"/>
      <w:bookmarkStart w:id="270" w:name="_Toc7858"/>
      <w:bookmarkStart w:id="271" w:name="_Toc510171696"/>
      <w:r>
        <w:rPr>
          <w:rFonts w:hint="eastAsia" w:ascii="宋体" w:hAnsi="宋体"/>
          <w:color w:val="auto"/>
          <w:szCs w:val="21"/>
          <w:highlight w:val="none"/>
        </w:rPr>
        <w:t>（3）投标人提供的《残疾人福利性单位声明函》与事实不符的，依照《政府采购法》第七十七条第一款的规定追究法律责任。</w:t>
      </w:r>
      <w:bookmarkEnd w:id="260"/>
      <w:bookmarkEnd w:id="261"/>
      <w:bookmarkEnd w:id="262"/>
      <w:bookmarkEnd w:id="263"/>
      <w:bookmarkEnd w:id="264"/>
      <w:bookmarkEnd w:id="265"/>
      <w:bookmarkEnd w:id="266"/>
      <w:bookmarkEnd w:id="267"/>
      <w:bookmarkEnd w:id="268"/>
      <w:bookmarkEnd w:id="269"/>
      <w:bookmarkEnd w:id="270"/>
      <w:bookmarkEnd w:id="271"/>
    </w:p>
    <w:p>
      <w:pPr>
        <w:ind w:firstLine="420" w:firstLineChars="200"/>
        <w:rPr>
          <w:rFonts w:ascii="宋体" w:hAnsi="宋体"/>
          <w:color w:val="auto"/>
          <w:szCs w:val="21"/>
          <w:highlight w:val="none"/>
        </w:rPr>
      </w:pPr>
      <w:bookmarkStart w:id="272" w:name="_Toc509927459"/>
      <w:bookmarkStart w:id="273" w:name="_Toc508958707"/>
      <w:bookmarkStart w:id="274" w:name="_Toc508898070"/>
      <w:bookmarkStart w:id="275" w:name="_Toc509479534"/>
      <w:bookmarkStart w:id="276" w:name="_Toc5289"/>
      <w:bookmarkStart w:id="277" w:name="_Toc18843"/>
      <w:bookmarkStart w:id="278" w:name="_Toc508960157"/>
      <w:bookmarkStart w:id="279" w:name="_Toc509844829"/>
      <w:bookmarkStart w:id="280" w:name="_Toc51017169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2"/>
      <w:bookmarkEnd w:id="273"/>
      <w:bookmarkEnd w:id="274"/>
      <w:bookmarkEnd w:id="275"/>
      <w:bookmarkEnd w:id="276"/>
      <w:bookmarkEnd w:id="277"/>
      <w:bookmarkEnd w:id="278"/>
      <w:bookmarkEnd w:id="279"/>
      <w:bookmarkEnd w:id="280"/>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81" w:name="_Toc23948"/>
      <w:bookmarkStart w:id="282" w:name="_Toc6471"/>
      <w:r>
        <w:rPr>
          <w:rFonts w:hint="eastAsia"/>
          <w:color w:val="auto"/>
          <w:highlight w:val="none"/>
        </w:rPr>
        <w:t>第二章商务文件</w:t>
      </w:r>
      <w:bookmarkEnd w:id="281"/>
      <w:bookmarkEnd w:id="282"/>
    </w:p>
    <w:bookmarkEnd w:id="211"/>
    <w:p>
      <w:pPr>
        <w:pStyle w:val="4"/>
        <w:jc w:val="center"/>
        <w:rPr>
          <w:color w:val="auto"/>
          <w:highlight w:val="none"/>
        </w:rPr>
      </w:pPr>
      <w:bookmarkStart w:id="283" w:name="_Toc23787"/>
      <w:bookmarkStart w:id="284" w:name="_Toc1952"/>
      <w:r>
        <w:rPr>
          <w:rFonts w:hint="eastAsia"/>
          <w:color w:val="auto"/>
          <w:highlight w:val="none"/>
        </w:rPr>
        <w:t>一、投标函</w:t>
      </w:r>
      <w:bookmarkEnd w:id="283"/>
      <w:bookmarkEnd w:id="284"/>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285" w:name="_Toc28616"/>
      <w:bookmarkStart w:id="286" w:name="_Toc15719"/>
      <w:r>
        <w:rPr>
          <w:rFonts w:hint="eastAsia"/>
          <w:color w:val="auto"/>
          <w:highlight w:val="none"/>
        </w:rPr>
        <w:t>二、</w:t>
      </w:r>
      <w:bookmarkEnd w:id="285"/>
      <w:bookmarkEnd w:id="286"/>
      <w:r>
        <w:rPr>
          <w:rFonts w:hint="eastAsia"/>
          <w:color w:val="auto"/>
          <w:highlight w:val="none"/>
        </w:rPr>
        <w:t>资格条件承诺函</w:t>
      </w:r>
    </w:p>
    <w:p>
      <w:pPr>
        <w:pStyle w:val="40"/>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0"/>
        <w:spacing w:line="500" w:lineRule="atLeast"/>
        <w:ind w:firstLine="3517" w:firstLineChars="1675"/>
        <w:rPr>
          <w:rFonts w:ascii="宋体" w:eastAsia="宋体"/>
          <w:color w:val="auto"/>
          <w:sz w:val="21"/>
          <w:szCs w:val="21"/>
          <w:highlight w:val="none"/>
        </w:rPr>
      </w:pPr>
    </w:p>
    <w:p>
      <w:pPr>
        <w:pStyle w:val="40"/>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sz w:val="21"/>
          <w:szCs w:val="21"/>
          <w:highlight w:val="none"/>
        </w:rPr>
      </w:pPr>
    </w:p>
    <w:p>
      <w:pPr>
        <w:rPr>
          <w:rFonts w:ascii="宋体" w:hAnsi="宋体"/>
          <w:color w:val="auto"/>
          <w:szCs w:val="21"/>
          <w:highlight w:val="none"/>
        </w:rPr>
      </w:pPr>
    </w:p>
    <w:p>
      <w:pPr>
        <w:pStyle w:val="9"/>
        <w:rPr>
          <w:color w:val="auto"/>
          <w:highlight w:val="none"/>
        </w:rPr>
      </w:pPr>
    </w:p>
    <w:p>
      <w:pPr>
        <w:rPr>
          <w:color w:val="auto"/>
          <w:highlight w:val="none"/>
        </w:rPr>
      </w:pPr>
      <w:bookmarkStart w:id="287" w:name="_Toc16412"/>
    </w:p>
    <w:p>
      <w:pPr>
        <w:pStyle w:val="4"/>
        <w:jc w:val="center"/>
        <w:rPr>
          <w:color w:val="auto"/>
          <w:highlight w:val="none"/>
        </w:rPr>
      </w:pPr>
      <w:bookmarkStart w:id="288" w:name="_Toc21273"/>
      <w:bookmarkStart w:id="289" w:name="_Toc32742"/>
      <w:r>
        <w:rPr>
          <w:rFonts w:hint="eastAsia"/>
          <w:color w:val="auto"/>
          <w:highlight w:val="none"/>
        </w:rPr>
        <w:t>三、在参与政府采购活动前三年未有重大违法记录、没有不良信用记录的声明函</w:t>
      </w:r>
      <w:bookmarkEnd w:id="288"/>
      <w:bookmarkEnd w:id="289"/>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7"/>
    </w:p>
    <w:p>
      <w:pPr>
        <w:pStyle w:val="4"/>
        <w:jc w:val="center"/>
        <w:rPr>
          <w:color w:val="auto"/>
          <w:highlight w:val="none"/>
        </w:rPr>
      </w:pPr>
      <w:bookmarkStart w:id="290" w:name="_Toc3894"/>
      <w:bookmarkStart w:id="291" w:name="_Toc13243"/>
      <w:r>
        <w:rPr>
          <w:rFonts w:hint="eastAsia"/>
          <w:color w:val="auto"/>
          <w:highlight w:val="none"/>
        </w:rPr>
        <w:t>四、法定代表人证明书</w:t>
      </w:r>
      <w:bookmarkEnd w:id="290"/>
      <w:bookmarkEnd w:id="291"/>
    </w:p>
    <w:p>
      <w:pPr>
        <w:pStyle w:val="40"/>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0"/>
        <w:spacing w:line="420" w:lineRule="atLeast"/>
        <w:ind w:firstLine="433"/>
        <w:rPr>
          <w:rFonts w:ascii="宋体" w:eastAsia="宋体"/>
          <w:color w:val="auto"/>
          <w:sz w:val="21"/>
          <w:szCs w:val="21"/>
          <w:highlight w:val="none"/>
        </w:rPr>
      </w:pPr>
    </w:p>
    <w:p>
      <w:pPr>
        <w:pStyle w:val="40"/>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0"/>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6"/>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0"/>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92" w:name="_Toc5918"/>
      <w:bookmarkStart w:id="293" w:name="_Toc5626"/>
      <w:r>
        <w:rPr>
          <w:rFonts w:hint="eastAsia"/>
          <w:color w:val="auto"/>
          <w:highlight w:val="none"/>
        </w:rPr>
        <w:t>五、法定代表人授权书</w:t>
      </w:r>
      <w:bookmarkEnd w:id="292"/>
      <w:bookmarkEnd w:id="293"/>
    </w:p>
    <w:p>
      <w:pPr>
        <w:pStyle w:val="40"/>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0"/>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0"/>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0"/>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6"/>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4"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295" w:name="_Toc18562"/>
      <w:bookmarkStart w:id="296" w:name="_Toc24013"/>
      <w:r>
        <w:rPr>
          <w:rFonts w:hint="eastAsia"/>
          <w:color w:val="auto"/>
          <w:highlight w:val="none"/>
        </w:rPr>
        <w:t>六、投标人基本情况说明</w:t>
      </w:r>
      <w:bookmarkEnd w:id="295"/>
      <w:bookmarkEnd w:id="296"/>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9"/>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0"/>
        <w:spacing w:line="500" w:lineRule="atLeast"/>
        <w:ind w:firstLine="433"/>
        <w:rPr>
          <w:rFonts w:ascii="宋体" w:eastAsia="宋体"/>
          <w:color w:val="auto"/>
          <w:sz w:val="21"/>
          <w:szCs w:val="21"/>
          <w:highlight w:val="none"/>
        </w:rPr>
      </w:pPr>
    </w:p>
    <w:p>
      <w:pPr>
        <w:pStyle w:val="4"/>
        <w:jc w:val="center"/>
        <w:rPr>
          <w:color w:val="auto"/>
          <w:highlight w:val="none"/>
        </w:rPr>
      </w:pPr>
      <w:bookmarkStart w:id="297" w:name="_Toc24210"/>
      <w:bookmarkStart w:id="298" w:name="_Toc5919"/>
      <w:bookmarkStart w:id="299" w:name="_Toc17470"/>
      <w:bookmarkStart w:id="300" w:name="_Toc28067"/>
      <w:bookmarkStart w:id="301" w:name="_Toc29995"/>
      <w:bookmarkStart w:id="302" w:name="_Toc1511"/>
      <w:bookmarkStart w:id="303" w:name="_Toc4926"/>
      <w:r>
        <w:rPr>
          <w:rFonts w:hint="eastAsia"/>
          <w:color w:val="auto"/>
          <w:highlight w:val="none"/>
        </w:rPr>
        <w:t>七、营业执照</w:t>
      </w:r>
      <w:bookmarkEnd w:id="297"/>
      <w:bookmarkEnd w:id="298"/>
      <w:bookmarkEnd w:id="299"/>
      <w:bookmarkEnd w:id="300"/>
      <w:bookmarkEnd w:id="301"/>
      <w:bookmarkEnd w:id="302"/>
      <w:bookmarkEnd w:id="303"/>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4"/>
    <w:p>
      <w:pPr>
        <w:pStyle w:val="4"/>
        <w:jc w:val="center"/>
        <w:rPr>
          <w:color w:val="auto"/>
          <w:highlight w:val="none"/>
        </w:rPr>
      </w:pPr>
      <w:bookmarkStart w:id="304" w:name="_Toc29439"/>
      <w:bookmarkStart w:id="305" w:name="_Toc21638"/>
      <w:r>
        <w:rPr>
          <w:rFonts w:hint="eastAsia"/>
          <w:color w:val="auto"/>
          <w:highlight w:val="none"/>
        </w:rPr>
        <w:t>八、特殊资格要求证明文件</w:t>
      </w:r>
      <w:bookmarkEnd w:id="304"/>
      <w:bookmarkEnd w:id="305"/>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highlight w:val="none"/>
        </w:rPr>
      </w:pPr>
    </w:p>
    <w:p>
      <w:pPr>
        <w:pStyle w:val="4"/>
        <w:jc w:val="center"/>
        <w:rPr>
          <w:color w:val="auto"/>
          <w:highlight w:val="none"/>
        </w:rPr>
      </w:pPr>
      <w:bookmarkStart w:id="306" w:name="_Toc23341"/>
      <w:bookmarkStart w:id="307" w:name="_Toc14263"/>
      <w:r>
        <w:rPr>
          <w:rFonts w:hint="eastAsia"/>
          <w:color w:val="auto"/>
          <w:highlight w:val="none"/>
        </w:rPr>
        <w:t>九、承诺书</w:t>
      </w:r>
      <w:bookmarkEnd w:id="306"/>
      <w:bookmarkEnd w:id="307"/>
    </w:p>
    <w:p>
      <w:pPr>
        <w:pStyle w:val="40"/>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0"/>
        <w:spacing w:line="420" w:lineRule="exact"/>
        <w:ind w:firstLine="433"/>
        <w:rPr>
          <w:rFonts w:ascii="宋体" w:eastAsia="宋体" w:cs="宋体"/>
          <w:color w:val="auto"/>
          <w:sz w:val="21"/>
          <w:szCs w:val="21"/>
          <w:highlight w:val="none"/>
        </w:rPr>
      </w:pPr>
      <w:bookmarkStart w:id="308"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8"/>
      <w:r>
        <w:rPr>
          <w:rFonts w:hint="eastAsia" w:ascii="宋体" w:eastAsia="宋体" w:cs="宋体"/>
          <w:color w:val="auto"/>
          <w:sz w:val="21"/>
          <w:szCs w:val="21"/>
          <w:highlight w:val="none"/>
        </w:rPr>
        <w:cr/>
      </w:r>
    </w:p>
    <w:p>
      <w:pPr>
        <w:pStyle w:val="40"/>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pStyle w:val="9"/>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09" w:name="_Toc13955"/>
      <w:bookmarkStart w:id="310" w:name="_Toc13653"/>
      <w:r>
        <w:rPr>
          <w:rFonts w:hint="eastAsia"/>
          <w:color w:val="auto"/>
          <w:highlight w:val="none"/>
        </w:rPr>
        <w:t>十、招标代理服务费承诺书</w:t>
      </w:r>
      <w:bookmarkEnd w:id="309"/>
      <w:bookmarkEnd w:id="310"/>
    </w:p>
    <w:p>
      <w:pPr>
        <w:pStyle w:val="40"/>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1"/>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11" w:name="_Toc1975"/>
      <w:bookmarkStart w:id="312" w:name="_Toc12598"/>
      <w:r>
        <w:rPr>
          <w:rFonts w:hint="eastAsia"/>
          <w:color w:val="auto"/>
          <w:highlight w:val="none"/>
        </w:rPr>
        <w:t>十一、商务条款偏离表</w:t>
      </w:r>
      <w:bookmarkEnd w:id="311"/>
      <w:bookmarkEnd w:id="312"/>
    </w:p>
    <w:tbl>
      <w:tblPr>
        <w:tblStyle w:val="26"/>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3" w:name="_Toc32183"/>
    </w:p>
    <w:p>
      <w:pPr>
        <w:pStyle w:val="4"/>
        <w:jc w:val="center"/>
        <w:rPr>
          <w:color w:val="auto"/>
          <w:highlight w:val="none"/>
        </w:rPr>
      </w:pPr>
      <w:bookmarkStart w:id="314" w:name="_Toc25391"/>
      <w:bookmarkStart w:id="315" w:name="_Toc19276"/>
      <w:r>
        <w:rPr>
          <w:rFonts w:hint="eastAsia"/>
          <w:color w:val="auto"/>
          <w:highlight w:val="none"/>
        </w:rPr>
        <w:t>十二、业绩表</w:t>
      </w:r>
      <w:bookmarkEnd w:id="314"/>
      <w:bookmarkEnd w:id="315"/>
    </w:p>
    <w:tbl>
      <w:tblPr>
        <w:tblStyle w:val="26"/>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7"/>
        <w:rPr>
          <w:rFonts w:ascii="宋体" w:hAnsi="宋体"/>
          <w:color w:val="auto"/>
          <w:szCs w:val="21"/>
          <w:highlight w:val="none"/>
        </w:rPr>
      </w:pPr>
    </w:p>
    <w:p>
      <w:pPr>
        <w:pStyle w:val="37"/>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pStyle w:val="9"/>
        <w:ind w:left="0"/>
        <w:rPr>
          <w:color w:val="auto"/>
          <w:highlight w:val="none"/>
        </w:rPr>
      </w:pPr>
    </w:p>
    <w:p>
      <w:pPr>
        <w:pStyle w:val="4"/>
        <w:jc w:val="center"/>
        <w:rPr>
          <w:rFonts w:ascii="黑体" w:eastAsia="黑体"/>
          <w:color w:val="auto"/>
          <w:szCs w:val="28"/>
          <w:highlight w:val="none"/>
        </w:rPr>
      </w:pPr>
      <w:bookmarkStart w:id="316" w:name="_Toc20520"/>
      <w:bookmarkStart w:id="317" w:name="_Toc14688"/>
      <w:r>
        <w:rPr>
          <w:rFonts w:hint="eastAsia"/>
          <w:color w:val="auto"/>
          <w:highlight w:val="none"/>
        </w:rPr>
        <w:t>第三章技术文件</w:t>
      </w:r>
      <w:bookmarkEnd w:id="313"/>
      <w:bookmarkEnd w:id="316"/>
      <w:bookmarkEnd w:id="317"/>
    </w:p>
    <w:p>
      <w:pPr>
        <w:pStyle w:val="4"/>
        <w:jc w:val="center"/>
        <w:rPr>
          <w:color w:val="auto"/>
          <w:highlight w:val="none"/>
        </w:rPr>
      </w:pPr>
      <w:bookmarkStart w:id="318" w:name="_Toc7092"/>
      <w:bookmarkStart w:id="319" w:name="_Toc13097"/>
      <w:r>
        <w:rPr>
          <w:rFonts w:hint="eastAsia"/>
          <w:color w:val="auto"/>
          <w:highlight w:val="none"/>
        </w:rPr>
        <w:t>一、技术规格偏离表</w:t>
      </w:r>
      <w:bookmarkEnd w:id="318"/>
      <w:bookmarkEnd w:id="319"/>
    </w:p>
    <w:tbl>
      <w:tblPr>
        <w:tblStyle w:val="26"/>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0" w:name="_Toc17691"/>
      <w:r>
        <w:rPr>
          <w:rFonts w:hint="eastAsia" w:ascii="宋体" w:hAnsi="宋体"/>
          <w:color w:val="auto"/>
          <w:szCs w:val="21"/>
          <w:highlight w:val="none"/>
        </w:rPr>
        <w:br w:type="page"/>
      </w:r>
      <w:bookmarkEnd w:id="320"/>
      <w:bookmarkStart w:id="321" w:name="_Toc4464"/>
      <w:bookmarkStart w:id="322" w:name="_Toc18668"/>
      <w:bookmarkStart w:id="323" w:name="_Toc6080"/>
      <w:bookmarkStart w:id="324" w:name="_Toc26078"/>
      <w:bookmarkStart w:id="325" w:name="_Toc4827"/>
      <w:bookmarkStart w:id="326" w:name="_Toc1274"/>
    </w:p>
    <w:p>
      <w:pPr>
        <w:pStyle w:val="4"/>
        <w:jc w:val="center"/>
        <w:rPr>
          <w:color w:val="auto"/>
          <w:highlight w:val="none"/>
        </w:rPr>
      </w:pPr>
      <w:bookmarkStart w:id="327" w:name="_Toc10734"/>
      <w:bookmarkStart w:id="328" w:name="_Toc13461"/>
      <w:r>
        <w:rPr>
          <w:rFonts w:hint="eastAsia"/>
          <w:color w:val="auto"/>
          <w:highlight w:val="none"/>
        </w:rPr>
        <w:t>二、重要技术参数（▲）响应表</w:t>
      </w:r>
      <w:bookmarkEnd w:id="321"/>
      <w:bookmarkEnd w:id="322"/>
      <w:bookmarkEnd w:id="323"/>
      <w:bookmarkEnd w:id="324"/>
      <w:bookmarkEnd w:id="325"/>
      <w:bookmarkEnd w:id="326"/>
      <w:bookmarkEnd w:id="327"/>
      <w:bookmarkEnd w:id="328"/>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29" w:name="_Toc29642"/>
            <w:bookmarkStart w:id="330" w:name="_Toc29560"/>
            <w:bookmarkStart w:id="331" w:name="_Toc27079"/>
            <w:r>
              <w:rPr>
                <w:rFonts w:hint="eastAsia" w:ascii="宋体" w:hAnsi="宋体" w:cs="宋体"/>
                <w:b w:val="0"/>
                <w:bCs w:val="0"/>
                <w:color w:val="auto"/>
                <w:sz w:val="21"/>
                <w:szCs w:val="21"/>
                <w:highlight w:val="none"/>
              </w:rPr>
              <w:t>序号</w:t>
            </w:r>
            <w:bookmarkEnd w:id="329"/>
            <w:bookmarkEnd w:id="330"/>
            <w:bookmarkEnd w:id="331"/>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32" w:name="_Toc14815"/>
            <w:bookmarkStart w:id="333" w:name="_Toc22448"/>
            <w:bookmarkStart w:id="334" w:name="_Toc27090"/>
            <w:bookmarkStart w:id="335" w:name="_Toc1016"/>
            <w:bookmarkStart w:id="336" w:name="_Toc16872"/>
            <w:bookmarkStart w:id="337" w:name="_Toc4304"/>
            <w:bookmarkStart w:id="338" w:name="_Toc15368"/>
            <w:bookmarkStart w:id="339" w:name="_Toc21739"/>
            <w:bookmarkStart w:id="340" w:name="_Toc15903"/>
            <w:bookmarkStart w:id="341" w:name="_Toc12049"/>
            <w:bookmarkStart w:id="342" w:name="_Toc2700"/>
            <w:bookmarkStart w:id="343" w:name="_Toc10045"/>
            <w:bookmarkStart w:id="344" w:name="_Toc26124"/>
            <w:bookmarkStart w:id="345" w:name="_Toc21809"/>
            <w:bookmarkStart w:id="346" w:name="_Toc27442"/>
            <w:bookmarkStart w:id="347" w:name="_Toc24662"/>
            <w:bookmarkStart w:id="348" w:name="_Toc8490"/>
            <w:bookmarkStart w:id="349" w:name="_Toc22879"/>
            <w:bookmarkStart w:id="350" w:name="_Toc8312"/>
            <w:bookmarkStart w:id="351" w:name="_Toc22917"/>
            <w:bookmarkStart w:id="352" w:name="_Toc32531"/>
            <w:bookmarkStart w:id="353" w:name="_Toc19251"/>
            <w:bookmarkStart w:id="354" w:name="_Toc7333"/>
            <w:r>
              <w:rPr>
                <w:rFonts w:hint="eastAsia" w:ascii="宋体" w:hAnsi="宋体" w:cs="宋体"/>
                <w:b w:val="0"/>
                <w:bCs w:val="0"/>
                <w:color w:val="auto"/>
                <w:sz w:val="21"/>
                <w:szCs w:val="21"/>
                <w:highlight w:val="none"/>
              </w:rPr>
              <w:t>重要技术参数评分条款（▲）</w:t>
            </w:r>
            <w:bookmarkEnd w:id="332"/>
            <w:bookmarkEnd w:id="333"/>
            <w:bookmarkEnd w:id="334"/>
            <w:bookmarkEnd w:id="335"/>
            <w:bookmarkEnd w:id="336"/>
            <w:bookmarkEnd w:id="337"/>
            <w:bookmarkEnd w:id="338"/>
            <w:bookmarkEnd w:id="339"/>
            <w:bookmarkEnd w:id="340"/>
            <w:bookmarkEnd w:id="341"/>
            <w:bookmarkEnd w:id="342"/>
            <w:bookmarkEnd w:id="343"/>
            <w:bookmarkEnd w:id="344"/>
          </w:p>
          <w:bookmarkEnd w:id="345"/>
          <w:bookmarkEnd w:id="346"/>
          <w:bookmarkEnd w:id="347"/>
          <w:bookmarkEnd w:id="348"/>
          <w:bookmarkEnd w:id="349"/>
          <w:bookmarkEnd w:id="350"/>
          <w:bookmarkEnd w:id="351"/>
          <w:bookmarkEnd w:id="352"/>
          <w:bookmarkEnd w:id="353"/>
          <w:bookmarkEnd w:id="354"/>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5" w:name="_Toc10122"/>
            <w:bookmarkStart w:id="356" w:name="_Toc2408"/>
            <w:bookmarkStart w:id="357" w:name="_Toc22153"/>
            <w:r>
              <w:rPr>
                <w:rFonts w:hint="eastAsia" w:ascii="宋体" w:hAnsi="宋体" w:cs="宋体"/>
                <w:b w:val="0"/>
                <w:bCs w:val="0"/>
                <w:color w:val="auto"/>
                <w:sz w:val="21"/>
                <w:szCs w:val="21"/>
                <w:highlight w:val="none"/>
              </w:rPr>
              <w:t>投标文件响应内容</w:t>
            </w:r>
            <w:bookmarkEnd w:id="355"/>
            <w:bookmarkEnd w:id="356"/>
            <w:bookmarkEnd w:id="357"/>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8" w:name="_Toc16003"/>
            <w:bookmarkStart w:id="359" w:name="_Toc29838"/>
            <w:bookmarkStart w:id="360" w:name="_Toc27285"/>
            <w:bookmarkStart w:id="361" w:name="_Toc27185"/>
            <w:bookmarkStart w:id="362" w:name="_Toc20139"/>
            <w:bookmarkStart w:id="363" w:name="_Toc5563"/>
            <w:bookmarkStart w:id="364" w:name="_Toc17296"/>
            <w:bookmarkStart w:id="365" w:name="_Toc20820"/>
            <w:bookmarkStart w:id="366" w:name="_Toc3701"/>
            <w:bookmarkStart w:id="367" w:name="_Toc5992"/>
            <w:bookmarkStart w:id="368" w:name="_Toc1912"/>
            <w:bookmarkStart w:id="369" w:name="_Toc17642"/>
            <w:bookmarkStart w:id="370" w:name="_Toc1330"/>
            <w:r>
              <w:rPr>
                <w:rFonts w:hint="eastAsia" w:ascii="宋体" w:hAnsi="宋体" w:cs="宋体"/>
                <w:b w:val="0"/>
                <w:bCs w:val="0"/>
                <w:color w:val="auto"/>
                <w:sz w:val="21"/>
                <w:szCs w:val="21"/>
                <w:highlight w:val="none"/>
              </w:rPr>
              <w:t>说明</w:t>
            </w:r>
            <w:bookmarkEnd w:id="358"/>
            <w:bookmarkEnd w:id="359"/>
            <w:bookmarkEnd w:id="360"/>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71" w:name="_Toc857"/>
            <w:bookmarkStart w:id="372" w:name="_Toc3520"/>
            <w:bookmarkStart w:id="373" w:name="_Toc19105"/>
            <w:r>
              <w:rPr>
                <w:rFonts w:hint="eastAsia" w:ascii="宋体" w:hAnsi="宋体" w:cs="宋体"/>
                <w:b w:val="0"/>
                <w:bCs w:val="0"/>
                <w:color w:val="auto"/>
                <w:sz w:val="21"/>
                <w:szCs w:val="21"/>
                <w:highlight w:val="none"/>
              </w:rPr>
              <w:t>页码范围</w:t>
            </w:r>
            <w:bookmarkEnd w:id="361"/>
            <w:bookmarkEnd w:id="362"/>
            <w:bookmarkEnd w:id="363"/>
            <w:bookmarkEnd w:id="364"/>
            <w:bookmarkEnd w:id="365"/>
            <w:bookmarkEnd w:id="366"/>
            <w:bookmarkEnd w:id="367"/>
            <w:bookmarkEnd w:id="368"/>
            <w:bookmarkEnd w:id="369"/>
            <w:bookmarkEnd w:id="370"/>
            <w:bookmarkEnd w:id="371"/>
            <w:bookmarkEnd w:id="372"/>
            <w:bookmarkEnd w:id="37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7"/>
        <w:rPr>
          <w:rFonts w:ascii="宋体" w:hAnsi="宋体"/>
          <w:color w:val="auto"/>
          <w:szCs w:val="21"/>
          <w:highlight w:val="none"/>
        </w:rPr>
      </w:pPr>
    </w:p>
    <w:p>
      <w:pPr>
        <w:pStyle w:val="37"/>
        <w:rPr>
          <w:rFonts w:ascii="宋体" w:hAnsi="宋体"/>
          <w:color w:val="auto"/>
          <w:szCs w:val="21"/>
          <w:highlight w:val="none"/>
        </w:rPr>
      </w:pPr>
      <w:r>
        <w:rPr>
          <w:rFonts w:hint="eastAsia" w:ascii="宋体" w:hAnsi="宋体"/>
          <w:color w:val="auto"/>
          <w:szCs w:val="21"/>
          <w:highlight w:val="none"/>
        </w:rPr>
        <w:t>注：</w:t>
      </w:r>
    </w:p>
    <w:p>
      <w:pPr>
        <w:pStyle w:val="37"/>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7"/>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7"/>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7"/>
        <w:rPr>
          <w:rFonts w:ascii="宋体" w:hAnsi="宋体"/>
          <w:color w:val="auto"/>
          <w:szCs w:val="21"/>
          <w:highlight w:val="none"/>
        </w:rPr>
      </w:pPr>
    </w:p>
    <w:p>
      <w:pPr>
        <w:pStyle w:val="37"/>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74" w:name="_Toc27139"/>
      <w:bookmarkStart w:id="375" w:name="_Toc19349"/>
      <w:r>
        <w:rPr>
          <w:rFonts w:hint="eastAsia"/>
          <w:color w:val="auto"/>
          <w:highlight w:val="none"/>
        </w:rPr>
        <w:t>三、实质性条款（标记★）投标响应表</w:t>
      </w:r>
      <w:bookmarkEnd w:id="374"/>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376" w:name="_Toc21519"/>
      <w:r>
        <w:rPr>
          <w:rFonts w:hint="eastAsia"/>
          <w:color w:val="auto"/>
          <w:highlight w:val="none"/>
        </w:rPr>
        <w:t>四、项目技术方案</w:t>
      </w:r>
      <w:bookmarkEnd w:id="375"/>
      <w:bookmarkEnd w:id="376"/>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77" w:name="_Toc16328"/>
      <w:bookmarkStart w:id="378" w:name="_Toc26880"/>
      <w:r>
        <w:rPr>
          <w:rFonts w:hint="eastAsia"/>
          <w:color w:val="auto"/>
          <w:highlight w:val="none"/>
        </w:rPr>
        <w:t>五、项目负责人及团队成员资料表</w:t>
      </w:r>
      <w:bookmarkEnd w:id="377"/>
      <w:bookmarkEnd w:id="378"/>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9"/>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79" w:name="_Toc26980"/>
      <w:bookmarkStart w:id="380" w:name="_Toc15431"/>
      <w:r>
        <w:rPr>
          <w:rFonts w:hint="eastAsia"/>
          <w:color w:val="auto"/>
          <w:highlight w:val="none"/>
        </w:rPr>
        <w:t>六、投标货物明细一览表</w:t>
      </w:r>
      <w:bookmarkEnd w:id="379"/>
      <w:bookmarkEnd w:id="380"/>
    </w:p>
    <w:tbl>
      <w:tblPr>
        <w:tblStyle w:val="26"/>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381" w:name="_Toc6961"/>
      <w:r>
        <w:rPr>
          <w:rFonts w:hint="eastAsia"/>
          <w:color w:val="auto"/>
          <w:highlight w:val="none"/>
        </w:rPr>
        <w:t>七、政府采购履约担保函</w:t>
      </w:r>
      <w:bookmarkEnd w:id="381"/>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9"/>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382" w:name="_Toc26782"/>
      <w:bookmarkStart w:id="383" w:name="_Toc26772"/>
      <w:r>
        <w:rPr>
          <w:rFonts w:hint="eastAsia"/>
          <w:color w:val="auto"/>
          <w:highlight w:val="none"/>
        </w:rPr>
        <w:t>第四章唱标信封（单独封装）</w:t>
      </w:r>
      <w:bookmarkEnd w:id="382"/>
      <w:bookmarkEnd w:id="383"/>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4"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pStyle w:val="9"/>
        <w:rPr>
          <w:color w:val="auto"/>
          <w:highlight w:val="none"/>
        </w:rPr>
      </w:pPr>
    </w:p>
    <w:p>
      <w:pPr>
        <w:rPr>
          <w:color w:val="auto"/>
          <w:highlight w:val="none"/>
        </w:rPr>
      </w:pPr>
    </w:p>
    <w:p>
      <w:pPr>
        <w:rPr>
          <w:color w:val="auto"/>
          <w:highlight w:val="none"/>
        </w:rPr>
      </w:pPr>
    </w:p>
    <w:p>
      <w:pPr>
        <w:rPr>
          <w:color w:val="auto"/>
          <w:highlight w:val="none"/>
        </w:rPr>
      </w:pPr>
    </w:p>
    <w:p>
      <w:pPr>
        <w:pStyle w:val="4"/>
        <w:jc w:val="center"/>
        <w:rPr>
          <w:color w:val="auto"/>
          <w:highlight w:val="none"/>
        </w:rPr>
      </w:pPr>
      <w:bookmarkStart w:id="385" w:name="_Toc2710"/>
      <w:bookmarkStart w:id="386" w:name="_Toc22736"/>
      <w:r>
        <w:rPr>
          <w:rFonts w:hint="eastAsia"/>
          <w:color w:val="auto"/>
          <w:highlight w:val="none"/>
        </w:rPr>
        <w:t>第五章联合体共同投标协议书（如有需要）</w:t>
      </w:r>
      <w:bookmarkEnd w:id="385"/>
      <w:bookmarkEnd w:id="386"/>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4"/>
    <w:p>
      <w:pPr>
        <w:pStyle w:val="9"/>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9"/>
        <w:rPr>
          <w:color w:val="auto"/>
          <w:sz w:val="21"/>
          <w:szCs w:val="21"/>
          <w:highlight w:val="none"/>
        </w:rPr>
      </w:pPr>
    </w:p>
    <w:p>
      <w:pPr>
        <w:rPr>
          <w:rFonts w:ascii="宋体" w:hAnsi="宋体" w:cs="宋体"/>
          <w:color w:val="auto"/>
          <w:szCs w:val="21"/>
          <w:highlight w:val="none"/>
        </w:rPr>
      </w:pPr>
    </w:p>
    <w:p>
      <w:pPr>
        <w:pStyle w:val="9"/>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9"/>
        <w:rPr>
          <w:color w:val="auto"/>
          <w:highlight w:val="none"/>
        </w:rPr>
      </w:pPr>
    </w:p>
    <w:p>
      <w:pPr>
        <w:rPr>
          <w:color w:val="auto"/>
          <w:highlight w:val="none"/>
        </w:rPr>
      </w:pPr>
    </w:p>
    <w:p>
      <w:pPr>
        <w:pStyle w:val="9"/>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pStyle w:val="25"/>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6"/>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5"/>
        <w:ind w:left="0" w:firstLine="0" w:firstLineChars="0"/>
        <w:rPr>
          <w:color w:val="auto"/>
          <w:highlight w:val="none"/>
        </w:rPr>
      </w:pPr>
    </w:p>
    <w:sectPr>
      <w:footerReference r:id="rId10" w:type="first"/>
      <w:footerReference r:id="rId9"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1"/>
        <w:rPr>
          <w:rFonts w:eastAsia="微软雅黑"/>
        </w:rPr>
      </w:pPr>
      <w:r>
        <w:rPr>
          <w:rStyle w:val="32"/>
        </w:rPr>
        <w:footnoteRef/>
      </w:r>
      <w:r>
        <w:t xml:space="preserve"> </w:t>
      </w:r>
      <w:r>
        <w:rPr>
          <w:rFonts w:hint="eastAsia"/>
        </w:rPr>
        <w:t>从业人员、营业人员、资产总额填报上一年度数据，无上一年度数据的新成立企业可不填报。</w:t>
      </w:r>
    </w:p>
  </w:footnote>
  <w:footnote w:id="1">
    <w:p>
      <w:pPr>
        <w:pStyle w:val="21"/>
      </w:pPr>
      <w:r>
        <w:rPr>
          <w:rStyle w:val="32"/>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07546D"/>
    <w:rsid w:val="018023CE"/>
    <w:rsid w:val="01881AD6"/>
    <w:rsid w:val="01B40242"/>
    <w:rsid w:val="01B938AA"/>
    <w:rsid w:val="01DA2B04"/>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581CB1"/>
    <w:rsid w:val="047D2B3E"/>
    <w:rsid w:val="04DF1036"/>
    <w:rsid w:val="050F6021"/>
    <w:rsid w:val="05A97DEC"/>
    <w:rsid w:val="05C81981"/>
    <w:rsid w:val="05D410C7"/>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4C3F03"/>
    <w:rsid w:val="089F1700"/>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6D2EF8"/>
    <w:rsid w:val="0B797387"/>
    <w:rsid w:val="0B8B2381"/>
    <w:rsid w:val="0BC044BE"/>
    <w:rsid w:val="0BDF26F7"/>
    <w:rsid w:val="0BE34502"/>
    <w:rsid w:val="0BF027CF"/>
    <w:rsid w:val="0C264099"/>
    <w:rsid w:val="0C2B4952"/>
    <w:rsid w:val="0C436DE4"/>
    <w:rsid w:val="0C700313"/>
    <w:rsid w:val="0C7B2220"/>
    <w:rsid w:val="0CB929D1"/>
    <w:rsid w:val="0D890E47"/>
    <w:rsid w:val="0DBD266C"/>
    <w:rsid w:val="0DC64A00"/>
    <w:rsid w:val="0DFC60BA"/>
    <w:rsid w:val="0E1243D2"/>
    <w:rsid w:val="0E1F0448"/>
    <w:rsid w:val="0E4249F1"/>
    <w:rsid w:val="0E7A447D"/>
    <w:rsid w:val="0F0623D7"/>
    <w:rsid w:val="0F6C5A53"/>
    <w:rsid w:val="0F7C5FF6"/>
    <w:rsid w:val="0FC63FBD"/>
    <w:rsid w:val="101645B3"/>
    <w:rsid w:val="106C564D"/>
    <w:rsid w:val="107B7B8F"/>
    <w:rsid w:val="107C67CE"/>
    <w:rsid w:val="1080523F"/>
    <w:rsid w:val="108F06C9"/>
    <w:rsid w:val="109D68CB"/>
    <w:rsid w:val="10A949B8"/>
    <w:rsid w:val="10C54639"/>
    <w:rsid w:val="11200D07"/>
    <w:rsid w:val="11DA73AF"/>
    <w:rsid w:val="11DF733C"/>
    <w:rsid w:val="12C60D80"/>
    <w:rsid w:val="12E459D2"/>
    <w:rsid w:val="131867D4"/>
    <w:rsid w:val="131F7A3A"/>
    <w:rsid w:val="132645D0"/>
    <w:rsid w:val="132C3BB5"/>
    <w:rsid w:val="13455ABC"/>
    <w:rsid w:val="1370322B"/>
    <w:rsid w:val="13B27845"/>
    <w:rsid w:val="13B33EF4"/>
    <w:rsid w:val="13BE469F"/>
    <w:rsid w:val="13F87121"/>
    <w:rsid w:val="141A03E1"/>
    <w:rsid w:val="143B2E0B"/>
    <w:rsid w:val="14672B11"/>
    <w:rsid w:val="1470209B"/>
    <w:rsid w:val="14892735"/>
    <w:rsid w:val="14CC769D"/>
    <w:rsid w:val="14D40EDF"/>
    <w:rsid w:val="157D38E3"/>
    <w:rsid w:val="15866CFC"/>
    <w:rsid w:val="15BF2C79"/>
    <w:rsid w:val="15D359D7"/>
    <w:rsid w:val="15D81E0F"/>
    <w:rsid w:val="161771F3"/>
    <w:rsid w:val="16222D6D"/>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D54E75"/>
    <w:rsid w:val="17E62B67"/>
    <w:rsid w:val="180C0192"/>
    <w:rsid w:val="180F4499"/>
    <w:rsid w:val="18221ECE"/>
    <w:rsid w:val="190B7894"/>
    <w:rsid w:val="191E060C"/>
    <w:rsid w:val="19302282"/>
    <w:rsid w:val="19A2789F"/>
    <w:rsid w:val="1A460CF5"/>
    <w:rsid w:val="1A7F297D"/>
    <w:rsid w:val="1AB16AC1"/>
    <w:rsid w:val="1B034A52"/>
    <w:rsid w:val="1B1F34AD"/>
    <w:rsid w:val="1B8D5DC6"/>
    <w:rsid w:val="1BFE1D3B"/>
    <w:rsid w:val="1C153208"/>
    <w:rsid w:val="1C2775EC"/>
    <w:rsid w:val="1C750ECE"/>
    <w:rsid w:val="1CA22168"/>
    <w:rsid w:val="1CD40CA8"/>
    <w:rsid w:val="1CE03EE3"/>
    <w:rsid w:val="1D0836D7"/>
    <w:rsid w:val="1D196139"/>
    <w:rsid w:val="1D4E0C8D"/>
    <w:rsid w:val="1D9073EF"/>
    <w:rsid w:val="1DB85900"/>
    <w:rsid w:val="1DF051AF"/>
    <w:rsid w:val="1DF16231"/>
    <w:rsid w:val="1E010AF7"/>
    <w:rsid w:val="1E0178EB"/>
    <w:rsid w:val="1E301173"/>
    <w:rsid w:val="1E38333E"/>
    <w:rsid w:val="1E5C7612"/>
    <w:rsid w:val="1EA40BB4"/>
    <w:rsid w:val="1F3A3CAC"/>
    <w:rsid w:val="1F43381C"/>
    <w:rsid w:val="1FA4148D"/>
    <w:rsid w:val="20121621"/>
    <w:rsid w:val="201A421D"/>
    <w:rsid w:val="20341172"/>
    <w:rsid w:val="204E554F"/>
    <w:rsid w:val="20590035"/>
    <w:rsid w:val="20C35213"/>
    <w:rsid w:val="20FC799E"/>
    <w:rsid w:val="21373A50"/>
    <w:rsid w:val="22154DDD"/>
    <w:rsid w:val="22213E42"/>
    <w:rsid w:val="22336873"/>
    <w:rsid w:val="23175889"/>
    <w:rsid w:val="23675953"/>
    <w:rsid w:val="238C2182"/>
    <w:rsid w:val="239015D1"/>
    <w:rsid w:val="23AF5A04"/>
    <w:rsid w:val="23BB4E7D"/>
    <w:rsid w:val="23C172D6"/>
    <w:rsid w:val="23F04F64"/>
    <w:rsid w:val="24270557"/>
    <w:rsid w:val="24814CBE"/>
    <w:rsid w:val="24A93807"/>
    <w:rsid w:val="24AC168B"/>
    <w:rsid w:val="24DC7D26"/>
    <w:rsid w:val="258C3BEC"/>
    <w:rsid w:val="2594045D"/>
    <w:rsid w:val="25E576CC"/>
    <w:rsid w:val="260E3862"/>
    <w:rsid w:val="262569FC"/>
    <w:rsid w:val="26344C98"/>
    <w:rsid w:val="26F56CE2"/>
    <w:rsid w:val="271316D3"/>
    <w:rsid w:val="27435D49"/>
    <w:rsid w:val="279D7544"/>
    <w:rsid w:val="27A34F71"/>
    <w:rsid w:val="27B36A67"/>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9B3CAB"/>
    <w:rsid w:val="2AE3766F"/>
    <w:rsid w:val="2B242199"/>
    <w:rsid w:val="2B7E4054"/>
    <w:rsid w:val="2BE30049"/>
    <w:rsid w:val="2BF22742"/>
    <w:rsid w:val="2C4A4550"/>
    <w:rsid w:val="2C987C56"/>
    <w:rsid w:val="2CC7419D"/>
    <w:rsid w:val="2CFF149A"/>
    <w:rsid w:val="2D113745"/>
    <w:rsid w:val="2D201865"/>
    <w:rsid w:val="2D4B5CEA"/>
    <w:rsid w:val="2D652658"/>
    <w:rsid w:val="2DAB7A32"/>
    <w:rsid w:val="2DB41456"/>
    <w:rsid w:val="2DC80C49"/>
    <w:rsid w:val="2DCA6355"/>
    <w:rsid w:val="2DF0699F"/>
    <w:rsid w:val="2E166748"/>
    <w:rsid w:val="2E556F01"/>
    <w:rsid w:val="2E8E20B4"/>
    <w:rsid w:val="2EB9239F"/>
    <w:rsid w:val="2ED06066"/>
    <w:rsid w:val="2ED1223D"/>
    <w:rsid w:val="2EE470F7"/>
    <w:rsid w:val="2EF223E2"/>
    <w:rsid w:val="2F000139"/>
    <w:rsid w:val="2F111253"/>
    <w:rsid w:val="2F50269F"/>
    <w:rsid w:val="2F561B8A"/>
    <w:rsid w:val="2F9F42DC"/>
    <w:rsid w:val="2FE04319"/>
    <w:rsid w:val="2FF37AB3"/>
    <w:rsid w:val="304A650F"/>
    <w:rsid w:val="308C7755"/>
    <w:rsid w:val="30FF27D2"/>
    <w:rsid w:val="31170995"/>
    <w:rsid w:val="31264A30"/>
    <w:rsid w:val="31884E67"/>
    <w:rsid w:val="318D51AD"/>
    <w:rsid w:val="31A0275E"/>
    <w:rsid w:val="31B7357A"/>
    <w:rsid w:val="31ED6B08"/>
    <w:rsid w:val="31F915C9"/>
    <w:rsid w:val="320D643F"/>
    <w:rsid w:val="3236546E"/>
    <w:rsid w:val="32610CE6"/>
    <w:rsid w:val="32631A32"/>
    <w:rsid w:val="328464CE"/>
    <w:rsid w:val="32975CF3"/>
    <w:rsid w:val="32AB70C5"/>
    <w:rsid w:val="32B95807"/>
    <w:rsid w:val="32DC33E0"/>
    <w:rsid w:val="330C1F7A"/>
    <w:rsid w:val="335D0AF5"/>
    <w:rsid w:val="3370088C"/>
    <w:rsid w:val="33A3154A"/>
    <w:rsid w:val="33DC2F78"/>
    <w:rsid w:val="3428227C"/>
    <w:rsid w:val="342C5935"/>
    <w:rsid w:val="34620174"/>
    <w:rsid w:val="35260F83"/>
    <w:rsid w:val="35602226"/>
    <w:rsid w:val="356B72E7"/>
    <w:rsid w:val="3572424F"/>
    <w:rsid w:val="35FC3844"/>
    <w:rsid w:val="361A771F"/>
    <w:rsid w:val="366061FD"/>
    <w:rsid w:val="36794DEF"/>
    <w:rsid w:val="36AD519D"/>
    <w:rsid w:val="36B57705"/>
    <w:rsid w:val="36E75B41"/>
    <w:rsid w:val="373563ED"/>
    <w:rsid w:val="374F1A0B"/>
    <w:rsid w:val="3778009F"/>
    <w:rsid w:val="37A103ED"/>
    <w:rsid w:val="37EA5E6E"/>
    <w:rsid w:val="37FF016F"/>
    <w:rsid w:val="38427C0B"/>
    <w:rsid w:val="387C5ABE"/>
    <w:rsid w:val="38865AC7"/>
    <w:rsid w:val="389B3A1E"/>
    <w:rsid w:val="38A5578B"/>
    <w:rsid w:val="38EB6119"/>
    <w:rsid w:val="39DE33DA"/>
    <w:rsid w:val="39FA5B4A"/>
    <w:rsid w:val="39FE0BE9"/>
    <w:rsid w:val="3A3C1AAF"/>
    <w:rsid w:val="3A424C25"/>
    <w:rsid w:val="3A4B7CC1"/>
    <w:rsid w:val="3A51228C"/>
    <w:rsid w:val="3A552E60"/>
    <w:rsid w:val="3A5D642F"/>
    <w:rsid w:val="3AB210FC"/>
    <w:rsid w:val="3ACE216B"/>
    <w:rsid w:val="3AD95C13"/>
    <w:rsid w:val="3B176205"/>
    <w:rsid w:val="3B261E51"/>
    <w:rsid w:val="3B6B78DE"/>
    <w:rsid w:val="3B973F88"/>
    <w:rsid w:val="3BCD72F7"/>
    <w:rsid w:val="3C414142"/>
    <w:rsid w:val="3CE114D9"/>
    <w:rsid w:val="3CF737A2"/>
    <w:rsid w:val="3CF7509A"/>
    <w:rsid w:val="3D10295A"/>
    <w:rsid w:val="3DD50400"/>
    <w:rsid w:val="3DED21B5"/>
    <w:rsid w:val="3E0572FD"/>
    <w:rsid w:val="3E1A5292"/>
    <w:rsid w:val="3E4127AD"/>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4554EB"/>
    <w:rsid w:val="41734CBA"/>
    <w:rsid w:val="41A971AF"/>
    <w:rsid w:val="41C01B53"/>
    <w:rsid w:val="41DD7057"/>
    <w:rsid w:val="420F7A65"/>
    <w:rsid w:val="4216611A"/>
    <w:rsid w:val="423E300F"/>
    <w:rsid w:val="425656C8"/>
    <w:rsid w:val="4257273C"/>
    <w:rsid w:val="425D7213"/>
    <w:rsid w:val="42677B61"/>
    <w:rsid w:val="42756DB0"/>
    <w:rsid w:val="42B21AD2"/>
    <w:rsid w:val="42EB15FB"/>
    <w:rsid w:val="42FD694D"/>
    <w:rsid w:val="434A6D8F"/>
    <w:rsid w:val="43C751DD"/>
    <w:rsid w:val="43FA5777"/>
    <w:rsid w:val="44044D92"/>
    <w:rsid w:val="441C1611"/>
    <w:rsid w:val="443C440B"/>
    <w:rsid w:val="443F7DBF"/>
    <w:rsid w:val="44514F52"/>
    <w:rsid w:val="448965CB"/>
    <w:rsid w:val="44913E48"/>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9F50E6"/>
    <w:rsid w:val="48A41906"/>
    <w:rsid w:val="48B65C71"/>
    <w:rsid w:val="48F303D7"/>
    <w:rsid w:val="492837FF"/>
    <w:rsid w:val="492E6A57"/>
    <w:rsid w:val="49894B84"/>
    <w:rsid w:val="49B86103"/>
    <w:rsid w:val="49F306B0"/>
    <w:rsid w:val="4A0030EE"/>
    <w:rsid w:val="4AC36065"/>
    <w:rsid w:val="4B134D38"/>
    <w:rsid w:val="4B1A0A44"/>
    <w:rsid w:val="4B560086"/>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5A16EE"/>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141A4D"/>
    <w:rsid w:val="54693932"/>
    <w:rsid w:val="547474B0"/>
    <w:rsid w:val="549A6BFA"/>
    <w:rsid w:val="54A70D6A"/>
    <w:rsid w:val="54E72921"/>
    <w:rsid w:val="55806F07"/>
    <w:rsid w:val="55FA2961"/>
    <w:rsid w:val="565E3E0E"/>
    <w:rsid w:val="565E7F4F"/>
    <w:rsid w:val="56775789"/>
    <w:rsid w:val="56857D06"/>
    <w:rsid w:val="56914056"/>
    <w:rsid w:val="569F0E63"/>
    <w:rsid w:val="56DB613D"/>
    <w:rsid w:val="573810DA"/>
    <w:rsid w:val="57F13760"/>
    <w:rsid w:val="57FC2169"/>
    <w:rsid w:val="58096275"/>
    <w:rsid w:val="580E4560"/>
    <w:rsid w:val="581C04F1"/>
    <w:rsid w:val="582E6EF7"/>
    <w:rsid w:val="58434392"/>
    <w:rsid w:val="584E30E6"/>
    <w:rsid w:val="59014D02"/>
    <w:rsid w:val="59577976"/>
    <w:rsid w:val="597B384D"/>
    <w:rsid w:val="59996DA8"/>
    <w:rsid w:val="59AC3CE9"/>
    <w:rsid w:val="59C30F1B"/>
    <w:rsid w:val="59D863C6"/>
    <w:rsid w:val="5A0D5854"/>
    <w:rsid w:val="5A20156F"/>
    <w:rsid w:val="5A8E5D27"/>
    <w:rsid w:val="5A9847F3"/>
    <w:rsid w:val="5AAB640A"/>
    <w:rsid w:val="5AC7121C"/>
    <w:rsid w:val="5AD90B8D"/>
    <w:rsid w:val="5AE12927"/>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1B5066"/>
    <w:rsid w:val="5D893B14"/>
    <w:rsid w:val="5D9F3D30"/>
    <w:rsid w:val="5DA73449"/>
    <w:rsid w:val="5DE00660"/>
    <w:rsid w:val="5E2810D5"/>
    <w:rsid w:val="5E2B7D62"/>
    <w:rsid w:val="5E71411E"/>
    <w:rsid w:val="5EA06921"/>
    <w:rsid w:val="5ED5006A"/>
    <w:rsid w:val="5F576E4B"/>
    <w:rsid w:val="5F5D4EDE"/>
    <w:rsid w:val="5F7A2C30"/>
    <w:rsid w:val="5F7E5DBD"/>
    <w:rsid w:val="5FBE370A"/>
    <w:rsid w:val="5FF273D7"/>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9C0875"/>
    <w:rsid w:val="6C9D1F03"/>
    <w:rsid w:val="6CA91A8B"/>
    <w:rsid w:val="6CAA3931"/>
    <w:rsid w:val="6D3933CA"/>
    <w:rsid w:val="6D7B61EC"/>
    <w:rsid w:val="6DC3266E"/>
    <w:rsid w:val="6DD049FF"/>
    <w:rsid w:val="6DED73B5"/>
    <w:rsid w:val="6E09491E"/>
    <w:rsid w:val="6E0D3655"/>
    <w:rsid w:val="6E146808"/>
    <w:rsid w:val="6E3A4A84"/>
    <w:rsid w:val="6E5F4465"/>
    <w:rsid w:val="6E88530E"/>
    <w:rsid w:val="6E8C54DA"/>
    <w:rsid w:val="6EF11E03"/>
    <w:rsid w:val="6F111C62"/>
    <w:rsid w:val="6F1415D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E96309"/>
    <w:rsid w:val="71EA1FED"/>
    <w:rsid w:val="72284A0C"/>
    <w:rsid w:val="722C6CAE"/>
    <w:rsid w:val="72C16204"/>
    <w:rsid w:val="730313F6"/>
    <w:rsid w:val="731E1007"/>
    <w:rsid w:val="73370D24"/>
    <w:rsid w:val="73590D6C"/>
    <w:rsid w:val="7359268C"/>
    <w:rsid w:val="73676C3F"/>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C56F82"/>
    <w:rsid w:val="75E470E3"/>
    <w:rsid w:val="76736B32"/>
    <w:rsid w:val="76E3765E"/>
    <w:rsid w:val="76FC2AFA"/>
    <w:rsid w:val="773F0836"/>
    <w:rsid w:val="776350E3"/>
    <w:rsid w:val="77653671"/>
    <w:rsid w:val="7782683F"/>
    <w:rsid w:val="778546CC"/>
    <w:rsid w:val="77B01880"/>
    <w:rsid w:val="77B56730"/>
    <w:rsid w:val="77C04A8B"/>
    <w:rsid w:val="77D85DB3"/>
    <w:rsid w:val="780252A0"/>
    <w:rsid w:val="78027772"/>
    <w:rsid w:val="78A50513"/>
    <w:rsid w:val="79082967"/>
    <w:rsid w:val="793B7339"/>
    <w:rsid w:val="796518DD"/>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BF4035E"/>
    <w:rsid w:val="7C1724A5"/>
    <w:rsid w:val="7C8E3CCF"/>
    <w:rsid w:val="7CA54112"/>
    <w:rsid w:val="7CE50CE4"/>
    <w:rsid w:val="7D2177E3"/>
    <w:rsid w:val="7D2E5ABF"/>
    <w:rsid w:val="7D9C4FB9"/>
    <w:rsid w:val="7DC82AB7"/>
    <w:rsid w:val="7DE64EB5"/>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6"/>
    <w:unhideWhenUsed/>
    <w:qFormat/>
    <w:uiPriority w:val="9"/>
    <w:pPr>
      <w:keepNext/>
      <w:keepLines/>
      <w:outlineLvl w:val="2"/>
    </w:pPr>
    <w:rPr>
      <w:b/>
      <w:bCs/>
      <w:sz w:val="28"/>
      <w:szCs w:val="32"/>
    </w:rPr>
  </w:style>
  <w:style w:type="paragraph" w:styleId="5">
    <w:name w:val="heading 4"/>
    <w:basedOn w:val="1"/>
    <w:next w:val="1"/>
    <w:link w:val="38"/>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semiHidden/>
    <w:unhideWhenUsed/>
    <w:qFormat/>
    <w:uiPriority w:val="99"/>
  </w:style>
  <w:style w:type="paragraph" w:styleId="9">
    <w:name w:val="Body Text"/>
    <w:basedOn w:val="1"/>
    <w:next w:val="1"/>
    <w:qFormat/>
    <w:uiPriority w:val="1"/>
    <w:pPr>
      <w:spacing w:before="161"/>
      <w:ind w:left="120"/>
    </w:pPr>
    <w:rPr>
      <w:rFonts w:ascii="宋体" w:hAnsi="宋体" w:cs="宋体"/>
      <w:sz w:val="24"/>
      <w:lang w:val="zh-CN" w:bidi="zh-CN"/>
    </w:rPr>
  </w:style>
  <w:style w:type="paragraph" w:styleId="10">
    <w:name w:val="toc 3"/>
    <w:basedOn w:val="1"/>
    <w:next w:val="1"/>
    <w:unhideWhenUsed/>
    <w:qFormat/>
    <w:uiPriority w:val="39"/>
    <w:pPr>
      <w:tabs>
        <w:tab w:val="right" w:leader="dot" w:pos="8296"/>
      </w:tabs>
      <w:ind w:left="838" w:leftChars="381"/>
    </w:pPr>
    <w:rPr>
      <w:szCs w:val="21"/>
    </w:rPr>
  </w:style>
  <w:style w:type="paragraph" w:styleId="11">
    <w:name w:val="Plain Text"/>
    <w:basedOn w:val="1"/>
    <w:link w:val="48"/>
    <w:qFormat/>
    <w:uiPriority w:val="0"/>
    <w:pPr>
      <w:widowControl w:val="0"/>
      <w:adjustRightInd/>
      <w:snapToGrid/>
      <w:jc w:val="both"/>
    </w:pPr>
    <w:rPr>
      <w:rFonts w:ascii="宋体" w:hAnsi="Courier New" w:cs="Times New Roman"/>
      <w:b/>
      <w:kern w:val="2"/>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51"/>
    <w:semiHidden/>
    <w:unhideWhenUsed/>
    <w:qFormat/>
    <w:uiPriority w:val="99"/>
    <w:rPr>
      <w:sz w:val="18"/>
      <w:szCs w:val="18"/>
    </w:rPr>
  </w:style>
  <w:style w:type="paragraph" w:styleId="14">
    <w:name w:val="footer"/>
    <w:basedOn w:val="1"/>
    <w:link w:val="50"/>
    <w:unhideWhenUsed/>
    <w:qFormat/>
    <w:uiPriority w:val="99"/>
    <w:pPr>
      <w:tabs>
        <w:tab w:val="center" w:pos="4153"/>
        <w:tab w:val="right" w:pos="8306"/>
      </w:tabs>
    </w:pPr>
    <w:rPr>
      <w:sz w:val="18"/>
      <w:szCs w:val="18"/>
    </w:rPr>
  </w:style>
  <w:style w:type="paragraph" w:styleId="15">
    <w:name w:val="header"/>
    <w:basedOn w:val="1"/>
    <w:link w:val="49"/>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1">
    <w:name w:val="footnote text"/>
    <w:basedOn w:val="1"/>
    <w:semiHidden/>
    <w:unhideWhenUsed/>
    <w:qFormat/>
    <w:uiPriority w:val="99"/>
    <w:rPr>
      <w:sz w:val="18"/>
    </w:rPr>
  </w:style>
  <w:style w:type="paragraph" w:styleId="22">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3">
    <w:name w:val="Normal (Web)"/>
    <w:basedOn w:val="1"/>
    <w:link w:val="53"/>
    <w:qFormat/>
    <w:uiPriority w:val="0"/>
    <w:pPr>
      <w:widowControl w:val="0"/>
      <w:adjustRightInd/>
      <w:snapToGrid/>
      <w:jc w:val="both"/>
    </w:pPr>
    <w:rPr>
      <w:rFonts w:asciiTheme="minorHAnsi" w:hAnsiTheme="minorHAnsi"/>
      <w:kern w:val="2"/>
      <w:sz w:val="24"/>
      <w:szCs w:val="24"/>
    </w:rPr>
  </w:style>
  <w:style w:type="paragraph" w:styleId="24">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5">
    <w:name w:val="Body Text First Indent"/>
    <w:basedOn w:val="9"/>
    <w:unhideWhenUsed/>
    <w:qFormat/>
    <w:uiPriority w:val="99"/>
    <w:pPr>
      <w:ind w:firstLine="420" w:firstLineChars="100"/>
    </w:pPr>
    <w:rPr>
      <w:rFonts w:ascii="Times New Roman" w:hAnsi="Times New Roman" w:cs="Times New Roman"/>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Emphasis"/>
    <w:basedOn w:val="28"/>
    <w:qFormat/>
    <w:uiPriority w:val="20"/>
    <w:rPr>
      <w:i/>
      <w:iCs/>
    </w:rPr>
  </w:style>
  <w:style w:type="character" w:styleId="30">
    <w:name w:val="Hyperlink"/>
    <w:qFormat/>
    <w:uiPriority w:val="99"/>
    <w:rPr>
      <w:rFonts w:hint="eastAsia" w:ascii="宋体" w:hAnsi="宋体" w:eastAsia="宋体" w:cs="宋体"/>
      <w:b/>
      <w:color w:val="0031C1"/>
      <w:kern w:val="0"/>
      <w:sz w:val="18"/>
      <w:szCs w:val="18"/>
      <w:u w:val="none"/>
      <w:lang w:eastAsia="en-US"/>
    </w:rPr>
  </w:style>
  <w:style w:type="character" w:styleId="31">
    <w:name w:val="annotation reference"/>
    <w:basedOn w:val="28"/>
    <w:semiHidden/>
    <w:unhideWhenUsed/>
    <w:qFormat/>
    <w:uiPriority w:val="99"/>
    <w:rPr>
      <w:sz w:val="21"/>
      <w:szCs w:val="21"/>
    </w:rPr>
  </w:style>
  <w:style w:type="character" w:styleId="32">
    <w:name w:val="footnote reference"/>
    <w:basedOn w:val="28"/>
    <w:semiHidden/>
    <w:unhideWhenUsed/>
    <w:qFormat/>
    <w:uiPriority w:val="99"/>
    <w:rPr>
      <w:vertAlign w:val="superscript"/>
    </w:rPr>
  </w:style>
  <w:style w:type="paragraph" w:customStyle="1" w:styleId="33">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4">
    <w:name w:val="表格文字"/>
    <w:basedOn w:val="1"/>
    <w:qFormat/>
    <w:uiPriority w:val="0"/>
    <w:pPr>
      <w:adjustRightInd/>
      <w:spacing w:before="25" w:after="25"/>
    </w:pPr>
    <w:rPr>
      <w:rFonts w:ascii="Times New Roman"/>
      <w:bCs/>
      <w:spacing w:val="10"/>
      <w:szCs w:val="20"/>
    </w:rPr>
  </w:style>
  <w:style w:type="character" w:customStyle="1" w:styleId="35">
    <w:name w:val="标题 2 Char"/>
    <w:basedOn w:val="28"/>
    <w:link w:val="2"/>
    <w:qFormat/>
    <w:uiPriority w:val="9"/>
    <w:rPr>
      <w:rFonts w:asciiTheme="majorHAnsi" w:hAnsiTheme="majorHAnsi" w:eastAsiaTheme="majorEastAsia" w:cstheme="majorBidi"/>
      <w:b/>
      <w:bCs/>
      <w:sz w:val="32"/>
      <w:szCs w:val="32"/>
    </w:rPr>
  </w:style>
  <w:style w:type="character" w:customStyle="1" w:styleId="36">
    <w:name w:val="标题 3 Char"/>
    <w:basedOn w:val="28"/>
    <w:link w:val="4"/>
    <w:qFormat/>
    <w:uiPriority w:val="9"/>
    <w:rPr>
      <w:rFonts w:ascii="Tahoma" w:hAnsi="Tahoma" w:eastAsia="宋体"/>
      <w:b/>
      <w:bCs/>
      <w:sz w:val="28"/>
      <w:szCs w:val="32"/>
    </w:rPr>
  </w:style>
  <w:style w:type="paragraph" w:styleId="37">
    <w:name w:val="List Paragraph"/>
    <w:basedOn w:val="1"/>
    <w:qFormat/>
    <w:uiPriority w:val="34"/>
    <w:pPr>
      <w:ind w:firstLine="420" w:firstLineChars="200"/>
    </w:pPr>
  </w:style>
  <w:style w:type="character" w:customStyle="1" w:styleId="38">
    <w:name w:val="标题 4 Char"/>
    <w:basedOn w:val="28"/>
    <w:link w:val="5"/>
    <w:qFormat/>
    <w:uiPriority w:val="9"/>
    <w:rPr>
      <w:rFonts w:eastAsia="宋体" w:asciiTheme="majorHAnsi" w:hAnsiTheme="majorHAnsi" w:cstheme="majorBidi"/>
      <w:b/>
      <w:bCs/>
      <w:sz w:val="24"/>
      <w:szCs w:val="28"/>
    </w:rPr>
  </w:style>
  <w:style w:type="character" w:customStyle="1" w:styleId="39">
    <w:name w:val="正文缩进2格 Char"/>
    <w:link w:val="40"/>
    <w:qFormat/>
    <w:uiPriority w:val="0"/>
    <w:rPr>
      <w:rFonts w:ascii="仿宋_GB2312" w:hAnsi="宋体" w:eastAsia="仿宋_GB2312"/>
      <w:kern w:val="2"/>
      <w:sz w:val="31"/>
    </w:rPr>
  </w:style>
  <w:style w:type="paragraph" w:customStyle="1" w:styleId="40">
    <w:name w:val="正文缩进2格"/>
    <w:basedOn w:val="1"/>
    <w:next w:val="1"/>
    <w:link w:val="39"/>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1">
    <w:name w:val="正文缩进4格"/>
    <w:basedOn w:val="40"/>
    <w:qFormat/>
    <w:uiPriority w:val="0"/>
    <w:pPr>
      <w:ind w:left="2" w:firstLine="538" w:firstLineChars="192"/>
    </w:pPr>
    <w:rPr>
      <w:color w:val="0000FF"/>
      <w:sz w:val="28"/>
    </w:rPr>
  </w:style>
  <w:style w:type="character" w:customStyle="1" w:styleId="42">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3">
    <w:name w:val="标题1"/>
    <w:qFormat/>
    <w:uiPriority w:val="0"/>
    <w:rPr>
      <w:rFonts w:ascii="Times New Roman" w:hAnsi="Times New Roman" w:eastAsia="宋体" w:cs="Times New Roman"/>
      <w:b/>
      <w:kern w:val="0"/>
      <w:sz w:val="24"/>
      <w:szCs w:val="20"/>
      <w:lang w:eastAsia="en-US"/>
    </w:rPr>
  </w:style>
  <w:style w:type="character" w:customStyle="1" w:styleId="44">
    <w:name w:val="标题 3.1 Char"/>
    <w:link w:val="45"/>
    <w:qFormat/>
    <w:uiPriority w:val="0"/>
    <w:rPr>
      <w:rFonts w:ascii="宋体" w:hAnsi="宋体" w:eastAsia="宋体"/>
      <w:b/>
      <w:color w:val="FF0000"/>
      <w:kern w:val="2"/>
      <w:sz w:val="32"/>
    </w:rPr>
  </w:style>
  <w:style w:type="paragraph" w:customStyle="1" w:styleId="45">
    <w:name w:val="标题 3.1"/>
    <w:basedOn w:val="4"/>
    <w:link w:val="44"/>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6">
    <w:name w:val="样式 楷体_GB2312 小四"/>
    <w:qFormat/>
    <w:uiPriority w:val="0"/>
    <w:rPr>
      <w:rFonts w:ascii="楷体_GB2312" w:hAnsi="楷体_GB2312" w:eastAsia="仿宋_GB2312"/>
      <w:sz w:val="24"/>
    </w:rPr>
  </w:style>
  <w:style w:type="character" w:customStyle="1" w:styleId="47">
    <w:name w:val="纯文本 Char"/>
    <w:qFormat/>
    <w:uiPriority w:val="0"/>
    <w:rPr>
      <w:rFonts w:ascii="宋体" w:hAnsi="Courier New" w:eastAsia="宋体" w:cs="Times New Roman"/>
      <w:b/>
      <w:kern w:val="2"/>
      <w:sz w:val="21"/>
      <w:szCs w:val="20"/>
    </w:rPr>
  </w:style>
  <w:style w:type="character" w:customStyle="1" w:styleId="48">
    <w:name w:val="纯文本 Char1"/>
    <w:basedOn w:val="28"/>
    <w:link w:val="11"/>
    <w:semiHidden/>
    <w:qFormat/>
    <w:uiPriority w:val="99"/>
    <w:rPr>
      <w:rFonts w:ascii="宋体" w:hAnsi="Courier New" w:eastAsia="宋体" w:cs="Courier New"/>
      <w:sz w:val="21"/>
      <w:szCs w:val="21"/>
    </w:rPr>
  </w:style>
  <w:style w:type="character" w:customStyle="1" w:styleId="49">
    <w:name w:val="页眉 Char"/>
    <w:basedOn w:val="28"/>
    <w:link w:val="15"/>
    <w:qFormat/>
    <w:uiPriority w:val="99"/>
    <w:rPr>
      <w:rFonts w:ascii="Tahoma" w:hAnsi="Tahoma"/>
      <w:sz w:val="18"/>
      <w:szCs w:val="18"/>
    </w:rPr>
  </w:style>
  <w:style w:type="character" w:customStyle="1" w:styleId="50">
    <w:name w:val="页脚 Char"/>
    <w:basedOn w:val="28"/>
    <w:link w:val="14"/>
    <w:qFormat/>
    <w:uiPriority w:val="99"/>
    <w:rPr>
      <w:rFonts w:ascii="Tahoma" w:hAnsi="Tahoma"/>
      <w:sz w:val="18"/>
      <w:szCs w:val="18"/>
    </w:rPr>
  </w:style>
  <w:style w:type="character" w:customStyle="1" w:styleId="51">
    <w:name w:val="批注框文本 Char"/>
    <w:basedOn w:val="28"/>
    <w:link w:val="13"/>
    <w:semiHidden/>
    <w:qFormat/>
    <w:uiPriority w:val="99"/>
    <w:rPr>
      <w:rFonts w:ascii="Tahoma" w:hAnsi="Tahoma"/>
      <w:sz w:val="18"/>
      <w:szCs w:val="18"/>
    </w:rPr>
  </w:style>
  <w:style w:type="paragraph" w:customStyle="1" w:styleId="52">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3">
    <w:name w:val="普通(网站) Char"/>
    <w:link w:val="23"/>
    <w:qFormat/>
    <w:uiPriority w:val="0"/>
    <w:rPr>
      <w:rFonts w:eastAsia="宋体"/>
      <w:kern w:val="2"/>
      <w:sz w:val="24"/>
      <w:szCs w:val="24"/>
    </w:rPr>
  </w:style>
  <w:style w:type="paragraph" w:customStyle="1" w:styleId="54">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5">
    <w:name w:val="p141"/>
    <w:qFormat/>
    <w:uiPriority w:val="0"/>
    <w:rPr>
      <w:sz w:val="21"/>
      <w:szCs w:val="21"/>
    </w:rPr>
  </w:style>
  <w:style w:type="paragraph" w:customStyle="1" w:styleId="56">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7">
    <w:name w:val="正文无缩进"/>
    <w:basedOn w:val="40"/>
    <w:qFormat/>
    <w:uiPriority w:val="0"/>
    <w:pPr>
      <w:ind w:firstLine="0" w:firstLineChars="0"/>
    </w:pPr>
  </w:style>
  <w:style w:type="paragraph" w:customStyle="1" w:styleId="58">
    <w:name w:val="一级条标题"/>
    <w:basedOn w:val="59"/>
    <w:next w:val="60"/>
    <w:qFormat/>
    <w:uiPriority w:val="0"/>
    <w:pPr>
      <w:tabs>
        <w:tab w:val="left" w:pos="720"/>
      </w:tabs>
      <w:spacing w:beforeLines="0" w:afterLines="0"/>
      <w:outlineLvl w:val="2"/>
    </w:pPr>
  </w:style>
  <w:style w:type="paragraph" w:customStyle="1" w:styleId="59">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0">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1">
    <w:name w:val="font212"/>
    <w:basedOn w:val="28"/>
    <w:qFormat/>
    <w:uiPriority w:val="0"/>
    <w:rPr>
      <w:rFonts w:ascii="宋体" w:hAnsi="宋体" w:eastAsia="宋体" w:cs="宋体"/>
      <w:color w:val="000000"/>
      <w:sz w:val="22"/>
      <w:szCs w:val="22"/>
      <w:u w:val="none"/>
    </w:rPr>
  </w:style>
  <w:style w:type="character" w:customStyle="1" w:styleId="62">
    <w:name w:val="font41"/>
    <w:basedOn w:val="28"/>
    <w:qFormat/>
    <w:uiPriority w:val="0"/>
    <w:rPr>
      <w:rFonts w:hint="eastAsia" w:ascii="宋体" w:hAnsi="宋体" w:eastAsia="宋体" w:cs="宋体"/>
      <w:color w:val="000000"/>
      <w:sz w:val="22"/>
      <w:szCs w:val="22"/>
      <w:u w:val="none"/>
    </w:rPr>
  </w:style>
  <w:style w:type="character" w:customStyle="1" w:styleId="63">
    <w:name w:val="font181"/>
    <w:basedOn w:val="28"/>
    <w:qFormat/>
    <w:uiPriority w:val="0"/>
    <w:rPr>
      <w:rFonts w:hint="default" w:ascii="Times New Roman" w:hAnsi="Times New Roman" w:cs="Times New Roman"/>
      <w:color w:val="000000"/>
      <w:sz w:val="22"/>
      <w:szCs w:val="22"/>
      <w:u w:val="none"/>
    </w:rPr>
  </w:style>
  <w:style w:type="character" w:customStyle="1" w:styleId="64">
    <w:name w:val="font221"/>
    <w:basedOn w:val="28"/>
    <w:qFormat/>
    <w:uiPriority w:val="0"/>
    <w:rPr>
      <w:rFonts w:hint="eastAsia" w:ascii="宋体" w:hAnsi="宋体" w:eastAsia="宋体" w:cs="宋体"/>
      <w:color w:val="000000"/>
      <w:sz w:val="22"/>
      <w:szCs w:val="22"/>
      <w:u w:val="none"/>
      <w:vertAlign w:val="superscript"/>
    </w:rPr>
  </w:style>
  <w:style w:type="character" w:customStyle="1" w:styleId="65">
    <w:name w:val="font161"/>
    <w:basedOn w:val="28"/>
    <w:qFormat/>
    <w:uiPriority w:val="0"/>
    <w:rPr>
      <w:rFonts w:hint="eastAsia" w:ascii="宋体" w:hAnsi="宋体" w:eastAsia="宋体" w:cs="宋体"/>
      <w:color w:val="000000"/>
      <w:sz w:val="22"/>
      <w:szCs w:val="22"/>
      <w:u w:val="none"/>
    </w:rPr>
  </w:style>
  <w:style w:type="character" w:customStyle="1" w:styleId="66">
    <w:name w:val="font131"/>
    <w:basedOn w:val="28"/>
    <w:qFormat/>
    <w:uiPriority w:val="0"/>
    <w:rPr>
      <w:rFonts w:hint="eastAsia" w:ascii="微软雅黑" w:hAnsi="微软雅黑" w:eastAsia="微软雅黑" w:cs="微软雅黑"/>
      <w:color w:val="000000"/>
      <w:sz w:val="22"/>
      <w:szCs w:val="22"/>
      <w:u w:val="none"/>
    </w:rPr>
  </w:style>
  <w:style w:type="paragraph" w:customStyle="1" w:styleId="67">
    <w:name w:val="*正文"/>
    <w:basedOn w:val="1"/>
    <w:qFormat/>
    <w:uiPriority w:val="0"/>
    <w:pPr>
      <w:spacing w:after="200"/>
      <w:ind w:firstLine="200"/>
    </w:pPr>
    <w:rPr>
      <w:rFonts w:ascii="宋体" w:hAnsi="宋体"/>
      <w:sz w:val="24"/>
      <w:szCs w:val="24"/>
    </w:rPr>
  </w:style>
  <w:style w:type="paragraph" w:customStyle="1" w:styleId="68">
    <w:name w:val="列出段落2"/>
    <w:basedOn w:val="1"/>
    <w:qFormat/>
    <w:uiPriority w:val="0"/>
    <w:pPr>
      <w:ind w:firstLine="420" w:firstLineChars="200"/>
    </w:pPr>
    <w:rPr>
      <w:rFonts w:ascii="Calibri" w:hAnsi="Calibri" w:cs="Times New Roman"/>
    </w:rPr>
  </w:style>
  <w:style w:type="paragraph" w:customStyle="1" w:styleId="69">
    <w:name w:val="Table Paragraph"/>
    <w:basedOn w:val="1"/>
    <w:qFormat/>
    <w:uiPriority w:val="1"/>
  </w:style>
  <w:style w:type="character" w:customStyle="1" w:styleId="70">
    <w:name w:val="font61"/>
    <w:basedOn w:val="28"/>
    <w:qFormat/>
    <w:uiPriority w:val="0"/>
    <w:rPr>
      <w:rFonts w:hint="eastAsia" w:ascii="宋体" w:hAnsi="宋体" w:eastAsia="宋体" w:cs="宋体"/>
      <w:color w:val="000000"/>
      <w:sz w:val="20"/>
      <w:szCs w:val="20"/>
      <w:u w:val="none"/>
    </w:rPr>
  </w:style>
  <w:style w:type="character" w:customStyle="1" w:styleId="71">
    <w:name w:val="font101"/>
    <w:basedOn w:val="28"/>
    <w:qFormat/>
    <w:uiPriority w:val="0"/>
    <w:rPr>
      <w:rFonts w:hint="eastAsia" w:ascii="宋体" w:hAnsi="宋体" w:eastAsia="宋体" w:cs="宋体"/>
      <w:color w:val="70AD47"/>
      <w:sz w:val="20"/>
      <w:szCs w:val="20"/>
      <w:u w:val="none"/>
    </w:rPr>
  </w:style>
  <w:style w:type="character" w:customStyle="1" w:styleId="72">
    <w:name w:val="font31"/>
    <w:basedOn w:val="28"/>
    <w:qFormat/>
    <w:uiPriority w:val="0"/>
    <w:rPr>
      <w:rFonts w:hint="eastAsia" w:ascii="宋体" w:hAnsi="宋体" w:eastAsia="宋体" w:cs="宋体"/>
      <w:color w:val="000000"/>
      <w:sz w:val="20"/>
      <w:szCs w:val="20"/>
      <w:u w:val="none"/>
    </w:rPr>
  </w:style>
  <w:style w:type="character" w:customStyle="1" w:styleId="73">
    <w:name w:val="font91"/>
    <w:basedOn w:val="28"/>
    <w:qFormat/>
    <w:uiPriority w:val="0"/>
    <w:rPr>
      <w:rFonts w:hint="eastAsia" w:ascii="宋体" w:hAnsi="宋体" w:eastAsia="宋体" w:cs="宋体"/>
      <w:color w:val="000000"/>
      <w:sz w:val="22"/>
      <w:szCs w:val="22"/>
      <w:u w:val="none"/>
    </w:rPr>
  </w:style>
  <w:style w:type="character" w:customStyle="1" w:styleId="74">
    <w:name w:val="font121"/>
    <w:basedOn w:val="28"/>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80</Pages>
  <Words>34071</Words>
  <Characters>34983</Characters>
  <Lines>392</Lines>
  <Paragraphs>110</Paragraphs>
  <TotalTime>9</TotalTime>
  <ScaleCrop>false</ScaleCrop>
  <LinksUpToDate>false</LinksUpToDate>
  <CharactersWithSpaces>36958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2023-11-30T03:05:40Z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A664ECABE47D41D1ADC74AF8EDDC8C35_13</vt:lpwstr>
  </property>
</Properties>
</file>