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441900026-2023-00796</w:t>
      </w:r>
    </w:p>
    <w:p>
      <w:pPr>
        <w:jc w:val="center"/>
      </w:pPr>
      <w:r>
        <w:rPr>
          <w:b/>
          <w:sz w:val="24"/>
        </w:rPr>
        <w:t>采购项目编号：</w:t>
      </w:r>
      <w:r>
        <w:rPr>
          <w:b/>
          <w:sz w:val="24"/>
        </w:rPr>
        <w:t>441900026-2023-00796</w:t>
      </w:r>
    </w:p>
    <w:p>
      <w:pPr>
        <w:jc w:val="center"/>
      </w:pPr>
      <w:r>
        <w:rPr>
          <w:b/>
          <w:sz w:val="24"/>
        </w:rPr>
        <w:t>项目名称：</w:t>
      </w:r>
      <w:r>
        <w:rPr>
          <w:b/>
          <w:sz w:val="24"/>
        </w:rPr>
        <w:t>大岭山镇垃圾收集转运项目</w:t>
      </w:r>
    </w:p>
    <w:p>
      <w:pPr>
        <w:jc w:val="center"/>
      </w:pPr>
      <w:r>
        <w:rPr>
          <w:b/>
          <w:sz w:val="24"/>
        </w:rPr>
        <w:t>采购人：</w:t>
      </w:r>
      <w:r>
        <w:rPr>
          <w:b/>
          <w:sz w:val="24"/>
        </w:rPr>
        <w:t>东莞市大岭山镇公用事业服务中心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东莞市大岭山镇公用事业服务中心</w:t>
      </w:r>
      <w:r>
        <w:rPr/>
        <w:t>的委托，采用</w:t>
      </w:r>
      <w:r>
        <w:rPr/>
        <w:t>公开招标</w:t>
      </w:r>
      <w:r>
        <w:rPr/>
        <w:t>方式组织采购</w:t>
      </w:r>
      <w:r>
        <w:rPr/>
        <w:t>大岭山镇垃圾收集转运项目</w:t>
      </w:r>
      <w:r>
        <w:rPr/>
        <w:t>。欢迎符合资格条件的国内供应商参加投标。</w:t>
      </w:r>
    </w:p>
    <w:p>
      <w:r>
        <w:rPr>
          <w:b/>
          <w:sz w:val="28"/>
        </w:rPr>
        <w:t>一.项目概述</w:t>
      </w:r>
    </w:p>
    <w:p>
      <w:r>
        <w:rPr>
          <w:b/>
          <w:sz w:val="24"/>
        </w:rPr>
        <w:t>1.名称与编号</w:t>
      </w:r>
    </w:p>
    <w:p>
      <w:pPr>
        <w:ind w:firstLine="480"/>
      </w:pPr>
      <w:r>
        <w:rPr/>
        <w:t>项目名称：</w:t>
      </w:r>
      <w:r>
        <w:rPr/>
        <w:t>大岭山镇垃圾收集转运项目</w:t>
      </w:r>
    </w:p>
    <w:p>
      <w:pPr>
        <w:ind w:firstLine="480"/>
      </w:pPr>
      <w:r>
        <w:rPr/>
        <w:t>采购计划编号：</w:t>
      </w:r>
      <w:r>
        <w:rPr/>
        <w:t>441900026-2023-00796</w:t>
      </w:r>
    </w:p>
    <w:p>
      <w:pPr>
        <w:ind w:firstLine="480"/>
      </w:pPr>
      <w:r>
        <w:rPr/>
        <w:t>采购项目编号：</w:t>
      </w:r>
      <w:r>
        <w:rPr/>
        <w:t>441900026-2023-00796</w:t>
      </w:r>
    </w:p>
    <w:p>
      <w:pPr>
        <w:ind w:firstLine="480"/>
      </w:pPr>
      <w:r>
        <w:rPr/>
        <w:t>采购方式：</w:t>
      </w:r>
      <w:r>
        <w:rPr/>
        <w:t>公开招标</w:t>
      </w:r>
    </w:p>
    <w:p>
      <w:pPr>
        <w:ind w:firstLine="480"/>
      </w:pPr>
      <w:r>
        <w:rPr/>
        <w:t>预算金额：</w:t>
      </w:r>
      <w:r>
        <w:rPr/>
        <w:t>67,489,996.50</w:t>
      </w:r>
      <w:r>
        <w:rPr/>
        <w:t>元</w:t>
      </w:r>
    </w:p>
    <w:p>
      <w:r>
        <w:rPr>
          <w:b/>
          <w:sz w:val="24"/>
        </w:rPr>
        <w:t>2.项目内容及需求情况（采购项目技术规格、参数及要求）</w:t>
      </w:r>
    </w:p>
    <w:p>
      <w:pPr>
        <w:ind w:firstLine="480"/>
      </w:pPr>
    </w:p>
    <w:p/>
    <w:p>
      <w:r>
        <w:rPr/>
        <w:t>采购包1(大岭山镇垃圾收集转运项目):</w:t>
      </w:r>
    </w:p>
    <w:p>
      <w:r>
        <w:rPr/>
        <w:t>采购包预算金额：67,489,996.50元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其他城镇公共卫生服务</w:t>
            </w:r>
          </w:p>
        </w:tc>
        <w:tc>
          <w:tcPr>
            <w:tcW w:type="dxa" w:w="2052"/>
          </w:tcPr>
          <w:p>
            <w:r>
              <w:rPr/>
              <w:t>大岭山镇垃圾收集转运项目</w:t>
            </w:r>
          </w:p>
        </w:tc>
        <w:tc>
          <w:tcPr>
            <w:tcW w:type="dxa" w:w="977"/>
          </w:tcPr>
          <w:p>
            <w:r>
              <w:rPr/>
              <w:t>1.00(项)</w:t>
            </w:r>
          </w:p>
        </w:tc>
        <w:tc>
          <w:tcPr>
            <w:tcW w:type="dxa" w:w="977"/>
          </w:tcPr>
          <w:p>
            <w:r>
              <w:rPr/>
              <w:t>详见第二章</w:t>
            </w:r>
          </w:p>
        </w:tc>
        <w:tc>
          <w:tcPr>
            <w:tcW w:type="dxa" w:w="977"/>
          </w:tcPr>
          <w:p>
            <w:r>
              <w:rPr/>
              <w:t>67,489,996.50</w:t>
            </w:r>
          </w:p>
        </w:tc>
        <w:tc>
          <w:tcPr>
            <w:tcW w:type="dxa" w:w="977"/>
          </w:tcPr>
          <w:p>
            <w:r>
              <w:rPr/>
              <w:t>否</w:t>
            </w:r>
          </w:p>
        </w:tc>
      </w:tr>
    </w:tbl>
    <w:p/>
    <w:p>
      <w:r>
        <w:rPr/>
        <w:t>本采购包不接受联合体投标</w:t>
      </w:r>
    </w:p>
    <w:p/>
    <w:p>
      <w:r>
        <w:rPr/>
        <w:t>合同履行期限：自签订合同之日起三年。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2）有依法缴纳税收和社会保障资金的良好记录：投标（响应）文件中提供《资格条件承诺函》，可参考公告附件格式。</w:t>
      </w:r>
    </w:p>
    <w:p/>
    <w:p>
      <w:r>
        <w:rPr/>
        <w:t>3）具有良好的商业信誉和健全的财务会计制度：投标（响应）文件中提供《资格条件承诺函》，可参考公告附件格式。</w:t>
      </w:r>
    </w:p>
    <w:p/>
    <w:p>
      <w:r>
        <w:rPr/>
        <w:t>4）履行合同所必需的设备和专业技术能力：投标（响应）文件中提供《资格条件承诺函》，可参考公告附件格式。</w:t>
      </w:r>
    </w:p>
    <w:p/>
    <w:p>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采购包1（大岭山镇垃圾收集转运项目）：</w:t>
      </w:r>
      <w:r>
        <w:rPr/>
        <w:t>本项目不属于专门面向中小企业采购项目。</w:t>
      </w:r>
    </w:p>
    <w:p/>
    <w:p>
      <w:r>
        <w:rPr>
          <w:b/>
          <w:sz w:val="24"/>
        </w:rPr>
        <w:t>3.本项目特定的资格要求：</w:t>
      </w:r>
    </w:p>
    <w:p>
      <w:pPr>
        <w:ind w:firstLine="480"/>
      </w:pPr>
    </w:p>
    <w:p/>
    <w:p>
      <w:r>
        <w:rPr/>
        <w:t>采购包1（大岭山镇垃圾收集转运项目）：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东莞市大岭山镇公用事业服务中心</w:t>
      </w:r>
    </w:p>
    <w:p>
      <w:pPr>
        <w:ind w:firstLine="480"/>
      </w:pPr>
      <w:r>
        <w:rPr/>
        <w:t>地址：</w:t>
      </w:r>
      <w:r>
        <w:rPr/>
        <w:t>广东省东莞市大岭山镇石大路月山村旁</w:t>
      </w:r>
    </w:p>
    <w:p>
      <w:pPr>
        <w:ind w:firstLine="480"/>
      </w:pPr>
      <w:r>
        <w:rPr/>
        <w:t>联系方式：</w:t>
      </w:r>
      <w:r>
        <w:rPr/>
        <w:t>0769-85610628</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1、负责将</w:t>
      </w:r>
      <w:r>
        <w:rPr>
          <w:sz w:val="21"/>
        </w:rPr>
        <w:t>大岭山</w:t>
      </w:r>
      <w:r>
        <w:rPr>
          <w:sz w:val="21"/>
        </w:rPr>
        <w:t>镇全镇（已有承包服务的范围除外）每天产生的约</w:t>
      </w:r>
      <w:r>
        <w:rPr>
          <w:sz w:val="21"/>
        </w:rPr>
        <w:t>480吨</w:t>
      </w:r>
      <w:r>
        <w:rPr>
          <w:sz w:val="21"/>
        </w:rPr>
        <w:t>的</w:t>
      </w:r>
      <w:r>
        <w:rPr>
          <w:sz w:val="21"/>
        </w:rPr>
        <w:t>生活垃圾</w:t>
      </w:r>
      <w:r>
        <w:rPr>
          <w:sz w:val="21"/>
        </w:rPr>
        <w:t>按照要求进行</w:t>
      </w:r>
      <w:r>
        <w:rPr>
          <w:sz w:val="21"/>
        </w:rPr>
        <w:t>收集、清运</w:t>
      </w:r>
      <w:r>
        <w:rPr>
          <w:sz w:val="21"/>
        </w:rPr>
        <w:t>，严禁接纳非本镇</w:t>
      </w:r>
      <w:r>
        <w:rPr>
          <w:sz w:val="21"/>
        </w:rPr>
        <w:t>垃圾</w:t>
      </w:r>
      <w:r>
        <w:rPr>
          <w:sz w:val="21"/>
        </w:rPr>
        <w:t>。</w:t>
      </w:r>
    </w:p>
    <w:p>
      <w:pPr>
        <w:ind w:firstLine="420"/>
        <w:jc w:val="both"/>
      </w:pPr>
      <w:r>
        <w:rPr>
          <w:sz w:val="21"/>
        </w:rPr>
        <w:t>2、承包要求：中标人须在</w:t>
      </w:r>
      <w:r>
        <w:rPr>
          <w:sz w:val="21"/>
        </w:rPr>
        <w:t>每</w:t>
      </w:r>
      <w:r>
        <w:rPr>
          <w:sz w:val="21"/>
        </w:rPr>
        <w:t>天下午</w:t>
      </w:r>
      <w:r>
        <w:rPr>
          <w:sz w:val="21"/>
        </w:rPr>
        <w:t>18：00前，</w:t>
      </w:r>
      <w:r>
        <w:rPr>
          <w:sz w:val="21"/>
        </w:rPr>
        <w:t>完成</w:t>
      </w:r>
      <w:r>
        <w:rPr>
          <w:sz w:val="21"/>
        </w:rPr>
        <w:t>大岭山</w:t>
      </w:r>
      <w:r>
        <w:rPr>
          <w:sz w:val="21"/>
        </w:rPr>
        <w:t>镇全镇生活垃圾的收集运输任务（垃圾桶的数量和位置，中标后与采购人根据实际情况逐一进行确定）。</w:t>
      </w:r>
      <w:r>
        <w:rPr>
          <w:sz w:val="21"/>
        </w:rPr>
        <w:t>使用小型垃圾压缩车负责</w:t>
      </w:r>
      <w:r>
        <w:rPr>
          <w:sz w:val="21"/>
        </w:rPr>
        <w:t>收集日常</w:t>
      </w:r>
      <w:r>
        <w:rPr>
          <w:sz w:val="21"/>
        </w:rPr>
        <w:t>产生</w:t>
      </w:r>
      <w:r>
        <w:rPr>
          <w:sz w:val="21"/>
        </w:rPr>
        <w:t>垃圾运送到现行中标运营</w:t>
      </w:r>
      <w:r>
        <w:rPr>
          <w:sz w:val="21"/>
        </w:rPr>
        <w:t>4个中转站（分别杨屋站、水朗站、大环站、太公岭站）。</w:t>
      </w:r>
      <w:r>
        <w:rPr>
          <w:sz w:val="21"/>
        </w:rPr>
        <w:t>使用大型压缩车</w:t>
      </w:r>
      <w:r>
        <w:rPr>
          <w:sz w:val="21"/>
        </w:rPr>
        <w:t>负责各</w:t>
      </w:r>
      <w:r>
        <w:rPr>
          <w:sz w:val="21"/>
        </w:rPr>
        <w:t>临时生活垃圾收集点</w:t>
      </w:r>
      <w:r>
        <w:rPr>
          <w:sz w:val="21"/>
        </w:rPr>
        <w:t>进行随街压缩后运送至垃圾焚烧发电厂。使用双桥勾臂车将</w:t>
      </w:r>
      <w:r>
        <w:rPr>
          <w:sz w:val="21"/>
        </w:rPr>
        <w:t>7个中转站</w:t>
      </w:r>
      <w:r>
        <w:rPr>
          <w:sz w:val="21"/>
        </w:rPr>
        <w:t>（南一路、体育公园、新塘、鸡翅岭、连平、金桔、信立农批）</w:t>
      </w:r>
      <w:r>
        <w:rPr>
          <w:sz w:val="21"/>
        </w:rPr>
        <w:t>生活垃圾转运到垃圾焚烧发电厂。</w:t>
      </w:r>
    </w:p>
    <w:p>
      <w:pPr>
        <w:ind w:firstLine="420"/>
        <w:jc w:val="both"/>
      </w:pPr>
      <w:r>
        <w:rPr>
          <w:sz w:val="21"/>
        </w:rPr>
        <w:t>3、6个</w:t>
      </w:r>
      <w:r>
        <w:rPr>
          <w:sz w:val="21"/>
        </w:rPr>
        <w:t>转运站（南一路、体育公园、新塘、鸡翅岭、连平、金桔）日常管养，要求落实专人看守、清洁、清洗、消杀、除臭、沉淀池渗滤液渣处理、站内排水沟维修、门窗维修、箱体维修、轨道钢板更换（维修）、除臭设备维修、水电维修、墙体墙面简易修复，支付水电费、通风降尘、日常台账记录等。另外，负责</w:t>
      </w:r>
      <w:r>
        <w:rPr>
          <w:sz w:val="21"/>
        </w:rPr>
        <w:t>7个转运站监控（含信立农批站，政府统一安装接入市数字城管）维修、支付光纤费（光纤费支付原协议公司）。</w:t>
      </w:r>
    </w:p>
    <w:p>
      <w:pPr>
        <w:ind w:firstLine="420"/>
        <w:jc w:val="both"/>
      </w:pPr>
      <w:r>
        <w:rPr>
          <w:sz w:val="21"/>
        </w:rPr>
        <w:t>4</w:t>
      </w:r>
      <w:r>
        <w:rPr>
          <w:sz w:val="21"/>
        </w:rPr>
        <w:t>、中标人必须提供采购人要求的运输车辆和设备，并对其办理营运及牌照等相关手续</w:t>
      </w:r>
      <w:r>
        <w:rPr>
          <w:sz w:val="21"/>
        </w:rPr>
        <w:t>，</w:t>
      </w:r>
      <w:r>
        <w:rPr>
          <w:sz w:val="21"/>
        </w:rPr>
        <w:t>并负责车辆</w:t>
      </w:r>
      <w:r>
        <w:rPr>
          <w:sz w:val="21"/>
        </w:rPr>
        <w:t>GPS设备、盲区报警设备、保险费、维修费、油费、折旧、物料等车辆一切费用，需配备</w:t>
      </w:r>
      <w:r>
        <w:rPr>
          <w:sz w:val="21"/>
        </w:rPr>
        <w:t>车辆闪光灯、车身反光条、</w:t>
      </w:r>
      <w:r>
        <w:rPr>
          <w:sz w:val="21"/>
        </w:rPr>
        <w:t>配备</w:t>
      </w:r>
      <w:r>
        <w:rPr>
          <w:sz w:val="21"/>
        </w:rPr>
        <w:t>“雪糕筒”等安全设备。</w:t>
      </w:r>
    </w:p>
    <w:p>
      <w:pPr>
        <w:ind w:firstLine="420"/>
        <w:jc w:val="both"/>
      </w:pPr>
      <w:r>
        <w:rPr>
          <w:sz w:val="21"/>
        </w:rPr>
        <w:t>5</w:t>
      </w:r>
      <w:r>
        <w:rPr>
          <w:sz w:val="21"/>
        </w:rPr>
        <w:t>、每天收集的生活垃圾运至垃圾转运站内的地磅过磅登记确认，以每日我镇生活垃圾</w:t>
      </w:r>
      <w:r>
        <w:rPr>
          <w:sz w:val="21"/>
        </w:rPr>
        <w:t>收运</w:t>
      </w:r>
      <w:r>
        <w:rPr>
          <w:sz w:val="21"/>
        </w:rPr>
        <w:t>焚烧量为依据支付费用</w:t>
      </w:r>
      <w:r>
        <w:rPr>
          <w:sz w:val="21"/>
        </w:rPr>
        <w:t>，</w:t>
      </w:r>
      <w:r>
        <w:rPr>
          <w:sz w:val="21"/>
        </w:rPr>
        <w:t>并做好收运台账</w:t>
      </w:r>
      <w:r>
        <w:rPr>
          <w:sz w:val="21"/>
        </w:rPr>
        <w:t>。</w:t>
      </w:r>
    </w:p>
    <w:p>
      <w:pPr>
        <w:ind w:firstLine="420"/>
        <w:jc w:val="both"/>
      </w:pPr>
      <w:r>
        <w:rPr>
          <w:sz w:val="21"/>
        </w:rPr>
        <w:t>6</w:t>
      </w:r>
      <w:r>
        <w:rPr>
          <w:sz w:val="21"/>
        </w:rPr>
        <w:t>、中标人须根据我镇垃圾分类开展情况，</w:t>
      </w:r>
      <w:r>
        <w:rPr>
          <w:sz w:val="21"/>
        </w:rPr>
        <w:t>需</w:t>
      </w:r>
      <w:r>
        <w:rPr>
          <w:sz w:val="21"/>
        </w:rPr>
        <w:t>配合我镇开展垃圾分类工作，</w:t>
      </w:r>
      <w:r>
        <w:rPr>
          <w:sz w:val="21"/>
        </w:rPr>
        <w:t>需开展</w:t>
      </w:r>
      <w:r>
        <w:rPr>
          <w:sz w:val="21"/>
        </w:rPr>
        <w:t>“桶车同色”，垃圾收运车辆需按市局规定粘贴“其他垃圾”收运车辆标识，</w:t>
      </w:r>
      <w:r>
        <w:rPr>
          <w:sz w:val="21"/>
        </w:rPr>
        <w:t>收集前清运人员需对</w:t>
      </w:r>
      <w:r>
        <w:rPr>
          <w:sz w:val="21"/>
        </w:rPr>
        <w:t>不属于</w:t>
      </w:r>
      <w:r>
        <w:rPr>
          <w:sz w:val="21"/>
        </w:rPr>
        <w:t>“其他垃圾”的分拣出来</w:t>
      </w:r>
      <w:r>
        <w:rPr>
          <w:sz w:val="21"/>
        </w:rPr>
        <w:t>，</w:t>
      </w:r>
      <w:r>
        <w:rPr>
          <w:sz w:val="21"/>
        </w:rPr>
        <w:t>不能</w:t>
      </w:r>
      <w:r>
        <w:rPr>
          <w:sz w:val="21"/>
        </w:rPr>
        <w:t>“混装混运”</w:t>
      </w:r>
      <w:r>
        <w:rPr>
          <w:sz w:val="21"/>
        </w:rPr>
        <w:t>。</w:t>
      </w:r>
      <w:r>
        <w:rPr>
          <w:sz w:val="21"/>
        </w:rPr>
        <w:t>车上需备清扫工具，收运后需做好临时收集点周边及车尾撒落垃圾清理工作。</w:t>
      </w:r>
    </w:p>
    <w:p>
      <w:pPr>
        <w:ind w:firstLine="420"/>
        <w:jc w:val="both"/>
      </w:pPr>
      <w:r>
        <w:rPr>
          <w:sz w:val="21"/>
        </w:rPr>
        <w:t>7、需配备印有“其他垃圾”标识的660L垃圾桶，可根据实际情况，垃圾运输优化后</w:t>
      </w:r>
      <w:r>
        <w:rPr>
          <w:sz w:val="21"/>
        </w:rPr>
        <w:t>，</w:t>
      </w:r>
      <w:r>
        <w:rPr>
          <w:sz w:val="21"/>
        </w:rPr>
        <w:t>因地制宜，</w:t>
      </w:r>
      <w:r>
        <w:rPr>
          <w:sz w:val="21"/>
        </w:rPr>
        <w:t>660L垃圾桶等价兑换相应数量的240L垃圾桶，需双方达成书面协议，需提供更换垃圾桶记录。</w:t>
      </w:r>
    </w:p>
    <w:p>
      <w:pPr>
        <w:jc w:val="both"/>
      </w:pPr>
      <w:r>
        <w:rPr>
          <w:sz w:val="21"/>
        </w:rPr>
        <w:t>8、需备有办公场所，规范性停车场，停车场需配备清洗车辆设施设备，随街压缩收运垃圾运输车辆，每天产生污水，需要定时排放到镇设置垃圾中转站及停车场周边污水管网，杜绝发生乱排放现象，如果发现乱排现象，移交当地环保部门进行处罚。</w:t>
      </w:r>
    </w:p>
    <w:p/>
    <w:p>
      <w:pPr>
        <w:ind w:firstLine="480"/>
      </w:pPr>
    </w:p>
    <w:p/>
    <w:p>
      <w:r>
        <w:rPr/>
        <w:t>采购包1（大岭山镇垃圾收集转运项目）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自签订合同之日起三年。</w:t>
            </w:r>
          </w:p>
        </w:tc>
      </w:tr>
      <w:tr>
        <w:tc>
          <w:tcPr>
            <w:tcW w:type="dxa" w:w="4153"/>
          </w:tcPr>
          <w:p>
            <w:r>
              <w:rPr/>
              <w:t>标的提供的地点</w:t>
            </w:r>
          </w:p>
        </w:tc>
        <w:tc>
          <w:tcPr>
            <w:tcW w:type="dxa" w:w="4153"/>
          </w:tcPr>
          <w:p/>
          <w:p>
            <w:r>
              <w:rPr/>
              <w:t>采购人指定地点（如有变化另行确定）。</w:t>
            </w:r>
          </w:p>
        </w:tc>
      </w:tr>
      <w:tr>
        <w:tc>
          <w:tcPr>
            <w:tcW w:type="dxa" w:w="4153"/>
          </w:tcPr>
          <w:p>
            <w:r>
              <w:rPr/>
              <w:t>付款方式</w:t>
            </w:r>
          </w:p>
        </w:tc>
        <w:tc>
          <w:tcPr>
            <w:tcW w:type="dxa" w:w="4153"/>
          </w:tcPr>
          <w:p/>
          <w:p/>
          <w:p>
            <w:r>
              <w:rPr/>
              <w:t>1期：支付比例100%,1.本项目按每月支付，采购人按中标单价×当月垃圾实际总焚烧量（按各热电厂总过磅量）进行结算，向中标人支付上月的服务费（如有因考核扣减费用，则以扣减后的费用支付）。  2、付款前中标人应出具等额合法发票以及相关台账证明材料。 注：本项目资金来源为财政资金，相关付款程序严格遵守项目所在镇街政府财政资金支付程序规定。如因执行该程序而使拨款未能及时到位，采购人不得以此为由而不履行本合同规定的义务。</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p/>
          <w:p>
            <w:r>
              <w:rPr/>
              <w:t>收取比例：5%,说明：本项目履约担保额按一年度预算金额的5%进行缴纳即可。本项目履约担保可以采用银行转账或者以专业担保机构、金融机构出具的担保函的形式缴交；履约担保的内容，应符合招标文件、投标文件和采购合同的要求。</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报价要求，本项目报价方式采用折扣率进行报价，中标单价为服务单价最高限价×折扣率。报价包括管理服务成本、法定税费和管理企业的利润等一切应尽费用。包括但不限于以下全部费用：装备费、车辆费、管理费、人工费（包括工资、奖金、津贴补贴、节假日加班和日常加班加点工资、特殊情况下支付的工资等）、社保费（包括医疗、失业、养老、生育、工伤）、公积金、培训费、住宿费、利润、税金、应急、相关设备使用费、人员培训费等费用、办公经费等以及合同实施过程中不可预见的其他费用。（注：折扣率=1-下浮率）</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其他城镇公共卫生服务</w:t>
            </w:r>
          </w:p>
        </w:tc>
        <w:tc>
          <w:tcPr>
            <w:tcW w:type="dxa" w:w="831"/>
          </w:tcPr>
          <w:p>
            <w:pPr>
              <w:jc w:val="left"/>
            </w:pPr>
            <w:r>
              <w:rPr/>
              <w:t>大岭山镇垃圾收集转运项目</w:t>
            </w:r>
          </w:p>
        </w:tc>
        <w:tc>
          <w:tcPr>
            <w:tcW w:type="dxa" w:w="831"/>
          </w:tcPr>
          <w:p>
            <w:pPr>
              <w:jc w:val="left"/>
            </w:pPr>
            <w:r>
              <w:rPr/>
              <w:t>项</w:t>
            </w:r>
          </w:p>
        </w:tc>
        <w:tc>
          <w:tcPr>
            <w:tcW w:type="dxa" w:w="831"/>
          </w:tcPr>
          <w:p>
            <w:pPr>
              <w:jc w:val="right"/>
            </w:pPr>
            <w:r>
              <w:rPr/>
              <w:t>1.00</w:t>
            </w:r>
          </w:p>
        </w:tc>
        <w:tc>
          <w:tcPr>
            <w:tcW w:type="dxa" w:w="831"/>
          </w:tcPr>
          <w:p>
            <w:pPr>
              <w:jc w:val="right"/>
            </w:pPr>
            <w:r>
              <w:rPr/>
              <w:t>67,489,996.50</w:t>
            </w:r>
          </w:p>
        </w:tc>
        <w:tc>
          <w:tcPr>
            <w:tcW w:type="dxa" w:w="831"/>
          </w:tcPr>
          <w:p>
            <w:pPr>
              <w:jc w:val="right"/>
            </w:pPr>
            <w:r>
              <w:rPr/>
              <w:t>67,489,996.50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大岭山镇垃圾收集转运项目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二</w:t>
            </w:r>
            <w:r>
              <w:rPr>
                <w:b/>
                <w:sz w:val="21"/>
              </w:rPr>
              <w:t>、服务</w:t>
            </w:r>
            <w:r>
              <w:rPr>
                <w:b/>
                <w:sz w:val="21"/>
              </w:rPr>
              <w:t>清单</w:t>
            </w:r>
          </w:p>
          <w:tbl>
            <w:tblPr>
              <w:tblBorders>
                <w:top w:val="none" w:color="000000" w:sz="4"/>
                <w:left w:val="none" w:color="000000" w:sz="4"/>
                <w:bottom w:val="none" w:color="000000" w:sz="4"/>
                <w:right w:val="none" w:color="000000" w:sz="4"/>
                <w:insideH w:val="none"/>
                <w:insideV w:val="none"/>
              </w:tblBorders>
            </w:tblPr>
            <w:tblGrid>
              <w:gridCol w:w="458"/>
              <w:gridCol w:w="2908"/>
              <w:gridCol w:w="1747"/>
            </w:tblGrid>
            <w:tr>
              <w:tc>
                <w:tcPr>
                  <w:tcW w:type="dxa" w:w="45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908"/>
                  <w:tcBorders>
                    <w:top w:val="single" w:color="000000" w:sz="4"/>
                    <w:left w:val="single" w:color="000000" w:sz="4"/>
                    <w:bottom w:val="single" w:color="000000" w:sz="4"/>
                    <w:right w:val="single" w:color="000000" w:sz="4"/>
                  </w:tcBorders>
                  <w:vAlign w:val="top"/>
                </w:tcPr>
                <w:p>
                  <w:pPr>
                    <w:jc w:val="center"/>
                  </w:pPr>
                  <w:r>
                    <w:rPr>
                      <w:sz w:val="21"/>
                    </w:rPr>
                    <w:t>内容</w:t>
                  </w:r>
                </w:p>
              </w:tc>
              <w:tc>
                <w:tcPr>
                  <w:tcW w:type="dxa" w:w="1747"/>
                  <w:tcBorders>
                    <w:top w:val="single" w:color="000000" w:sz="4"/>
                    <w:left w:val="single" w:color="000000" w:sz="4"/>
                    <w:bottom w:val="single" w:color="000000" w:sz="4"/>
                    <w:right w:val="single" w:color="000000" w:sz="4"/>
                  </w:tcBorders>
                  <w:vAlign w:val="top"/>
                </w:tcPr>
                <w:p>
                  <w:pPr>
                    <w:jc w:val="center"/>
                  </w:pPr>
                  <w:r>
                    <w:rPr>
                      <w:sz w:val="21"/>
                    </w:rPr>
                    <w:t>服务单价</w:t>
                  </w:r>
                  <w:r>
                    <w:rPr>
                      <w:sz w:val="21"/>
                    </w:rPr>
                    <w:t>最高限价</w:t>
                  </w:r>
                  <w:r>
                    <w:rPr>
                      <w:sz w:val="21"/>
                    </w:rPr>
                    <w:t>（元</w:t>
                  </w:r>
                  <w:r>
                    <w:rPr>
                      <w:sz w:val="21"/>
                    </w:rPr>
                    <w:t>/吨）</w:t>
                  </w:r>
                </w:p>
              </w:tc>
            </w:tr>
            <w:tr>
              <w:tc>
                <w:tcPr>
                  <w:tcW w:type="dxa" w:w="45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08"/>
                  <w:tcBorders>
                    <w:top w:val="none" w:color="000000" w:sz="4"/>
                    <w:left w:val="single" w:color="000000" w:sz="4"/>
                    <w:bottom w:val="single" w:color="000000" w:sz="4"/>
                    <w:right w:val="single" w:color="000000" w:sz="4"/>
                  </w:tcBorders>
                  <w:vAlign w:val="top"/>
                </w:tcPr>
                <w:p>
                  <w:pPr>
                    <w:jc w:val="center"/>
                  </w:pPr>
                  <w:r>
                    <w:rPr>
                      <w:sz w:val="21"/>
                    </w:rPr>
                    <w:t>村内垃圾收集至转运站（</w:t>
                  </w:r>
                  <w:r>
                    <w:rPr>
                      <w:sz w:val="21"/>
                    </w:rPr>
                    <w:t>4个站）</w:t>
                  </w:r>
                </w:p>
              </w:tc>
              <w:tc>
                <w:tcPr>
                  <w:tcW w:type="dxa" w:w="1747"/>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r>
                    <w:rPr>
                      <w:sz w:val="21"/>
                    </w:rPr>
                    <w:t>0.00</w:t>
                  </w:r>
                </w:p>
              </w:tc>
            </w:tr>
            <w:tr>
              <w:tc>
                <w:tcPr>
                  <w:tcW w:type="dxa" w:w="45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08"/>
                  <w:tcBorders>
                    <w:top w:val="none" w:color="000000" w:sz="4"/>
                    <w:left w:val="single" w:color="000000" w:sz="4"/>
                    <w:bottom w:val="single" w:color="000000" w:sz="4"/>
                    <w:right w:val="single" w:color="000000" w:sz="4"/>
                  </w:tcBorders>
                  <w:vAlign w:val="top"/>
                </w:tcPr>
                <w:p>
                  <w:pPr>
                    <w:jc w:val="center"/>
                  </w:pPr>
                  <w:r>
                    <w:rPr>
                      <w:sz w:val="21"/>
                    </w:rPr>
                    <w:t>随街压缩运至厚街、横沥、麻涌焚烧厂</w:t>
                  </w:r>
                </w:p>
              </w:tc>
              <w:tc>
                <w:tcPr>
                  <w:tcW w:type="dxa" w:w="1747"/>
                  <w:tcBorders>
                    <w:top w:val="none" w:color="000000" w:sz="4"/>
                    <w:left w:val="single" w:color="000000" w:sz="4"/>
                    <w:bottom w:val="single" w:color="000000" w:sz="4"/>
                    <w:right w:val="single" w:color="000000" w:sz="4"/>
                  </w:tcBorders>
                  <w:vAlign w:val="top"/>
                </w:tcPr>
                <w:p>
                  <w:pPr>
                    <w:jc w:val="center"/>
                  </w:pPr>
                  <w:r>
                    <w:rPr>
                      <w:sz w:val="21"/>
                    </w:rPr>
                    <w:t>187.</w:t>
                  </w:r>
                  <w:r>
                    <w:rPr>
                      <w:sz w:val="21"/>
                    </w:rPr>
                    <w:t>5</w:t>
                  </w:r>
                </w:p>
              </w:tc>
            </w:tr>
            <w:tr>
              <w:tc>
                <w:tcPr>
                  <w:tcW w:type="dxa" w:w="45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08"/>
                  <w:tcBorders>
                    <w:top w:val="none" w:color="000000" w:sz="4"/>
                    <w:left w:val="single" w:color="000000" w:sz="4"/>
                    <w:bottom w:val="single" w:color="000000" w:sz="4"/>
                    <w:right w:val="single" w:color="000000" w:sz="4"/>
                  </w:tcBorders>
                  <w:vAlign w:val="top"/>
                </w:tcPr>
                <w:p>
                  <w:pPr>
                    <w:jc w:val="center"/>
                  </w:pPr>
                  <w:r>
                    <w:rPr>
                      <w:sz w:val="21"/>
                    </w:rPr>
                    <w:t>中转站转运至焚烧厂（厚街、横沥、麻涌）</w:t>
                  </w:r>
                </w:p>
              </w:tc>
              <w:tc>
                <w:tcPr>
                  <w:tcW w:type="dxa" w:w="1747"/>
                  <w:tcBorders>
                    <w:top w:val="none" w:color="000000" w:sz="4"/>
                    <w:left w:val="single" w:color="000000" w:sz="4"/>
                    <w:bottom w:val="single" w:color="000000" w:sz="4"/>
                    <w:right w:val="single" w:color="000000" w:sz="4"/>
                  </w:tcBorders>
                  <w:vAlign w:val="top"/>
                </w:tcPr>
                <w:p>
                  <w:pPr>
                    <w:jc w:val="center"/>
                  </w:pPr>
                  <w:r>
                    <w:rPr>
                      <w:sz w:val="21"/>
                    </w:rPr>
                    <w:t>124.65</w:t>
                  </w:r>
                </w:p>
              </w:tc>
            </w:tr>
            <w:tr>
              <w:tc>
                <w:tcPr>
                  <w:tcW w:type="dxa" w:w="45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908"/>
                  <w:tcBorders>
                    <w:top w:val="none" w:color="000000" w:sz="4"/>
                    <w:left w:val="single" w:color="000000" w:sz="4"/>
                    <w:bottom w:val="single" w:color="000000" w:sz="4"/>
                    <w:right w:val="single" w:color="000000" w:sz="4"/>
                  </w:tcBorders>
                  <w:vAlign w:val="top"/>
                </w:tcPr>
                <w:p>
                  <w:pPr>
                    <w:jc w:val="center"/>
                  </w:pPr>
                  <w:r>
                    <w:rPr>
                      <w:sz w:val="21"/>
                    </w:rPr>
                    <w:t>中转站转运至市区粤丰垃圾焚烧厂</w:t>
                  </w:r>
                </w:p>
              </w:tc>
              <w:tc>
                <w:tcPr>
                  <w:tcW w:type="dxa" w:w="1747"/>
                  <w:tcBorders>
                    <w:top w:val="none" w:color="000000" w:sz="4"/>
                    <w:left w:val="single" w:color="000000" w:sz="4"/>
                    <w:bottom w:val="single" w:color="000000" w:sz="4"/>
                    <w:right w:val="single" w:color="000000" w:sz="4"/>
                  </w:tcBorders>
                  <w:vAlign w:val="top"/>
                </w:tcPr>
                <w:p>
                  <w:pPr>
                    <w:jc w:val="center"/>
                  </w:pPr>
                  <w:r>
                    <w:rPr>
                      <w:sz w:val="21"/>
                    </w:rPr>
                    <w:t>51.99</w:t>
                  </w:r>
                </w:p>
              </w:tc>
            </w:tr>
          </w:tbl>
          <w:p>
            <w:pPr>
              <w:jc w:val="both"/>
            </w:pPr>
            <w:r>
              <w:rPr>
                <w:b/>
                <w:sz w:val="21"/>
              </w:rPr>
              <w:t>三</w:t>
            </w:r>
            <w:r>
              <w:rPr>
                <w:b/>
                <w:sz w:val="21"/>
              </w:rPr>
              <w:t>、服务内容</w:t>
            </w:r>
          </w:p>
          <w:p>
            <w:pPr>
              <w:ind w:firstLine="420"/>
              <w:jc w:val="both"/>
            </w:pPr>
            <w:r>
              <w:rPr>
                <w:sz w:val="21"/>
              </w:rPr>
              <w:t>1、本项目服务要求中标人按采购人要求将东莞市</w:t>
            </w:r>
            <w:r>
              <w:rPr>
                <w:sz w:val="21"/>
              </w:rPr>
              <w:t>大岭山镇</w:t>
            </w:r>
            <w:r>
              <w:rPr>
                <w:sz w:val="21"/>
              </w:rPr>
              <w:t>内各转运站</w:t>
            </w:r>
            <w:r>
              <w:rPr>
                <w:sz w:val="21"/>
              </w:rPr>
              <w:t>日常生活垃圾转运至市属分配的各热电厂，按焚烧指标进行转运工作，同时做好日产日清工作</w:t>
            </w:r>
            <w:r>
              <w:rPr>
                <w:sz w:val="21"/>
              </w:rPr>
              <w:t>。</w:t>
            </w:r>
          </w:p>
          <w:p>
            <w:pPr>
              <w:ind w:firstLine="420"/>
              <w:jc w:val="both"/>
            </w:pPr>
            <w:r>
              <w:rPr>
                <w:sz w:val="21"/>
              </w:rPr>
              <w:t>（</w:t>
            </w:r>
            <w:r>
              <w:rPr>
                <w:sz w:val="21"/>
              </w:rPr>
              <w:t>1）中标人需投入满足项目要求的</w:t>
            </w:r>
            <w:r>
              <w:rPr>
                <w:sz w:val="21"/>
              </w:rPr>
              <w:t>后置垃圾压缩车、勾臂车</w:t>
            </w:r>
            <w:r>
              <w:rPr>
                <w:sz w:val="21"/>
              </w:rPr>
              <w:t>、</w:t>
            </w:r>
            <w:r>
              <w:rPr>
                <w:sz w:val="21"/>
              </w:rPr>
              <w:t>巡查皮卡车</w:t>
            </w:r>
            <w:r>
              <w:rPr>
                <w:sz w:val="21"/>
              </w:rPr>
              <w:t>；项目服务过程中需要的其他设备中标人根据实际需求自行配置。</w:t>
            </w:r>
          </w:p>
          <w:p>
            <w:pPr>
              <w:ind w:firstLine="420"/>
              <w:jc w:val="both"/>
            </w:pPr>
            <w:r>
              <w:rPr>
                <w:sz w:val="21"/>
              </w:rPr>
              <w:t>（</w:t>
            </w:r>
            <w:r>
              <w:rPr>
                <w:sz w:val="21"/>
              </w:rPr>
              <w:t>2</w:t>
            </w:r>
            <w:r>
              <w:rPr>
                <w:sz w:val="21"/>
              </w:rPr>
              <w:t>）承包要求：所有垃圾中转站等垃圾收集点的积存垃圾必须日产日清。将经过压缩处理后的垃圾转运至采购人指定的终端处理场所，垃圾运输不得出现撒漏，运输车辆要保持整洁。由中标人自行筹备资金，购置相关环卫</w:t>
            </w:r>
            <w:r>
              <w:rPr>
                <w:sz w:val="21"/>
              </w:rPr>
              <w:t>设备（除臭、降尘）</w:t>
            </w:r>
            <w:r>
              <w:rPr>
                <w:sz w:val="21"/>
              </w:rPr>
              <w:t>，负责垃圾清运的一切费用</w:t>
            </w:r>
            <w:r>
              <w:rPr>
                <w:sz w:val="21"/>
              </w:rPr>
              <w:t>。</w:t>
            </w:r>
          </w:p>
          <w:p>
            <w:pPr>
              <w:ind w:firstLine="420"/>
              <w:jc w:val="both"/>
            </w:pPr>
            <w:r>
              <w:rPr>
                <w:sz w:val="21"/>
              </w:rPr>
              <w:t>2、生活垃圾转运</w:t>
            </w:r>
          </w:p>
          <w:p>
            <w:pPr>
              <w:ind w:firstLine="420"/>
              <w:jc w:val="both"/>
            </w:pPr>
            <w:r>
              <w:rPr>
                <w:sz w:val="21"/>
              </w:rPr>
              <w:t>工作内容为：中标人需要根据</w:t>
            </w:r>
            <w:r>
              <w:rPr>
                <w:sz w:val="21"/>
              </w:rPr>
              <w:t>大岭山镇</w:t>
            </w:r>
            <w:r>
              <w:rPr>
                <w:sz w:val="21"/>
              </w:rPr>
              <w:t>现有的垃圾运输量配置足够垃圾压缩车辆到转运站（若垃圾量调整，中标人须根据最新的垃圾量配置人员和设备），作业后清扫场地、消杀和除臭，运至采购人指定终端处理场所，倾倒至指定位置，空载回程，并按现行的环境质量标准进行运营管理。</w:t>
            </w:r>
          </w:p>
          <w:p>
            <w:pPr>
              <w:ind w:firstLine="420"/>
              <w:jc w:val="both"/>
            </w:pPr>
            <w:r>
              <w:rPr>
                <w:sz w:val="21"/>
              </w:rPr>
              <w:t>（</w:t>
            </w:r>
            <w:r>
              <w:rPr>
                <w:sz w:val="21"/>
              </w:rPr>
              <w:t>1）每天实际垃圾量以镇区及市指定垃圾焚烧厂所统计的进厂数量为准。实际垃圾量可能由于垃圾最终处理方式、方向或政策因素变化存在重大波动，中标人应充分考虑。</w:t>
            </w:r>
          </w:p>
          <w:p>
            <w:pPr>
              <w:ind w:firstLine="420"/>
              <w:jc w:val="both"/>
            </w:pPr>
            <w:r>
              <w:rPr>
                <w:sz w:val="21"/>
              </w:rPr>
              <w:t>（</w:t>
            </w:r>
            <w:r>
              <w:rPr>
                <w:sz w:val="21"/>
              </w:rPr>
              <w:t>2）垃圾焚烧厂处理费由采购人支付。</w:t>
            </w:r>
          </w:p>
          <w:p>
            <w:pPr>
              <w:ind w:firstLine="420"/>
              <w:jc w:val="both"/>
            </w:pPr>
            <w:r>
              <w:rPr>
                <w:sz w:val="21"/>
              </w:rPr>
              <w:t>（</w:t>
            </w:r>
            <w:r>
              <w:rPr>
                <w:sz w:val="21"/>
              </w:rPr>
              <w:t>3）有完善污水收集</w:t>
            </w:r>
            <w:r>
              <w:rPr>
                <w:sz w:val="21"/>
              </w:rPr>
              <w:t>的</w:t>
            </w:r>
            <w:r>
              <w:rPr>
                <w:sz w:val="21"/>
              </w:rPr>
              <w:t>运输车辆，杜绝污水洒漏，避免二次污染。</w:t>
            </w:r>
          </w:p>
          <w:p>
            <w:pPr>
              <w:ind w:firstLine="420"/>
              <w:jc w:val="both"/>
            </w:pPr>
            <w:r>
              <w:rPr>
                <w:sz w:val="21"/>
              </w:rPr>
              <w:t>（</w:t>
            </w:r>
            <w:r>
              <w:rPr>
                <w:sz w:val="21"/>
              </w:rPr>
              <w:t>4）配置车体要保持整车完全密封，防止垃圾车运输途中漂洒，造成二次污染。</w:t>
            </w:r>
          </w:p>
          <w:p>
            <w:pPr>
              <w:ind w:firstLine="420"/>
              <w:jc w:val="both"/>
            </w:pPr>
            <w:r>
              <w:rPr>
                <w:sz w:val="21"/>
              </w:rPr>
              <w:t>（</w:t>
            </w:r>
            <w:r>
              <w:rPr>
                <w:sz w:val="21"/>
              </w:rPr>
              <w:t>5）配置完善的安全防护装置和作业警示设施，保证操作过程的安全。</w:t>
            </w:r>
          </w:p>
          <w:p>
            <w:pPr>
              <w:ind w:firstLine="420"/>
              <w:jc w:val="both"/>
            </w:pPr>
            <w:r>
              <w:rPr>
                <w:sz w:val="21"/>
              </w:rPr>
              <w:t>（</w:t>
            </w:r>
            <w:r>
              <w:rPr>
                <w:sz w:val="21"/>
              </w:rPr>
              <w:t>6）驾驶人员持有效驾驶证登记后作业。</w:t>
            </w:r>
          </w:p>
          <w:p>
            <w:pPr>
              <w:ind w:firstLine="420"/>
              <w:jc w:val="both"/>
            </w:pPr>
            <w:r>
              <w:rPr>
                <w:sz w:val="21"/>
              </w:rPr>
              <w:t>（</w:t>
            </w:r>
            <w:r>
              <w:rPr>
                <w:sz w:val="21"/>
              </w:rPr>
              <w:t>7）出车前全面检查汽车性能，发现问题立即送修。</w:t>
            </w:r>
          </w:p>
          <w:p>
            <w:pPr>
              <w:ind w:firstLine="420"/>
              <w:jc w:val="both"/>
            </w:pPr>
            <w:r>
              <w:rPr>
                <w:sz w:val="21"/>
              </w:rPr>
              <w:t>（</w:t>
            </w:r>
            <w:r>
              <w:rPr>
                <w:sz w:val="21"/>
              </w:rPr>
              <w:t>8）密闭收运，垃圾液不得沿途洒漏。</w:t>
            </w:r>
          </w:p>
          <w:p>
            <w:pPr>
              <w:ind w:firstLine="420"/>
              <w:jc w:val="both"/>
            </w:pPr>
            <w:r>
              <w:rPr>
                <w:sz w:val="21"/>
              </w:rPr>
              <w:t>（</w:t>
            </w:r>
            <w:r>
              <w:rPr>
                <w:sz w:val="21"/>
              </w:rPr>
              <w:t>9）及时清理</w:t>
            </w:r>
            <w:r>
              <w:rPr>
                <w:sz w:val="21"/>
              </w:rPr>
              <w:t>散落</w:t>
            </w:r>
            <w:r>
              <w:rPr>
                <w:sz w:val="21"/>
              </w:rPr>
              <w:t>垃圾。</w:t>
            </w:r>
          </w:p>
          <w:p>
            <w:pPr>
              <w:ind w:firstLine="420"/>
              <w:jc w:val="both"/>
            </w:pPr>
            <w:r>
              <w:rPr>
                <w:sz w:val="21"/>
              </w:rPr>
              <w:t>3、车辆营运管理</w:t>
            </w:r>
          </w:p>
          <w:p>
            <w:pPr>
              <w:ind w:firstLine="420"/>
              <w:jc w:val="both"/>
            </w:pPr>
            <w:r>
              <w:rPr>
                <w:sz w:val="21"/>
              </w:rPr>
              <w:t>（</w:t>
            </w:r>
            <w:r>
              <w:rPr>
                <w:sz w:val="21"/>
              </w:rPr>
              <w:t>1）垃圾运输过程中必须遵守所有相关交通规则和有关法律</w:t>
            </w:r>
            <w:r>
              <w:rPr>
                <w:sz w:val="21"/>
              </w:rPr>
              <w:t>法规</w:t>
            </w:r>
            <w:r>
              <w:rPr>
                <w:sz w:val="21"/>
              </w:rPr>
              <w:t>，确保车辆行驶安全。</w:t>
            </w:r>
          </w:p>
          <w:p>
            <w:pPr>
              <w:ind w:firstLine="420"/>
              <w:jc w:val="both"/>
            </w:pPr>
            <w:r>
              <w:rPr>
                <w:sz w:val="21"/>
              </w:rPr>
              <w:t>（</w:t>
            </w:r>
            <w:r>
              <w:rPr>
                <w:sz w:val="21"/>
              </w:rPr>
              <w:t>2）车辆必须是仅服务于本项目的垃圾运输专用车辆，车辆必须符合国V或以上标准，符合东莞市垃圾清运车辆的相关规定和要求。</w:t>
            </w:r>
          </w:p>
          <w:p>
            <w:pPr>
              <w:ind w:firstLine="420"/>
              <w:jc w:val="both"/>
            </w:pPr>
            <w:r>
              <w:rPr>
                <w:sz w:val="21"/>
              </w:rPr>
              <w:t>（</w:t>
            </w:r>
            <w:r>
              <w:rPr>
                <w:sz w:val="21"/>
              </w:rPr>
              <w:t>3）车辆在垃圾运输过程中采取密闭运输，不得造成任何外泄、遗漏、抛洒。</w:t>
            </w:r>
          </w:p>
          <w:p>
            <w:pPr>
              <w:ind w:firstLine="420"/>
              <w:jc w:val="both"/>
            </w:pPr>
            <w:r>
              <w:rPr>
                <w:sz w:val="21"/>
              </w:rPr>
              <w:t>（</w:t>
            </w:r>
            <w:r>
              <w:rPr>
                <w:sz w:val="21"/>
              </w:rPr>
              <w:t>4）保持垃圾运输车辆外观完好，定期进行清洗，车容整洁，无残留垃圾、无陈旧积泥、无滋生蝇蛆。</w:t>
            </w:r>
          </w:p>
          <w:p>
            <w:pPr>
              <w:ind w:firstLine="420"/>
              <w:jc w:val="both"/>
            </w:pPr>
            <w:r>
              <w:rPr>
                <w:sz w:val="21"/>
              </w:rPr>
              <w:t>（</w:t>
            </w:r>
            <w:r>
              <w:rPr>
                <w:sz w:val="21"/>
              </w:rPr>
              <w:t>5）做好车辆的检测、保养、维修、更新工作定期对车辆打黄油，确保车辆状况良好。</w:t>
            </w:r>
          </w:p>
          <w:p>
            <w:pPr>
              <w:ind w:firstLine="420"/>
              <w:jc w:val="both"/>
            </w:pPr>
            <w:r>
              <w:rPr>
                <w:sz w:val="21"/>
              </w:rPr>
              <w:t>（</w:t>
            </w:r>
            <w:r>
              <w:rPr>
                <w:sz w:val="21"/>
              </w:rPr>
              <w:t>6）运输车辆外观保持整洁，过于陈旧锈蚀应刷漆翻新。</w:t>
            </w:r>
          </w:p>
          <w:p>
            <w:pPr>
              <w:ind w:firstLine="420"/>
              <w:jc w:val="both"/>
            </w:pPr>
            <w:r>
              <w:rPr>
                <w:sz w:val="21"/>
              </w:rPr>
              <w:t>（</w:t>
            </w:r>
            <w:r>
              <w:rPr>
                <w:sz w:val="21"/>
              </w:rPr>
              <w:t>7</w:t>
            </w:r>
            <w:r>
              <w:rPr>
                <w:sz w:val="21"/>
              </w:rPr>
              <w:t>）垃圾运输过程中，确保车辆行驶安全，车辆若出现道路交通事故，由</w:t>
            </w:r>
            <w:r>
              <w:rPr>
                <w:sz w:val="21"/>
              </w:rPr>
              <w:t>中标人</w:t>
            </w:r>
            <w:r>
              <w:rPr>
                <w:sz w:val="21"/>
              </w:rPr>
              <w:t>承担全部责任。</w:t>
            </w:r>
          </w:p>
          <w:p>
            <w:pPr>
              <w:ind w:firstLine="420"/>
              <w:jc w:val="both"/>
            </w:pPr>
            <w:r>
              <w:rPr>
                <w:sz w:val="21"/>
              </w:rPr>
              <w:t>（</w:t>
            </w:r>
            <w:r>
              <w:rPr>
                <w:sz w:val="21"/>
              </w:rPr>
              <w:t>8</w:t>
            </w:r>
            <w:r>
              <w:rPr>
                <w:sz w:val="21"/>
              </w:rPr>
              <w:t>）车辆必须是垃圾运输专用车辆，符合垃圾清运车辆的相关规定和要求。</w:t>
            </w:r>
          </w:p>
          <w:p>
            <w:pPr>
              <w:ind w:firstLine="420"/>
              <w:jc w:val="both"/>
            </w:pPr>
            <w:r>
              <w:rPr>
                <w:sz w:val="21"/>
              </w:rPr>
              <w:t>（</w:t>
            </w:r>
            <w:r>
              <w:rPr>
                <w:sz w:val="21"/>
              </w:rPr>
              <w:t>9</w:t>
            </w:r>
            <w:r>
              <w:rPr>
                <w:sz w:val="21"/>
              </w:rPr>
              <w:t>）车辆必须办理合法的道路运输经营许可证、垃圾运输许可证、车辆行驶证；垃圾运输车辆驾驶员必须持有驾驶证。</w:t>
            </w:r>
          </w:p>
          <w:p>
            <w:pPr>
              <w:ind w:firstLine="420"/>
              <w:jc w:val="both"/>
            </w:pPr>
            <w:r>
              <w:rPr>
                <w:sz w:val="21"/>
              </w:rPr>
              <w:t>（</w:t>
            </w:r>
            <w:r>
              <w:rPr>
                <w:sz w:val="21"/>
              </w:rPr>
              <w:t>10</w:t>
            </w:r>
            <w:r>
              <w:rPr>
                <w:sz w:val="21"/>
              </w:rPr>
              <w:t>）车辆在垃圾运输过程中采取密闭运输，不得超载、超速，不得造成任何外泄、遗漏、抛洒，杜绝污染环境；若出现沿路外泄、遗漏、抛洒现象经警告不予整改的，采购人有权给予相应经济处罚。</w:t>
            </w:r>
          </w:p>
          <w:p>
            <w:pPr>
              <w:ind w:firstLine="420"/>
              <w:jc w:val="both"/>
            </w:pPr>
            <w:r>
              <w:rPr>
                <w:sz w:val="21"/>
              </w:rPr>
              <w:t>（</w:t>
            </w:r>
            <w:r>
              <w:rPr>
                <w:sz w:val="21"/>
              </w:rPr>
              <w:t>11</w:t>
            </w:r>
            <w:r>
              <w:rPr>
                <w:sz w:val="21"/>
              </w:rPr>
              <w:t>）保持垃圾运输车辆外观完好、整洁，定期进行清洗。</w:t>
            </w:r>
          </w:p>
          <w:p>
            <w:pPr>
              <w:ind w:firstLine="420"/>
              <w:jc w:val="both"/>
            </w:pPr>
            <w:r>
              <w:rPr>
                <w:sz w:val="21"/>
              </w:rPr>
              <w:t>（</w:t>
            </w:r>
            <w:r>
              <w:rPr>
                <w:sz w:val="21"/>
              </w:rPr>
              <w:t>12</w:t>
            </w:r>
            <w:r>
              <w:rPr>
                <w:sz w:val="21"/>
              </w:rPr>
              <w:t>）做好垃圾运输过程中运输车辆的检测、保养、维修、更新工作，确保车辆状况良好。</w:t>
            </w:r>
          </w:p>
          <w:p>
            <w:pPr>
              <w:ind w:firstLine="420"/>
              <w:jc w:val="both"/>
            </w:pPr>
            <w:r>
              <w:rPr>
                <w:sz w:val="21"/>
              </w:rPr>
              <w:t>4</w:t>
            </w:r>
            <w:r>
              <w:rPr>
                <w:sz w:val="21"/>
              </w:rPr>
              <w:t>、垃圾收集运输管理要求</w:t>
            </w:r>
          </w:p>
          <w:p>
            <w:pPr>
              <w:ind w:firstLine="420"/>
              <w:jc w:val="both"/>
            </w:pPr>
            <w:r>
              <w:rPr>
                <w:sz w:val="21"/>
              </w:rPr>
              <w:t>（</w:t>
            </w:r>
            <w:r>
              <w:rPr>
                <w:sz w:val="21"/>
              </w:rPr>
              <w:t>1）垃圾收集及时，确保垃圾日产日清，外围公用垃圾收集点须每</w:t>
            </w:r>
            <w:r>
              <w:rPr>
                <w:sz w:val="21"/>
              </w:rPr>
              <w:t>天</w:t>
            </w:r>
            <w:r>
              <w:rPr>
                <w:sz w:val="21"/>
              </w:rPr>
              <w:t>清运二次</w:t>
            </w:r>
            <w:r>
              <w:rPr>
                <w:sz w:val="21"/>
              </w:rPr>
              <w:t>（</w:t>
            </w:r>
            <w:r>
              <w:rPr>
                <w:sz w:val="21"/>
              </w:rPr>
              <w:t>或</w:t>
            </w:r>
            <w:r>
              <w:rPr>
                <w:sz w:val="21"/>
              </w:rPr>
              <w:t>）</w:t>
            </w:r>
            <w:r>
              <w:rPr>
                <w:sz w:val="21"/>
              </w:rPr>
              <w:t>以上，</w:t>
            </w:r>
            <w:r>
              <w:rPr>
                <w:sz w:val="21"/>
              </w:rPr>
              <w:t>显眼主干道路，每天至少清运三次，</w:t>
            </w:r>
            <w:r>
              <w:rPr>
                <w:sz w:val="21"/>
              </w:rPr>
              <w:t>确保周边无垃圾堆积，垃圾桶无溢满。</w:t>
            </w:r>
          </w:p>
          <w:p>
            <w:pPr>
              <w:ind w:firstLine="420"/>
              <w:jc w:val="both"/>
            </w:pPr>
            <w:r>
              <w:rPr>
                <w:sz w:val="21"/>
              </w:rPr>
              <w:t>（</w:t>
            </w:r>
            <w:r>
              <w:rPr>
                <w:sz w:val="21"/>
              </w:rPr>
              <w:t>2</w:t>
            </w:r>
            <w:r>
              <w:rPr>
                <w:sz w:val="21"/>
              </w:rPr>
              <w:t>）确保垃圾收集工作不间断、不出现收集空档，并不得出现收集空白点。</w:t>
            </w:r>
          </w:p>
          <w:p>
            <w:pPr>
              <w:ind w:firstLine="420"/>
              <w:jc w:val="both"/>
            </w:pPr>
            <w:r>
              <w:rPr>
                <w:sz w:val="21"/>
              </w:rPr>
              <w:t>（</w:t>
            </w:r>
            <w:r>
              <w:rPr>
                <w:sz w:val="21"/>
              </w:rPr>
              <w:t>3</w:t>
            </w:r>
            <w:r>
              <w:rPr>
                <w:sz w:val="21"/>
              </w:rPr>
              <w:t>）</w:t>
            </w:r>
            <w:r>
              <w:rPr>
                <w:sz w:val="21"/>
              </w:rPr>
              <w:t>收运</w:t>
            </w:r>
            <w:r>
              <w:rPr>
                <w:sz w:val="21"/>
              </w:rPr>
              <w:t>垃圾时，应保持垃圾桶周边</w:t>
            </w:r>
            <w:r>
              <w:rPr>
                <w:sz w:val="21"/>
              </w:rPr>
              <w:t>2米内环境卫生，及时清理撒漏垃圾</w:t>
            </w:r>
            <w:r>
              <w:rPr>
                <w:sz w:val="21"/>
              </w:rPr>
              <w:t>，</w:t>
            </w:r>
            <w:r>
              <w:rPr>
                <w:sz w:val="21"/>
              </w:rPr>
              <w:t>收运后</w:t>
            </w:r>
            <w:r>
              <w:rPr>
                <w:sz w:val="21"/>
              </w:rPr>
              <w:t>垃圾桶</w:t>
            </w:r>
            <w:r>
              <w:rPr>
                <w:sz w:val="21"/>
              </w:rPr>
              <w:t>要及时</w:t>
            </w:r>
            <w:r>
              <w:rPr>
                <w:sz w:val="21"/>
              </w:rPr>
              <w:t>摆放整齐</w:t>
            </w:r>
            <w:r>
              <w:rPr>
                <w:sz w:val="21"/>
              </w:rPr>
              <w:t>，</w:t>
            </w:r>
            <w:r>
              <w:rPr>
                <w:sz w:val="21"/>
              </w:rPr>
              <w:t>若是分类投放点，需摆放在亭内</w:t>
            </w:r>
            <w:r>
              <w:rPr>
                <w:sz w:val="21"/>
              </w:rPr>
              <w:t>。</w:t>
            </w:r>
          </w:p>
          <w:p>
            <w:pPr>
              <w:ind w:firstLine="420"/>
              <w:jc w:val="both"/>
            </w:pPr>
            <w:r>
              <w:rPr>
                <w:sz w:val="21"/>
              </w:rPr>
              <w:t>（</w:t>
            </w:r>
            <w:r>
              <w:rPr>
                <w:sz w:val="21"/>
              </w:rPr>
              <w:t>4</w:t>
            </w:r>
            <w:r>
              <w:rPr>
                <w:sz w:val="21"/>
              </w:rPr>
              <w:t>）中标人若对群众投诉及采购人提出的问题未及时正确处理的，中标人当月被同一群众投诉超过三次的，</w:t>
            </w:r>
            <w:r>
              <w:rPr>
                <w:sz w:val="21"/>
              </w:rPr>
              <w:t>采购人</w:t>
            </w:r>
            <w:r>
              <w:rPr>
                <w:sz w:val="21"/>
              </w:rPr>
              <w:t>有权提出书面警告；如警告后</w:t>
            </w:r>
            <w:r>
              <w:rPr>
                <w:sz w:val="21"/>
              </w:rPr>
              <w:t>中标人</w:t>
            </w:r>
            <w:r>
              <w:rPr>
                <w:sz w:val="21"/>
              </w:rPr>
              <w:t>仍不整改，</w:t>
            </w:r>
            <w:r>
              <w:rPr>
                <w:sz w:val="21"/>
              </w:rPr>
              <w:t>采购人</w:t>
            </w:r>
            <w:r>
              <w:rPr>
                <w:sz w:val="21"/>
              </w:rPr>
              <w:t>采取应急措施处理，所发生的费用全部由</w:t>
            </w:r>
            <w:r>
              <w:rPr>
                <w:sz w:val="21"/>
              </w:rPr>
              <w:t>中标人</w:t>
            </w:r>
            <w:r>
              <w:rPr>
                <w:sz w:val="21"/>
              </w:rPr>
              <w:t>承担，同时，</w:t>
            </w:r>
            <w:r>
              <w:rPr>
                <w:sz w:val="21"/>
              </w:rPr>
              <w:t>采购人</w:t>
            </w:r>
            <w:r>
              <w:rPr>
                <w:sz w:val="21"/>
              </w:rPr>
              <w:t>有权在当月承包费中扣除</w:t>
            </w:r>
            <w:r>
              <w:rPr>
                <w:sz w:val="21"/>
              </w:rPr>
              <w:t>5</w:t>
            </w:r>
            <w:r>
              <w:rPr>
                <w:sz w:val="21"/>
              </w:rPr>
              <w:t>%作为罚金。</w:t>
            </w:r>
          </w:p>
          <w:p>
            <w:pPr>
              <w:ind w:firstLine="420"/>
              <w:jc w:val="both"/>
            </w:pPr>
            <w:r>
              <w:rPr>
                <w:sz w:val="21"/>
              </w:rPr>
              <w:t>（</w:t>
            </w:r>
            <w:r>
              <w:rPr>
                <w:sz w:val="21"/>
              </w:rPr>
              <w:t>5</w:t>
            </w:r>
            <w:r>
              <w:rPr>
                <w:sz w:val="21"/>
              </w:rPr>
              <w:t>）中标人擅自将</w:t>
            </w:r>
            <w:r>
              <w:rPr>
                <w:sz w:val="21"/>
              </w:rPr>
              <w:t>大岭山镇</w:t>
            </w:r>
            <w:r>
              <w:rPr>
                <w:sz w:val="21"/>
              </w:rPr>
              <w:t>生活垃圾收集项目转包或分包给第三方的、主动接收其他地区生活垃圾混入我镇生活垃圾进行处理情节严重的，</w:t>
            </w:r>
            <w:r>
              <w:rPr>
                <w:sz w:val="21"/>
              </w:rPr>
              <w:t>采购人</w:t>
            </w:r>
            <w:r>
              <w:rPr>
                <w:sz w:val="21"/>
              </w:rPr>
              <w:t>有权单方面终止合作协议，并保留要求投标人给予经济赔偿的权利。</w:t>
            </w:r>
          </w:p>
          <w:p>
            <w:pPr>
              <w:ind w:firstLine="420"/>
              <w:jc w:val="both"/>
            </w:pPr>
            <w:r>
              <w:rPr>
                <w:sz w:val="21"/>
              </w:rPr>
              <w:t>（</w:t>
            </w:r>
            <w:r>
              <w:rPr>
                <w:sz w:val="21"/>
              </w:rPr>
              <w:t>6</w:t>
            </w:r>
            <w:r>
              <w:rPr>
                <w:sz w:val="21"/>
              </w:rPr>
              <w:t>）中标人工作行为应该符合法律和政府相关部门之规定，如有违反，投标人受到政府相关部门处罚，相关责任由中标人自行承担和解决。</w:t>
            </w:r>
          </w:p>
          <w:p>
            <w:pPr>
              <w:ind w:firstLine="420"/>
              <w:jc w:val="both"/>
            </w:pPr>
            <w:r>
              <w:rPr>
                <w:sz w:val="21"/>
              </w:rPr>
              <w:t>5、垃圾转运站管养要求</w:t>
            </w:r>
          </w:p>
          <w:p>
            <w:pPr>
              <w:ind w:firstLine="420"/>
              <w:jc w:val="both"/>
            </w:pPr>
            <w:r>
              <w:rPr>
                <w:sz w:val="21"/>
              </w:rPr>
              <w:t>（</w:t>
            </w:r>
            <w:r>
              <w:rPr>
                <w:sz w:val="21"/>
              </w:rPr>
              <w:t>1）杜绝接纳建筑垃圾、工业垃圾、未缴纳生活垃圾处理费的产生源（个体工商户、商超、企业等）乱倾倒生活垃圾现象。禁止使用露天垃圾池用于垃圾收集和转运。</w:t>
            </w:r>
          </w:p>
          <w:p>
            <w:pPr>
              <w:ind w:firstLine="420"/>
              <w:jc w:val="both"/>
            </w:pPr>
            <w:r>
              <w:rPr>
                <w:sz w:val="21"/>
              </w:rPr>
              <w:t>（</w:t>
            </w:r>
            <w:r>
              <w:rPr>
                <w:sz w:val="21"/>
              </w:rPr>
              <w:t>2）垃圾转运站开放时间为5：00-23：00，有专人管理，及时更换或更新转运站责任牌和制度牌。</w:t>
            </w:r>
          </w:p>
          <w:p>
            <w:pPr>
              <w:jc w:val="both"/>
            </w:pPr>
            <w:r>
              <w:rPr>
                <w:sz w:val="21"/>
              </w:rPr>
              <w:t xml:space="preserve">   </w:t>
            </w:r>
            <w:r>
              <w:rPr>
                <w:sz w:val="21"/>
              </w:rPr>
              <w:t>（</w:t>
            </w:r>
            <w:r>
              <w:rPr>
                <w:sz w:val="21"/>
              </w:rPr>
              <w:t>3）定期检测除臭设备是否正常运营，不限于线路、气管、喷嘴，及时更换除臭液。</w:t>
            </w:r>
          </w:p>
          <w:p>
            <w:pPr>
              <w:ind w:firstLine="420"/>
              <w:jc w:val="both"/>
            </w:pPr>
            <w:r>
              <w:rPr>
                <w:sz w:val="21"/>
              </w:rPr>
              <w:t>（</w:t>
            </w:r>
            <w:r>
              <w:rPr>
                <w:sz w:val="21"/>
              </w:rPr>
              <w:t>4）无积存垃圾，做到日产日清，在规定时间内完成垃圾转运工作，每天冲洗3次，早、午、晚各一次，同时做好日常冲洗台账。</w:t>
            </w:r>
          </w:p>
          <w:p>
            <w:pPr>
              <w:ind w:firstLine="420"/>
              <w:jc w:val="both"/>
            </w:pPr>
            <w:r>
              <w:rPr>
                <w:sz w:val="21"/>
              </w:rPr>
              <w:t>（</w:t>
            </w:r>
            <w:r>
              <w:rPr>
                <w:sz w:val="21"/>
              </w:rPr>
              <w:t>5）站内及站外周边环境保持清洁干净，不得堆放杂物，劳动工具定点有序摆放，设置分类投放桶在站内空置位置，用于临时收集有害垃圾、可回收物。</w:t>
            </w:r>
          </w:p>
          <w:p>
            <w:pPr>
              <w:ind w:firstLine="420"/>
              <w:jc w:val="both"/>
            </w:pPr>
            <w:r>
              <w:rPr>
                <w:sz w:val="21"/>
              </w:rPr>
              <w:t>（</w:t>
            </w:r>
            <w:r>
              <w:rPr>
                <w:sz w:val="21"/>
              </w:rPr>
              <w:t>6）沟渠畅通，无垃圾积聚、及时排清污水，每天冲洗3次，早、午、晚各一次，站内其他污染物排放达到相关环境保护标准，站内臭气、污水处理妥善。</w:t>
            </w:r>
          </w:p>
          <w:p>
            <w:pPr>
              <w:ind w:firstLine="420"/>
              <w:jc w:val="both"/>
            </w:pPr>
            <w:r>
              <w:rPr>
                <w:sz w:val="21"/>
              </w:rPr>
              <w:t>（</w:t>
            </w:r>
            <w:r>
              <w:rPr>
                <w:sz w:val="21"/>
              </w:rPr>
              <w:t>7）车辆进出有序，合理安排垃圾安全卸载，不得争先恐后</w:t>
            </w:r>
          </w:p>
          <w:p>
            <w:pPr>
              <w:ind w:firstLine="420"/>
              <w:jc w:val="both"/>
            </w:pPr>
            <w:r>
              <w:rPr>
                <w:sz w:val="21"/>
              </w:rPr>
              <w:t>（</w:t>
            </w:r>
            <w:r>
              <w:rPr>
                <w:sz w:val="21"/>
              </w:rPr>
              <w:t>8）工作人员要熟悉机械、安全操作，负责管养维护站内设施完好无缺，每天清运完毕要做好冲洗保洁、性能检查等维护保养工作，确保明天的正常使用。</w:t>
            </w:r>
          </w:p>
          <w:p>
            <w:pPr>
              <w:ind w:firstLine="420"/>
              <w:jc w:val="both"/>
            </w:pPr>
            <w:r>
              <w:rPr>
                <w:sz w:val="21"/>
              </w:rPr>
              <w:t>（</w:t>
            </w:r>
            <w:r>
              <w:rPr>
                <w:sz w:val="21"/>
              </w:rPr>
              <w:t>9）当天工作完毕必须把站清理干净，站内外检查一遍后再关门上锁。</w:t>
            </w:r>
          </w:p>
          <w:p>
            <w:pPr>
              <w:jc w:val="both"/>
            </w:pPr>
            <w:r>
              <w:rPr>
                <w:sz w:val="21"/>
              </w:rPr>
              <w:t xml:space="preserve">   </w:t>
            </w:r>
            <w:r>
              <w:rPr>
                <w:sz w:val="21"/>
              </w:rPr>
              <w:t>（</w:t>
            </w:r>
            <w:r>
              <w:rPr>
                <w:sz w:val="21"/>
              </w:rPr>
              <w:t>10）必须做好每天进出站点车辆登记工作，不限于车牌、垃圾量等，并每月3号前上报上个月台账给采购人。</w:t>
            </w:r>
          </w:p>
          <w:p>
            <w:pPr>
              <w:ind w:firstLine="420"/>
              <w:jc w:val="both"/>
            </w:pPr>
            <w:r>
              <w:rPr>
                <w:sz w:val="21"/>
              </w:rPr>
              <w:t>6、设备管理</w:t>
            </w:r>
          </w:p>
          <w:p>
            <w:pPr>
              <w:ind w:firstLine="420"/>
              <w:jc w:val="left"/>
            </w:pPr>
            <w:r>
              <w:rPr>
                <w:sz w:val="21"/>
              </w:rPr>
              <w:t>（</w:t>
            </w:r>
            <w:r>
              <w:rPr>
                <w:sz w:val="21"/>
              </w:rPr>
              <w:t>1）</w:t>
            </w:r>
            <w:r>
              <w:rPr>
                <w:sz w:val="21"/>
              </w:rPr>
              <w:t>自有车辆须提供《中华人民共和国行驶证》；租赁车辆须提供《中华人民共和国行驶证》及车辆租赁合同复印件，其余设备需提供发票；承诺购置的需提供承诺函。</w:t>
            </w:r>
          </w:p>
          <w:p>
            <w:pPr>
              <w:ind w:firstLine="420"/>
              <w:jc w:val="left"/>
            </w:pPr>
            <w:r>
              <w:rPr>
                <w:sz w:val="21"/>
              </w:rPr>
              <w:t>（</w:t>
            </w:r>
            <w:r>
              <w:rPr>
                <w:sz w:val="21"/>
              </w:rPr>
              <w:t>2）</w:t>
            </w:r>
            <w:r>
              <w:rPr>
                <w:sz w:val="21"/>
              </w:rPr>
              <w:t>大型设备需要按采购人要求统一印刷字样。</w:t>
            </w:r>
          </w:p>
          <w:p>
            <w:pPr>
              <w:ind w:firstLine="420"/>
              <w:jc w:val="left"/>
            </w:pPr>
            <w:r>
              <w:rPr>
                <w:sz w:val="21"/>
              </w:rPr>
              <w:t>（</w:t>
            </w:r>
            <w:r>
              <w:rPr>
                <w:sz w:val="21"/>
              </w:rPr>
              <w:t>3）</w:t>
            </w:r>
            <w:r>
              <w:rPr>
                <w:sz w:val="21"/>
              </w:rPr>
              <w:t>大型设备需按规定进行年审，且保证年审合格，并提交相关证明资料的复印件给采购人。若在合同期内出现大型设备年审不合格的情况，中标人需用同类的年审合格的设备进行替换。</w:t>
            </w:r>
          </w:p>
          <w:p>
            <w:pPr>
              <w:ind w:firstLine="420"/>
              <w:jc w:val="both"/>
            </w:pPr>
            <w:r>
              <w:rPr>
                <w:sz w:val="21"/>
              </w:rPr>
              <w:t>7</w:t>
            </w:r>
            <w:r>
              <w:rPr>
                <w:sz w:val="21"/>
              </w:rPr>
              <w:t>、人员管理</w:t>
            </w:r>
          </w:p>
          <w:p>
            <w:pPr>
              <w:ind w:firstLine="420"/>
              <w:jc w:val="both"/>
            </w:pPr>
            <w:r>
              <w:rPr>
                <w:sz w:val="21"/>
              </w:rPr>
              <w:t>（</w:t>
            </w:r>
            <w:r>
              <w:rPr>
                <w:sz w:val="21"/>
              </w:rPr>
              <w:t>1）招聘人员时，中标人要优先考虑聘用原有在岗的工人，其待遇由中标人与工人自行协商，但工资不得低于东莞市相关规定的最低工资标准。</w:t>
            </w:r>
          </w:p>
          <w:p>
            <w:pPr>
              <w:ind w:firstLine="420"/>
              <w:jc w:val="both"/>
            </w:pPr>
            <w:r>
              <w:rPr>
                <w:sz w:val="21"/>
              </w:rPr>
              <w:t>（</w:t>
            </w:r>
            <w:r>
              <w:rPr>
                <w:sz w:val="21"/>
              </w:rPr>
              <w:t>2）招聘人员时，本区域范围内的下岗工人、农居民，中标人要优先考虑。</w:t>
            </w:r>
          </w:p>
          <w:p>
            <w:pPr>
              <w:ind w:firstLine="420"/>
              <w:jc w:val="both"/>
            </w:pPr>
            <w:r>
              <w:rPr>
                <w:sz w:val="21"/>
              </w:rPr>
              <w:t>（</w:t>
            </w:r>
            <w:r>
              <w:rPr>
                <w:sz w:val="21"/>
              </w:rPr>
              <w:t>3）在职期间，</w:t>
            </w:r>
            <w:r>
              <w:rPr>
                <w:sz w:val="21"/>
              </w:rPr>
              <w:t>中标人</w:t>
            </w:r>
            <w:r>
              <w:rPr>
                <w:sz w:val="21"/>
              </w:rPr>
              <w:t>工作人员在进行作业中或休息期间发生意外、死亡、伤残等事故与采购人无关。</w:t>
            </w:r>
          </w:p>
          <w:p>
            <w:pPr>
              <w:ind w:firstLine="420"/>
              <w:jc w:val="both"/>
            </w:pPr>
            <w:r>
              <w:rPr>
                <w:sz w:val="21"/>
              </w:rPr>
              <w:t>（</w:t>
            </w:r>
            <w:r>
              <w:rPr>
                <w:sz w:val="21"/>
              </w:rPr>
              <w:t>4）中标人应当与劳动者订立书面劳动合同（或劳务合同），并为员工购买社保、特定工伤保险及必要的商业险</w:t>
            </w:r>
            <w:r>
              <w:rPr>
                <w:sz w:val="21"/>
              </w:rPr>
              <w:t>，</w:t>
            </w:r>
            <w:r>
              <w:rPr>
                <w:sz w:val="21"/>
              </w:rPr>
              <w:t>户外作业应按规定发放高温补贴</w:t>
            </w:r>
            <w:r>
              <w:rPr>
                <w:sz w:val="21"/>
              </w:rPr>
              <w:t>。任何因中标人原因或其他不可预见因素造成第三方的人员伤亡或财产损失等一概由中标供应商负责解决，并承担相关一切的经济责任和法律责任（包括治安、交通、防火等安全案件、劳资纠纷事件等）。</w:t>
            </w:r>
            <w:r>
              <w:rPr>
                <w:sz w:val="21"/>
              </w:rPr>
              <w:t>另外，需做好司机、司助、中转站看护人员交通安全及安全生产培训工作。</w:t>
            </w:r>
          </w:p>
          <w:p>
            <w:pPr>
              <w:jc w:val="both"/>
            </w:pPr>
            <w:r>
              <w:rPr>
                <w:b/>
                <w:sz w:val="21"/>
              </w:rPr>
              <w:t>四</w:t>
            </w:r>
            <w:r>
              <w:rPr>
                <w:b/>
                <w:sz w:val="21"/>
              </w:rPr>
              <w:t>、项目设备配置要求</w:t>
            </w:r>
          </w:p>
          <w:p>
            <w:pPr>
              <w:ind w:firstLine="420"/>
              <w:jc w:val="both"/>
            </w:pPr>
            <w:r>
              <w:rPr>
                <w:sz w:val="21"/>
              </w:rPr>
              <w:t>1、</w:t>
            </w:r>
            <w:r>
              <w:rPr>
                <w:sz w:val="21"/>
              </w:rPr>
              <w:t>中标人</w:t>
            </w:r>
            <w:r>
              <w:rPr>
                <w:sz w:val="21"/>
              </w:rPr>
              <w:t>必须配备以下车辆人员及设备：</w:t>
            </w:r>
          </w:p>
          <w:p>
            <w:pPr>
              <w:ind w:firstLine="420"/>
              <w:jc w:val="both"/>
            </w:pPr>
            <w:r>
              <w:rPr>
                <w:sz w:val="21"/>
              </w:rPr>
              <w:t>（</w:t>
            </w:r>
            <w:r>
              <w:rPr>
                <w:sz w:val="21"/>
              </w:rPr>
              <w:t>1</w:t>
            </w:r>
            <w:r>
              <w:rPr>
                <w:sz w:val="21"/>
              </w:rPr>
              <w:t>）</w:t>
            </w:r>
            <w:r>
              <w:rPr>
                <w:sz w:val="21"/>
              </w:rPr>
              <w:t>人员要求</w:t>
            </w:r>
          </w:p>
          <w:tbl>
            <w:tblPr>
              <w:tblBorders>
                <w:top w:val="none" w:color="000000" w:sz="4"/>
                <w:left w:val="none" w:color="000000" w:sz="4"/>
                <w:bottom w:val="none" w:color="000000" w:sz="4"/>
                <w:right w:val="none" w:color="000000" w:sz="4"/>
                <w:insideH w:val="none"/>
                <w:insideV w:val="none"/>
              </w:tblBorders>
            </w:tblPr>
            <w:tblGrid>
              <w:gridCol w:w="526"/>
              <w:gridCol w:w="1344"/>
              <w:gridCol w:w="852"/>
              <w:gridCol w:w="2874"/>
            </w:tblGrid>
            <w:tr>
              <w:tc>
                <w:tcPr>
                  <w:tcW w:type="dxa" w:w="52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344"/>
                  <w:tcBorders>
                    <w:top w:val="single" w:color="000000" w:sz="4"/>
                    <w:left w:val="single" w:color="000000" w:sz="4"/>
                    <w:bottom w:val="single" w:color="000000" w:sz="4"/>
                    <w:right w:val="single" w:color="000000" w:sz="4"/>
                  </w:tcBorders>
                  <w:vAlign w:val="top"/>
                </w:tcPr>
                <w:p>
                  <w:pPr>
                    <w:jc w:val="center"/>
                  </w:pPr>
                  <w:r>
                    <w:rPr>
                      <w:sz w:val="21"/>
                    </w:rPr>
                    <w:t>岗位</w:t>
                  </w:r>
                </w:p>
              </w:tc>
              <w:tc>
                <w:tcPr>
                  <w:tcW w:type="dxa" w:w="852"/>
                  <w:tcBorders>
                    <w:top w:val="single" w:color="000000" w:sz="4"/>
                    <w:left w:val="single" w:color="000000" w:sz="4"/>
                    <w:bottom w:val="single" w:color="000000" w:sz="4"/>
                    <w:right w:val="single" w:color="000000" w:sz="4"/>
                  </w:tcBorders>
                  <w:vAlign w:val="top"/>
                </w:tcPr>
                <w:p>
                  <w:pPr>
                    <w:jc w:val="center"/>
                  </w:pPr>
                  <w:r>
                    <w:rPr>
                      <w:sz w:val="21"/>
                    </w:rPr>
                    <w:t>人员数量</w:t>
                  </w:r>
                </w:p>
              </w:tc>
              <w:tc>
                <w:tcPr>
                  <w:tcW w:type="dxa" w:w="2874"/>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5596"/>
                  <w:gridSpan w:val="4"/>
                  <w:tcBorders>
                    <w:top w:val="none" w:color="000000" w:sz="4"/>
                    <w:left w:val="single" w:color="000000" w:sz="4"/>
                    <w:bottom w:val="single" w:color="000000" w:sz="4"/>
                    <w:right w:val="single" w:color="000000" w:sz="4"/>
                  </w:tcBorders>
                  <w:vAlign w:val="top"/>
                </w:tcPr>
                <w:p>
                  <w:pPr>
                    <w:jc w:val="center"/>
                  </w:pPr>
                  <w:r>
                    <w:rPr>
                      <w:sz w:val="21"/>
                    </w:rPr>
                    <w:t>村里垃圾收集至转运站</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44"/>
                  <w:tcBorders>
                    <w:top w:val="single" w:color="000000" w:sz="4"/>
                    <w:left w:val="single" w:color="000000" w:sz="4"/>
                    <w:bottom w:val="single" w:color="000000" w:sz="4"/>
                    <w:right w:val="single" w:color="000000" w:sz="4"/>
                  </w:tcBorders>
                  <w:vAlign w:val="top"/>
                </w:tcPr>
                <w:p>
                  <w:pPr>
                    <w:jc w:val="center"/>
                  </w:pPr>
                  <w:r>
                    <w:rPr>
                      <w:sz w:val="21"/>
                    </w:rPr>
                    <w:t>车队组长</w:t>
                  </w:r>
                </w:p>
              </w:tc>
              <w:tc>
                <w:tcPr>
                  <w:tcW w:type="dxa" w:w="852"/>
                  <w:tcBorders>
                    <w:top w:val="single" w:color="000000" w:sz="4"/>
                    <w:left w:val="single" w:color="000000" w:sz="4"/>
                    <w:bottom w:val="single" w:color="000000" w:sz="4"/>
                    <w:right w:val="single" w:color="000000" w:sz="4"/>
                  </w:tcBorders>
                  <w:vAlign w:val="top"/>
                </w:tcPr>
                <w:p>
                  <w:pPr>
                    <w:jc w:val="center"/>
                  </w:pPr>
                  <w:r>
                    <w:rPr>
                      <w:sz w:val="21"/>
                    </w:rPr>
                    <w:t>1名</w:t>
                  </w:r>
                </w:p>
              </w:tc>
              <w:tc>
                <w:tcPr>
                  <w:tcW w:type="dxa" w:w="2874"/>
                  <w:tcBorders>
                    <w:top w:val="single" w:color="000000" w:sz="4"/>
                    <w:left w:val="single" w:color="000000" w:sz="4"/>
                    <w:bottom w:val="single" w:color="000000" w:sz="4"/>
                    <w:right w:val="single" w:color="000000" w:sz="4"/>
                  </w:tcBorders>
                  <w:vAlign w:val="top"/>
                </w:tcPr>
                <w:p>
                  <w:pPr>
                    <w:jc w:val="center"/>
                  </w:pP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文员</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1</w:t>
                  </w:r>
                  <w:r>
                    <w:rPr>
                      <w:sz w:val="21"/>
                    </w:rPr>
                    <w:t>名</w:t>
                  </w:r>
                </w:p>
              </w:tc>
              <w:tc>
                <w:tcPr>
                  <w:tcW w:type="dxa" w:w="2874"/>
                  <w:tcBorders>
                    <w:top w:val="none" w:color="000000" w:sz="4"/>
                    <w:left w:val="single" w:color="000000" w:sz="4"/>
                    <w:bottom w:val="single" w:color="000000" w:sz="4"/>
                    <w:right w:val="single" w:color="000000" w:sz="4"/>
                  </w:tcBorders>
                  <w:vAlign w:val="top"/>
                </w:tcPr>
                <w:p>
                  <w:pPr>
                    <w:jc w:val="center"/>
                  </w:pP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3吨后压车司机</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15</w:t>
                  </w:r>
                  <w:r>
                    <w:rPr>
                      <w:sz w:val="21"/>
                    </w:rPr>
                    <w:t>名</w:t>
                  </w:r>
                </w:p>
              </w:tc>
              <w:tc>
                <w:tcPr>
                  <w:tcW w:type="dxa" w:w="2874"/>
                  <w:tcBorders>
                    <w:top w:val="none" w:color="000000" w:sz="4"/>
                    <w:left w:val="single" w:color="000000" w:sz="4"/>
                    <w:bottom w:val="single" w:color="000000" w:sz="4"/>
                    <w:right w:val="single" w:color="000000" w:sz="4"/>
                  </w:tcBorders>
                  <w:vAlign w:val="top"/>
                </w:tcPr>
                <w:p>
                  <w:pPr>
                    <w:jc w:val="center"/>
                  </w:pPr>
                  <w:r>
                    <w:rPr>
                      <w:sz w:val="21"/>
                    </w:rPr>
                    <w:t>至少</w:t>
                  </w:r>
                  <w:r>
                    <w:rPr>
                      <w:sz w:val="21"/>
                    </w:rPr>
                    <w:t>2人应急。</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司助</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30</w:t>
                  </w:r>
                  <w:r>
                    <w:rPr>
                      <w:sz w:val="21"/>
                    </w:rPr>
                    <w:t>名</w:t>
                  </w:r>
                </w:p>
              </w:tc>
              <w:tc>
                <w:tcPr>
                  <w:tcW w:type="dxa" w:w="2874"/>
                  <w:tcBorders>
                    <w:top w:val="none" w:color="000000" w:sz="4"/>
                    <w:left w:val="single" w:color="000000" w:sz="4"/>
                    <w:bottom w:val="single" w:color="000000" w:sz="4"/>
                    <w:right w:val="single" w:color="000000" w:sz="4"/>
                  </w:tcBorders>
                  <w:vAlign w:val="top"/>
                </w:tcPr>
                <w:p>
                  <w:pPr>
                    <w:jc w:val="center"/>
                  </w:pPr>
                  <w:r>
                    <w:rPr>
                      <w:sz w:val="21"/>
                    </w:rPr>
                    <w:t>至少</w:t>
                  </w:r>
                  <w:r>
                    <w:rPr>
                      <w:sz w:val="21"/>
                    </w:rPr>
                    <w:t>4人应急，含临时收集点周边及车尾散落垃圾保洁工作</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维修工</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1</w:t>
                  </w:r>
                  <w:r>
                    <w:rPr>
                      <w:sz w:val="21"/>
                    </w:rPr>
                    <w:t>名</w:t>
                  </w:r>
                </w:p>
              </w:tc>
              <w:tc>
                <w:tcPr>
                  <w:tcW w:type="dxa" w:w="2874"/>
                  <w:tcBorders>
                    <w:top w:val="none" w:color="000000" w:sz="4"/>
                    <w:left w:val="single" w:color="000000" w:sz="4"/>
                    <w:bottom w:val="single" w:color="000000" w:sz="4"/>
                    <w:right w:val="single" w:color="000000" w:sz="4"/>
                  </w:tcBorders>
                  <w:vAlign w:val="top"/>
                </w:tcPr>
                <w:p>
                  <w:pPr>
                    <w:jc w:val="center"/>
                  </w:pPr>
                </w:p>
              </w:tc>
            </w:tr>
            <w:tr>
              <w:tc>
                <w:tcPr>
                  <w:tcW w:type="dxa" w:w="5596"/>
                  <w:gridSpan w:val="4"/>
                  <w:tcBorders>
                    <w:top w:val="none" w:color="000000" w:sz="4"/>
                    <w:left w:val="single" w:color="000000" w:sz="4"/>
                    <w:bottom w:val="single" w:color="000000" w:sz="4"/>
                    <w:right w:val="single" w:color="000000" w:sz="4"/>
                  </w:tcBorders>
                  <w:vAlign w:val="top"/>
                </w:tcPr>
                <w:p>
                  <w:pPr>
                    <w:jc w:val="center"/>
                  </w:pPr>
                  <w:r>
                    <w:rPr>
                      <w:sz w:val="21"/>
                    </w:rPr>
                    <w:t>随街压缩运至厚街、横沥、麻涌焚烧厂</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344"/>
                  <w:tcBorders>
                    <w:top w:val="single" w:color="000000" w:sz="4"/>
                    <w:left w:val="single" w:color="000000" w:sz="4"/>
                    <w:bottom w:val="single" w:color="000000" w:sz="4"/>
                    <w:right w:val="single" w:color="000000" w:sz="4"/>
                  </w:tcBorders>
                  <w:vAlign w:val="top"/>
                </w:tcPr>
                <w:p>
                  <w:pPr>
                    <w:jc w:val="center"/>
                  </w:pPr>
                  <w:r>
                    <w:rPr>
                      <w:sz w:val="21"/>
                    </w:rPr>
                    <w:t>项目经理</w:t>
                  </w:r>
                </w:p>
              </w:tc>
              <w:tc>
                <w:tcPr>
                  <w:tcW w:type="dxa" w:w="852"/>
                  <w:tcBorders>
                    <w:top w:val="single" w:color="000000" w:sz="4"/>
                    <w:left w:val="single" w:color="000000" w:sz="4"/>
                    <w:bottom w:val="single" w:color="000000" w:sz="4"/>
                    <w:right w:val="single" w:color="000000" w:sz="4"/>
                  </w:tcBorders>
                  <w:vAlign w:val="top"/>
                </w:tcPr>
                <w:p>
                  <w:pPr>
                    <w:jc w:val="center"/>
                  </w:pPr>
                  <w:r>
                    <w:rPr>
                      <w:sz w:val="21"/>
                    </w:rPr>
                    <w:t>1名</w:t>
                  </w:r>
                </w:p>
              </w:tc>
              <w:tc>
                <w:tcPr>
                  <w:tcW w:type="dxa" w:w="2874"/>
                  <w:tcBorders>
                    <w:top w:val="single" w:color="000000" w:sz="4"/>
                    <w:left w:val="single" w:color="000000" w:sz="4"/>
                    <w:bottom w:val="single" w:color="000000" w:sz="4"/>
                    <w:right w:val="single" w:color="000000" w:sz="4"/>
                  </w:tcBorders>
                  <w:vAlign w:val="top"/>
                </w:tcPr>
                <w:p>
                  <w:pPr>
                    <w:jc w:val="center"/>
                  </w:pP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文员</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1名</w:t>
                  </w:r>
                </w:p>
              </w:tc>
              <w:tc>
                <w:tcPr>
                  <w:tcW w:type="dxa" w:w="2874"/>
                  <w:tcBorders>
                    <w:top w:val="none" w:color="000000" w:sz="4"/>
                    <w:left w:val="single" w:color="000000" w:sz="4"/>
                    <w:bottom w:val="single" w:color="000000" w:sz="4"/>
                    <w:right w:val="single" w:color="000000" w:sz="4"/>
                  </w:tcBorders>
                  <w:vAlign w:val="top"/>
                </w:tcPr>
                <w:p>
                  <w:pPr>
                    <w:jc w:val="center"/>
                  </w:pP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8吨后压车司机</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15</w:t>
                  </w:r>
                  <w:r>
                    <w:rPr>
                      <w:sz w:val="21"/>
                    </w:rPr>
                    <w:t>名</w:t>
                  </w:r>
                </w:p>
              </w:tc>
              <w:tc>
                <w:tcPr>
                  <w:tcW w:type="dxa" w:w="2874"/>
                  <w:tcBorders>
                    <w:top w:val="none" w:color="000000" w:sz="4"/>
                    <w:left w:val="single" w:color="000000" w:sz="4"/>
                    <w:bottom w:val="single" w:color="000000" w:sz="4"/>
                    <w:right w:val="single" w:color="000000" w:sz="4"/>
                  </w:tcBorders>
                  <w:vAlign w:val="top"/>
                </w:tcPr>
                <w:p>
                  <w:pPr>
                    <w:jc w:val="center"/>
                  </w:pPr>
                  <w:r>
                    <w:rPr>
                      <w:sz w:val="21"/>
                    </w:rPr>
                    <w:t>至少</w:t>
                  </w:r>
                  <w:r>
                    <w:rPr>
                      <w:sz w:val="21"/>
                    </w:rPr>
                    <w:t>2人应急。</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司助</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30</w:t>
                  </w:r>
                  <w:r>
                    <w:rPr>
                      <w:sz w:val="21"/>
                    </w:rPr>
                    <w:t>名</w:t>
                  </w:r>
                </w:p>
              </w:tc>
              <w:tc>
                <w:tcPr>
                  <w:tcW w:type="dxa" w:w="2874"/>
                  <w:tcBorders>
                    <w:top w:val="none" w:color="000000" w:sz="4"/>
                    <w:left w:val="single" w:color="000000" w:sz="4"/>
                    <w:bottom w:val="single" w:color="000000" w:sz="4"/>
                    <w:right w:val="single" w:color="000000" w:sz="4"/>
                  </w:tcBorders>
                  <w:vAlign w:val="top"/>
                </w:tcPr>
                <w:p>
                  <w:pPr>
                    <w:jc w:val="center"/>
                  </w:pPr>
                  <w:r>
                    <w:rPr>
                      <w:sz w:val="21"/>
                    </w:rPr>
                    <w:t>至少</w:t>
                  </w:r>
                  <w:r>
                    <w:rPr>
                      <w:sz w:val="21"/>
                    </w:rPr>
                    <w:t>4人应急，含临时收集点周边及车尾散落垃圾保洁工作</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维修工</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1</w:t>
                  </w:r>
                  <w:r>
                    <w:rPr>
                      <w:sz w:val="21"/>
                    </w:rPr>
                    <w:t>名</w:t>
                  </w:r>
                </w:p>
              </w:tc>
              <w:tc>
                <w:tcPr>
                  <w:tcW w:type="dxa" w:w="2874"/>
                  <w:tcBorders>
                    <w:top w:val="none" w:color="000000" w:sz="4"/>
                    <w:left w:val="single" w:color="000000" w:sz="4"/>
                    <w:bottom w:val="single" w:color="000000" w:sz="4"/>
                    <w:right w:val="single" w:color="000000" w:sz="4"/>
                  </w:tcBorders>
                  <w:vAlign w:val="top"/>
                </w:tcPr>
                <w:p>
                  <w:pPr>
                    <w:jc w:val="center"/>
                  </w:pPr>
                </w:p>
              </w:tc>
            </w:tr>
            <w:tr>
              <w:tc>
                <w:tcPr>
                  <w:tcW w:type="dxa" w:w="5596"/>
                  <w:gridSpan w:val="4"/>
                  <w:tcBorders>
                    <w:top w:val="none" w:color="000000" w:sz="4"/>
                    <w:left w:val="single" w:color="000000" w:sz="4"/>
                    <w:bottom w:val="single" w:color="000000" w:sz="4"/>
                    <w:right w:val="single" w:color="000000" w:sz="4"/>
                  </w:tcBorders>
                  <w:vAlign w:val="top"/>
                </w:tcPr>
                <w:p>
                  <w:pPr>
                    <w:jc w:val="center"/>
                  </w:pPr>
                  <w:r>
                    <w:rPr>
                      <w:sz w:val="21"/>
                    </w:rPr>
                    <w:t>中转站转运至（厚街、横沥、麻涌）焚烧厂</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344"/>
                  <w:tcBorders>
                    <w:top w:val="single" w:color="000000" w:sz="4"/>
                    <w:left w:val="single" w:color="000000" w:sz="4"/>
                    <w:bottom w:val="single" w:color="000000" w:sz="4"/>
                    <w:right w:val="single" w:color="000000" w:sz="4"/>
                  </w:tcBorders>
                  <w:vAlign w:val="top"/>
                </w:tcPr>
                <w:p>
                  <w:pPr>
                    <w:jc w:val="center"/>
                  </w:pPr>
                  <w:r>
                    <w:rPr>
                      <w:sz w:val="21"/>
                    </w:rPr>
                    <w:t>现场主管</w:t>
                  </w:r>
                </w:p>
              </w:tc>
              <w:tc>
                <w:tcPr>
                  <w:tcW w:type="dxa" w:w="852"/>
                  <w:tcBorders>
                    <w:top w:val="single" w:color="000000" w:sz="4"/>
                    <w:left w:val="single" w:color="000000" w:sz="4"/>
                    <w:bottom w:val="single" w:color="000000" w:sz="4"/>
                    <w:right w:val="single" w:color="000000" w:sz="4"/>
                  </w:tcBorders>
                  <w:vAlign w:val="top"/>
                </w:tcPr>
                <w:p>
                  <w:pPr>
                    <w:jc w:val="center"/>
                  </w:pPr>
                  <w:r>
                    <w:rPr>
                      <w:sz w:val="21"/>
                    </w:rPr>
                    <w:t>1</w:t>
                  </w:r>
                  <w:r>
                    <w:rPr>
                      <w:sz w:val="21"/>
                    </w:rPr>
                    <w:t>名</w:t>
                  </w:r>
                </w:p>
              </w:tc>
              <w:tc>
                <w:tcPr>
                  <w:tcW w:type="dxa" w:w="2874"/>
                  <w:tcBorders>
                    <w:top w:val="single" w:color="000000" w:sz="4"/>
                    <w:left w:val="single" w:color="000000" w:sz="4"/>
                    <w:bottom w:val="single" w:color="000000" w:sz="4"/>
                    <w:right w:val="single" w:color="000000" w:sz="4"/>
                  </w:tcBorders>
                  <w:vAlign w:val="top"/>
                </w:tcPr>
                <w:p>
                  <w:pPr>
                    <w:jc w:val="center"/>
                  </w:pP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双桥勾臂车司机</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3</w:t>
                  </w:r>
                  <w:r>
                    <w:rPr>
                      <w:sz w:val="21"/>
                    </w:rPr>
                    <w:t>名</w:t>
                  </w:r>
                </w:p>
              </w:tc>
              <w:tc>
                <w:tcPr>
                  <w:tcW w:type="dxa" w:w="2874"/>
                  <w:tcBorders>
                    <w:top w:val="none" w:color="000000" w:sz="4"/>
                    <w:left w:val="single" w:color="000000" w:sz="4"/>
                    <w:bottom w:val="single" w:color="000000" w:sz="4"/>
                    <w:right w:val="single" w:color="000000" w:sz="4"/>
                  </w:tcBorders>
                  <w:vAlign w:val="top"/>
                </w:tcPr>
                <w:p>
                  <w:pPr>
                    <w:jc w:val="center"/>
                  </w:pP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看站员</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5</w:t>
                  </w:r>
                  <w:r>
                    <w:rPr>
                      <w:sz w:val="21"/>
                    </w:rPr>
                    <w:t>名</w:t>
                  </w:r>
                </w:p>
              </w:tc>
              <w:tc>
                <w:tcPr>
                  <w:tcW w:type="dxa" w:w="2874"/>
                  <w:tcBorders>
                    <w:top w:val="none" w:color="000000" w:sz="4"/>
                    <w:left w:val="single" w:color="000000" w:sz="4"/>
                    <w:bottom w:val="single" w:color="000000" w:sz="4"/>
                    <w:right w:val="single" w:color="000000" w:sz="4"/>
                  </w:tcBorders>
                  <w:vAlign w:val="top"/>
                </w:tcPr>
                <w:p>
                  <w:pPr>
                    <w:jc w:val="center"/>
                  </w:pP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维修工</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1</w:t>
                  </w:r>
                  <w:r>
                    <w:rPr>
                      <w:sz w:val="21"/>
                    </w:rPr>
                    <w:t>名</w:t>
                  </w:r>
                </w:p>
              </w:tc>
              <w:tc>
                <w:tcPr>
                  <w:tcW w:type="dxa" w:w="2874"/>
                  <w:tcBorders>
                    <w:top w:val="none" w:color="000000" w:sz="4"/>
                    <w:left w:val="single" w:color="000000" w:sz="4"/>
                    <w:bottom w:val="single" w:color="000000" w:sz="4"/>
                    <w:right w:val="single" w:color="000000" w:sz="4"/>
                  </w:tcBorders>
                  <w:vAlign w:val="top"/>
                </w:tcPr>
                <w:p>
                  <w:pPr>
                    <w:jc w:val="center"/>
                  </w:pPr>
                </w:p>
              </w:tc>
            </w:tr>
            <w:tr>
              <w:tc>
                <w:tcPr>
                  <w:tcW w:type="dxa" w:w="5596"/>
                  <w:gridSpan w:val="4"/>
                  <w:tcBorders>
                    <w:top w:val="none" w:color="000000" w:sz="4"/>
                    <w:left w:val="single" w:color="000000" w:sz="4"/>
                    <w:bottom w:val="single" w:color="000000" w:sz="4"/>
                    <w:right w:val="single" w:color="000000" w:sz="4"/>
                  </w:tcBorders>
                  <w:vAlign w:val="top"/>
                </w:tcPr>
                <w:p>
                  <w:pPr>
                    <w:jc w:val="center"/>
                  </w:pPr>
                  <w:r>
                    <w:rPr>
                      <w:sz w:val="21"/>
                    </w:rPr>
                    <w:t>中转站转运至市区粤丰焚烧厂</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344"/>
                  <w:tcBorders>
                    <w:top w:val="single" w:color="000000" w:sz="4"/>
                    <w:left w:val="single" w:color="000000" w:sz="4"/>
                    <w:bottom w:val="single" w:color="000000" w:sz="4"/>
                    <w:right w:val="single" w:color="000000" w:sz="4"/>
                  </w:tcBorders>
                  <w:vAlign w:val="top"/>
                </w:tcPr>
                <w:p>
                  <w:pPr>
                    <w:jc w:val="center"/>
                  </w:pPr>
                  <w:r>
                    <w:rPr>
                      <w:sz w:val="21"/>
                    </w:rPr>
                    <w:t>车队组长</w:t>
                  </w:r>
                </w:p>
              </w:tc>
              <w:tc>
                <w:tcPr>
                  <w:tcW w:type="dxa" w:w="852"/>
                  <w:tcBorders>
                    <w:top w:val="single" w:color="000000" w:sz="4"/>
                    <w:left w:val="single" w:color="000000" w:sz="4"/>
                    <w:bottom w:val="single" w:color="000000" w:sz="4"/>
                    <w:right w:val="single" w:color="000000" w:sz="4"/>
                  </w:tcBorders>
                  <w:vAlign w:val="top"/>
                </w:tcPr>
                <w:p>
                  <w:pPr>
                    <w:jc w:val="center"/>
                  </w:pPr>
                  <w:r>
                    <w:rPr>
                      <w:sz w:val="21"/>
                    </w:rPr>
                    <w:t>1</w:t>
                  </w:r>
                  <w:r>
                    <w:rPr>
                      <w:sz w:val="21"/>
                    </w:rPr>
                    <w:t>名</w:t>
                  </w:r>
                </w:p>
              </w:tc>
              <w:tc>
                <w:tcPr>
                  <w:tcW w:type="dxa" w:w="2874"/>
                  <w:tcBorders>
                    <w:top w:val="single" w:color="000000" w:sz="4"/>
                    <w:left w:val="single" w:color="000000" w:sz="4"/>
                    <w:bottom w:val="single" w:color="000000" w:sz="4"/>
                    <w:right w:val="single" w:color="000000" w:sz="4"/>
                  </w:tcBorders>
                  <w:vAlign w:val="top"/>
                </w:tcPr>
                <w:p>
                  <w:pPr>
                    <w:jc w:val="center"/>
                  </w:pP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双桥勾臂车司机</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2</w:t>
                  </w:r>
                  <w:r>
                    <w:rPr>
                      <w:sz w:val="21"/>
                    </w:rPr>
                    <w:t>名</w:t>
                  </w:r>
                </w:p>
              </w:tc>
              <w:tc>
                <w:tcPr>
                  <w:tcW w:type="dxa" w:w="2874"/>
                  <w:tcBorders>
                    <w:top w:val="none" w:color="000000" w:sz="4"/>
                    <w:left w:val="single" w:color="000000" w:sz="4"/>
                    <w:bottom w:val="single" w:color="000000" w:sz="4"/>
                    <w:right w:val="single" w:color="000000" w:sz="4"/>
                  </w:tcBorders>
                  <w:vAlign w:val="top"/>
                </w:tcPr>
                <w:p>
                  <w:pPr>
                    <w:jc w:val="center"/>
                  </w:pPr>
                  <w:r>
                    <w:rPr>
                      <w:sz w:val="21"/>
                    </w:rPr>
                    <w:t>与</w:t>
                  </w:r>
                  <w:r>
                    <w:rPr>
                      <w:sz w:val="21"/>
                    </w:rPr>
                    <w:t>70吨转运一起备一名轮休顶班司机</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看站员</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3</w:t>
                  </w:r>
                  <w:r>
                    <w:rPr>
                      <w:sz w:val="21"/>
                    </w:rPr>
                    <w:t>名</w:t>
                  </w:r>
                </w:p>
              </w:tc>
              <w:tc>
                <w:tcPr>
                  <w:tcW w:type="dxa" w:w="2874"/>
                  <w:tcBorders>
                    <w:top w:val="none" w:color="000000" w:sz="4"/>
                    <w:left w:val="single" w:color="000000" w:sz="4"/>
                    <w:bottom w:val="single" w:color="000000" w:sz="4"/>
                    <w:right w:val="single" w:color="000000" w:sz="4"/>
                  </w:tcBorders>
                  <w:vAlign w:val="top"/>
                </w:tcPr>
                <w:p>
                  <w:pPr>
                    <w:jc w:val="center"/>
                  </w:pPr>
                  <w:r>
                    <w:rPr>
                      <w:sz w:val="21"/>
                    </w:rPr>
                    <w:t>鸡翅岭站</w:t>
                  </w:r>
                  <w:r>
                    <w:rPr>
                      <w:sz w:val="21"/>
                    </w:rPr>
                    <w:t>2024年1</w:t>
                  </w:r>
                  <w:r>
                    <w:rPr>
                      <w:sz w:val="21"/>
                    </w:rPr>
                    <w:t>1</w:t>
                  </w:r>
                  <w:r>
                    <w:rPr>
                      <w:sz w:val="21"/>
                    </w:rPr>
                    <w:t>月</w:t>
                  </w:r>
                  <w:r>
                    <w:rPr>
                      <w:sz w:val="21"/>
                    </w:rPr>
                    <w:t>1日起，金桔站2026年1月1日起，连平站</w:t>
                  </w:r>
                  <w:r>
                    <w:rPr>
                      <w:sz w:val="21"/>
                    </w:rPr>
                    <w:t>2024</w:t>
                  </w:r>
                  <w:r>
                    <w:rPr>
                      <w:sz w:val="21"/>
                    </w:rPr>
                    <w:t>年</w:t>
                  </w:r>
                  <w:r>
                    <w:rPr>
                      <w:sz w:val="21"/>
                    </w:rPr>
                    <w:t>11</w:t>
                  </w:r>
                  <w:r>
                    <w:rPr>
                      <w:sz w:val="21"/>
                    </w:rPr>
                    <w:t>月</w:t>
                  </w:r>
                  <w:r>
                    <w:rPr>
                      <w:sz w:val="21"/>
                    </w:rPr>
                    <w:t>1日起</w:t>
                  </w:r>
                </w:p>
              </w:tc>
            </w:tr>
            <w:tr>
              <w:tc>
                <w:tcPr>
                  <w:tcW w:type="dxa" w:w="5596"/>
                  <w:gridSpan w:val="4"/>
                  <w:tcBorders>
                    <w:top w:val="none" w:color="000000" w:sz="4"/>
                    <w:left w:val="single" w:color="000000" w:sz="4"/>
                    <w:bottom w:val="single" w:color="000000" w:sz="4"/>
                    <w:right w:val="single" w:color="000000" w:sz="4"/>
                  </w:tcBorders>
                  <w:vAlign w:val="top"/>
                </w:tcPr>
                <w:p>
                  <w:pPr>
                    <w:jc w:val="center"/>
                  </w:pPr>
                  <w:r>
                    <w:rPr>
                      <w:sz w:val="21"/>
                    </w:rPr>
                    <w:t>司机、司助、看站员需统一穿着工作服</w:t>
                  </w:r>
                </w:p>
              </w:tc>
            </w:tr>
          </w:tbl>
          <w:p>
            <w:pPr>
              <w:ind w:firstLine="420"/>
              <w:jc w:val="both"/>
            </w:pPr>
            <w:r>
              <w:rPr>
                <w:sz w:val="21"/>
              </w:rPr>
              <w:t>（</w:t>
            </w:r>
            <w:r>
              <w:rPr>
                <w:sz w:val="21"/>
              </w:rPr>
              <w:t>2</w:t>
            </w:r>
            <w:r>
              <w:rPr>
                <w:sz w:val="21"/>
              </w:rPr>
              <w:t>）设备数量及要求</w:t>
            </w:r>
          </w:p>
          <w:tbl>
            <w:tblPr>
              <w:tblBorders>
                <w:top w:val="none" w:color="000000" w:sz="4"/>
                <w:left w:val="none" w:color="000000" w:sz="4"/>
                <w:bottom w:val="none" w:color="000000" w:sz="4"/>
                <w:right w:val="none" w:color="000000" w:sz="4"/>
                <w:insideH w:val="none"/>
                <w:insideV w:val="none"/>
              </w:tblBorders>
            </w:tblPr>
            <w:tblGrid>
              <w:gridCol w:w="423"/>
              <w:gridCol w:w="1210"/>
              <w:gridCol w:w="718"/>
              <w:gridCol w:w="2145"/>
              <w:gridCol w:w="1102"/>
            </w:tblGrid>
            <w:tr>
              <w:tc>
                <w:tcPr>
                  <w:tcW w:type="dxa" w:w="42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210"/>
                  <w:tcBorders>
                    <w:top w:val="single" w:color="000000" w:sz="4"/>
                    <w:left w:val="none" w:color="000000" w:sz="4"/>
                    <w:bottom w:val="single" w:color="000000" w:sz="4"/>
                    <w:right w:val="single" w:color="000000" w:sz="4"/>
                  </w:tcBorders>
                  <w:vAlign w:val="top"/>
                </w:tcPr>
                <w:p>
                  <w:pPr>
                    <w:jc w:val="center"/>
                  </w:pPr>
                  <w:r>
                    <w:rPr>
                      <w:sz w:val="21"/>
                    </w:rPr>
                    <w:t>车辆类型</w:t>
                  </w:r>
                </w:p>
              </w:tc>
              <w:tc>
                <w:tcPr>
                  <w:tcW w:type="dxa" w:w="718"/>
                  <w:tcBorders>
                    <w:top w:val="single" w:color="000000" w:sz="4"/>
                    <w:left w:val="none" w:color="000000" w:sz="4"/>
                    <w:bottom w:val="single" w:color="000000" w:sz="4"/>
                    <w:right w:val="single" w:color="000000" w:sz="4"/>
                  </w:tcBorders>
                  <w:vAlign w:val="top"/>
                </w:tcPr>
                <w:p>
                  <w:pPr>
                    <w:jc w:val="center"/>
                  </w:pPr>
                  <w:r>
                    <w:rPr>
                      <w:sz w:val="21"/>
                    </w:rPr>
                    <w:t>配备数量</w:t>
                  </w:r>
                </w:p>
              </w:tc>
              <w:tc>
                <w:tcPr>
                  <w:tcW w:type="dxa" w:w="2145"/>
                  <w:tcBorders>
                    <w:top w:val="single" w:color="000000" w:sz="4"/>
                    <w:left w:val="none" w:color="000000" w:sz="4"/>
                    <w:bottom w:val="single" w:color="000000" w:sz="4"/>
                    <w:right w:val="single" w:color="000000" w:sz="4"/>
                  </w:tcBorders>
                  <w:vAlign w:val="top"/>
                </w:tcPr>
                <w:p>
                  <w:pPr>
                    <w:jc w:val="center"/>
                  </w:pPr>
                  <w:r>
                    <w:rPr>
                      <w:sz w:val="21"/>
                    </w:rPr>
                    <w:t>备注</w:t>
                  </w:r>
                </w:p>
              </w:tc>
              <w:tc>
                <w:tcPr>
                  <w:tcW w:type="dxa" w:w="1102"/>
                  <w:tcBorders>
                    <w:top w:val="single" w:color="000000" w:sz="4"/>
                    <w:left w:val="none" w:color="000000" w:sz="4"/>
                    <w:bottom w:val="single" w:color="000000" w:sz="4"/>
                    <w:right w:val="single" w:color="000000" w:sz="4"/>
                  </w:tcBorders>
                  <w:vAlign w:val="top"/>
                </w:tcPr>
                <w:p>
                  <w:pPr>
                    <w:jc w:val="center"/>
                  </w:pPr>
                  <w:r>
                    <w:rPr>
                      <w:sz w:val="21"/>
                    </w:rPr>
                    <w:t>能源类型</w:t>
                  </w:r>
                </w:p>
              </w:tc>
            </w:tr>
            <w:tr>
              <w:tc>
                <w:tcPr>
                  <w:tcW w:type="dxa" w:w="4496"/>
                  <w:gridSpan w:val="4"/>
                  <w:tcBorders>
                    <w:top w:val="none" w:color="000000" w:sz="4"/>
                    <w:left w:val="single" w:color="000000" w:sz="4"/>
                    <w:bottom w:val="single" w:color="000000" w:sz="4"/>
                    <w:right w:val="single" w:color="000000" w:sz="4"/>
                  </w:tcBorders>
                  <w:vAlign w:val="top"/>
                </w:tcPr>
                <w:p>
                  <w:pPr>
                    <w:jc w:val="center"/>
                  </w:pPr>
                  <w:r>
                    <w:rPr>
                      <w:sz w:val="21"/>
                    </w:rPr>
                    <w:t>村里垃圾收集至转运站</w:t>
                  </w:r>
                </w:p>
              </w:tc>
              <w:tc>
                <w:tcPr>
                  <w:tcW w:type="dxa" w:w="1102"/>
                  <w:tcBorders>
                    <w:top w:val="none" w:color="000000" w:sz="4"/>
                    <w:left w:val="none" w:color="000000" w:sz="4"/>
                    <w:bottom w:val="single" w:color="000000" w:sz="4"/>
                    <w:right w:val="single" w:color="000000" w:sz="4"/>
                  </w:tcBorders>
                  <w:vAlign w:val="top"/>
                </w:tcPr>
                <w:p>
                  <w:pPr>
                    <w:jc w:val="center"/>
                  </w:pP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10"/>
                  <w:tcBorders>
                    <w:top w:val="none" w:color="000000" w:sz="4"/>
                    <w:left w:val="none" w:color="000000" w:sz="4"/>
                    <w:bottom w:val="single" w:color="000000" w:sz="4"/>
                    <w:right w:val="single" w:color="000000" w:sz="4"/>
                  </w:tcBorders>
                  <w:vAlign w:val="top"/>
                </w:tcPr>
                <w:p>
                  <w:pPr>
                    <w:jc w:val="center"/>
                  </w:pPr>
                  <w:r>
                    <w:rPr>
                      <w:sz w:val="21"/>
                    </w:rPr>
                    <w:t>3吨后置压缩车</w:t>
                  </w:r>
                </w:p>
              </w:tc>
              <w:tc>
                <w:tcPr>
                  <w:tcW w:type="dxa" w:w="718"/>
                  <w:tcBorders>
                    <w:top w:val="single" w:color="000000" w:sz="4"/>
                    <w:left w:val="none" w:color="000000" w:sz="4"/>
                    <w:bottom w:val="single" w:color="000000" w:sz="4"/>
                    <w:right w:val="single" w:color="000000" w:sz="4"/>
                  </w:tcBorders>
                  <w:vAlign w:val="top"/>
                </w:tcPr>
                <w:p>
                  <w:pPr>
                    <w:jc w:val="center"/>
                  </w:pPr>
                  <w:r>
                    <w:rPr>
                      <w:sz w:val="21"/>
                    </w:rPr>
                    <w:t>13</w:t>
                  </w:r>
                </w:p>
              </w:tc>
              <w:tc>
                <w:tcPr>
                  <w:tcW w:type="dxa" w:w="2145"/>
                  <w:tcBorders>
                    <w:top w:val="single" w:color="000000" w:sz="4"/>
                    <w:left w:val="none" w:color="000000" w:sz="4"/>
                    <w:bottom w:val="single" w:color="000000" w:sz="4"/>
                    <w:right w:val="single" w:color="000000" w:sz="4"/>
                  </w:tcBorders>
                  <w:vAlign w:val="top"/>
                </w:tcPr>
                <w:p>
                  <w:pPr>
                    <w:jc w:val="center"/>
                  </w:pPr>
                </w:p>
              </w:tc>
              <w:tc>
                <w:tcPr>
                  <w:tcW w:type="dxa" w:w="1102"/>
                  <w:tcBorders>
                    <w:top w:val="single" w:color="000000" w:sz="4"/>
                    <w:left w:val="none" w:color="000000" w:sz="4"/>
                    <w:bottom w:val="single" w:color="000000" w:sz="4"/>
                    <w:right w:val="single" w:color="000000" w:sz="4"/>
                  </w:tcBorders>
                  <w:vAlign w:val="top"/>
                </w:tcPr>
                <w:p>
                  <w:pPr>
                    <w:jc w:val="center"/>
                  </w:pPr>
                  <w:r>
                    <w:rPr>
                      <w:sz w:val="21"/>
                    </w:rPr>
                    <w:t>国</w:t>
                  </w:r>
                  <w:r>
                    <w:rPr>
                      <w:sz w:val="21"/>
                    </w:rPr>
                    <w:t>Ⅵ</w:t>
                  </w: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10"/>
                  <w:tcBorders>
                    <w:top w:val="none" w:color="000000" w:sz="4"/>
                    <w:left w:val="none" w:color="000000" w:sz="4"/>
                    <w:bottom w:val="single" w:color="000000" w:sz="4"/>
                    <w:right w:val="single" w:color="000000" w:sz="4"/>
                  </w:tcBorders>
                  <w:vAlign w:val="top"/>
                </w:tcPr>
                <w:p>
                  <w:pPr>
                    <w:jc w:val="center"/>
                  </w:pPr>
                  <w:r>
                    <w:rPr>
                      <w:sz w:val="21"/>
                    </w:rPr>
                    <w:t>GPS设备</w:t>
                  </w:r>
                </w:p>
              </w:tc>
              <w:tc>
                <w:tcPr>
                  <w:tcW w:type="dxa" w:w="718"/>
                  <w:tcBorders>
                    <w:top w:val="none" w:color="000000" w:sz="4"/>
                    <w:left w:val="none" w:color="000000" w:sz="4"/>
                    <w:bottom w:val="single" w:color="000000" w:sz="4"/>
                    <w:right w:val="single" w:color="000000" w:sz="4"/>
                  </w:tcBorders>
                  <w:vAlign w:val="top"/>
                </w:tcPr>
                <w:p>
                  <w:pPr>
                    <w:jc w:val="center"/>
                  </w:pPr>
                  <w:r>
                    <w:rPr>
                      <w:sz w:val="21"/>
                    </w:rPr>
                    <w:t>13</w:t>
                  </w:r>
                </w:p>
              </w:tc>
              <w:tc>
                <w:tcPr>
                  <w:tcW w:type="dxa" w:w="2145"/>
                  <w:tcBorders>
                    <w:top w:val="none" w:color="000000" w:sz="4"/>
                    <w:left w:val="none" w:color="000000" w:sz="4"/>
                    <w:bottom w:val="single" w:color="000000" w:sz="4"/>
                    <w:right w:val="single" w:color="000000" w:sz="4"/>
                  </w:tcBorders>
                  <w:vAlign w:val="top"/>
                </w:tcPr>
                <w:p>
                  <w:pPr>
                    <w:jc w:val="center"/>
                  </w:pPr>
                  <w:r>
                    <w:rPr>
                      <w:sz w:val="21"/>
                    </w:rPr>
                    <w:t>GPS应接入市镇数字城管，并由公用事业服务中心进行日常监管。</w:t>
                  </w:r>
                </w:p>
              </w:tc>
              <w:tc>
                <w:tcPr>
                  <w:tcW w:type="dxa" w:w="1102"/>
                  <w:tcBorders>
                    <w:top w:val="none" w:color="000000" w:sz="4"/>
                    <w:left w:val="none" w:color="000000" w:sz="4"/>
                    <w:bottom w:val="single" w:color="000000" w:sz="4"/>
                    <w:right w:val="single" w:color="000000" w:sz="4"/>
                  </w:tcBorders>
                  <w:vAlign w:val="top"/>
                </w:tcPr>
                <w:p>
                  <w:pPr>
                    <w:jc w:val="center"/>
                  </w:pP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10"/>
                  <w:tcBorders>
                    <w:top w:val="none" w:color="000000" w:sz="4"/>
                    <w:left w:val="none" w:color="000000" w:sz="4"/>
                    <w:bottom w:val="single" w:color="000000" w:sz="4"/>
                    <w:right w:val="single" w:color="000000" w:sz="4"/>
                  </w:tcBorders>
                  <w:vAlign w:val="top"/>
                </w:tcPr>
                <w:p>
                  <w:pPr>
                    <w:jc w:val="center"/>
                  </w:pPr>
                  <w:r>
                    <w:rPr>
                      <w:sz w:val="21"/>
                    </w:rPr>
                    <w:t>盲区报警设备</w:t>
                  </w:r>
                </w:p>
              </w:tc>
              <w:tc>
                <w:tcPr>
                  <w:tcW w:type="dxa" w:w="718"/>
                  <w:tcBorders>
                    <w:top w:val="none" w:color="000000" w:sz="4"/>
                    <w:left w:val="none" w:color="000000" w:sz="4"/>
                    <w:bottom w:val="single" w:color="000000" w:sz="4"/>
                    <w:right w:val="single" w:color="000000" w:sz="4"/>
                  </w:tcBorders>
                  <w:vAlign w:val="top"/>
                </w:tcPr>
                <w:p>
                  <w:pPr>
                    <w:jc w:val="center"/>
                  </w:pPr>
                  <w:r>
                    <w:rPr>
                      <w:sz w:val="21"/>
                    </w:rPr>
                    <w:t>13</w:t>
                  </w:r>
                </w:p>
              </w:tc>
              <w:tc>
                <w:tcPr>
                  <w:tcW w:type="dxa" w:w="2145"/>
                  <w:tcBorders>
                    <w:top w:val="none" w:color="000000" w:sz="4"/>
                    <w:left w:val="none" w:color="000000" w:sz="4"/>
                    <w:bottom w:val="single" w:color="000000" w:sz="4"/>
                    <w:right w:val="single" w:color="000000" w:sz="4"/>
                  </w:tcBorders>
                  <w:vAlign w:val="top"/>
                </w:tcPr>
                <w:p>
                  <w:pPr>
                    <w:jc w:val="center"/>
                  </w:pPr>
                </w:p>
              </w:tc>
              <w:tc>
                <w:tcPr>
                  <w:tcW w:type="dxa" w:w="1102"/>
                  <w:tcBorders>
                    <w:top w:val="none" w:color="000000" w:sz="4"/>
                    <w:left w:val="none" w:color="000000" w:sz="4"/>
                    <w:bottom w:val="single" w:color="000000" w:sz="4"/>
                    <w:right w:val="single" w:color="000000" w:sz="4"/>
                  </w:tcBorders>
                  <w:vAlign w:val="top"/>
                </w:tcPr>
                <w:p>
                  <w:pPr>
                    <w:jc w:val="center"/>
                  </w:pP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10"/>
                  <w:tcBorders>
                    <w:top w:val="none" w:color="000000" w:sz="4"/>
                    <w:left w:val="none" w:color="000000" w:sz="4"/>
                    <w:bottom w:val="single" w:color="000000" w:sz="4"/>
                    <w:right w:val="single" w:color="000000" w:sz="4"/>
                  </w:tcBorders>
                  <w:vAlign w:val="top"/>
                </w:tcPr>
                <w:p>
                  <w:pPr>
                    <w:jc w:val="center"/>
                  </w:pPr>
                  <w:r>
                    <w:rPr>
                      <w:sz w:val="21"/>
                    </w:rPr>
                    <w:t>660L垃圾桶</w:t>
                  </w:r>
                </w:p>
              </w:tc>
              <w:tc>
                <w:tcPr>
                  <w:tcW w:type="dxa" w:w="718"/>
                  <w:tcBorders>
                    <w:top w:val="none" w:color="000000" w:sz="4"/>
                    <w:left w:val="none" w:color="000000" w:sz="4"/>
                    <w:bottom w:val="single" w:color="000000" w:sz="4"/>
                    <w:right w:val="single" w:color="000000" w:sz="4"/>
                  </w:tcBorders>
                  <w:vAlign w:val="top"/>
                </w:tcPr>
                <w:p>
                  <w:pPr>
                    <w:jc w:val="center"/>
                  </w:pPr>
                  <w:r>
                    <w:rPr>
                      <w:sz w:val="21"/>
                    </w:rPr>
                    <w:t>1050</w:t>
                  </w:r>
                </w:p>
              </w:tc>
              <w:tc>
                <w:tcPr>
                  <w:tcW w:type="dxa" w:w="2145"/>
                  <w:tcBorders>
                    <w:top w:val="none" w:color="000000" w:sz="4"/>
                    <w:left w:val="none" w:color="000000" w:sz="4"/>
                    <w:bottom w:val="single" w:color="000000" w:sz="4"/>
                    <w:right w:val="single" w:color="000000" w:sz="4"/>
                  </w:tcBorders>
                  <w:vAlign w:val="top"/>
                </w:tcPr>
                <w:p>
                  <w:pPr>
                    <w:jc w:val="center"/>
                  </w:pPr>
                  <w:r>
                    <w:rPr>
                      <w:sz w:val="18"/>
                    </w:rPr>
                    <w:t>每年投入</w:t>
                  </w:r>
                  <w:r>
                    <w:rPr>
                      <w:sz w:val="18"/>
                    </w:rPr>
                    <w:t>350个，三年投入1050个。根据实际，因地制宜，660L的等价兑换相应数量的240L垃圾桶。</w:t>
                  </w:r>
                </w:p>
              </w:tc>
              <w:tc>
                <w:tcPr>
                  <w:tcW w:type="dxa" w:w="1102"/>
                  <w:tcBorders>
                    <w:top w:val="none" w:color="000000" w:sz="4"/>
                    <w:left w:val="none" w:color="000000" w:sz="4"/>
                    <w:bottom w:val="single" w:color="000000" w:sz="4"/>
                    <w:right w:val="single" w:color="000000" w:sz="4"/>
                  </w:tcBorders>
                  <w:vAlign w:val="top"/>
                </w:tcPr>
                <w:p>
                  <w:pPr>
                    <w:jc w:val="center"/>
                  </w:pPr>
                </w:p>
              </w:tc>
            </w:tr>
            <w:tr>
              <w:tc>
                <w:tcPr>
                  <w:tcW w:type="dxa" w:w="4496"/>
                  <w:gridSpan w:val="4"/>
                  <w:tcBorders>
                    <w:top w:val="none" w:color="000000" w:sz="4"/>
                    <w:left w:val="single" w:color="000000" w:sz="4"/>
                    <w:bottom w:val="single" w:color="000000" w:sz="4"/>
                    <w:right w:val="single" w:color="000000" w:sz="4"/>
                  </w:tcBorders>
                  <w:vAlign w:val="top"/>
                </w:tcPr>
                <w:p>
                  <w:pPr>
                    <w:jc w:val="center"/>
                  </w:pPr>
                  <w:r>
                    <w:rPr>
                      <w:sz w:val="21"/>
                    </w:rPr>
                    <w:t>随街压缩运至厚街、横沥、麻涌焚烧厂</w:t>
                  </w:r>
                </w:p>
              </w:tc>
              <w:tc>
                <w:tcPr>
                  <w:tcW w:type="dxa" w:w="1102"/>
                  <w:tcBorders>
                    <w:top w:val="none" w:color="000000" w:sz="4"/>
                    <w:left w:val="none" w:color="000000" w:sz="4"/>
                    <w:bottom w:val="single" w:color="000000" w:sz="4"/>
                    <w:right w:val="single" w:color="000000" w:sz="4"/>
                  </w:tcBorders>
                  <w:vAlign w:val="top"/>
                </w:tcPr>
                <w:p>
                  <w:pPr>
                    <w:jc w:val="center"/>
                  </w:pP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10"/>
                  <w:tcBorders>
                    <w:top w:val="none" w:color="000000" w:sz="4"/>
                    <w:left w:val="none" w:color="000000" w:sz="4"/>
                    <w:bottom w:val="single" w:color="000000" w:sz="4"/>
                    <w:right w:val="single" w:color="000000" w:sz="4"/>
                  </w:tcBorders>
                  <w:vAlign w:val="top"/>
                </w:tcPr>
                <w:p>
                  <w:pPr>
                    <w:jc w:val="center"/>
                  </w:pPr>
                  <w:r>
                    <w:rPr>
                      <w:sz w:val="21"/>
                    </w:rPr>
                    <w:t>8吨后置压缩车</w:t>
                  </w:r>
                </w:p>
              </w:tc>
              <w:tc>
                <w:tcPr>
                  <w:tcW w:type="dxa" w:w="718"/>
                  <w:tcBorders>
                    <w:top w:val="single" w:color="000000" w:sz="4"/>
                    <w:left w:val="none" w:color="000000" w:sz="4"/>
                    <w:bottom w:val="single" w:color="000000" w:sz="4"/>
                    <w:right w:val="single" w:color="000000" w:sz="4"/>
                  </w:tcBorders>
                  <w:vAlign w:val="top"/>
                </w:tcPr>
                <w:p>
                  <w:pPr>
                    <w:jc w:val="center"/>
                  </w:pPr>
                  <w:r>
                    <w:rPr>
                      <w:sz w:val="21"/>
                    </w:rPr>
                    <w:t>13辆</w:t>
                  </w:r>
                </w:p>
              </w:tc>
              <w:tc>
                <w:tcPr>
                  <w:tcW w:type="dxa" w:w="2145"/>
                  <w:tcBorders>
                    <w:top w:val="single" w:color="000000" w:sz="4"/>
                    <w:left w:val="none" w:color="000000" w:sz="4"/>
                    <w:bottom w:val="single" w:color="000000" w:sz="4"/>
                    <w:right w:val="single" w:color="000000" w:sz="4"/>
                  </w:tcBorders>
                  <w:vAlign w:val="top"/>
                </w:tcPr>
                <w:p>
                  <w:pPr>
                    <w:jc w:val="center"/>
                  </w:pPr>
                </w:p>
              </w:tc>
              <w:tc>
                <w:tcPr>
                  <w:tcW w:type="dxa" w:w="1102"/>
                  <w:tcBorders>
                    <w:top w:val="single" w:color="000000" w:sz="4"/>
                    <w:left w:val="none" w:color="000000" w:sz="4"/>
                    <w:bottom w:val="single" w:color="000000" w:sz="4"/>
                    <w:right w:val="single" w:color="000000" w:sz="4"/>
                  </w:tcBorders>
                  <w:vAlign w:val="top"/>
                </w:tcPr>
                <w:p>
                  <w:pPr>
                    <w:jc w:val="center"/>
                  </w:pPr>
                  <w:r>
                    <w:rPr>
                      <w:sz w:val="21"/>
                    </w:rPr>
                    <w:t>国</w:t>
                  </w:r>
                  <w:r>
                    <w:rPr>
                      <w:sz w:val="21"/>
                    </w:rPr>
                    <w:t>Ⅵ</w:t>
                  </w: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10"/>
                  <w:tcBorders>
                    <w:top w:val="none" w:color="000000" w:sz="4"/>
                    <w:left w:val="none" w:color="000000" w:sz="4"/>
                    <w:bottom w:val="single" w:color="000000" w:sz="4"/>
                    <w:right w:val="single" w:color="000000" w:sz="4"/>
                  </w:tcBorders>
                  <w:vAlign w:val="top"/>
                </w:tcPr>
                <w:p>
                  <w:pPr>
                    <w:jc w:val="center"/>
                  </w:pPr>
                  <w:r>
                    <w:rPr>
                      <w:sz w:val="21"/>
                    </w:rPr>
                    <w:t>巡查皮卡车</w:t>
                  </w:r>
                </w:p>
              </w:tc>
              <w:tc>
                <w:tcPr>
                  <w:tcW w:type="dxa" w:w="718"/>
                  <w:tcBorders>
                    <w:top w:val="none" w:color="000000" w:sz="4"/>
                    <w:left w:val="none" w:color="000000" w:sz="4"/>
                    <w:bottom w:val="single" w:color="000000" w:sz="4"/>
                    <w:right w:val="single" w:color="000000" w:sz="4"/>
                  </w:tcBorders>
                  <w:vAlign w:val="top"/>
                </w:tcPr>
                <w:p>
                  <w:pPr>
                    <w:jc w:val="center"/>
                  </w:pPr>
                  <w:r>
                    <w:rPr>
                      <w:sz w:val="21"/>
                    </w:rPr>
                    <w:t>1辆</w:t>
                  </w:r>
                </w:p>
              </w:tc>
              <w:tc>
                <w:tcPr>
                  <w:tcW w:type="dxa" w:w="2145"/>
                  <w:tcBorders>
                    <w:top w:val="none" w:color="000000" w:sz="4"/>
                    <w:left w:val="none" w:color="000000" w:sz="4"/>
                    <w:bottom w:val="single" w:color="000000" w:sz="4"/>
                    <w:right w:val="single" w:color="000000" w:sz="4"/>
                  </w:tcBorders>
                  <w:vAlign w:val="top"/>
                </w:tcPr>
                <w:p>
                  <w:pPr>
                    <w:jc w:val="center"/>
                  </w:pPr>
                </w:p>
              </w:tc>
              <w:tc>
                <w:tcPr>
                  <w:tcW w:type="dxa" w:w="1102"/>
                  <w:tcBorders>
                    <w:top w:val="none" w:color="000000" w:sz="4"/>
                    <w:left w:val="none" w:color="000000" w:sz="4"/>
                    <w:bottom w:val="single" w:color="000000" w:sz="4"/>
                    <w:right w:val="single" w:color="000000" w:sz="4"/>
                  </w:tcBorders>
                  <w:vAlign w:val="top"/>
                </w:tcPr>
                <w:p>
                  <w:pPr>
                    <w:jc w:val="center"/>
                  </w:pPr>
                  <w:r>
                    <w:rPr>
                      <w:sz w:val="21"/>
                    </w:rPr>
                    <w:t>蓝牌，满足镇内行驶需要</w:t>
                  </w: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10"/>
                  <w:tcBorders>
                    <w:top w:val="none" w:color="000000" w:sz="4"/>
                    <w:left w:val="none" w:color="000000" w:sz="4"/>
                    <w:bottom w:val="single" w:color="000000" w:sz="4"/>
                    <w:right w:val="single" w:color="000000" w:sz="4"/>
                  </w:tcBorders>
                  <w:vAlign w:val="top"/>
                </w:tcPr>
                <w:p>
                  <w:pPr>
                    <w:jc w:val="center"/>
                  </w:pPr>
                  <w:r>
                    <w:rPr>
                      <w:sz w:val="21"/>
                    </w:rPr>
                    <w:t>GPS设备</w:t>
                  </w:r>
                </w:p>
              </w:tc>
              <w:tc>
                <w:tcPr>
                  <w:tcW w:type="dxa" w:w="718"/>
                  <w:tcBorders>
                    <w:top w:val="none" w:color="000000" w:sz="4"/>
                    <w:left w:val="none" w:color="000000" w:sz="4"/>
                    <w:bottom w:val="single" w:color="000000" w:sz="4"/>
                    <w:right w:val="single" w:color="000000" w:sz="4"/>
                  </w:tcBorders>
                  <w:vAlign w:val="top"/>
                </w:tcPr>
                <w:p>
                  <w:pPr>
                    <w:jc w:val="center"/>
                  </w:pPr>
                  <w:r>
                    <w:rPr>
                      <w:sz w:val="21"/>
                    </w:rPr>
                    <w:t>14套</w:t>
                  </w:r>
                </w:p>
              </w:tc>
              <w:tc>
                <w:tcPr>
                  <w:tcW w:type="dxa" w:w="2145"/>
                  <w:tcBorders>
                    <w:top w:val="none" w:color="000000" w:sz="4"/>
                    <w:left w:val="none" w:color="000000" w:sz="4"/>
                    <w:bottom w:val="single" w:color="000000" w:sz="4"/>
                    <w:right w:val="single" w:color="000000" w:sz="4"/>
                  </w:tcBorders>
                  <w:vAlign w:val="top"/>
                </w:tcPr>
                <w:p>
                  <w:pPr>
                    <w:jc w:val="center"/>
                  </w:pPr>
                </w:p>
              </w:tc>
              <w:tc>
                <w:tcPr>
                  <w:tcW w:type="dxa" w:w="1102"/>
                  <w:tcBorders>
                    <w:top w:val="none" w:color="000000" w:sz="4"/>
                    <w:left w:val="none" w:color="000000" w:sz="4"/>
                    <w:bottom w:val="single" w:color="000000" w:sz="4"/>
                    <w:right w:val="single" w:color="000000" w:sz="4"/>
                  </w:tcBorders>
                  <w:vAlign w:val="top"/>
                </w:tcPr>
                <w:p>
                  <w:pPr>
                    <w:jc w:val="center"/>
                  </w:pP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10"/>
                  <w:tcBorders>
                    <w:top w:val="none" w:color="000000" w:sz="4"/>
                    <w:left w:val="none" w:color="000000" w:sz="4"/>
                    <w:bottom w:val="single" w:color="000000" w:sz="4"/>
                    <w:right w:val="single" w:color="000000" w:sz="4"/>
                  </w:tcBorders>
                  <w:vAlign w:val="top"/>
                </w:tcPr>
                <w:p>
                  <w:pPr>
                    <w:jc w:val="center"/>
                  </w:pPr>
                  <w:r>
                    <w:rPr>
                      <w:sz w:val="21"/>
                    </w:rPr>
                    <w:t>盲区报警设备</w:t>
                  </w:r>
                </w:p>
              </w:tc>
              <w:tc>
                <w:tcPr>
                  <w:tcW w:type="dxa" w:w="718"/>
                  <w:tcBorders>
                    <w:top w:val="none" w:color="000000" w:sz="4"/>
                    <w:left w:val="none" w:color="000000" w:sz="4"/>
                    <w:bottom w:val="single" w:color="000000" w:sz="4"/>
                    <w:right w:val="single" w:color="000000" w:sz="4"/>
                  </w:tcBorders>
                  <w:vAlign w:val="top"/>
                </w:tcPr>
                <w:p>
                  <w:pPr>
                    <w:jc w:val="center"/>
                  </w:pPr>
                  <w:r>
                    <w:rPr>
                      <w:sz w:val="21"/>
                    </w:rPr>
                    <w:t>14套</w:t>
                  </w:r>
                </w:p>
              </w:tc>
              <w:tc>
                <w:tcPr>
                  <w:tcW w:type="dxa" w:w="2145"/>
                  <w:tcBorders>
                    <w:top w:val="none" w:color="000000" w:sz="4"/>
                    <w:left w:val="none" w:color="000000" w:sz="4"/>
                    <w:bottom w:val="single" w:color="000000" w:sz="4"/>
                    <w:right w:val="single" w:color="000000" w:sz="4"/>
                  </w:tcBorders>
                  <w:vAlign w:val="top"/>
                </w:tcPr>
                <w:p>
                  <w:pPr>
                    <w:jc w:val="center"/>
                  </w:pPr>
                </w:p>
              </w:tc>
              <w:tc>
                <w:tcPr>
                  <w:tcW w:type="dxa" w:w="1102"/>
                  <w:tcBorders>
                    <w:top w:val="none" w:color="000000" w:sz="4"/>
                    <w:left w:val="none" w:color="000000" w:sz="4"/>
                    <w:bottom w:val="single" w:color="000000" w:sz="4"/>
                    <w:right w:val="single" w:color="000000" w:sz="4"/>
                  </w:tcBorders>
                  <w:vAlign w:val="top"/>
                </w:tcPr>
                <w:p>
                  <w:pPr>
                    <w:jc w:val="center"/>
                  </w:pP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10"/>
                  <w:tcBorders>
                    <w:top w:val="none" w:color="000000" w:sz="4"/>
                    <w:left w:val="none" w:color="000000" w:sz="4"/>
                    <w:bottom w:val="single" w:color="000000" w:sz="4"/>
                    <w:right w:val="single" w:color="000000" w:sz="4"/>
                  </w:tcBorders>
                  <w:vAlign w:val="top"/>
                </w:tcPr>
                <w:p>
                  <w:pPr>
                    <w:jc w:val="center"/>
                  </w:pPr>
                  <w:r>
                    <w:rPr>
                      <w:sz w:val="21"/>
                    </w:rPr>
                    <w:t>660L垃圾桶</w:t>
                  </w:r>
                </w:p>
              </w:tc>
              <w:tc>
                <w:tcPr>
                  <w:tcW w:type="dxa" w:w="718"/>
                  <w:tcBorders>
                    <w:top w:val="none" w:color="000000" w:sz="4"/>
                    <w:left w:val="none" w:color="000000" w:sz="4"/>
                    <w:bottom w:val="single" w:color="000000" w:sz="4"/>
                    <w:right w:val="single" w:color="000000" w:sz="4"/>
                  </w:tcBorders>
                  <w:vAlign w:val="top"/>
                </w:tcPr>
                <w:p>
                  <w:pPr>
                    <w:jc w:val="center"/>
                  </w:pPr>
                  <w:r>
                    <w:rPr>
                      <w:sz w:val="21"/>
                    </w:rPr>
                    <w:t>3000个</w:t>
                  </w:r>
                </w:p>
              </w:tc>
              <w:tc>
                <w:tcPr>
                  <w:tcW w:type="dxa" w:w="2145"/>
                  <w:tcBorders>
                    <w:top w:val="none" w:color="000000" w:sz="4"/>
                    <w:left w:val="none" w:color="000000" w:sz="4"/>
                    <w:bottom w:val="single" w:color="000000" w:sz="4"/>
                    <w:right w:val="single" w:color="000000" w:sz="4"/>
                  </w:tcBorders>
                  <w:vAlign w:val="top"/>
                </w:tcPr>
                <w:p>
                  <w:pPr>
                    <w:jc w:val="center"/>
                  </w:pPr>
                  <w:r>
                    <w:rPr>
                      <w:sz w:val="18"/>
                    </w:rPr>
                    <w:t>每年投入</w:t>
                  </w:r>
                  <w:r>
                    <w:rPr>
                      <w:sz w:val="18"/>
                    </w:rPr>
                    <w:t>1000个，三年投入3000个。根据实际，因地制宜，660L的等价兑换相应数量的240L垃圾桶。</w:t>
                  </w:r>
                </w:p>
              </w:tc>
              <w:tc>
                <w:tcPr>
                  <w:tcW w:type="dxa" w:w="1102"/>
                  <w:tcBorders>
                    <w:top w:val="none" w:color="000000" w:sz="4"/>
                    <w:left w:val="none" w:color="000000" w:sz="4"/>
                    <w:bottom w:val="single" w:color="000000" w:sz="4"/>
                    <w:right w:val="single" w:color="000000" w:sz="4"/>
                  </w:tcBorders>
                  <w:vAlign w:val="top"/>
                </w:tcPr>
                <w:p>
                  <w:pPr>
                    <w:jc w:val="center"/>
                  </w:pPr>
                </w:p>
              </w:tc>
            </w:tr>
            <w:tr>
              <w:tc>
                <w:tcPr>
                  <w:tcW w:type="dxa" w:w="4496"/>
                  <w:gridSpan w:val="4"/>
                  <w:tcBorders>
                    <w:top w:val="none" w:color="000000" w:sz="4"/>
                    <w:left w:val="single" w:color="000000" w:sz="4"/>
                    <w:bottom w:val="single" w:color="000000" w:sz="4"/>
                    <w:right w:val="single" w:color="000000" w:sz="4"/>
                  </w:tcBorders>
                  <w:vAlign w:val="top"/>
                </w:tcPr>
                <w:p>
                  <w:pPr>
                    <w:jc w:val="center"/>
                  </w:pPr>
                  <w:r>
                    <w:rPr>
                      <w:sz w:val="21"/>
                    </w:rPr>
                    <w:t>中转站转运至（厚街、横沥、麻涌）焚烧厂</w:t>
                  </w:r>
                </w:p>
              </w:tc>
              <w:tc>
                <w:tcPr>
                  <w:tcW w:type="dxa" w:w="1102"/>
                  <w:tcBorders>
                    <w:top w:val="none" w:color="000000" w:sz="4"/>
                    <w:left w:val="none" w:color="000000" w:sz="4"/>
                    <w:bottom w:val="single" w:color="000000" w:sz="4"/>
                    <w:right w:val="single" w:color="000000" w:sz="4"/>
                  </w:tcBorders>
                  <w:vAlign w:val="top"/>
                </w:tcPr>
                <w:p>
                  <w:pPr>
                    <w:jc w:val="center"/>
                  </w:pP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10"/>
                  <w:tcBorders>
                    <w:top w:val="none" w:color="000000" w:sz="4"/>
                    <w:left w:val="none" w:color="000000" w:sz="4"/>
                    <w:bottom w:val="single" w:color="000000" w:sz="4"/>
                    <w:right w:val="single" w:color="000000" w:sz="4"/>
                  </w:tcBorders>
                  <w:vAlign w:val="top"/>
                </w:tcPr>
                <w:p>
                  <w:pPr>
                    <w:jc w:val="center"/>
                  </w:pPr>
                  <w:r>
                    <w:rPr>
                      <w:sz w:val="21"/>
                    </w:rPr>
                    <w:t>双桥勾臂车</w:t>
                  </w:r>
                </w:p>
              </w:tc>
              <w:tc>
                <w:tcPr>
                  <w:tcW w:type="dxa" w:w="718"/>
                  <w:tcBorders>
                    <w:top w:val="single" w:color="000000" w:sz="4"/>
                    <w:left w:val="none" w:color="000000" w:sz="4"/>
                    <w:bottom w:val="single" w:color="000000" w:sz="4"/>
                    <w:right w:val="single" w:color="000000" w:sz="4"/>
                  </w:tcBorders>
                  <w:vAlign w:val="top"/>
                </w:tcPr>
                <w:p>
                  <w:pPr>
                    <w:jc w:val="center"/>
                  </w:pPr>
                  <w:r>
                    <w:rPr>
                      <w:sz w:val="21"/>
                    </w:rPr>
                    <w:t>3辆</w:t>
                  </w:r>
                </w:p>
              </w:tc>
              <w:tc>
                <w:tcPr>
                  <w:tcW w:type="dxa" w:w="2145"/>
                  <w:tcBorders>
                    <w:top w:val="single" w:color="000000" w:sz="4"/>
                    <w:left w:val="none" w:color="000000" w:sz="4"/>
                    <w:bottom w:val="single" w:color="000000" w:sz="4"/>
                    <w:right w:val="single" w:color="000000" w:sz="4"/>
                  </w:tcBorders>
                  <w:vAlign w:val="top"/>
                </w:tcPr>
                <w:p>
                  <w:pPr>
                    <w:jc w:val="center"/>
                  </w:pPr>
                </w:p>
              </w:tc>
              <w:tc>
                <w:tcPr>
                  <w:tcW w:type="dxa" w:w="1102"/>
                  <w:tcBorders>
                    <w:top w:val="single" w:color="000000" w:sz="4"/>
                    <w:left w:val="none" w:color="000000" w:sz="4"/>
                    <w:bottom w:val="single" w:color="000000" w:sz="4"/>
                    <w:right w:val="single" w:color="000000" w:sz="4"/>
                  </w:tcBorders>
                  <w:vAlign w:val="top"/>
                </w:tcPr>
                <w:p>
                  <w:pPr>
                    <w:jc w:val="center"/>
                  </w:pPr>
                  <w:r>
                    <w:rPr>
                      <w:sz w:val="21"/>
                    </w:rPr>
                    <w:t>国</w:t>
                  </w:r>
                  <w:r>
                    <w:rPr>
                      <w:sz w:val="21"/>
                    </w:rPr>
                    <w:t>Ⅵ</w:t>
                  </w: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10"/>
                  <w:tcBorders>
                    <w:top w:val="none" w:color="000000" w:sz="4"/>
                    <w:left w:val="none" w:color="000000" w:sz="4"/>
                    <w:bottom w:val="single" w:color="000000" w:sz="4"/>
                    <w:right w:val="single" w:color="000000" w:sz="4"/>
                  </w:tcBorders>
                  <w:vAlign w:val="top"/>
                </w:tcPr>
                <w:p>
                  <w:pPr>
                    <w:jc w:val="center"/>
                  </w:pPr>
                  <w:r>
                    <w:rPr>
                      <w:sz w:val="21"/>
                    </w:rPr>
                    <w:t>巡查皮卡车</w:t>
                  </w:r>
                </w:p>
              </w:tc>
              <w:tc>
                <w:tcPr>
                  <w:tcW w:type="dxa" w:w="718"/>
                  <w:tcBorders>
                    <w:top w:val="none" w:color="000000" w:sz="4"/>
                    <w:left w:val="none" w:color="000000" w:sz="4"/>
                    <w:bottom w:val="single" w:color="000000" w:sz="4"/>
                    <w:right w:val="single" w:color="000000" w:sz="4"/>
                  </w:tcBorders>
                  <w:vAlign w:val="top"/>
                </w:tcPr>
                <w:p>
                  <w:pPr>
                    <w:jc w:val="center"/>
                  </w:pPr>
                  <w:r>
                    <w:rPr>
                      <w:sz w:val="21"/>
                    </w:rPr>
                    <w:t>1辆</w:t>
                  </w:r>
                </w:p>
              </w:tc>
              <w:tc>
                <w:tcPr>
                  <w:tcW w:type="dxa" w:w="2145"/>
                  <w:tcBorders>
                    <w:top w:val="none" w:color="000000" w:sz="4"/>
                    <w:left w:val="none" w:color="000000" w:sz="4"/>
                    <w:bottom w:val="single" w:color="000000" w:sz="4"/>
                    <w:right w:val="single" w:color="000000" w:sz="4"/>
                  </w:tcBorders>
                  <w:vAlign w:val="top"/>
                </w:tcPr>
                <w:p>
                  <w:pPr>
                    <w:jc w:val="center"/>
                  </w:pPr>
                </w:p>
              </w:tc>
              <w:tc>
                <w:tcPr>
                  <w:tcW w:type="dxa" w:w="1102"/>
                  <w:tcBorders>
                    <w:top w:val="none" w:color="000000" w:sz="4"/>
                    <w:left w:val="none" w:color="000000" w:sz="4"/>
                    <w:bottom w:val="single" w:color="000000" w:sz="4"/>
                    <w:right w:val="single" w:color="000000" w:sz="4"/>
                  </w:tcBorders>
                  <w:vAlign w:val="top"/>
                </w:tcPr>
                <w:p>
                  <w:pPr>
                    <w:jc w:val="center"/>
                  </w:pPr>
                  <w:r>
                    <w:rPr>
                      <w:sz w:val="21"/>
                    </w:rPr>
                    <w:t>蓝牌，满足镇内行驶需要</w:t>
                  </w: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10"/>
                  <w:tcBorders>
                    <w:top w:val="none" w:color="000000" w:sz="4"/>
                    <w:left w:val="none" w:color="000000" w:sz="4"/>
                    <w:bottom w:val="single" w:color="000000" w:sz="4"/>
                    <w:right w:val="single" w:color="000000" w:sz="4"/>
                  </w:tcBorders>
                  <w:vAlign w:val="top"/>
                </w:tcPr>
                <w:p>
                  <w:pPr>
                    <w:jc w:val="center"/>
                  </w:pPr>
                  <w:r>
                    <w:rPr>
                      <w:sz w:val="21"/>
                    </w:rPr>
                    <w:t>GPS设备</w:t>
                  </w:r>
                </w:p>
              </w:tc>
              <w:tc>
                <w:tcPr>
                  <w:tcW w:type="dxa" w:w="718"/>
                  <w:tcBorders>
                    <w:top w:val="none" w:color="000000" w:sz="4"/>
                    <w:left w:val="none" w:color="000000" w:sz="4"/>
                    <w:bottom w:val="single" w:color="000000" w:sz="4"/>
                    <w:right w:val="single" w:color="000000" w:sz="4"/>
                  </w:tcBorders>
                  <w:vAlign w:val="top"/>
                </w:tcPr>
                <w:p>
                  <w:pPr>
                    <w:jc w:val="center"/>
                  </w:pPr>
                  <w:r>
                    <w:rPr>
                      <w:sz w:val="21"/>
                    </w:rPr>
                    <w:t>4套</w:t>
                  </w:r>
                </w:p>
              </w:tc>
              <w:tc>
                <w:tcPr>
                  <w:tcW w:type="dxa" w:w="2145"/>
                  <w:tcBorders>
                    <w:top w:val="none" w:color="000000" w:sz="4"/>
                    <w:left w:val="none" w:color="000000" w:sz="4"/>
                    <w:bottom w:val="single" w:color="000000" w:sz="4"/>
                    <w:right w:val="single" w:color="000000" w:sz="4"/>
                  </w:tcBorders>
                  <w:vAlign w:val="top"/>
                </w:tcPr>
                <w:p>
                  <w:pPr>
                    <w:jc w:val="center"/>
                  </w:pPr>
                </w:p>
              </w:tc>
              <w:tc>
                <w:tcPr>
                  <w:tcW w:type="dxa" w:w="1102"/>
                  <w:tcBorders>
                    <w:top w:val="none" w:color="000000" w:sz="4"/>
                    <w:left w:val="none" w:color="000000" w:sz="4"/>
                    <w:bottom w:val="single" w:color="000000" w:sz="4"/>
                    <w:right w:val="single" w:color="000000" w:sz="4"/>
                  </w:tcBorders>
                  <w:vAlign w:val="top"/>
                </w:tcPr>
                <w:p>
                  <w:pPr>
                    <w:jc w:val="center"/>
                  </w:pP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10"/>
                  <w:tcBorders>
                    <w:top w:val="none" w:color="000000" w:sz="4"/>
                    <w:left w:val="none" w:color="000000" w:sz="4"/>
                    <w:bottom w:val="single" w:color="000000" w:sz="4"/>
                    <w:right w:val="single" w:color="000000" w:sz="4"/>
                  </w:tcBorders>
                  <w:vAlign w:val="top"/>
                </w:tcPr>
                <w:p>
                  <w:pPr>
                    <w:jc w:val="center"/>
                  </w:pPr>
                  <w:r>
                    <w:rPr>
                      <w:sz w:val="21"/>
                    </w:rPr>
                    <w:t>盲区报警设备</w:t>
                  </w:r>
                </w:p>
              </w:tc>
              <w:tc>
                <w:tcPr>
                  <w:tcW w:type="dxa" w:w="718"/>
                  <w:tcBorders>
                    <w:top w:val="none" w:color="000000" w:sz="4"/>
                    <w:left w:val="none" w:color="000000" w:sz="4"/>
                    <w:bottom w:val="single" w:color="000000" w:sz="4"/>
                    <w:right w:val="single" w:color="000000" w:sz="4"/>
                  </w:tcBorders>
                  <w:vAlign w:val="top"/>
                </w:tcPr>
                <w:p>
                  <w:pPr>
                    <w:jc w:val="center"/>
                  </w:pPr>
                  <w:r>
                    <w:rPr>
                      <w:sz w:val="21"/>
                    </w:rPr>
                    <w:t>4套</w:t>
                  </w:r>
                </w:p>
              </w:tc>
              <w:tc>
                <w:tcPr>
                  <w:tcW w:type="dxa" w:w="2145"/>
                  <w:tcBorders>
                    <w:top w:val="none" w:color="000000" w:sz="4"/>
                    <w:left w:val="none" w:color="000000" w:sz="4"/>
                    <w:bottom w:val="single" w:color="000000" w:sz="4"/>
                    <w:right w:val="single" w:color="000000" w:sz="4"/>
                  </w:tcBorders>
                  <w:vAlign w:val="top"/>
                </w:tcPr>
                <w:p>
                  <w:pPr>
                    <w:jc w:val="center"/>
                  </w:pPr>
                </w:p>
              </w:tc>
              <w:tc>
                <w:tcPr>
                  <w:tcW w:type="dxa" w:w="1102"/>
                  <w:tcBorders>
                    <w:top w:val="none" w:color="000000" w:sz="4"/>
                    <w:left w:val="none" w:color="000000" w:sz="4"/>
                    <w:bottom w:val="single" w:color="000000" w:sz="4"/>
                    <w:right w:val="single" w:color="000000" w:sz="4"/>
                  </w:tcBorders>
                  <w:vAlign w:val="top"/>
                </w:tcPr>
                <w:p>
                  <w:pPr>
                    <w:jc w:val="center"/>
                  </w:pP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10"/>
                  <w:tcBorders>
                    <w:top w:val="none" w:color="000000" w:sz="4"/>
                    <w:left w:val="none" w:color="000000" w:sz="4"/>
                    <w:bottom w:val="single" w:color="000000" w:sz="4"/>
                    <w:right w:val="single" w:color="000000" w:sz="4"/>
                  </w:tcBorders>
                  <w:vAlign w:val="top"/>
                </w:tcPr>
                <w:p>
                  <w:pPr>
                    <w:jc w:val="center"/>
                  </w:pPr>
                  <w:r>
                    <w:rPr>
                      <w:sz w:val="21"/>
                    </w:rPr>
                    <w:t>高压清洗机</w:t>
                  </w:r>
                </w:p>
              </w:tc>
              <w:tc>
                <w:tcPr>
                  <w:tcW w:type="dxa" w:w="718"/>
                  <w:tcBorders>
                    <w:top w:val="none" w:color="000000" w:sz="4"/>
                    <w:left w:val="none" w:color="000000" w:sz="4"/>
                    <w:bottom w:val="single" w:color="000000" w:sz="4"/>
                    <w:right w:val="single" w:color="000000" w:sz="4"/>
                  </w:tcBorders>
                  <w:vAlign w:val="top"/>
                </w:tcPr>
                <w:p>
                  <w:pPr>
                    <w:jc w:val="center"/>
                  </w:pPr>
                  <w:r>
                    <w:rPr>
                      <w:sz w:val="21"/>
                    </w:rPr>
                    <w:t>3套</w:t>
                  </w:r>
                </w:p>
              </w:tc>
              <w:tc>
                <w:tcPr>
                  <w:tcW w:type="dxa" w:w="2145"/>
                  <w:tcBorders>
                    <w:top w:val="none" w:color="000000" w:sz="4"/>
                    <w:left w:val="none" w:color="000000" w:sz="4"/>
                    <w:bottom w:val="single" w:color="000000" w:sz="4"/>
                    <w:right w:val="single" w:color="000000" w:sz="4"/>
                  </w:tcBorders>
                  <w:vAlign w:val="top"/>
                </w:tcPr>
                <w:p>
                  <w:pPr>
                    <w:jc w:val="center"/>
                  </w:pPr>
                </w:p>
              </w:tc>
              <w:tc>
                <w:tcPr>
                  <w:tcW w:type="dxa" w:w="1102"/>
                  <w:tcBorders>
                    <w:top w:val="none" w:color="000000" w:sz="4"/>
                    <w:left w:val="none" w:color="000000" w:sz="4"/>
                    <w:bottom w:val="single" w:color="000000" w:sz="4"/>
                    <w:right w:val="single" w:color="000000" w:sz="4"/>
                  </w:tcBorders>
                  <w:vAlign w:val="top"/>
                </w:tcPr>
                <w:p>
                  <w:pPr>
                    <w:jc w:val="center"/>
                  </w:pPr>
                </w:p>
              </w:tc>
            </w:tr>
            <w:tr>
              <w:tc>
                <w:tcPr>
                  <w:tcW w:type="dxa" w:w="4496"/>
                  <w:gridSpan w:val="4"/>
                  <w:tcBorders>
                    <w:top w:val="none" w:color="000000" w:sz="4"/>
                    <w:left w:val="single" w:color="000000" w:sz="4"/>
                    <w:bottom w:val="single" w:color="000000" w:sz="4"/>
                    <w:right w:val="single" w:color="000000" w:sz="4"/>
                  </w:tcBorders>
                  <w:vAlign w:val="top"/>
                </w:tcPr>
                <w:p>
                  <w:pPr>
                    <w:jc w:val="center"/>
                  </w:pPr>
                  <w:r>
                    <w:rPr>
                      <w:sz w:val="21"/>
                    </w:rPr>
                    <w:t>中转站转运至市区粤丰焚烧厂</w:t>
                  </w:r>
                </w:p>
              </w:tc>
              <w:tc>
                <w:tcPr>
                  <w:tcW w:type="dxa" w:w="1102"/>
                  <w:tcBorders>
                    <w:top w:val="none" w:color="000000" w:sz="4"/>
                    <w:left w:val="none" w:color="000000" w:sz="4"/>
                    <w:bottom w:val="single" w:color="000000" w:sz="4"/>
                    <w:right w:val="single" w:color="000000" w:sz="4"/>
                  </w:tcBorders>
                  <w:vAlign w:val="top"/>
                </w:tcPr>
                <w:p>
                  <w:pPr>
                    <w:jc w:val="center"/>
                  </w:pP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10"/>
                  <w:tcBorders>
                    <w:top w:val="none" w:color="000000" w:sz="4"/>
                    <w:left w:val="none" w:color="000000" w:sz="4"/>
                    <w:bottom w:val="single" w:color="000000" w:sz="4"/>
                    <w:right w:val="single" w:color="000000" w:sz="4"/>
                  </w:tcBorders>
                  <w:vAlign w:val="top"/>
                </w:tcPr>
                <w:p>
                  <w:pPr>
                    <w:jc w:val="center"/>
                  </w:pPr>
                  <w:r>
                    <w:rPr>
                      <w:sz w:val="21"/>
                    </w:rPr>
                    <w:t>双桥勾臂车</w:t>
                  </w:r>
                </w:p>
              </w:tc>
              <w:tc>
                <w:tcPr>
                  <w:tcW w:type="dxa" w:w="718"/>
                  <w:tcBorders>
                    <w:top w:val="single" w:color="000000" w:sz="4"/>
                    <w:left w:val="none" w:color="000000" w:sz="4"/>
                    <w:bottom w:val="single" w:color="000000" w:sz="4"/>
                    <w:right w:val="single" w:color="000000" w:sz="4"/>
                  </w:tcBorders>
                  <w:vAlign w:val="top"/>
                </w:tcPr>
                <w:p>
                  <w:pPr>
                    <w:jc w:val="center"/>
                  </w:pPr>
                  <w:r>
                    <w:rPr>
                      <w:sz w:val="21"/>
                    </w:rPr>
                    <w:t>1辆</w:t>
                  </w:r>
                </w:p>
              </w:tc>
              <w:tc>
                <w:tcPr>
                  <w:tcW w:type="dxa" w:w="2145"/>
                  <w:tcBorders>
                    <w:top w:val="single" w:color="000000" w:sz="4"/>
                    <w:left w:val="none" w:color="000000" w:sz="4"/>
                    <w:bottom w:val="single" w:color="000000" w:sz="4"/>
                    <w:right w:val="single" w:color="000000" w:sz="4"/>
                  </w:tcBorders>
                  <w:vAlign w:val="top"/>
                </w:tcPr>
                <w:p>
                  <w:pPr>
                    <w:jc w:val="center"/>
                  </w:pPr>
                </w:p>
              </w:tc>
              <w:tc>
                <w:tcPr>
                  <w:tcW w:type="dxa" w:w="1102"/>
                  <w:tcBorders>
                    <w:top w:val="single" w:color="000000" w:sz="4"/>
                    <w:left w:val="none" w:color="000000" w:sz="4"/>
                    <w:bottom w:val="single" w:color="000000" w:sz="4"/>
                    <w:right w:val="single" w:color="000000" w:sz="4"/>
                  </w:tcBorders>
                  <w:vAlign w:val="top"/>
                </w:tcPr>
                <w:p>
                  <w:pPr>
                    <w:jc w:val="center"/>
                  </w:pPr>
                  <w:r>
                    <w:rPr>
                      <w:sz w:val="21"/>
                    </w:rPr>
                    <w:t>国</w:t>
                  </w:r>
                  <w:r>
                    <w:rPr>
                      <w:sz w:val="21"/>
                    </w:rPr>
                    <w:t>Ⅵ</w:t>
                  </w: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10"/>
                  <w:tcBorders>
                    <w:top w:val="none" w:color="000000" w:sz="4"/>
                    <w:left w:val="none" w:color="000000" w:sz="4"/>
                    <w:bottom w:val="single" w:color="000000" w:sz="4"/>
                    <w:right w:val="single" w:color="000000" w:sz="4"/>
                  </w:tcBorders>
                  <w:vAlign w:val="top"/>
                </w:tcPr>
                <w:p>
                  <w:pPr>
                    <w:jc w:val="center"/>
                  </w:pPr>
                  <w:r>
                    <w:rPr>
                      <w:sz w:val="21"/>
                    </w:rPr>
                    <w:t>GPS设备</w:t>
                  </w:r>
                </w:p>
              </w:tc>
              <w:tc>
                <w:tcPr>
                  <w:tcW w:type="dxa" w:w="718"/>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2145"/>
                  <w:tcBorders>
                    <w:top w:val="none" w:color="000000" w:sz="4"/>
                    <w:left w:val="none" w:color="000000" w:sz="4"/>
                    <w:bottom w:val="single" w:color="000000" w:sz="4"/>
                    <w:right w:val="single" w:color="000000" w:sz="4"/>
                  </w:tcBorders>
                  <w:vAlign w:val="top"/>
                </w:tcPr>
                <w:p>
                  <w:pPr>
                    <w:jc w:val="center"/>
                  </w:pPr>
                </w:p>
              </w:tc>
              <w:tc>
                <w:tcPr>
                  <w:tcW w:type="dxa" w:w="1102"/>
                  <w:tcBorders>
                    <w:top w:val="none" w:color="000000" w:sz="4"/>
                    <w:left w:val="none" w:color="000000" w:sz="4"/>
                    <w:bottom w:val="single" w:color="000000" w:sz="4"/>
                    <w:right w:val="single" w:color="000000" w:sz="4"/>
                  </w:tcBorders>
                  <w:vAlign w:val="top"/>
                </w:tcPr>
                <w:p>
                  <w:pPr>
                    <w:jc w:val="center"/>
                  </w:pP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10"/>
                  <w:tcBorders>
                    <w:top w:val="none" w:color="000000" w:sz="4"/>
                    <w:left w:val="none" w:color="000000" w:sz="4"/>
                    <w:bottom w:val="single" w:color="000000" w:sz="4"/>
                    <w:right w:val="single" w:color="000000" w:sz="4"/>
                  </w:tcBorders>
                  <w:vAlign w:val="top"/>
                </w:tcPr>
                <w:p>
                  <w:pPr>
                    <w:jc w:val="center"/>
                  </w:pPr>
                  <w:r>
                    <w:rPr>
                      <w:sz w:val="21"/>
                    </w:rPr>
                    <w:t>盲区报警设备</w:t>
                  </w:r>
                </w:p>
              </w:tc>
              <w:tc>
                <w:tcPr>
                  <w:tcW w:type="dxa" w:w="718"/>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2145"/>
                  <w:tcBorders>
                    <w:top w:val="none" w:color="000000" w:sz="4"/>
                    <w:left w:val="none" w:color="000000" w:sz="4"/>
                    <w:bottom w:val="single" w:color="000000" w:sz="4"/>
                    <w:right w:val="single" w:color="000000" w:sz="4"/>
                  </w:tcBorders>
                  <w:vAlign w:val="top"/>
                </w:tcPr>
                <w:p>
                  <w:pPr>
                    <w:jc w:val="center"/>
                  </w:pPr>
                </w:p>
              </w:tc>
              <w:tc>
                <w:tcPr>
                  <w:tcW w:type="dxa" w:w="1102"/>
                  <w:tcBorders>
                    <w:top w:val="none" w:color="000000" w:sz="4"/>
                    <w:left w:val="none" w:color="000000" w:sz="4"/>
                    <w:bottom w:val="single" w:color="000000" w:sz="4"/>
                    <w:right w:val="single" w:color="000000" w:sz="4"/>
                  </w:tcBorders>
                  <w:vAlign w:val="top"/>
                </w:tcPr>
                <w:p>
                  <w:pPr>
                    <w:jc w:val="center"/>
                  </w:pPr>
                </w:p>
              </w:tc>
            </w:tr>
            <w:tr>
              <w:tc>
                <w:tcPr>
                  <w:tcW w:type="dxa" w:w="42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10"/>
                  <w:tcBorders>
                    <w:top w:val="none" w:color="000000" w:sz="4"/>
                    <w:left w:val="none" w:color="000000" w:sz="4"/>
                    <w:bottom w:val="single" w:color="000000" w:sz="4"/>
                    <w:right w:val="single" w:color="000000" w:sz="4"/>
                  </w:tcBorders>
                  <w:vAlign w:val="top"/>
                </w:tcPr>
                <w:p>
                  <w:pPr>
                    <w:jc w:val="center"/>
                  </w:pPr>
                  <w:r>
                    <w:rPr>
                      <w:sz w:val="21"/>
                    </w:rPr>
                    <w:t>高压清洗机</w:t>
                  </w:r>
                </w:p>
              </w:tc>
              <w:tc>
                <w:tcPr>
                  <w:tcW w:type="dxa" w:w="718"/>
                  <w:tcBorders>
                    <w:top w:val="none" w:color="000000" w:sz="4"/>
                    <w:left w:val="none" w:color="000000" w:sz="4"/>
                    <w:bottom w:val="single" w:color="000000" w:sz="4"/>
                    <w:right w:val="single" w:color="000000" w:sz="4"/>
                  </w:tcBorders>
                  <w:vAlign w:val="top"/>
                </w:tcPr>
                <w:p>
                  <w:pPr>
                    <w:jc w:val="center"/>
                  </w:pPr>
                  <w:r>
                    <w:rPr>
                      <w:sz w:val="21"/>
                    </w:rPr>
                    <w:t>3辆</w:t>
                  </w:r>
                </w:p>
              </w:tc>
              <w:tc>
                <w:tcPr>
                  <w:tcW w:type="dxa" w:w="2145"/>
                  <w:tcBorders>
                    <w:top w:val="none" w:color="000000" w:sz="4"/>
                    <w:left w:val="none" w:color="000000" w:sz="4"/>
                    <w:bottom w:val="single" w:color="000000" w:sz="4"/>
                    <w:right w:val="single" w:color="000000" w:sz="4"/>
                  </w:tcBorders>
                  <w:vAlign w:val="top"/>
                </w:tcPr>
                <w:p>
                  <w:pPr>
                    <w:jc w:val="center"/>
                  </w:pPr>
                </w:p>
              </w:tc>
              <w:tc>
                <w:tcPr>
                  <w:tcW w:type="dxa" w:w="1102"/>
                  <w:tcBorders>
                    <w:top w:val="none" w:color="000000" w:sz="4"/>
                    <w:left w:val="none" w:color="000000" w:sz="4"/>
                    <w:bottom w:val="single" w:color="000000" w:sz="4"/>
                    <w:right w:val="single" w:color="000000" w:sz="4"/>
                  </w:tcBorders>
                  <w:vAlign w:val="top"/>
                </w:tcPr>
                <w:p>
                  <w:pPr>
                    <w:jc w:val="center"/>
                  </w:pPr>
                </w:p>
              </w:tc>
            </w:tr>
            <w:tr>
              <w:tc>
                <w:tcPr>
                  <w:tcW w:type="dxa" w:w="5598"/>
                  <w:gridSpan w:val="5"/>
                  <w:tcBorders>
                    <w:top w:val="none" w:color="000000" w:sz="4"/>
                    <w:left w:val="single" w:color="000000" w:sz="4"/>
                    <w:bottom w:val="single" w:color="000000" w:sz="4"/>
                    <w:right w:val="single" w:color="000000" w:sz="4"/>
                  </w:tcBorders>
                  <w:vAlign w:val="top"/>
                </w:tcPr>
                <w:p>
                  <w:pPr>
                    <w:jc w:val="left"/>
                  </w:pPr>
                  <w:r>
                    <w:rPr>
                      <w:sz w:val="21"/>
                    </w:rPr>
                    <w:t>1、以上车辆及设备要求全新或使用不超过三年（不超过三年及设备以车辆及设备首次上牌日期在2020年1月1日之后为准；以上设备需要每年刷漆翻新，同时按采购人要求统一印刷字。2、在签订合同后，采购人有权对中标人进行每月一次设备考核，大型车辆每缺少一辆，按扣5000元处理；其他设备每缺少一辆，按2000元处理。</w:t>
                  </w:r>
                </w:p>
              </w:tc>
            </w:tr>
          </w:tbl>
          <w:p>
            <w:pPr>
              <w:ind w:firstLine="420"/>
              <w:jc w:val="both"/>
            </w:pPr>
            <w:r>
              <w:rPr>
                <w:sz w:val="21"/>
              </w:rPr>
              <w:t>说明：以上清单设备数量为初步方案统计量，具体的数量和投入进度，投标人在中标后，与</w:t>
            </w:r>
            <w:r>
              <w:rPr>
                <w:sz w:val="21"/>
              </w:rPr>
              <w:t>采购人</w:t>
            </w:r>
            <w:r>
              <w:rPr>
                <w:sz w:val="21"/>
              </w:rPr>
              <w:t>根据实际需要情况逐一进行确定，最终的数量必须满足生活垃圾收集运输任务的需要。</w:t>
            </w:r>
            <w:r>
              <w:rPr>
                <w:sz w:val="21"/>
              </w:rPr>
              <w:t>合同终止后，中标人投入机械设备所有权归中标人所有，垃圾桶所有权归采购人所有。</w:t>
            </w:r>
          </w:p>
          <w:p>
            <w:pPr>
              <w:ind w:firstLine="420"/>
              <w:jc w:val="both"/>
            </w:pPr>
            <w:r>
              <w:rPr>
                <w:sz w:val="21"/>
              </w:rPr>
              <w:t>2.中标人必须在合同生效之日起按要求配齐自有车辆、设备。投标时中标人必须承诺上述自有车辆、设备专门用于本项目（不得将用于其他项目或其他镇街的车辆、设备作为本项目要求配置的车辆、设备，否则采购人有权</w:t>
            </w:r>
            <w:r>
              <w:rPr>
                <w:sz w:val="21"/>
              </w:rPr>
              <w:t>解除合同</w:t>
            </w:r>
            <w:r>
              <w:rPr>
                <w:sz w:val="21"/>
              </w:rPr>
              <w:t>）。</w:t>
            </w:r>
          </w:p>
          <w:p>
            <w:pPr>
              <w:ind w:firstLine="420"/>
              <w:jc w:val="both"/>
            </w:pPr>
            <w:r>
              <w:rPr>
                <w:sz w:val="21"/>
              </w:rPr>
              <w:t>3.在合同生效之日起10天内，中标人必须为全部自有车辆安装GPS动态监控系统，并预留两个以上端口以便与采购人的电脑系统联网，以满足采购人对作业车辆实施动态监控的需要，该系统必须能够储存3个月以上的动态监测信息，并允许采购人随时调阅相关历史资料，中标人不得更改系统的原始数据，并保证该系统能不间断有效工作，该系统的开发、设备安装、维护及升级费用由中标人负责。中标人自有的GPS动态监控系统的技术指标必须满足接入采购人监控系统的技术指标要求。各种运输车辆需要接入市数字城管系统，便于监控，安装费用及后续费用由中标人自行承担。</w:t>
            </w:r>
          </w:p>
          <w:p>
            <w:pPr>
              <w:ind w:firstLine="420"/>
              <w:jc w:val="both"/>
            </w:pPr>
            <w:r>
              <w:rPr>
                <w:sz w:val="21"/>
              </w:rPr>
              <w:t>4</w:t>
            </w:r>
            <w:r>
              <w:rPr>
                <w:sz w:val="21"/>
              </w:rPr>
              <w:t>、</w:t>
            </w:r>
            <w:r>
              <w:rPr>
                <w:sz w:val="21"/>
              </w:rPr>
              <w:t>车辆、</w:t>
            </w:r>
            <w:r>
              <w:rPr>
                <w:sz w:val="21"/>
              </w:rPr>
              <w:t>设备验收与管理：</w:t>
            </w:r>
          </w:p>
          <w:p>
            <w:pPr>
              <w:ind w:firstLine="420"/>
              <w:jc w:val="both"/>
            </w:pPr>
            <w:r>
              <w:rPr>
                <w:sz w:val="21"/>
              </w:rPr>
              <w:t>4．1</w:t>
            </w:r>
            <w:r>
              <w:rPr>
                <w:sz w:val="21"/>
              </w:rPr>
              <w:t>车辆、</w:t>
            </w:r>
            <w:r>
              <w:rPr>
                <w:sz w:val="21"/>
              </w:rPr>
              <w:t>设备验收标准：所有设备进场后，由采购人对设备的外观、型号规格、投入数量等进行验收。</w:t>
            </w:r>
          </w:p>
          <w:p>
            <w:pPr>
              <w:ind w:firstLine="420"/>
              <w:jc w:val="both"/>
            </w:pPr>
            <w:r>
              <w:rPr>
                <w:sz w:val="21"/>
              </w:rPr>
              <w:t>4．2管理要求：</w:t>
            </w:r>
          </w:p>
          <w:p>
            <w:pPr>
              <w:ind w:firstLine="420"/>
              <w:jc w:val="both"/>
            </w:pPr>
            <w:r>
              <w:rPr>
                <w:sz w:val="21"/>
              </w:rPr>
              <w:t>4．2．1中标人应提供产品说明、设备保养情况依据、使用情况依据和详细的培训计划。</w:t>
            </w:r>
          </w:p>
          <w:p>
            <w:pPr>
              <w:ind w:firstLine="420"/>
              <w:jc w:val="both"/>
            </w:pPr>
            <w:r>
              <w:rPr>
                <w:sz w:val="21"/>
              </w:rPr>
              <w:t>4．2．2 在服务期内，设备出现故障，中标人应立即对设备进行维修，不得影响垃圾清运工作。</w:t>
            </w:r>
          </w:p>
          <w:p>
            <w:pPr>
              <w:jc w:val="both"/>
            </w:pPr>
            <w:r>
              <w:rPr>
                <w:b/>
                <w:sz w:val="21"/>
              </w:rPr>
              <w:t>五</w:t>
            </w:r>
            <w:r>
              <w:rPr>
                <w:b/>
                <w:sz w:val="21"/>
              </w:rPr>
              <w:t>、服务要求</w:t>
            </w:r>
          </w:p>
          <w:p>
            <w:pPr>
              <w:ind w:firstLine="420"/>
              <w:jc w:val="both"/>
            </w:pPr>
            <w:r>
              <w:rPr>
                <w:sz w:val="21"/>
              </w:rPr>
              <w:t>1、办公场所、停车场由中标人自行解决。</w:t>
            </w:r>
          </w:p>
          <w:p>
            <w:pPr>
              <w:ind w:firstLine="420"/>
              <w:jc w:val="both"/>
            </w:pPr>
            <w:r>
              <w:rPr>
                <w:sz w:val="21"/>
              </w:rPr>
              <w:t>2</w:t>
            </w:r>
            <w:r>
              <w:rPr>
                <w:sz w:val="21"/>
              </w:rPr>
              <w:t>、垃圾收集</w:t>
            </w:r>
          </w:p>
          <w:p>
            <w:pPr>
              <w:ind w:firstLine="420"/>
              <w:jc w:val="both"/>
            </w:pPr>
            <w:r>
              <w:rPr>
                <w:sz w:val="21"/>
              </w:rPr>
              <w:t>（</w:t>
            </w:r>
            <w:r>
              <w:rPr>
                <w:sz w:val="21"/>
              </w:rPr>
              <w:t>2）按要求配置密闭</w:t>
            </w:r>
            <w:r>
              <w:rPr>
                <w:sz w:val="21"/>
              </w:rPr>
              <w:t>后置垃圾压缩</w:t>
            </w:r>
            <w:r>
              <w:rPr>
                <w:sz w:val="21"/>
              </w:rPr>
              <w:t>车，车辆技术指标必须满足垃圾收集站收运设施正常使用的要求。</w:t>
            </w:r>
          </w:p>
          <w:p>
            <w:pPr>
              <w:ind w:firstLine="420"/>
              <w:jc w:val="both"/>
            </w:pPr>
            <w:r>
              <w:rPr>
                <w:sz w:val="21"/>
              </w:rPr>
              <w:t>（</w:t>
            </w:r>
            <w:r>
              <w:rPr>
                <w:sz w:val="21"/>
              </w:rPr>
              <w:t>3）机动垃圾收集车辆必须密闭运输，垃圾在运输过程中不得有漏洒、车体外侧不得加挂杂物、污染道路现象。</w:t>
            </w:r>
          </w:p>
          <w:p>
            <w:pPr>
              <w:ind w:firstLine="420"/>
              <w:jc w:val="both"/>
            </w:pPr>
            <w:r>
              <w:rPr>
                <w:sz w:val="21"/>
              </w:rPr>
              <w:t>（</w:t>
            </w:r>
            <w:r>
              <w:rPr>
                <w:sz w:val="21"/>
              </w:rPr>
              <w:t>4）垃圾收集禁止偷倒，禁止收集外来工业垃圾。</w:t>
            </w:r>
          </w:p>
          <w:p>
            <w:pPr>
              <w:ind w:firstLine="420"/>
              <w:jc w:val="both"/>
            </w:pPr>
            <w:r>
              <w:rPr>
                <w:sz w:val="21"/>
              </w:rPr>
              <w:t>（</w:t>
            </w:r>
            <w:r>
              <w:rPr>
                <w:sz w:val="21"/>
              </w:rPr>
              <w:t>5）不得收运剧毒、易燃易爆、医疗等有危险性的特种垃圾。</w:t>
            </w:r>
          </w:p>
          <w:p>
            <w:pPr>
              <w:ind w:firstLine="420"/>
              <w:jc w:val="both"/>
            </w:pPr>
            <w:r>
              <w:rPr>
                <w:sz w:val="21"/>
              </w:rPr>
              <w:t>（</w:t>
            </w:r>
            <w:r>
              <w:rPr>
                <w:sz w:val="21"/>
              </w:rPr>
              <w:t>6）随车配备清扫工具，垃圾</w:t>
            </w:r>
            <w:r>
              <w:rPr>
                <w:sz w:val="21"/>
              </w:rPr>
              <w:t>收运后</w:t>
            </w:r>
            <w:r>
              <w:rPr>
                <w:sz w:val="21"/>
              </w:rPr>
              <w:t>必须</w:t>
            </w:r>
            <w:r>
              <w:rPr>
                <w:sz w:val="21"/>
              </w:rPr>
              <w:t>清理垃圾收集点及车尾散落垃圾</w:t>
            </w:r>
            <w:r>
              <w:rPr>
                <w:sz w:val="21"/>
              </w:rPr>
              <w:t>。</w:t>
            </w:r>
          </w:p>
          <w:p>
            <w:pPr>
              <w:ind w:firstLine="420"/>
              <w:jc w:val="both"/>
            </w:pPr>
            <w:r>
              <w:rPr>
                <w:sz w:val="21"/>
              </w:rPr>
              <w:t>（</w:t>
            </w:r>
            <w:r>
              <w:rPr>
                <w:sz w:val="21"/>
              </w:rPr>
              <w:t>7）安全、文明作业，尽量减少噪音扰民、妨碍交通现象。</w:t>
            </w:r>
          </w:p>
          <w:p>
            <w:pPr>
              <w:ind w:firstLine="420"/>
              <w:jc w:val="both"/>
            </w:pPr>
            <w:r>
              <w:rPr>
                <w:sz w:val="21"/>
              </w:rPr>
              <w:t>（</w:t>
            </w:r>
            <w:r>
              <w:rPr>
                <w:sz w:val="21"/>
              </w:rPr>
              <w:t>8）中标人需在中标一个月内熟悉</w:t>
            </w:r>
            <w:r>
              <w:rPr>
                <w:sz w:val="21"/>
              </w:rPr>
              <w:t>大岭山镇</w:t>
            </w:r>
            <w:r>
              <w:rPr>
                <w:sz w:val="21"/>
              </w:rPr>
              <w:t>内清运路线，并重新制定清运路线图交于采购人。</w:t>
            </w:r>
          </w:p>
          <w:p>
            <w:pPr>
              <w:jc w:val="both"/>
            </w:pPr>
            <w:r>
              <w:rPr>
                <w:b/>
                <w:sz w:val="21"/>
              </w:rPr>
              <w:t>六</w:t>
            </w:r>
            <w:r>
              <w:rPr>
                <w:b/>
                <w:sz w:val="21"/>
              </w:rPr>
              <w:t>、考核评分制度</w:t>
            </w:r>
          </w:p>
          <w:p>
            <w:pPr>
              <w:ind w:firstLine="420"/>
              <w:jc w:val="both"/>
            </w:pPr>
            <w:r>
              <w:rPr>
                <w:sz w:val="21"/>
              </w:rPr>
              <w:t>1、</w:t>
            </w:r>
            <w:r>
              <w:rPr>
                <w:sz w:val="21"/>
              </w:rPr>
              <w:t>采购人</w:t>
            </w:r>
            <w:r>
              <w:rPr>
                <w:sz w:val="21"/>
              </w:rPr>
              <w:t>对</w:t>
            </w:r>
            <w:r>
              <w:rPr>
                <w:sz w:val="21"/>
              </w:rPr>
              <w:t>中标人</w:t>
            </w:r>
            <w:r>
              <w:rPr>
                <w:sz w:val="21"/>
              </w:rPr>
              <w:t>的服务实行每月考评，按百分制打分。综合检查得分在</w:t>
            </w:r>
            <w:r>
              <w:rPr>
                <w:sz w:val="21"/>
              </w:rPr>
              <w:t>90分以上的（含90分），不扣减当月服务费；评分在80分以上（含80分）、90分以下区间，每低于90分1分</w:t>
            </w:r>
            <w:r>
              <w:rPr>
                <w:sz w:val="21"/>
              </w:rPr>
              <w:t>就</w:t>
            </w:r>
            <w:r>
              <w:rPr>
                <w:sz w:val="21"/>
              </w:rPr>
              <w:t>扣减当月</w:t>
            </w:r>
            <w:r>
              <w:rPr>
                <w:sz w:val="21"/>
              </w:rPr>
              <w:t>承包</w:t>
            </w:r>
            <w:r>
              <w:rPr>
                <w:sz w:val="21"/>
              </w:rPr>
              <w:t>费</w:t>
            </w:r>
            <w:r>
              <w:rPr>
                <w:sz w:val="21"/>
              </w:rPr>
              <w:t>1%</w:t>
            </w:r>
            <w:r>
              <w:rPr>
                <w:sz w:val="21"/>
              </w:rPr>
              <w:t>；评分在</w:t>
            </w:r>
            <w:r>
              <w:rPr>
                <w:sz w:val="21"/>
              </w:rPr>
              <w:t>70分以上（含70分）80分以下区间，每低于80分，1分</w:t>
            </w:r>
            <w:r>
              <w:rPr>
                <w:sz w:val="21"/>
              </w:rPr>
              <w:t>就</w:t>
            </w:r>
            <w:r>
              <w:rPr>
                <w:sz w:val="21"/>
              </w:rPr>
              <w:t>扣减当月</w:t>
            </w:r>
            <w:r>
              <w:rPr>
                <w:sz w:val="21"/>
              </w:rPr>
              <w:t>承包</w:t>
            </w:r>
            <w:r>
              <w:rPr>
                <w:sz w:val="21"/>
              </w:rPr>
              <w:t>费</w:t>
            </w:r>
            <w:r>
              <w:rPr>
                <w:sz w:val="21"/>
              </w:rPr>
              <w:t>2%</w:t>
            </w:r>
            <w:r>
              <w:rPr>
                <w:sz w:val="21"/>
              </w:rPr>
              <w:t>；考评分在</w:t>
            </w:r>
            <w:r>
              <w:rPr>
                <w:sz w:val="21"/>
              </w:rPr>
              <w:t>60以上（含60分）70分以下区间，</w:t>
            </w:r>
            <w:r>
              <w:rPr>
                <w:sz w:val="21"/>
              </w:rPr>
              <w:t>每年累计</w:t>
            </w:r>
            <w:r>
              <w:rPr>
                <w:sz w:val="21"/>
              </w:rPr>
              <w:t>3个月或以上评分在70分以下的，</w:t>
            </w:r>
            <w:r>
              <w:rPr>
                <w:sz w:val="21"/>
              </w:rPr>
              <w:t>采购人</w:t>
            </w:r>
            <w:r>
              <w:rPr>
                <w:sz w:val="21"/>
              </w:rPr>
              <w:t>有权单方面解除合同，履约保证金不予退还，经济损失和法律责任由</w:t>
            </w:r>
            <w:r>
              <w:rPr>
                <w:sz w:val="21"/>
              </w:rPr>
              <w:t>中标人</w:t>
            </w:r>
            <w:r>
              <w:rPr>
                <w:sz w:val="21"/>
              </w:rPr>
              <w:t>自行承担。</w:t>
            </w:r>
          </w:p>
          <w:p>
            <w:pPr>
              <w:ind w:firstLine="420"/>
              <w:jc w:val="both"/>
            </w:pPr>
            <w:r>
              <w:rPr>
                <w:sz w:val="21"/>
              </w:rPr>
              <w:t>2、考核评分标准：按《大岭山镇垃圾收集转运</w:t>
            </w:r>
            <w:r>
              <w:rPr>
                <w:sz w:val="21"/>
              </w:rPr>
              <w:t>项目</w:t>
            </w:r>
            <w:r>
              <w:rPr>
                <w:sz w:val="21"/>
              </w:rPr>
              <w:t>考核评分表》执行。</w:t>
            </w:r>
          </w:p>
          <w:p>
            <w:pPr>
              <w:jc w:val="both"/>
            </w:pPr>
            <w:r>
              <w:rPr>
                <w:b/>
                <w:sz w:val="21"/>
              </w:rPr>
              <w:t>七</w:t>
            </w:r>
            <w:r>
              <w:rPr>
                <w:b/>
                <w:sz w:val="21"/>
              </w:rPr>
              <w:t>、重要条款要求</w:t>
            </w:r>
          </w:p>
          <w:p>
            <w:pPr>
              <w:ind w:firstLine="420"/>
              <w:jc w:val="both"/>
            </w:pPr>
            <w:r>
              <w:rPr>
                <w:sz w:val="21"/>
              </w:rPr>
              <w:t>★</w:t>
            </w:r>
            <w:r>
              <w:rPr>
                <w:b/>
                <w:sz w:val="21"/>
              </w:rPr>
              <w:t>以下内容投标人须承诺（注：须提供承诺函加盖投标人公章）</w:t>
            </w:r>
            <w:r>
              <w:rPr>
                <w:sz w:val="21"/>
              </w:rPr>
              <w:t>：</w:t>
            </w:r>
          </w:p>
          <w:p>
            <w:pPr>
              <w:ind w:firstLine="420"/>
              <w:jc w:val="both"/>
            </w:pPr>
            <w:r>
              <w:rPr>
                <w:sz w:val="21"/>
              </w:rPr>
              <w:t>1、投标人必须根据方案中做出的承诺及本合同规定的各项任务，组织员工履行各项职责，按照《东莞市环境卫生劳动定额》、《东莞市环境卫生质量标准》操作，使</w:t>
            </w:r>
            <w:r>
              <w:rPr>
                <w:sz w:val="21"/>
              </w:rPr>
              <w:t>大岭山镇</w:t>
            </w:r>
            <w:r>
              <w:rPr>
                <w:sz w:val="21"/>
              </w:rPr>
              <w:t>环境卫生质量有明显提高。</w:t>
            </w:r>
          </w:p>
          <w:p>
            <w:pPr>
              <w:ind w:firstLine="420"/>
              <w:jc w:val="both"/>
            </w:pPr>
            <w:r>
              <w:rPr>
                <w:sz w:val="21"/>
              </w:rPr>
              <w:t>2、投标人必须随时接受并配合</w:t>
            </w:r>
            <w:r>
              <w:rPr>
                <w:sz w:val="21"/>
              </w:rPr>
              <w:t>采购人</w:t>
            </w:r>
            <w:r>
              <w:rPr>
                <w:sz w:val="21"/>
              </w:rPr>
              <w:t>、专项检查小组、上级环境卫生管理部门以及其他相关部门的监督、检查和指导，必须无条件的服从</w:t>
            </w:r>
            <w:r>
              <w:rPr>
                <w:sz w:val="21"/>
              </w:rPr>
              <w:t>采购人</w:t>
            </w:r>
            <w:r>
              <w:rPr>
                <w:sz w:val="21"/>
              </w:rPr>
              <w:t>组织一些突击性任务及迎接检查活动。如发现投标人组织不当，计划不落实，导致环卫质量达不到规定的，在接到书面通知后，一个星期内必须整改，否则</w:t>
            </w:r>
            <w:r>
              <w:rPr>
                <w:sz w:val="21"/>
              </w:rPr>
              <w:t>采购人</w:t>
            </w:r>
            <w:r>
              <w:rPr>
                <w:sz w:val="21"/>
              </w:rPr>
              <w:t>有权在当月承包费中扣除</w:t>
            </w:r>
            <w:r>
              <w:rPr>
                <w:sz w:val="21"/>
              </w:rPr>
              <w:t>5</w:t>
            </w:r>
            <w:r>
              <w:rPr>
                <w:sz w:val="21"/>
              </w:rPr>
              <w:t>%作为罚金。</w:t>
            </w:r>
          </w:p>
          <w:p>
            <w:pPr>
              <w:ind w:firstLine="420"/>
              <w:jc w:val="both"/>
            </w:pPr>
            <w:r>
              <w:rPr>
                <w:sz w:val="21"/>
              </w:rPr>
              <w:t>3、提供足够的人手，收集机械设备和物料承包方案。</w:t>
            </w:r>
          </w:p>
          <w:p>
            <w:pPr>
              <w:jc w:val="both"/>
            </w:pPr>
            <w:r>
              <w:rPr>
                <w:b/>
                <w:sz w:val="21"/>
              </w:rPr>
              <w:t>八</w:t>
            </w:r>
            <w:r>
              <w:rPr>
                <w:b/>
                <w:sz w:val="21"/>
              </w:rPr>
              <w:t>、其他</w:t>
            </w:r>
            <w:r>
              <w:rPr>
                <w:b/>
                <w:sz w:val="21"/>
              </w:rPr>
              <w:t>要求</w:t>
            </w:r>
          </w:p>
          <w:p>
            <w:pPr>
              <w:ind w:firstLine="422"/>
              <w:jc w:val="both"/>
            </w:pPr>
            <w:r>
              <w:rPr>
                <w:b/>
                <w:sz w:val="21"/>
              </w:rPr>
              <w:t>★</w:t>
            </w:r>
            <w:r>
              <w:rPr>
                <w:b/>
                <w:sz w:val="21"/>
              </w:rPr>
              <w:t>1、中标人须在中标结果公示后两个月内为本项目办理行政主管部门核发有效的《城市生活垃圾经营性清扫、收集、运输服务许可证》。（注：须提供承诺函加盖投标人公章）</w:t>
            </w:r>
          </w:p>
          <w:p>
            <w:pPr>
              <w:ind w:firstLine="422"/>
              <w:jc w:val="both"/>
            </w:pPr>
            <w:r>
              <w:rPr>
                <w:b/>
                <w:sz w:val="21"/>
              </w:rPr>
              <w:t>★</w:t>
            </w:r>
            <w:r>
              <w:rPr>
                <w:b/>
                <w:sz w:val="21"/>
              </w:rPr>
              <w:t>2、杜绝中标人在日常收运过程收取事业单位、工厂企业垃圾处理费用，如有发现，每次扣减当月承包费用10000元，情节严重，移交司法机关处理。</w:t>
            </w:r>
          </w:p>
          <w:p>
            <w:pPr>
              <w:ind w:firstLine="420"/>
              <w:jc w:val="both"/>
            </w:pPr>
            <w:r>
              <w:rPr>
                <w:sz w:val="21"/>
              </w:rPr>
              <w:t>3</w:t>
            </w:r>
            <w:r>
              <w:rPr>
                <w:sz w:val="21"/>
              </w:rPr>
              <w:t>、中标人需承担市场经营物价上涨的风险，不再以物价上涨为由向采购人增加承包款。</w:t>
            </w:r>
          </w:p>
          <w:p>
            <w:pPr>
              <w:ind w:firstLine="420"/>
              <w:jc w:val="both"/>
            </w:pPr>
            <w:r>
              <w:rPr>
                <w:sz w:val="21"/>
              </w:rPr>
              <w:t>4</w:t>
            </w:r>
            <w:r>
              <w:rPr>
                <w:sz w:val="21"/>
              </w:rPr>
              <w:t>、在合同期内，因国家建设需要征用或国家政策等原因，需要大幅减少中标人服务范围或提前结束合同的，服务费用将实时结算，因此造成的经济损失，采购人不负赔偿责任。</w:t>
            </w:r>
          </w:p>
          <w:p>
            <w:pPr>
              <w:ind w:firstLine="420"/>
              <w:jc w:val="both"/>
            </w:pPr>
            <w:r>
              <w:rPr>
                <w:sz w:val="21"/>
              </w:rPr>
              <w:t>5</w:t>
            </w:r>
            <w:r>
              <w:rPr>
                <w:sz w:val="21"/>
              </w:rPr>
              <w:t>、本项目</w:t>
            </w:r>
            <w:r>
              <w:rPr>
                <w:sz w:val="21"/>
              </w:rPr>
              <w:t>以</w:t>
            </w:r>
            <w:r>
              <w:rPr>
                <w:sz w:val="21"/>
              </w:rPr>
              <w:t>我镇</w:t>
            </w:r>
            <w:r>
              <w:rPr>
                <w:sz w:val="21"/>
              </w:rPr>
              <w:t>实际收运</w:t>
            </w:r>
            <w:r>
              <w:rPr>
                <w:sz w:val="21"/>
              </w:rPr>
              <w:t>生活垃圾焚烧量为</w:t>
            </w:r>
            <w:r>
              <w:rPr>
                <w:sz w:val="21"/>
              </w:rPr>
              <w:t>为</w:t>
            </w:r>
            <w:r>
              <w:rPr>
                <w:sz w:val="21"/>
              </w:rPr>
              <w:t>计算依据，在服务期内垃圾收集点（含收集容器、转运站、垃圾屋等）出现增加（或减少）的，均由</w:t>
            </w:r>
            <w:r>
              <w:rPr>
                <w:sz w:val="21"/>
              </w:rPr>
              <w:t>中标人</w:t>
            </w:r>
            <w:r>
              <w:rPr>
                <w:sz w:val="21"/>
              </w:rPr>
              <w:t>负责清运，</w:t>
            </w:r>
            <w:r>
              <w:rPr>
                <w:sz w:val="21"/>
              </w:rPr>
              <w:t>中标人</w:t>
            </w:r>
            <w:r>
              <w:rPr>
                <w:sz w:val="21"/>
              </w:rPr>
              <w:t>须无条件配合收集及变更清运路线。</w:t>
            </w:r>
          </w:p>
          <w:p>
            <w:pPr>
              <w:ind w:firstLine="420"/>
              <w:jc w:val="both"/>
            </w:pPr>
            <w:r>
              <w:rPr>
                <w:sz w:val="21"/>
              </w:rPr>
              <w:t>6</w:t>
            </w:r>
            <w:r>
              <w:rPr>
                <w:sz w:val="21"/>
              </w:rPr>
              <w:t>、</w:t>
            </w:r>
            <w:r>
              <w:rPr>
                <w:sz w:val="21"/>
              </w:rPr>
              <w:t>中标人</w:t>
            </w:r>
            <w:r>
              <w:rPr>
                <w:sz w:val="21"/>
              </w:rPr>
              <w:t>应为作业人员履行购买社保、公积金等法定义务及提供法定福利待遇。</w:t>
            </w:r>
            <w:r>
              <w:rPr>
                <w:sz w:val="21"/>
              </w:rPr>
              <w:t>中标人</w:t>
            </w:r>
            <w:r>
              <w:rPr>
                <w:sz w:val="21"/>
              </w:rPr>
              <w:t>人员发生工伤或非因工负伤的，或</w:t>
            </w:r>
            <w:r>
              <w:rPr>
                <w:sz w:val="21"/>
              </w:rPr>
              <w:t>中标人</w:t>
            </w:r>
            <w:r>
              <w:rPr>
                <w:sz w:val="21"/>
              </w:rPr>
              <w:t>人员与</w:t>
            </w:r>
            <w:r>
              <w:rPr>
                <w:sz w:val="21"/>
              </w:rPr>
              <w:t>中标人</w:t>
            </w:r>
            <w:r>
              <w:rPr>
                <w:sz w:val="21"/>
              </w:rPr>
              <w:t>发生其他劳动争议的，均由</w:t>
            </w:r>
            <w:r>
              <w:rPr>
                <w:sz w:val="21"/>
              </w:rPr>
              <w:t>中标人</w:t>
            </w:r>
            <w:r>
              <w:rPr>
                <w:sz w:val="21"/>
              </w:rPr>
              <w:t>自行协调处理，并承担相应责任。</w:t>
            </w:r>
          </w:p>
          <w:p>
            <w:pPr>
              <w:jc w:val="both"/>
            </w:pPr>
          </w:p>
          <w:p/>
          <w:p>
            <w:r>
              <w:rPr>
                <w:b/>
                <w:sz w:val="21"/>
              </w:rPr>
              <w:t>附件</w:t>
            </w:r>
            <w:r>
              <w:rPr>
                <w:b/>
                <w:sz w:val="21"/>
              </w:rPr>
              <w:t>1</w:t>
            </w:r>
            <w:r>
              <w:rPr>
                <w:b/>
                <w:sz w:val="21"/>
              </w:rPr>
              <w:t>：</w:t>
            </w:r>
          </w:p>
          <w:p>
            <w:r>
              <w:rPr/>
              <w:t xml:space="preserve"> </w:t>
            </w:r>
          </w:p>
          <w:p>
            <w:pPr>
              <w:jc w:val="center"/>
            </w:pPr>
            <w:r>
              <w:rPr>
                <w:b/>
                <w:sz w:val="32"/>
              </w:rPr>
              <w:t>大岭山镇垃圾收集转运服务考核评分表</w:t>
            </w:r>
          </w:p>
          <w:tbl>
            <w:tblPr>
              <w:tblBorders>
                <w:top w:val="none" w:color="000000" w:sz="4"/>
                <w:left w:val="none" w:color="000000" w:sz="4"/>
                <w:bottom w:val="none" w:color="000000" w:sz="4"/>
                <w:right w:val="none" w:color="000000" w:sz="4"/>
                <w:insideH w:val="none"/>
                <w:insideV w:val="none"/>
              </w:tblBorders>
            </w:tblPr>
            <w:tblGrid>
              <w:gridCol w:w="684"/>
              <w:gridCol w:w="2159"/>
              <w:gridCol w:w="1902"/>
              <w:gridCol w:w="421"/>
              <w:gridCol w:w="431"/>
            </w:tblGrid>
            <w:tr>
              <w:tc>
                <w:tcPr>
                  <w:tcW w:type="dxa" w:w="2843"/>
                  <w:gridSpan w:val="2"/>
                  <w:tcBorders>
                    <w:top w:val="single" w:color="000000" w:sz="4"/>
                    <w:left w:val="single" w:color="000000" w:sz="4"/>
                    <w:bottom w:val="single" w:color="000000" w:sz="4"/>
                    <w:right w:val="single" w:color="000000" w:sz="4"/>
                  </w:tcBorders>
                  <w:vAlign w:val="top"/>
                </w:tcPr>
                <w:p>
                  <w:pPr>
                    <w:jc w:val="center"/>
                  </w:pPr>
                  <w:r>
                    <w:rPr>
                      <w:sz w:val="21"/>
                    </w:rPr>
                    <w:t>现场考核</w:t>
                  </w:r>
                </w:p>
              </w:tc>
              <w:tc>
                <w:tcPr>
                  <w:tcW w:type="dxa" w:w="1902"/>
                  <w:tcBorders>
                    <w:top w:val="single" w:color="000000" w:sz="4"/>
                    <w:left w:val="single" w:color="000000" w:sz="4"/>
                    <w:bottom w:val="single" w:color="000000" w:sz="4"/>
                    <w:right w:val="single" w:color="000000" w:sz="4"/>
                  </w:tcBorders>
                  <w:vAlign w:val="top"/>
                </w:tcPr>
                <w:p>
                  <w:pPr>
                    <w:jc w:val="center"/>
                  </w:pPr>
                  <w:r>
                    <w:rPr>
                      <w:sz w:val="21"/>
                    </w:rPr>
                    <w:t>扣分办法</w:t>
                  </w:r>
                </w:p>
              </w:tc>
              <w:tc>
                <w:tcPr>
                  <w:tcW w:type="dxa" w:w="421"/>
                  <w:tcBorders>
                    <w:top w:val="single" w:color="000000" w:sz="4"/>
                    <w:left w:val="single" w:color="000000" w:sz="4"/>
                    <w:bottom w:val="single" w:color="000000" w:sz="4"/>
                    <w:right w:val="single" w:color="000000" w:sz="4"/>
                  </w:tcBorders>
                  <w:vAlign w:val="top"/>
                </w:tcPr>
                <w:p>
                  <w:pPr>
                    <w:jc w:val="center"/>
                  </w:pPr>
                  <w:r>
                    <w:rPr>
                      <w:sz w:val="21"/>
                    </w:rPr>
                    <w:t>应得分</w:t>
                  </w:r>
                </w:p>
              </w:tc>
              <w:tc>
                <w:tcPr>
                  <w:tcW w:type="dxa" w:w="431"/>
                  <w:tcBorders>
                    <w:top w:val="single" w:color="000000" w:sz="4"/>
                    <w:left w:val="single" w:color="000000" w:sz="4"/>
                    <w:bottom w:val="single" w:color="000000" w:sz="4"/>
                    <w:right w:val="single" w:color="000000" w:sz="4"/>
                  </w:tcBorders>
                  <w:vAlign w:val="top"/>
                </w:tcPr>
                <w:p>
                  <w:pPr>
                    <w:jc w:val="center"/>
                  </w:pPr>
                  <w:r>
                    <w:rPr>
                      <w:sz w:val="21"/>
                    </w:rPr>
                    <w:t>检查扣分</w:t>
                  </w:r>
                </w:p>
              </w:tc>
            </w:tr>
            <w:tr>
              <w:tc>
                <w:tcPr>
                  <w:tcW w:type="dxa" w:w="684"/>
                  <w:tcBorders>
                    <w:top w:val="none" w:color="000000" w:sz="4"/>
                    <w:left w:val="single" w:color="000000" w:sz="4"/>
                    <w:bottom w:val="single" w:color="000000" w:sz="4"/>
                    <w:right w:val="single" w:color="000000" w:sz="4"/>
                  </w:tcBorders>
                  <w:vAlign w:val="top"/>
                </w:tcPr>
                <w:p>
                  <w:pPr>
                    <w:jc w:val="center"/>
                  </w:pPr>
                  <w:r>
                    <w:rPr>
                      <w:sz w:val="21"/>
                    </w:rPr>
                    <w:t>项目</w:t>
                  </w:r>
                </w:p>
              </w:tc>
              <w:tc>
                <w:tcPr>
                  <w:tcW w:type="dxa" w:w="2159"/>
                  <w:tcBorders>
                    <w:top w:val="none" w:color="000000" w:sz="4"/>
                    <w:left w:val="single" w:color="000000" w:sz="4"/>
                    <w:bottom w:val="single" w:color="000000" w:sz="4"/>
                    <w:right w:val="single" w:color="000000" w:sz="4"/>
                  </w:tcBorders>
                  <w:vAlign w:val="top"/>
                </w:tcPr>
                <w:p>
                  <w:pPr>
                    <w:jc w:val="center"/>
                  </w:pPr>
                  <w:r>
                    <w:rPr>
                      <w:sz w:val="21"/>
                    </w:rPr>
                    <w:t>检查方法及评价依据</w:t>
                  </w:r>
                </w:p>
              </w:tc>
              <w:tc>
                <w:tcPr>
                  <w:tcW w:type="dxa" w:w="2754"/>
                  <w:gridSpan w:val="3"/>
                  <w:tcBorders>
                    <w:top w:val="none" w:color="000000" w:sz="4"/>
                    <w:left w:val="single" w:color="000000" w:sz="4"/>
                    <w:bottom w:val="single" w:color="000000" w:sz="4"/>
                    <w:right w:val="single" w:color="000000" w:sz="4"/>
                  </w:tcBorders>
                  <w:vAlign w:val="top"/>
                </w:tcPr>
                <w:p>
                  <w:pPr>
                    <w:jc w:val="center"/>
                  </w:pPr>
                </w:p>
              </w:tc>
            </w:tr>
            <w:tr>
              <w:tc>
                <w:tcPr>
                  <w:tcW w:type="dxa" w:w="684"/>
                  <w:vMerge w:val="restart"/>
                  <w:tcBorders>
                    <w:top w:val="none" w:color="000000" w:sz="4"/>
                    <w:left w:val="single" w:color="000000" w:sz="4"/>
                    <w:bottom w:val="single" w:color="000000" w:sz="4"/>
                    <w:right w:val="single" w:color="000000" w:sz="4"/>
                  </w:tcBorders>
                  <w:vAlign w:val="top"/>
                </w:tcPr>
                <w:p>
                  <w:pPr>
                    <w:jc w:val="center"/>
                  </w:pPr>
                  <w:r>
                    <w:rPr>
                      <w:sz w:val="21"/>
                    </w:rPr>
                    <w:t>垃圾收运作业（</w:t>
                  </w:r>
                  <w:r>
                    <w:rPr>
                      <w:sz w:val="21"/>
                    </w:rPr>
                    <w:t>40分）</w:t>
                  </w:r>
                </w:p>
              </w:tc>
              <w:tc>
                <w:tcPr>
                  <w:tcW w:type="dxa" w:w="2159"/>
                  <w:tcBorders>
                    <w:top w:val="none" w:color="000000" w:sz="4"/>
                    <w:left w:val="single" w:color="000000" w:sz="4"/>
                    <w:bottom w:val="single" w:color="000000" w:sz="4"/>
                    <w:right w:val="single" w:color="000000" w:sz="4"/>
                  </w:tcBorders>
                  <w:vAlign w:val="top"/>
                </w:tcPr>
                <w:p>
                  <w:pPr>
                    <w:jc w:val="both"/>
                  </w:pPr>
                  <w:r>
                    <w:rPr>
                      <w:sz w:val="21"/>
                    </w:rPr>
                    <w:t>1、垃圾要求日产日清，在规定的时间完成垃圾清运作业，无积存垃圾；每天收集2次或以上</w:t>
                  </w:r>
                  <w:r>
                    <w:rPr>
                      <w:sz w:val="21"/>
                    </w:rPr>
                    <w:t>；</w:t>
                  </w:r>
                  <w:r>
                    <w:rPr>
                      <w:sz w:val="21"/>
                    </w:rPr>
                    <w:t>不得收运非本镇垃圾；不得混入大量工业垃圾，需及时跟采购人确认；</w:t>
                  </w:r>
                </w:p>
              </w:tc>
              <w:tc>
                <w:tcPr>
                  <w:tcW w:type="dxa" w:w="1902"/>
                  <w:tcBorders>
                    <w:top w:val="none" w:color="000000" w:sz="4"/>
                    <w:left w:val="single" w:color="000000" w:sz="4"/>
                    <w:bottom w:val="single" w:color="000000" w:sz="4"/>
                    <w:right w:val="single" w:color="000000" w:sz="4"/>
                  </w:tcBorders>
                  <w:vAlign w:val="top"/>
                </w:tcPr>
                <w:p>
                  <w:pPr>
                    <w:jc w:val="both"/>
                  </w:pPr>
                  <w:r>
                    <w:rPr>
                      <w:sz w:val="21"/>
                    </w:rPr>
                    <w:t>垃圾清运不及时，每处扣</w:t>
                  </w:r>
                  <w:r>
                    <w:rPr>
                      <w:sz w:val="21"/>
                    </w:rPr>
                    <w:t>0.5</w:t>
                  </w:r>
                  <w:r>
                    <w:rPr>
                      <w:sz w:val="21"/>
                    </w:rPr>
                    <w:t>分；收集次数不足的，发现一次扣</w:t>
                  </w:r>
                  <w:r>
                    <w:rPr>
                      <w:sz w:val="21"/>
                    </w:rPr>
                    <w:t>1分</w:t>
                  </w:r>
                  <w:r>
                    <w:rPr>
                      <w:sz w:val="21"/>
                    </w:rPr>
                    <w:t>；</w:t>
                  </w:r>
                  <w:r>
                    <w:rPr>
                      <w:sz w:val="21"/>
                    </w:rPr>
                    <w:t>收运非本镇垃圾，发现一次，按承包款</w:t>
                  </w:r>
                  <w:r>
                    <w:rPr>
                      <w:sz w:val="21"/>
                    </w:rPr>
                    <w:t>5%扣款处理；每发现混入大量工业垃圾，存在工业垃圾每桶超过10%的，需及时通知采购人确认后方可收运，没执行的每次扣2分。</w:t>
                  </w:r>
                </w:p>
              </w:tc>
              <w:tc>
                <w:tcPr>
                  <w:tcW w:type="dxa" w:w="421"/>
                  <w:tcBorders>
                    <w:top w:val="single" w:color="000000" w:sz="4"/>
                    <w:left w:val="single" w:color="000000" w:sz="4"/>
                    <w:bottom w:val="single" w:color="000000" w:sz="4"/>
                    <w:right w:val="single" w:color="000000" w:sz="4"/>
                  </w:tcBorders>
                  <w:vAlign w:val="top"/>
                </w:tcPr>
                <w:p>
                  <w:pPr>
                    <w:jc w:val="center"/>
                  </w:pPr>
                  <w:r>
                    <w:rPr>
                      <w:sz w:val="21"/>
                    </w:rPr>
                    <w:t>10</w:t>
                  </w:r>
                </w:p>
              </w:tc>
              <w:tc>
                <w:tcPr>
                  <w:tcW w:type="dxa" w:w="431"/>
                  <w:tcBorders>
                    <w:top w:val="single" w:color="000000" w:sz="4"/>
                    <w:left w:val="single" w:color="000000" w:sz="4"/>
                    <w:bottom w:val="single" w:color="000000" w:sz="4"/>
                    <w:right w:val="single" w:color="000000" w:sz="4"/>
                  </w:tcBorders>
                  <w:vAlign w:val="top"/>
                </w:tcPr>
                <w:p>
                  <w:pPr>
                    <w:jc w:val="center"/>
                  </w:pPr>
                </w:p>
              </w:tc>
            </w:tr>
            <w:tr>
              <w:tc>
                <w:tcPr>
                  <w:tcW w:type="dxa" w:w="684"/>
                  <w:vMerge/>
                  <w:tcBorders>
                    <w:top w:val="none" w:color="000000" w:sz="4"/>
                    <w:left w:val="single" w:color="000000" w:sz="4"/>
                    <w:bottom w:val="single" w:color="000000" w:sz="4"/>
                    <w:right w:val="single" w:color="000000" w:sz="4"/>
                  </w:tcBorders>
                </w:tcPr>
                <w:p/>
              </w:tc>
              <w:tc>
                <w:tcPr>
                  <w:tcW w:type="dxa" w:w="2159"/>
                  <w:tcBorders>
                    <w:top w:val="none" w:color="000000" w:sz="4"/>
                    <w:left w:val="single" w:color="000000" w:sz="4"/>
                    <w:bottom w:val="single" w:color="000000" w:sz="4"/>
                    <w:right w:val="single" w:color="000000" w:sz="4"/>
                  </w:tcBorders>
                  <w:vAlign w:val="top"/>
                </w:tcPr>
                <w:p>
                  <w:pPr>
                    <w:jc w:val="both"/>
                  </w:pPr>
                  <w:r>
                    <w:rPr>
                      <w:sz w:val="21"/>
                    </w:rPr>
                    <w:t>2、</w:t>
                  </w:r>
                  <w:r>
                    <w:rPr>
                      <w:sz w:val="21"/>
                    </w:rPr>
                    <w:t>垃圾收集点以及</w:t>
                  </w:r>
                  <w:r>
                    <w:rPr>
                      <w:sz w:val="21"/>
                    </w:rPr>
                    <w:t>周边</w:t>
                  </w:r>
                  <w:r>
                    <w:rPr>
                      <w:sz w:val="21"/>
                    </w:rPr>
                    <w:t>、</w:t>
                  </w:r>
                  <w:r>
                    <w:rPr>
                      <w:sz w:val="21"/>
                    </w:rPr>
                    <w:t>车尾散落垃圾</w:t>
                  </w:r>
                  <w:r>
                    <w:rPr>
                      <w:sz w:val="21"/>
                    </w:rPr>
                    <w:t>清理干净</w:t>
                  </w:r>
                </w:p>
              </w:tc>
              <w:tc>
                <w:tcPr>
                  <w:tcW w:type="dxa" w:w="1902"/>
                  <w:tcBorders>
                    <w:top w:val="none" w:color="000000" w:sz="4"/>
                    <w:left w:val="single" w:color="000000" w:sz="4"/>
                    <w:bottom w:val="single" w:color="000000" w:sz="4"/>
                    <w:right w:val="single" w:color="000000" w:sz="4"/>
                  </w:tcBorders>
                  <w:vAlign w:val="top"/>
                </w:tcPr>
                <w:p>
                  <w:pPr>
                    <w:jc w:val="both"/>
                  </w:pPr>
                  <w:r>
                    <w:rPr>
                      <w:sz w:val="21"/>
                    </w:rPr>
                    <w:t>收集点</w:t>
                  </w:r>
                  <w:r>
                    <w:rPr>
                      <w:sz w:val="21"/>
                    </w:rPr>
                    <w:t>有散落垃圾、车尾散落垃圾清理</w:t>
                  </w:r>
                  <w:r>
                    <w:rPr>
                      <w:sz w:val="21"/>
                    </w:rPr>
                    <w:t>不到位的，每处扣</w:t>
                  </w:r>
                  <w:r>
                    <w:rPr>
                      <w:sz w:val="21"/>
                    </w:rPr>
                    <w:t>0.5</w:t>
                  </w:r>
                  <w:r>
                    <w:rPr>
                      <w:sz w:val="21"/>
                    </w:rPr>
                    <w:t>分</w:t>
                  </w:r>
                </w:p>
              </w:tc>
              <w:tc>
                <w:tcPr>
                  <w:tcW w:type="dxa" w:w="42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31"/>
                  <w:tcBorders>
                    <w:top w:val="none" w:color="000000" w:sz="4"/>
                    <w:left w:val="single" w:color="000000" w:sz="4"/>
                    <w:bottom w:val="single" w:color="000000" w:sz="4"/>
                    <w:right w:val="single" w:color="000000" w:sz="4"/>
                  </w:tcBorders>
                  <w:vAlign w:val="top"/>
                </w:tcPr>
                <w:p>
                  <w:pPr>
                    <w:jc w:val="center"/>
                  </w:pPr>
                </w:p>
              </w:tc>
            </w:tr>
            <w:tr>
              <w:tc>
                <w:tcPr>
                  <w:tcW w:type="dxa" w:w="684"/>
                  <w:vMerge/>
                  <w:tcBorders>
                    <w:top w:val="none" w:color="000000" w:sz="4"/>
                    <w:left w:val="single" w:color="000000" w:sz="4"/>
                    <w:bottom w:val="single" w:color="000000" w:sz="4"/>
                    <w:right w:val="single" w:color="000000" w:sz="4"/>
                  </w:tcBorders>
                </w:tcPr>
                <w:p/>
              </w:tc>
              <w:tc>
                <w:tcPr>
                  <w:tcW w:type="dxa" w:w="2159"/>
                  <w:tcBorders>
                    <w:top w:val="none" w:color="000000" w:sz="4"/>
                    <w:left w:val="single" w:color="000000" w:sz="4"/>
                    <w:bottom w:val="single" w:color="000000" w:sz="4"/>
                    <w:right w:val="single" w:color="000000" w:sz="4"/>
                  </w:tcBorders>
                  <w:vAlign w:val="top"/>
                </w:tcPr>
                <w:p>
                  <w:pPr>
                    <w:jc w:val="both"/>
                  </w:pPr>
                  <w:r>
                    <w:rPr>
                      <w:sz w:val="21"/>
                    </w:rPr>
                    <w:t>3、垃圾收集、运输过程中，垃圾和污水不能散落在道路上</w:t>
                  </w:r>
                  <w:r>
                    <w:rPr>
                      <w:sz w:val="21"/>
                    </w:rPr>
                    <w:t>；</w:t>
                  </w:r>
                  <w:r>
                    <w:rPr>
                      <w:sz w:val="21"/>
                    </w:rPr>
                    <w:t>规范垃圾渗滤液排放，垃圾车压缩后污水，需要定时排放到镇设置垃圾中转站及停车场周边污水管网，杜绝发生乱排放现象，如果发现乱排现象，移交当地环保部门进行处罚；</w:t>
                  </w:r>
                </w:p>
              </w:tc>
              <w:tc>
                <w:tcPr>
                  <w:tcW w:type="dxa" w:w="1902"/>
                  <w:tcBorders>
                    <w:top w:val="none" w:color="000000" w:sz="4"/>
                    <w:left w:val="single" w:color="000000" w:sz="4"/>
                    <w:bottom w:val="single" w:color="000000" w:sz="4"/>
                    <w:right w:val="single" w:color="000000" w:sz="4"/>
                  </w:tcBorders>
                  <w:vAlign w:val="top"/>
                </w:tcPr>
                <w:p>
                  <w:pPr>
                    <w:jc w:val="both"/>
                  </w:pPr>
                  <w:r>
                    <w:rPr>
                      <w:sz w:val="21"/>
                    </w:rPr>
                    <w:t>造成二次污染的，每次扣</w:t>
                  </w:r>
                  <w:r>
                    <w:rPr>
                      <w:sz w:val="21"/>
                    </w:rPr>
                    <w:t>1分</w:t>
                  </w:r>
                  <w:r>
                    <w:rPr>
                      <w:sz w:val="21"/>
                    </w:rPr>
                    <w:t>；</w:t>
                  </w:r>
                  <w:r>
                    <w:rPr>
                      <w:sz w:val="21"/>
                    </w:rPr>
                    <w:t>垃圾渗滤液随意排放，每次扣</w:t>
                  </w:r>
                  <w:r>
                    <w:rPr>
                      <w:sz w:val="21"/>
                    </w:rPr>
                    <w:t>2分</w:t>
                  </w:r>
                </w:p>
              </w:tc>
              <w:tc>
                <w:tcPr>
                  <w:tcW w:type="dxa" w:w="42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31"/>
                  <w:tcBorders>
                    <w:top w:val="none" w:color="000000" w:sz="4"/>
                    <w:left w:val="single" w:color="000000" w:sz="4"/>
                    <w:bottom w:val="single" w:color="000000" w:sz="4"/>
                    <w:right w:val="single" w:color="000000" w:sz="4"/>
                  </w:tcBorders>
                  <w:vAlign w:val="top"/>
                </w:tcPr>
                <w:p>
                  <w:pPr>
                    <w:jc w:val="center"/>
                  </w:pPr>
                </w:p>
              </w:tc>
            </w:tr>
            <w:tr>
              <w:tc>
                <w:tcPr>
                  <w:tcW w:type="dxa" w:w="684"/>
                  <w:vMerge/>
                  <w:tcBorders>
                    <w:top w:val="none" w:color="000000" w:sz="4"/>
                    <w:left w:val="single" w:color="000000" w:sz="4"/>
                    <w:bottom w:val="single" w:color="000000" w:sz="4"/>
                    <w:right w:val="single" w:color="000000" w:sz="4"/>
                  </w:tcBorders>
                </w:tcPr>
                <w:p/>
              </w:tc>
              <w:tc>
                <w:tcPr>
                  <w:tcW w:type="dxa" w:w="2159"/>
                  <w:tcBorders>
                    <w:top w:val="none" w:color="000000" w:sz="4"/>
                    <w:left w:val="single" w:color="000000" w:sz="4"/>
                    <w:bottom w:val="single" w:color="000000" w:sz="4"/>
                    <w:right w:val="single" w:color="000000" w:sz="4"/>
                  </w:tcBorders>
                  <w:vAlign w:val="top"/>
                </w:tcPr>
                <w:p>
                  <w:pPr>
                    <w:jc w:val="both"/>
                  </w:pPr>
                  <w:r>
                    <w:rPr>
                      <w:sz w:val="21"/>
                    </w:rPr>
                    <w:t>4、压缩车厢、运输车辆需及时清洗，车辆外观保持整洁，按采购人要求统一印刷字样。</w:t>
                  </w:r>
                </w:p>
              </w:tc>
              <w:tc>
                <w:tcPr>
                  <w:tcW w:type="dxa" w:w="1902"/>
                  <w:tcBorders>
                    <w:top w:val="none" w:color="000000" w:sz="4"/>
                    <w:left w:val="single" w:color="000000" w:sz="4"/>
                    <w:bottom w:val="single" w:color="000000" w:sz="4"/>
                    <w:right w:val="single" w:color="000000" w:sz="4"/>
                  </w:tcBorders>
                  <w:vAlign w:val="top"/>
                </w:tcPr>
                <w:p>
                  <w:pPr>
                    <w:jc w:val="both"/>
                  </w:pPr>
                  <w:r>
                    <w:rPr>
                      <w:sz w:val="21"/>
                    </w:rPr>
                    <w:t>车辆外观不整洁的，有明显污渍的，每次扣</w:t>
                  </w:r>
                  <w:r>
                    <w:rPr>
                      <w:sz w:val="21"/>
                    </w:rPr>
                    <w:t>1分。不按采购要求印刷字样，扣2分。</w:t>
                  </w:r>
                </w:p>
              </w:tc>
              <w:tc>
                <w:tcPr>
                  <w:tcW w:type="dxa" w:w="42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31"/>
                  <w:tcBorders>
                    <w:top w:val="none" w:color="000000" w:sz="4"/>
                    <w:left w:val="single" w:color="000000" w:sz="4"/>
                    <w:bottom w:val="single" w:color="000000" w:sz="4"/>
                    <w:right w:val="single" w:color="000000" w:sz="4"/>
                  </w:tcBorders>
                  <w:vAlign w:val="top"/>
                </w:tcPr>
                <w:p>
                  <w:pPr>
                    <w:jc w:val="center"/>
                  </w:pPr>
                </w:p>
              </w:tc>
            </w:tr>
            <w:tr>
              <w:tc>
                <w:tcPr>
                  <w:tcW w:type="dxa" w:w="684"/>
                  <w:vMerge/>
                  <w:tcBorders>
                    <w:top w:val="none" w:color="000000" w:sz="4"/>
                    <w:left w:val="single" w:color="000000" w:sz="4"/>
                    <w:bottom w:val="single" w:color="000000" w:sz="4"/>
                    <w:right w:val="single" w:color="000000" w:sz="4"/>
                  </w:tcBorders>
                </w:tcPr>
                <w:p/>
              </w:tc>
              <w:tc>
                <w:tcPr>
                  <w:tcW w:type="dxa" w:w="2159"/>
                  <w:tcBorders>
                    <w:top w:val="none" w:color="000000" w:sz="4"/>
                    <w:left w:val="single" w:color="000000" w:sz="4"/>
                    <w:bottom w:val="single" w:color="000000" w:sz="4"/>
                    <w:right w:val="single" w:color="000000" w:sz="4"/>
                  </w:tcBorders>
                  <w:vAlign w:val="top"/>
                </w:tcPr>
                <w:p>
                  <w:pPr>
                    <w:jc w:val="both"/>
                  </w:pPr>
                  <w:r>
                    <w:rPr>
                      <w:sz w:val="21"/>
                    </w:rPr>
                    <w:t>5、垃圾收运车辆须配备GPS定位装置、后车雷达、盲区雷达、车辆闪光灯、车身反光条、</w:t>
                  </w:r>
                  <w:r>
                    <w:rPr>
                      <w:sz w:val="21"/>
                    </w:rPr>
                    <w:t>配备</w:t>
                  </w:r>
                  <w:r>
                    <w:rPr>
                      <w:sz w:val="21"/>
                    </w:rPr>
                    <w:t>“雪糕筒”等安全设备</w:t>
                  </w:r>
                </w:p>
              </w:tc>
              <w:tc>
                <w:tcPr>
                  <w:tcW w:type="dxa" w:w="1902"/>
                  <w:tcBorders>
                    <w:top w:val="none" w:color="000000" w:sz="4"/>
                    <w:left w:val="single" w:color="000000" w:sz="4"/>
                    <w:bottom w:val="single" w:color="000000" w:sz="4"/>
                    <w:right w:val="single" w:color="000000" w:sz="4"/>
                  </w:tcBorders>
                  <w:vAlign w:val="top"/>
                </w:tcPr>
                <w:p>
                  <w:pPr>
                    <w:jc w:val="both"/>
                  </w:pPr>
                  <w:r>
                    <w:rPr>
                      <w:sz w:val="21"/>
                    </w:rPr>
                    <w:t>每缺少</w:t>
                  </w:r>
                  <w:r>
                    <w:rPr>
                      <w:sz w:val="21"/>
                    </w:rPr>
                    <w:t>1样设备扣1分。</w:t>
                  </w:r>
                  <w:r>
                    <w:rPr>
                      <w:sz w:val="21"/>
                    </w:rPr>
                    <w:t>GPS应接入市镇数字城管，并由公用事业服务中心进行日常监管。</w:t>
                  </w:r>
                </w:p>
              </w:tc>
              <w:tc>
                <w:tcPr>
                  <w:tcW w:type="dxa" w:w="42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31"/>
                  <w:tcBorders>
                    <w:top w:val="none" w:color="000000" w:sz="4"/>
                    <w:left w:val="single" w:color="000000" w:sz="4"/>
                    <w:bottom w:val="single" w:color="000000" w:sz="4"/>
                    <w:right w:val="single" w:color="000000" w:sz="4"/>
                  </w:tcBorders>
                  <w:vAlign w:val="top"/>
                </w:tcPr>
                <w:p>
                  <w:pPr>
                    <w:jc w:val="center"/>
                  </w:pPr>
                </w:p>
              </w:tc>
            </w:tr>
            <w:tr>
              <w:tc>
                <w:tcPr>
                  <w:tcW w:type="dxa" w:w="684"/>
                  <w:vMerge w:val="restart"/>
                  <w:tcBorders>
                    <w:top w:val="none" w:color="000000" w:sz="4"/>
                    <w:left w:val="single" w:color="000000" w:sz="4"/>
                    <w:bottom w:val="single" w:color="000000" w:sz="4"/>
                    <w:right w:val="single" w:color="000000" w:sz="4"/>
                  </w:tcBorders>
                  <w:vAlign w:val="top"/>
                </w:tcPr>
                <w:p>
                  <w:pPr>
                    <w:jc w:val="center"/>
                  </w:pPr>
                  <w:r>
                    <w:rPr>
                      <w:sz w:val="21"/>
                    </w:rPr>
                    <w:t>垃圾转运站管理（</w:t>
                  </w:r>
                  <w:r>
                    <w:rPr>
                      <w:sz w:val="21"/>
                    </w:rPr>
                    <w:t>35</w:t>
                  </w:r>
                  <w:r>
                    <w:rPr>
                      <w:sz w:val="21"/>
                    </w:rPr>
                    <w:t>分）</w:t>
                  </w:r>
                </w:p>
              </w:tc>
              <w:tc>
                <w:tcPr>
                  <w:tcW w:type="dxa" w:w="2159"/>
                  <w:tcBorders>
                    <w:top w:val="none" w:color="000000" w:sz="4"/>
                    <w:left w:val="single" w:color="000000" w:sz="4"/>
                    <w:bottom w:val="single" w:color="000000" w:sz="4"/>
                    <w:right w:val="single" w:color="000000" w:sz="4"/>
                  </w:tcBorders>
                  <w:vAlign w:val="top"/>
                </w:tcPr>
                <w:p>
                  <w:pPr>
                    <w:jc w:val="both"/>
                  </w:pPr>
                  <w:r>
                    <w:rPr>
                      <w:sz w:val="21"/>
                    </w:rPr>
                    <w:t>1、每座垃圾</w:t>
                  </w:r>
                  <w:r>
                    <w:rPr>
                      <w:sz w:val="21"/>
                    </w:rPr>
                    <w:t>转运</w:t>
                  </w:r>
                  <w:r>
                    <w:rPr>
                      <w:sz w:val="21"/>
                    </w:rPr>
                    <w:t>站须</w:t>
                  </w:r>
                  <w:r>
                    <w:rPr>
                      <w:sz w:val="21"/>
                    </w:rPr>
                    <w:t>配备</w:t>
                  </w:r>
                  <w:r>
                    <w:rPr>
                      <w:sz w:val="21"/>
                    </w:rPr>
                    <w:t>1</w:t>
                  </w:r>
                  <w:r>
                    <w:rPr>
                      <w:sz w:val="21"/>
                    </w:rPr>
                    <w:t>名专人管理，遵守作业时间，不迟到、早退</w:t>
                  </w:r>
                  <w:r>
                    <w:rPr>
                      <w:sz w:val="21"/>
                    </w:rPr>
                    <w:t xml:space="preserve">  </w:t>
                  </w:r>
                  <w:r>
                    <w:rPr>
                      <w:sz w:val="21"/>
                    </w:rPr>
                    <w:t>2.需做好进出站点车辆登记工作，不限于车牌、垃圾量等，并每月3号前上报上个月台账给采购人。4.需做好日常消杀、清洗、除臭等日常养护台账。</w:t>
                  </w:r>
                </w:p>
                <w:p>
                  <w:pPr>
                    <w:jc w:val="both"/>
                  </w:pPr>
                </w:p>
              </w:tc>
              <w:tc>
                <w:tcPr>
                  <w:tcW w:type="dxa" w:w="1902"/>
                  <w:tcBorders>
                    <w:top w:val="none" w:color="000000" w:sz="4"/>
                    <w:left w:val="single" w:color="000000" w:sz="4"/>
                    <w:bottom w:val="single" w:color="000000" w:sz="4"/>
                    <w:right w:val="single" w:color="000000" w:sz="4"/>
                  </w:tcBorders>
                  <w:vAlign w:val="top"/>
                </w:tcPr>
                <w:p>
                  <w:pPr>
                    <w:jc w:val="both"/>
                  </w:pPr>
                  <w:r>
                    <w:rPr>
                      <w:sz w:val="21"/>
                    </w:rPr>
                    <w:t>1、每少1人扣5分；</w:t>
                  </w:r>
                </w:p>
                <w:p>
                  <w:pPr>
                    <w:jc w:val="left"/>
                  </w:pPr>
                  <w:r>
                    <w:rPr>
                      <w:sz w:val="21"/>
                    </w:rPr>
                    <w:t>2、垃圾中转站未按时开门作业，每次扣1分</w:t>
                  </w:r>
                  <w:r>
                    <w:rPr>
                      <w:sz w:val="21"/>
                    </w:rPr>
                    <w:t>；</w:t>
                  </w:r>
                  <w:r>
                    <w:rPr>
                      <w:sz w:val="21"/>
                    </w:rPr>
                    <w:t xml:space="preserve">           </w:t>
                  </w:r>
                  <w:r>
                    <w:rPr>
                      <w:sz w:val="21"/>
                    </w:rPr>
                    <w:t>3、没做日常进出登记以及日常养护台账，每站少一次扣0.5分；没做日常清洗、消杀、除臭台账工作，每次扣0.5分。</w:t>
                  </w:r>
                </w:p>
              </w:tc>
              <w:tc>
                <w:tcPr>
                  <w:tcW w:type="dxa" w:w="42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31"/>
                  <w:tcBorders>
                    <w:top w:val="none" w:color="000000" w:sz="4"/>
                    <w:left w:val="single" w:color="000000" w:sz="4"/>
                    <w:bottom w:val="single" w:color="000000" w:sz="4"/>
                    <w:right w:val="single" w:color="000000" w:sz="4"/>
                  </w:tcBorders>
                  <w:vAlign w:val="top"/>
                </w:tcPr>
                <w:p>
                  <w:pPr>
                    <w:jc w:val="center"/>
                  </w:pPr>
                </w:p>
              </w:tc>
            </w:tr>
            <w:tr>
              <w:tc>
                <w:tcPr>
                  <w:tcW w:type="dxa" w:w="684"/>
                  <w:vMerge/>
                  <w:tcBorders>
                    <w:top w:val="none" w:color="000000" w:sz="4"/>
                    <w:left w:val="single" w:color="000000" w:sz="4"/>
                    <w:bottom w:val="single" w:color="000000" w:sz="4"/>
                    <w:right w:val="single" w:color="000000" w:sz="4"/>
                  </w:tcBorders>
                </w:tcPr>
                <w:p/>
              </w:tc>
              <w:tc>
                <w:tcPr>
                  <w:tcW w:type="dxa" w:w="2159"/>
                  <w:tcBorders>
                    <w:top w:val="none" w:color="000000" w:sz="4"/>
                    <w:left w:val="single" w:color="000000" w:sz="4"/>
                    <w:bottom w:val="single" w:color="000000" w:sz="4"/>
                    <w:right w:val="single" w:color="000000" w:sz="4"/>
                  </w:tcBorders>
                  <w:vAlign w:val="top"/>
                </w:tcPr>
                <w:p>
                  <w:pPr>
                    <w:jc w:val="both"/>
                  </w:pPr>
                  <w:r>
                    <w:rPr>
                      <w:sz w:val="21"/>
                    </w:rPr>
                    <w:t>2、规范管理，禁止管理人员在站内开展与垃圾清运工作无关的其他活动。</w:t>
                  </w:r>
                </w:p>
              </w:tc>
              <w:tc>
                <w:tcPr>
                  <w:tcW w:type="dxa" w:w="1902"/>
                  <w:tcBorders>
                    <w:top w:val="none" w:color="000000" w:sz="4"/>
                    <w:left w:val="single" w:color="000000" w:sz="4"/>
                    <w:bottom w:val="single" w:color="000000" w:sz="4"/>
                    <w:right w:val="single" w:color="000000" w:sz="4"/>
                  </w:tcBorders>
                  <w:vAlign w:val="top"/>
                </w:tcPr>
                <w:p>
                  <w:pPr>
                    <w:jc w:val="both"/>
                  </w:pPr>
                  <w:r>
                    <w:rPr>
                      <w:sz w:val="21"/>
                    </w:rPr>
                    <w:t>1、每发现一次扣</w:t>
                  </w:r>
                  <w:r>
                    <w:rPr>
                      <w:sz w:val="21"/>
                    </w:rPr>
                    <w:t>1</w:t>
                  </w:r>
                  <w:r>
                    <w:rPr>
                      <w:sz w:val="21"/>
                    </w:rPr>
                    <w:t>分；</w:t>
                  </w:r>
                </w:p>
                <w:p>
                  <w:pPr>
                    <w:jc w:val="both"/>
                  </w:pPr>
                  <w:r>
                    <w:rPr>
                      <w:sz w:val="21"/>
                    </w:rPr>
                    <w:t>2、垃圾站内因管理不善造成排队倒垃圾或其它混乱局面的，每次扣2分。</w:t>
                  </w:r>
                </w:p>
              </w:tc>
              <w:tc>
                <w:tcPr>
                  <w:tcW w:type="dxa" w:w="4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31"/>
                  <w:tcBorders>
                    <w:top w:val="none" w:color="000000" w:sz="4"/>
                    <w:left w:val="single" w:color="000000" w:sz="4"/>
                    <w:bottom w:val="single" w:color="000000" w:sz="4"/>
                    <w:right w:val="single" w:color="000000" w:sz="4"/>
                  </w:tcBorders>
                  <w:vAlign w:val="top"/>
                </w:tcPr>
                <w:p>
                  <w:pPr>
                    <w:jc w:val="center"/>
                  </w:pPr>
                </w:p>
              </w:tc>
            </w:tr>
            <w:tr>
              <w:tc>
                <w:tcPr>
                  <w:tcW w:type="dxa" w:w="684"/>
                  <w:vMerge/>
                  <w:tcBorders>
                    <w:top w:val="none" w:color="000000" w:sz="4"/>
                    <w:left w:val="single" w:color="000000" w:sz="4"/>
                    <w:bottom w:val="single" w:color="000000" w:sz="4"/>
                    <w:right w:val="single" w:color="000000" w:sz="4"/>
                  </w:tcBorders>
                </w:tcPr>
                <w:p/>
              </w:tc>
              <w:tc>
                <w:tcPr>
                  <w:tcW w:type="dxa" w:w="2159"/>
                  <w:tcBorders>
                    <w:top w:val="none" w:color="000000" w:sz="4"/>
                    <w:left w:val="single" w:color="000000" w:sz="4"/>
                    <w:bottom w:val="single" w:color="000000" w:sz="4"/>
                    <w:right w:val="single" w:color="000000" w:sz="4"/>
                  </w:tcBorders>
                  <w:vAlign w:val="top"/>
                </w:tcPr>
                <w:p>
                  <w:pPr>
                    <w:jc w:val="both"/>
                  </w:pPr>
                  <w:r>
                    <w:rPr>
                      <w:sz w:val="21"/>
                    </w:rPr>
                    <w:t>3、注重安全生产，不能私自乱接驳电线，禁止使用明火；严禁改变站内的结构和布局。</w:t>
                  </w:r>
                </w:p>
              </w:tc>
              <w:tc>
                <w:tcPr>
                  <w:tcW w:type="dxa" w:w="1902"/>
                  <w:tcBorders>
                    <w:top w:val="none" w:color="000000" w:sz="4"/>
                    <w:left w:val="single" w:color="000000" w:sz="4"/>
                    <w:bottom w:val="single" w:color="000000" w:sz="4"/>
                    <w:right w:val="single" w:color="000000" w:sz="4"/>
                  </w:tcBorders>
                  <w:vAlign w:val="top"/>
                </w:tcPr>
                <w:p>
                  <w:pPr>
                    <w:jc w:val="both"/>
                  </w:pPr>
                  <w:r>
                    <w:rPr>
                      <w:sz w:val="21"/>
                    </w:rPr>
                    <w:t>每发现一处扣</w:t>
                  </w:r>
                  <w:r>
                    <w:rPr>
                      <w:sz w:val="21"/>
                    </w:rPr>
                    <w:t>1</w:t>
                  </w:r>
                  <w:r>
                    <w:rPr>
                      <w:sz w:val="21"/>
                    </w:rPr>
                    <w:t>分。</w:t>
                  </w:r>
                </w:p>
              </w:tc>
              <w:tc>
                <w:tcPr>
                  <w:tcW w:type="dxa" w:w="4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31"/>
                  <w:tcBorders>
                    <w:top w:val="none" w:color="000000" w:sz="4"/>
                    <w:left w:val="single" w:color="000000" w:sz="4"/>
                    <w:bottom w:val="single" w:color="000000" w:sz="4"/>
                    <w:right w:val="single" w:color="000000" w:sz="4"/>
                  </w:tcBorders>
                  <w:vAlign w:val="top"/>
                </w:tcPr>
                <w:p>
                  <w:pPr>
                    <w:jc w:val="center"/>
                  </w:pPr>
                </w:p>
              </w:tc>
            </w:tr>
            <w:tr>
              <w:tc>
                <w:tcPr>
                  <w:tcW w:type="dxa" w:w="684"/>
                  <w:vMerge/>
                  <w:tcBorders>
                    <w:top w:val="none" w:color="000000" w:sz="4"/>
                    <w:left w:val="single" w:color="000000" w:sz="4"/>
                    <w:bottom w:val="single" w:color="000000" w:sz="4"/>
                    <w:right w:val="single" w:color="000000" w:sz="4"/>
                  </w:tcBorders>
                </w:tcPr>
                <w:p/>
              </w:tc>
              <w:tc>
                <w:tcPr>
                  <w:tcW w:type="dxa" w:w="2159"/>
                  <w:tcBorders>
                    <w:top w:val="none" w:color="000000" w:sz="4"/>
                    <w:left w:val="single" w:color="000000" w:sz="4"/>
                    <w:bottom w:val="single" w:color="000000" w:sz="4"/>
                    <w:right w:val="single" w:color="000000" w:sz="4"/>
                  </w:tcBorders>
                  <w:vAlign w:val="top"/>
                </w:tcPr>
                <w:p>
                  <w:pPr>
                    <w:jc w:val="both"/>
                  </w:pPr>
                  <w:r>
                    <w:rPr>
                      <w:sz w:val="21"/>
                    </w:rPr>
                    <w:t>4、保持垃圾</w:t>
                  </w:r>
                  <w:r>
                    <w:rPr>
                      <w:sz w:val="21"/>
                    </w:rPr>
                    <w:t>转运</w:t>
                  </w:r>
                  <w:r>
                    <w:rPr>
                      <w:sz w:val="21"/>
                    </w:rPr>
                    <w:t>站整洁卫生，定期清洗，在中转站内及站外</w:t>
                  </w:r>
                  <w:r>
                    <w:rPr>
                      <w:sz w:val="21"/>
                    </w:rPr>
                    <w:t>10米范围内，不得乱堆杂物、不得乱拉挂、任何时候不</w:t>
                  </w:r>
                  <w:r>
                    <w:rPr>
                      <w:sz w:val="21"/>
                    </w:rPr>
                    <w:t>允许外来人员</w:t>
                  </w:r>
                  <w:r>
                    <w:rPr>
                      <w:sz w:val="21"/>
                    </w:rPr>
                    <w:t>捡集垃圾。</w:t>
                  </w:r>
                  <w:r>
                    <w:rPr>
                      <w:sz w:val="21"/>
                    </w:rPr>
                    <w:t>应设置分类区域，规范放置可回收物及有害垃圾</w:t>
                  </w:r>
                </w:p>
              </w:tc>
              <w:tc>
                <w:tcPr>
                  <w:tcW w:type="dxa" w:w="1902"/>
                  <w:tcBorders>
                    <w:top w:val="none" w:color="000000" w:sz="4"/>
                    <w:left w:val="single" w:color="000000" w:sz="4"/>
                    <w:bottom w:val="single" w:color="000000" w:sz="4"/>
                    <w:right w:val="single" w:color="000000" w:sz="4"/>
                  </w:tcBorders>
                  <w:vAlign w:val="top"/>
                </w:tcPr>
                <w:p>
                  <w:pPr>
                    <w:jc w:val="both"/>
                  </w:pPr>
                  <w:r>
                    <w:rPr>
                      <w:sz w:val="21"/>
                    </w:rPr>
                    <w:t>1、垃圾卸载、装运后，压缩箱周围及地面出现抛撒及存留垃圾，每次扣1分。</w:t>
                  </w:r>
                </w:p>
                <w:p>
                  <w:pPr>
                    <w:jc w:val="both"/>
                  </w:pPr>
                  <w:r>
                    <w:rPr>
                      <w:sz w:val="21"/>
                    </w:rPr>
                    <w:t>2、杂物乱堆、乱</w:t>
                  </w:r>
                  <w:r>
                    <w:rPr>
                      <w:sz w:val="21"/>
                    </w:rPr>
                    <w:t>扔</w:t>
                  </w:r>
                  <w:r>
                    <w:rPr>
                      <w:sz w:val="21"/>
                    </w:rPr>
                    <w:t>垃圾</w:t>
                  </w:r>
                  <w:r>
                    <w:rPr>
                      <w:sz w:val="21"/>
                    </w:rPr>
                    <w:t>、</w:t>
                  </w:r>
                  <w:r>
                    <w:rPr>
                      <w:sz w:val="21"/>
                    </w:rPr>
                    <w:t>未规范分区、</w:t>
                  </w:r>
                  <w:r>
                    <w:rPr>
                      <w:sz w:val="21"/>
                    </w:rPr>
                    <w:t>有人捡集垃圾的每次扣</w:t>
                  </w:r>
                  <w:r>
                    <w:rPr>
                      <w:sz w:val="21"/>
                    </w:rPr>
                    <w:t>0.5</w:t>
                  </w:r>
                  <w:r>
                    <w:rPr>
                      <w:sz w:val="21"/>
                    </w:rPr>
                    <w:t>分；累计发现</w:t>
                  </w:r>
                  <w:r>
                    <w:rPr>
                      <w:sz w:val="21"/>
                    </w:rPr>
                    <w:t>10次的，</w:t>
                  </w:r>
                  <w:r>
                    <w:rPr>
                      <w:sz w:val="21"/>
                    </w:rPr>
                    <w:t>按承包款</w:t>
                  </w:r>
                  <w:r>
                    <w:rPr>
                      <w:sz w:val="21"/>
                    </w:rPr>
                    <w:t>10%扣款处理</w:t>
                  </w:r>
                  <w:r>
                    <w:rPr>
                      <w:sz w:val="21"/>
                    </w:rPr>
                    <w:t>。</w:t>
                  </w:r>
                </w:p>
              </w:tc>
              <w:tc>
                <w:tcPr>
                  <w:tcW w:type="dxa" w:w="4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31"/>
                  <w:tcBorders>
                    <w:top w:val="none" w:color="000000" w:sz="4"/>
                    <w:left w:val="single" w:color="000000" w:sz="4"/>
                    <w:bottom w:val="single" w:color="000000" w:sz="4"/>
                    <w:right w:val="single" w:color="000000" w:sz="4"/>
                  </w:tcBorders>
                  <w:vAlign w:val="top"/>
                </w:tcPr>
                <w:p>
                  <w:pPr>
                    <w:jc w:val="center"/>
                  </w:pPr>
                </w:p>
              </w:tc>
            </w:tr>
            <w:tr>
              <w:tc>
                <w:tcPr>
                  <w:tcW w:type="dxa" w:w="684"/>
                  <w:vMerge/>
                  <w:tcBorders>
                    <w:top w:val="none" w:color="000000" w:sz="4"/>
                    <w:left w:val="single" w:color="000000" w:sz="4"/>
                    <w:bottom w:val="single" w:color="000000" w:sz="4"/>
                    <w:right w:val="single" w:color="000000" w:sz="4"/>
                  </w:tcBorders>
                </w:tcPr>
                <w:p/>
              </w:tc>
              <w:tc>
                <w:tcPr>
                  <w:tcW w:type="dxa" w:w="2159"/>
                  <w:tcBorders>
                    <w:top w:val="none" w:color="000000" w:sz="4"/>
                    <w:left w:val="single" w:color="000000" w:sz="4"/>
                    <w:bottom w:val="single" w:color="000000" w:sz="4"/>
                    <w:right w:val="single" w:color="000000" w:sz="4"/>
                  </w:tcBorders>
                  <w:vAlign w:val="top"/>
                </w:tcPr>
                <w:p>
                  <w:pPr>
                    <w:jc w:val="both"/>
                  </w:pPr>
                  <w:r>
                    <w:rPr>
                      <w:sz w:val="21"/>
                    </w:rPr>
                    <w:t>5、垃圾</w:t>
                  </w:r>
                  <w:r>
                    <w:rPr>
                      <w:sz w:val="21"/>
                    </w:rPr>
                    <w:t>转运站</w:t>
                  </w:r>
                  <w:r>
                    <w:rPr>
                      <w:sz w:val="21"/>
                    </w:rPr>
                    <w:t>站的污水没有按规定进行排放，</w:t>
                  </w:r>
                  <w:r>
                    <w:rPr>
                      <w:sz w:val="21"/>
                    </w:rPr>
                    <w:t>未定期清理、</w:t>
                  </w:r>
                  <w:r>
                    <w:rPr>
                      <w:sz w:val="21"/>
                    </w:rPr>
                    <w:t>沉淀池渗滤液渣，</w:t>
                  </w:r>
                  <w:r>
                    <w:rPr>
                      <w:sz w:val="21"/>
                    </w:rPr>
                    <w:t>对环境造成影响的</w:t>
                  </w:r>
                </w:p>
              </w:tc>
              <w:tc>
                <w:tcPr>
                  <w:tcW w:type="dxa" w:w="1902"/>
                  <w:tcBorders>
                    <w:top w:val="none" w:color="000000" w:sz="4"/>
                    <w:left w:val="single" w:color="000000" w:sz="4"/>
                    <w:bottom w:val="single" w:color="000000" w:sz="4"/>
                    <w:right w:val="single" w:color="000000" w:sz="4"/>
                  </w:tcBorders>
                  <w:vAlign w:val="top"/>
                </w:tcPr>
                <w:p>
                  <w:pPr>
                    <w:jc w:val="both"/>
                  </w:pPr>
                  <w:r>
                    <w:rPr>
                      <w:sz w:val="21"/>
                    </w:rPr>
                    <w:t>每发现一次扣</w:t>
                  </w:r>
                  <w:r>
                    <w:rPr>
                      <w:sz w:val="21"/>
                    </w:rPr>
                    <w:t>1分</w:t>
                  </w:r>
                </w:p>
              </w:tc>
              <w:tc>
                <w:tcPr>
                  <w:tcW w:type="dxa" w:w="4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31"/>
                  <w:tcBorders>
                    <w:top w:val="none" w:color="000000" w:sz="4"/>
                    <w:left w:val="single" w:color="000000" w:sz="4"/>
                    <w:bottom w:val="single" w:color="000000" w:sz="4"/>
                    <w:right w:val="single" w:color="000000" w:sz="4"/>
                  </w:tcBorders>
                  <w:vAlign w:val="top"/>
                </w:tcPr>
                <w:p>
                  <w:pPr>
                    <w:jc w:val="center"/>
                  </w:pPr>
                </w:p>
              </w:tc>
            </w:tr>
            <w:tr>
              <w:tc>
                <w:tcPr>
                  <w:tcW w:type="dxa" w:w="684"/>
                  <w:vMerge/>
                  <w:tcBorders>
                    <w:top w:val="none" w:color="000000" w:sz="4"/>
                    <w:left w:val="single" w:color="000000" w:sz="4"/>
                    <w:bottom w:val="single" w:color="000000" w:sz="4"/>
                    <w:right w:val="single" w:color="000000" w:sz="4"/>
                  </w:tcBorders>
                </w:tcPr>
                <w:p/>
              </w:tc>
              <w:tc>
                <w:tcPr>
                  <w:tcW w:type="dxa" w:w="2159"/>
                  <w:tcBorders>
                    <w:top w:val="none" w:color="000000" w:sz="4"/>
                    <w:left w:val="single" w:color="000000" w:sz="4"/>
                    <w:bottom w:val="single" w:color="000000" w:sz="4"/>
                    <w:right w:val="single" w:color="000000" w:sz="4"/>
                  </w:tcBorders>
                  <w:vAlign w:val="top"/>
                </w:tcPr>
                <w:p>
                  <w:pPr>
                    <w:jc w:val="both"/>
                  </w:pPr>
                  <w:r>
                    <w:rPr>
                      <w:sz w:val="21"/>
                    </w:rPr>
                    <w:t>6、垃圾转运站或收集间内外环境要整洁，蚊蝇密度不超标和垃圾容器周边干净。</w:t>
                  </w:r>
                </w:p>
              </w:tc>
              <w:tc>
                <w:tcPr>
                  <w:tcW w:type="dxa" w:w="1902"/>
                  <w:tcBorders>
                    <w:top w:val="none" w:color="000000" w:sz="4"/>
                    <w:left w:val="single" w:color="000000" w:sz="4"/>
                    <w:bottom w:val="single" w:color="000000" w:sz="4"/>
                    <w:right w:val="single" w:color="000000" w:sz="4"/>
                  </w:tcBorders>
                  <w:vAlign w:val="top"/>
                </w:tcPr>
                <w:p>
                  <w:pPr>
                    <w:jc w:val="both"/>
                  </w:pPr>
                  <w:r>
                    <w:rPr>
                      <w:sz w:val="21"/>
                    </w:rPr>
                    <w:t>未达要求的每次扣</w:t>
                  </w:r>
                  <w:r>
                    <w:rPr>
                      <w:sz w:val="21"/>
                    </w:rPr>
                    <w:t>1分。</w:t>
                  </w:r>
                </w:p>
              </w:tc>
              <w:tc>
                <w:tcPr>
                  <w:tcW w:type="dxa" w:w="42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31"/>
                  <w:tcBorders>
                    <w:top w:val="none" w:color="000000" w:sz="4"/>
                    <w:left w:val="single" w:color="000000" w:sz="4"/>
                    <w:bottom w:val="single" w:color="000000" w:sz="4"/>
                    <w:right w:val="single" w:color="000000" w:sz="4"/>
                  </w:tcBorders>
                  <w:vAlign w:val="top"/>
                </w:tcPr>
                <w:p>
                  <w:pPr>
                    <w:jc w:val="center"/>
                  </w:pPr>
                </w:p>
              </w:tc>
            </w:tr>
            <w:tr>
              <w:tc>
                <w:tcPr>
                  <w:tcW w:type="dxa" w:w="684"/>
                  <w:vMerge/>
                  <w:tcBorders>
                    <w:top w:val="none" w:color="000000" w:sz="4"/>
                    <w:left w:val="single" w:color="000000" w:sz="4"/>
                    <w:bottom w:val="single" w:color="000000" w:sz="4"/>
                    <w:right w:val="single" w:color="000000" w:sz="4"/>
                  </w:tcBorders>
                </w:tcPr>
                <w:p/>
              </w:tc>
              <w:tc>
                <w:tcPr>
                  <w:tcW w:type="dxa" w:w="2159"/>
                  <w:tcBorders>
                    <w:top w:val="none" w:color="000000" w:sz="4"/>
                    <w:left w:val="single" w:color="000000" w:sz="4"/>
                    <w:bottom w:val="single" w:color="000000" w:sz="4"/>
                    <w:right w:val="single" w:color="000000" w:sz="4"/>
                  </w:tcBorders>
                  <w:vAlign w:val="top"/>
                </w:tcPr>
                <w:p>
                  <w:pPr>
                    <w:jc w:val="both"/>
                  </w:pPr>
                  <w:r>
                    <w:rPr>
                      <w:sz w:val="21"/>
                    </w:rPr>
                    <w:t>7、转运站内需及时清洗和喷洒除臭剂</w:t>
                  </w:r>
                  <w:r>
                    <w:rPr>
                      <w:sz w:val="21"/>
                    </w:rPr>
                    <w:t>，</w:t>
                  </w:r>
                  <w:r>
                    <w:rPr>
                      <w:sz w:val="21"/>
                    </w:rPr>
                    <w:t>定期更换除臭液</w:t>
                  </w:r>
                  <w:r>
                    <w:rPr>
                      <w:sz w:val="21"/>
                    </w:rPr>
                    <w:t>。</w:t>
                  </w:r>
                </w:p>
              </w:tc>
              <w:tc>
                <w:tcPr>
                  <w:tcW w:type="dxa" w:w="1902"/>
                  <w:tcBorders>
                    <w:top w:val="none" w:color="000000" w:sz="4"/>
                    <w:left w:val="single" w:color="000000" w:sz="4"/>
                    <w:bottom w:val="single" w:color="000000" w:sz="4"/>
                    <w:right w:val="single" w:color="000000" w:sz="4"/>
                  </w:tcBorders>
                  <w:vAlign w:val="top"/>
                </w:tcPr>
                <w:p>
                  <w:pPr>
                    <w:jc w:val="both"/>
                  </w:pPr>
                  <w:r>
                    <w:rPr>
                      <w:sz w:val="21"/>
                    </w:rPr>
                    <w:t>如未及时喷洒或喷洒后仍有异味的（以国家标准为依据），每次扣</w:t>
                  </w:r>
                  <w:r>
                    <w:rPr>
                      <w:sz w:val="21"/>
                    </w:rPr>
                    <w:t>0.5</w:t>
                  </w:r>
                  <w:r>
                    <w:rPr>
                      <w:sz w:val="21"/>
                    </w:rPr>
                    <w:t>分。</w:t>
                  </w:r>
                </w:p>
              </w:tc>
              <w:tc>
                <w:tcPr>
                  <w:tcW w:type="dxa" w:w="4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31"/>
                  <w:tcBorders>
                    <w:top w:val="none" w:color="000000" w:sz="4"/>
                    <w:left w:val="single" w:color="000000" w:sz="4"/>
                    <w:bottom w:val="single" w:color="000000" w:sz="4"/>
                    <w:right w:val="single" w:color="000000" w:sz="4"/>
                  </w:tcBorders>
                  <w:vAlign w:val="top"/>
                </w:tcPr>
                <w:p>
                  <w:pPr>
                    <w:jc w:val="center"/>
                  </w:pPr>
                </w:p>
              </w:tc>
            </w:tr>
            <w:tr>
              <w:tc>
                <w:tcPr>
                  <w:tcW w:type="dxa" w:w="684"/>
                  <w:vMerge/>
                  <w:tcBorders>
                    <w:top w:val="none" w:color="000000" w:sz="4"/>
                    <w:left w:val="single" w:color="000000" w:sz="4"/>
                    <w:bottom w:val="single" w:color="000000" w:sz="4"/>
                    <w:right w:val="single" w:color="000000" w:sz="4"/>
                  </w:tcBorders>
                </w:tcPr>
                <w:p/>
              </w:tc>
              <w:tc>
                <w:tcPr>
                  <w:tcW w:type="dxa" w:w="2159"/>
                  <w:tcBorders>
                    <w:top w:val="none" w:color="000000" w:sz="4"/>
                    <w:left w:val="single" w:color="000000" w:sz="4"/>
                    <w:bottom w:val="single" w:color="000000" w:sz="4"/>
                    <w:right w:val="single" w:color="000000" w:sz="4"/>
                  </w:tcBorders>
                  <w:vAlign w:val="top"/>
                </w:tcPr>
                <w:p>
                  <w:pPr>
                    <w:jc w:val="both"/>
                  </w:pPr>
                  <w:r>
                    <w:rPr>
                      <w:sz w:val="21"/>
                    </w:rPr>
                    <w:t>8、下水道和污水井每天清理、清洗不少于三次。</w:t>
                  </w:r>
                </w:p>
              </w:tc>
              <w:tc>
                <w:tcPr>
                  <w:tcW w:type="dxa" w:w="1902"/>
                  <w:tcBorders>
                    <w:top w:val="none" w:color="000000" w:sz="4"/>
                    <w:left w:val="single" w:color="000000" w:sz="4"/>
                    <w:bottom w:val="single" w:color="000000" w:sz="4"/>
                    <w:right w:val="single" w:color="000000" w:sz="4"/>
                  </w:tcBorders>
                  <w:vAlign w:val="top"/>
                </w:tcPr>
                <w:p>
                  <w:pPr>
                    <w:jc w:val="both"/>
                  </w:pPr>
                  <w:r>
                    <w:rPr>
                      <w:sz w:val="21"/>
                    </w:rPr>
                    <w:t>如未及时清理造成垃圾水排放不及时，每次扣</w:t>
                  </w:r>
                  <w:r>
                    <w:rPr>
                      <w:sz w:val="21"/>
                    </w:rPr>
                    <w:t>1分。</w:t>
                  </w:r>
                </w:p>
              </w:tc>
              <w:tc>
                <w:tcPr>
                  <w:tcW w:type="dxa" w:w="4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31"/>
                  <w:tcBorders>
                    <w:top w:val="none" w:color="000000" w:sz="4"/>
                    <w:left w:val="single" w:color="000000" w:sz="4"/>
                    <w:bottom w:val="single" w:color="000000" w:sz="4"/>
                    <w:right w:val="single" w:color="000000" w:sz="4"/>
                  </w:tcBorders>
                  <w:vAlign w:val="top"/>
                </w:tcPr>
                <w:p>
                  <w:pPr>
                    <w:jc w:val="center"/>
                  </w:pPr>
                </w:p>
              </w:tc>
            </w:tr>
            <w:tr>
              <w:tc>
                <w:tcPr>
                  <w:tcW w:type="dxa" w:w="684"/>
                  <w:vMerge/>
                  <w:tcBorders>
                    <w:top w:val="none" w:color="000000" w:sz="4"/>
                    <w:left w:val="single" w:color="000000" w:sz="4"/>
                    <w:bottom w:val="single" w:color="000000" w:sz="4"/>
                    <w:right w:val="single" w:color="000000" w:sz="4"/>
                  </w:tcBorders>
                </w:tcPr>
                <w:p/>
              </w:tc>
              <w:tc>
                <w:tcPr>
                  <w:tcW w:type="dxa" w:w="2159"/>
                  <w:tcBorders>
                    <w:top w:val="none" w:color="000000" w:sz="4"/>
                    <w:left w:val="single" w:color="000000" w:sz="4"/>
                    <w:bottom w:val="single" w:color="000000" w:sz="4"/>
                    <w:right w:val="single" w:color="000000" w:sz="4"/>
                  </w:tcBorders>
                  <w:vAlign w:val="top"/>
                </w:tcPr>
                <w:p>
                  <w:pPr>
                    <w:jc w:val="both"/>
                  </w:pPr>
                  <w:r>
                    <w:rPr>
                      <w:sz w:val="21"/>
                    </w:rPr>
                    <w:t>9、定期按要求除“四害”。爱护垃圾站周边的绿化植物。</w:t>
                  </w:r>
                </w:p>
              </w:tc>
              <w:tc>
                <w:tcPr>
                  <w:tcW w:type="dxa" w:w="1902"/>
                  <w:tcBorders>
                    <w:top w:val="none" w:color="000000" w:sz="4"/>
                    <w:left w:val="single" w:color="000000" w:sz="4"/>
                    <w:bottom w:val="single" w:color="000000" w:sz="4"/>
                    <w:right w:val="single" w:color="000000" w:sz="4"/>
                  </w:tcBorders>
                  <w:vAlign w:val="top"/>
                </w:tcPr>
                <w:p>
                  <w:pPr>
                    <w:jc w:val="both"/>
                  </w:pPr>
                  <w:r>
                    <w:rPr>
                      <w:sz w:val="21"/>
                    </w:rPr>
                    <w:t>除四害</w:t>
                  </w:r>
                  <w:r>
                    <w:rPr>
                      <w:sz w:val="21"/>
                    </w:rPr>
                    <w:t>不达国家标准的每次扣</w:t>
                  </w:r>
                  <w:r>
                    <w:rPr>
                      <w:sz w:val="21"/>
                    </w:rPr>
                    <w:t>1分。</w:t>
                  </w:r>
                </w:p>
                <w:p>
                  <w:pPr>
                    <w:jc w:val="both"/>
                  </w:pPr>
                  <w:r>
                    <w:rPr>
                      <w:sz w:val="21"/>
                    </w:rPr>
                    <w:t>如损坏绿化植物或因中标单位清洗地板等原因造成绿化植物死亡或生长不良未及时恢复的，每次扣</w:t>
                  </w:r>
                  <w:r>
                    <w:rPr>
                      <w:sz w:val="21"/>
                    </w:rPr>
                    <w:t>1分。</w:t>
                  </w:r>
                </w:p>
              </w:tc>
              <w:tc>
                <w:tcPr>
                  <w:tcW w:type="dxa" w:w="4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31"/>
                  <w:tcBorders>
                    <w:top w:val="none" w:color="000000" w:sz="4"/>
                    <w:left w:val="single" w:color="000000" w:sz="4"/>
                    <w:bottom w:val="single" w:color="000000" w:sz="4"/>
                    <w:right w:val="single" w:color="000000" w:sz="4"/>
                  </w:tcBorders>
                  <w:vAlign w:val="top"/>
                </w:tcPr>
                <w:p>
                  <w:pPr>
                    <w:jc w:val="center"/>
                  </w:pPr>
                </w:p>
              </w:tc>
            </w:tr>
            <w:tr>
              <w:tc>
                <w:tcPr>
                  <w:tcW w:type="dxa" w:w="684"/>
                  <w:vMerge/>
                  <w:tcBorders>
                    <w:top w:val="none" w:color="000000" w:sz="4"/>
                    <w:left w:val="single" w:color="000000" w:sz="4"/>
                    <w:bottom w:val="single" w:color="000000" w:sz="4"/>
                    <w:right w:val="single" w:color="000000" w:sz="4"/>
                  </w:tcBorders>
                </w:tcPr>
                <w:p/>
              </w:tc>
              <w:tc>
                <w:tcPr>
                  <w:tcW w:type="dxa" w:w="2159"/>
                  <w:tcBorders>
                    <w:top w:val="none" w:color="000000" w:sz="4"/>
                    <w:left w:val="single" w:color="000000" w:sz="4"/>
                    <w:bottom w:val="single" w:color="000000" w:sz="4"/>
                    <w:right w:val="single" w:color="000000" w:sz="4"/>
                  </w:tcBorders>
                  <w:vAlign w:val="top"/>
                </w:tcPr>
                <w:p>
                  <w:pPr>
                    <w:jc w:val="both"/>
                  </w:pPr>
                  <w:r>
                    <w:rPr>
                      <w:sz w:val="21"/>
                    </w:rPr>
                    <w:t>1</w:t>
                  </w:r>
                  <w:r>
                    <w:rPr>
                      <w:sz w:val="21"/>
                    </w:rPr>
                    <w:t>0</w:t>
                  </w:r>
                  <w:r>
                    <w:rPr>
                      <w:sz w:val="21"/>
                    </w:rPr>
                    <w:t>、每天必须按要求登记好所有垃圾进站的数据和做好清洗消毒的台账。</w:t>
                  </w:r>
                </w:p>
              </w:tc>
              <w:tc>
                <w:tcPr>
                  <w:tcW w:type="dxa" w:w="1902"/>
                  <w:tcBorders>
                    <w:top w:val="none" w:color="000000" w:sz="4"/>
                    <w:left w:val="single" w:color="000000" w:sz="4"/>
                    <w:bottom w:val="single" w:color="000000" w:sz="4"/>
                    <w:right w:val="single" w:color="000000" w:sz="4"/>
                  </w:tcBorders>
                  <w:vAlign w:val="top"/>
                </w:tcPr>
                <w:p>
                  <w:pPr>
                    <w:jc w:val="both"/>
                  </w:pPr>
                  <w:r>
                    <w:rPr>
                      <w:sz w:val="21"/>
                    </w:rPr>
                    <w:t>未按要求完成的，扣</w:t>
                  </w:r>
                  <w:r>
                    <w:rPr>
                      <w:sz w:val="21"/>
                    </w:rPr>
                    <w:t>1分。</w:t>
                  </w:r>
                </w:p>
              </w:tc>
              <w:tc>
                <w:tcPr>
                  <w:tcW w:type="dxa" w:w="4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31"/>
                  <w:tcBorders>
                    <w:top w:val="none" w:color="000000" w:sz="4"/>
                    <w:left w:val="single" w:color="000000" w:sz="4"/>
                    <w:bottom w:val="single" w:color="000000" w:sz="4"/>
                    <w:right w:val="single" w:color="000000" w:sz="4"/>
                  </w:tcBorders>
                  <w:vAlign w:val="top"/>
                </w:tcPr>
                <w:p>
                  <w:pPr>
                    <w:jc w:val="center"/>
                  </w:pPr>
                </w:p>
              </w:tc>
            </w:tr>
            <w:tr>
              <w:tc>
                <w:tcPr>
                  <w:tcW w:type="dxa" w:w="684"/>
                  <w:vMerge w:val="restart"/>
                  <w:tcBorders>
                    <w:top w:val="none" w:color="000000" w:sz="4"/>
                    <w:left w:val="single" w:color="000000" w:sz="4"/>
                    <w:bottom w:val="single" w:color="000000" w:sz="4"/>
                    <w:right w:val="single" w:color="000000" w:sz="4"/>
                  </w:tcBorders>
                  <w:vAlign w:val="top"/>
                </w:tcPr>
                <w:p>
                  <w:pPr>
                    <w:jc w:val="center"/>
                  </w:pPr>
                  <w:r>
                    <w:rPr>
                      <w:sz w:val="21"/>
                    </w:rPr>
                    <w:t>检查及其它（</w:t>
                  </w:r>
                  <w:r>
                    <w:rPr>
                      <w:sz w:val="21"/>
                    </w:rPr>
                    <w:t>2</w:t>
                  </w:r>
                  <w:r>
                    <w:rPr>
                      <w:sz w:val="21"/>
                    </w:rPr>
                    <w:t>5</w:t>
                  </w:r>
                  <w:r>
                    <w:rPr>
                      <w:sz w:val="21"/>
                    </w:rPr>
                    <w:t>分）</w:t>
                  </w:r>
                </w:p>
              </w:tc>
              <w:tc>
                <w:tcPr>
                  <w:tcW w:type="dxa" w:w="2159"/>
                  <w:tcBorders>
                    <w:top w:val="none" w:color="000000" w:sz="4"/>
                    <w:left w:val="single" w:color="000000" w:sz="4"/>
                    <w:bottom w:val="single" w:color="000000" w:sz="4"/>
                    <w:right w:val="single" w:color="000000" w:sz="4"/>
                  </w:tcBorders>
                  <w:vAlign w:val="top"/>
                </w:tcPr>
                <w:p>
                  <w:pPr>
                    <w:jc w:val="both"/>
                  </w:pPr>
                  <w:r>
                    <w:rPr>
                      <w:sz w:val="21"/>
                    </w:rPr>
                    <w:t>1、被上级领导批评、被市民投诉，令相关检查活动收到影响的。</w:t>
                  </w:r>
                </w:p>
              </w:tc>
              <w:tc>
                <w:tcPr>
                  <w:tcW w:type="dxa" w:w="1902"/>
                  <w:tcBorders>
                    <w:top w:val="none" w:color="000000" w:sz="4"/>
                    <w:left w:val="single" w:color="000000" w:sz="4"/>
                    <w:bottom w:val="single" w:color="000000" w:sz="4"/>
                    <w:right w:val="single" w:color="000000" w:sz="4"/>
                  </w:tcBorders>
                  <w:vAlign w:val="top"/>
                </w:tcPr>
                <w:p>
                  <w:pPr>
                    <w:jc w:val="both"/>
                  </w:pPr>
                  <w:r>
                    <w:rPr>
                      <w:sz w:val="21"/>
                    </w:rPr>
                    <w:t>情况属实的，每次扣</w:t>
                  </w:r>
                  <w:r>
                    <w:rPr>
                      <w:sz w:val="21"/>
                    </w:rPr>
                    <w:t>2分；造成恶劣影响的，处予罚款。</w:t>
                  </w:r>
                </w:p>
              </w:tc>
              <w:tc>
                <w:tcPr>
                  <w:tcW w:type="dxa" w:w="4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31"/>
                  <w:tcBorders>
                    <w:top w:val="none" w:color="000000" w:sz="4"/>
                    <w:left w:val="single" w:color="000000" w:sz="4"/>
                    <w:bottom w:val="single" w:color="000000" w:sz="4"/>
                    <w:right w:val="single" w:color="000000" w:sz="4"/>
                  </w:tcBorders>
                  <w:vAlign w:val="top"/>
                </w:tcPr>
                <w:p>
                  <w:pPr>
                    <w:jc w:val="center"/>
                  </w:pPr>
                </w:p>
              </w:tc>
            </w:tr>
            <w:tr>
              <w:tc>
                <w:tcPr>
                  <w:tcW w:type="dxa" w:w="684"/>
                  <w:vMerge/>
                  <w:tcBorders>
                    <w:top w:val="none" w:color="000000" w:sz="4"/>
                    <w:left w:val="single" w:color="000000" w:sz="4"/>
                    <w:bottom w:val="single" w:color="000000" w:sz="4"/>
                    <w:right w:val="single" w:color="000000" w:sz="4"/>
                  </w:tcBorders>
                </w:tcPr>
                <w:p/>
              </w:tc>
              <w:tc>
                <w:tcPr>
                  <w:tcW w:type="dxa" w:w="2159"/>
                  <w:tcBorders>
                    <w:top w:val="none" w:color="000000" w:sz="4"/>
                    <w:left w:val="single" w:color="000000" w:sz="4"/>
                    <w:bottom w:val="single" w:color="000000" w:sz="4"/>
                    <w:right w:val="single" w:color="000000" w:sz="4"/>
                  </w:tcBorders>
                  <w:vAlign w:val="top"/>
                </w:tcPr>
                <w:p>
                  <w:pPr>
                    <w:jc w:val="left"/>
                  </w:pPr>
                  <w:r>
                    <w:rPr>
                      <w:sz w:val="21"/>
                    </w:rPr>
                    <w:t>2</w:t>
                  </w:r>
                  <w:r>
                    <w:rPr>
                      <w:sz w:val="21"/>
                    </w:rPr>
                    <w:t>、</w:t>
                  </w:r>
                  <w:r>
                    <w:rPr>
                      <w:sz w:val="21"/>
                    </w:rPr>
                    <w:t>运输车辆出现被市各焚烧厂停卡现象的；</w:t>
                  </w:r>
                  <w:r>
                    <w:rPr>
                      <w:sz w:val="21"/>
                    </w:rPr>
                    <w:t>运输车辆须按规定的线路到达市</w:t>
                  </w:r>
                  <w:r>
                    <w:rPr>
                      <w:sz w:val="21"/>
                    </w:rPr>
                    <w:t>焚烧</w:t>
                  </w:r>
                  <w:r>
                    <w:rPr>
                      <w:sz w:val="21"/>
                    </w:rPr>
                    <w:t>处理厂。</w:t>
                  </w:r>
                </w:p>
                <w:p>
                  <w:pPr>
                    <w:jc w:val="both"/>
                  </w:pPr>
                </w:p>
              </w:tc>
              <w:tc>
                <w:tcPr>
                  <w:tcW w:type="dxa" w:w="1902"/>
                  <w:tcBorders>
                    <w:top w:val="none" w:color="000000" w:sz="4"/>
                    <w:left w:val="single" w:color="000000" w:sz="4"/>
                    <w:bottom w:val="single" w:color="000000" w:sz="4"/>
                    <w:right w:val="single" w:color="000000" w:sz="4"/>
                  </w:tcBorders>
                  <w:vAlign w:val="top"/>
                </w:tcPr>
                <w:p>
                  <w:pPr>
                    <w:jc w:val="left"/>
                  </w:pPr>
                  <w:r>
                    <w:rPr>
                      <w:sz w:val="21"/>
                    </w:rPr>
                    <w:t>每停卡一次扣</w:t>
                  </w:r>
                  <w:r>
                    <w:rPr>
                      <w:sz w:val="21"/>
                    </w:rPr>
                    <w:t>1分；</w:t>
                  </w:r>
                  <w:r>
                    <w:rPr>
                      <w:sz w:val="21"/>
                    </w:rPr>
                    <w:t>不按规定行走的导致被投诉或批评的，每次扣</w:t>
                  </w:r>
                  <w:r>
                    <w:rPr>
                      <w:sz w:val="21"/>
                    </w:rPr>
                    <w:t>1</w:t>
                  </w:r>
                  <w:r>
                    <w:rPr>
                      <w:sz w:val="21"/>
                    </w:rPr>
                    <w:t>分。</w:t>
                  </w:r>
                </w:p>
              </w:tc>
              <w:tc>
                <w:tcPr>
                  <w:tcW w:type="dxa" w:w="4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31"/>
                  <w:tcBorders>
                    <w:top w:val="none" w:color="000000" w:sz="4"/>
                    <w:left w:val="single" w:color="000000" w:sz="4"/>
                    <w:bottom w:val="single" w:color="000000" w:sz="4"/>
                    <w:right w:val="single" w:color="000000" w:sz="4"/>
                  </w:tcBorders>
                  <w:vAlign w:val="top"/>
                </w:tcPr>
                <w:p>
                  <w:pPr>
                    <w:jc w:val="center"/>
                  </w:pPr>
                </w:p>
              </w:tc>
            </w:tr>
            <w:tr>
              <w:tc>
                <w:tcPr>
                  <w:tcW w:type="dxa" w:w="684"/>
                  <w:vMerge/>
                  <w:tcBorders>
                    <w:top w:val="none" w:color="000000" w:sz="4"/>
                    <w:left w:val="single" w:color="000000" w:sz="4"/>
                    <w:bottom w:val="single" w:color="000000" w:sz="4"/>
                    <w:right w:val="single" w:color="000000" w:sz="4"/>
                  </w:tcBorders>
                </w:tcPr>
                <w:p/>
              </w:tc>
              <w:tc>
                <w:tcPr>
                  <w:tcW w:type="dxa" w:w="2159"/>
                  <w:tcBorders>
                    <w:top w:val="none" w:color="000000" w:sz="4"/>
                    <w:left w:val="single" w:color="000000" w:sz="4"/>
                    <w:bottom w:val="single" w:color="000000" w:sz="4"/>
                    <w:right w:val="single" w:color="000000" w:sz="4"/>
                  </w:tcBorders>
                  <w:vAlign w:val="top"/>
                </w:tcPr>
                <w:p>
                  <w:pPr>
                    <w:jc w:val="both"/>
                  </w:pPr>
                  <w:r>
                    <w:rPr>
                      <w:sz w:val="21"/>
                    </w:rPr>
                    <w:t>3</w:t>
                  </w:r>
                  <w:r>
                    <w:rPr>
                      <w:sz w:val="21"/>
                    </w:rPr>
                    <w:t>、清洁活动或突击性的卫生清洁任务，或遇上级单位检查评比，能按时、按标准、按要求完成所分配工作。</w:t>
                  </w:r>
                </w:p>
              </w:tc>
              <w:tc>
                <w:tcPr>
                  <w:tcW w:type="dxa" w:w="1902"/>
                  <w:tcBorders>
                    <w:top w:val="none" w:color="000000" w:sz="4"/>
                    <w:left w:val="single" w:color="000000" w:sz="4"/>
                    <w:bottom w:val="single" w:color="000000" w:sz="4"/>
                    <w:right w:val="single" w:color="000000" w:sz="4"/>
                  </w:tcBorders>
                  <w:vAlign w:val="top"/>
                </w:tcPr>
                <w:p>
                  <w:pPr>
                    <w:jc w:val="both"/>
                  </w:pPr>
                  <w:r>
                    <w:rPr>
                      <w:sz w:val="21"/>
                    </w:rPr>
                    <w:t>未按要求完成的，扣</w:t>
                  </w:r>
                  <w:r>
                    <w:rPr>
                      <w:sz w:val="21"/>
                    </w:rPr>
                    <w:t>1分。</w:t>
                  </w:r>
                </w:p>
              </w:tc>
              <w:tc>
                <w:tcPr>
                  <w:tcW w:type="dxa" w:w="4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31"/>
                  <w:tcBorders>
                    <w:top w:val="none" w:color="000000" w:sz="4"/>
                    <w:left w:val="single" w:color="000000" w:sz="4"/>
                    <w:bottom w:val="single" w:color="000000" w:sz="4"/>
                    <w:right w:val="single" w:color="000000" w:sz="4"/>
                  </w:tcBorders>
                  <w:vAlign w:val="top"/>
                </w:tcPr>
                <w:p>
                  <w:pPr>
                    <w:jc w:val="center"/>
                  </w:pPr>
                </w:p>
              </w:tc>
            </w:tr>
            <w:tr>
              <w:tc>
                <w:tcPr>
                  <w:tcW w:type="dxa" w:w="684"/>
                  <w:vMerge/>
                  <w:tcBorders>
                    <w:top w:val="none" w:color="000000" w:sz="4"/>
                    <w:left w:val="single" w:color="000000" w:sz="4"/>
                    <w:bottom w:val="single" w:color="000000" w:sz="4"/>
                    <w:right w:val="single" w:color="000000" w:sz="4"/>
                  </w:tcBorders>
                </w:tcPr>
                <w:p/>
              </w:tc>
              <w:tc>
                <w:tcPr>
                  <w:tcW w:type="dxa" w:w="2159"/>
                  <w:tcBorders>
                    <w:top w:val="none" w:color="000000" w:sz="4"/>
                    <w:left w:val="single" w:color="000000" w:sz="4"/>
                    <w:bottom w:val="single" w:color="000000" w:sz="4"/>
                    <w:right w:val="single" w:color="000000" w:sz="4"/>
                  </w:tcBorders>
                  <w:vAlign w:val="top"/>
                </w:tcPr>
                <w:p>
                  <w:pPr>
                    <w:jc w:val="both"/>
                  </w:pPr>
                  <w:r>
                    <w:rPr>
                      <w:sz w:val="21"/>
                    </w:rPr>
                    <w:t>4</w:t>
                  </w:r>
                  <w:r>
                    <w:rPr>
                      <w:sz w:val="21"/>
                    </w:rPr>
                    <w:t>、须积极执行整改通知，对甲方提出的整改建议须诚恳接受，对下达的整改任务要按期完成。</w:t>
                  </w:r>
                </w:p>
              </w:tc>
              <w:tc>
                <w:tcPr>
                  <w:tcW w:type="dxa" w:w="1902"/>
                  <w:tcBorders>
                    <w:top w:val="none" w:color="000000" w:sz="4"/>
                    <w:left w:val="single" w:color="000000" w:sz="4"/>
                    <w:bottom w:val="single" w:color="000000" w:sz="4"/>
                    <w:right w:val="single" w:color="000000" w:sz="4"/>
                  </w:tcBorders>
                  <w:vAlign w:val="top"/>
                </w:tcPr>
                <w:p>
                  <w:pPr>
                    <w:jc w:val="both"/>
                  </w:pPr>
                  <w:r>
                    <w:rPr>
                      <w:sz w:val="21"/>
                    </w:rPr>
                    <w:t>共同确认或情况属实的整改书拒绝签字的，每项扣</w:t>
                  </w:r>
                  <w:r>
                    <w:rPr>
                      <w:sz w:val="21"/>
                    </w:rPr>
                    <w:t>1分；情节严重者按合同另予处罚。逾期不执行的，每超期1天扣0.5分。</w:t>
                  </w:r>
                </w:p>
              </w:tc>
              <w:tc>
                <w:tcPr>
                  <w:tcW w:type="dxa" w:w="42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31"/>
                  <w:tcBorders>
                    <w:top w:val="none" w:color="000000" w:sz="4"/>
                    <w:left w:val="single" w:color="000000" w:sz="4"/>
                    <w:bottom w:val="single" w:color="000000" w:sz="4"/>
                    <w:right w:val="single" w:color="000000" w:sz="4"/>
                  </w:tcBorders>
                  <w:vAlign w:val="top"/>
                </w:tcPr>
                <w:p>
                  <w:pPr>
                    <w:jc w:val="center"/>
                  </w:pPr>
                </w:p>
              </w:tc>
            </w:tr>
            <w:tr>
              <w:tc>
                <w:tcPr>
                  <w:tcW w:type="dxa" w:w="684"/>
                  <w:vMerge/>
                  <w:tcBorders>
                    <w:top w:val="none" w:color="000000" w:sz="4"/>
                    <w:left w:val="single" w:color="000000" w:sz="4"/>
                    <w:bottom w:val="single" w:color="000000" w:sz="4"/>
                    <w:right w:val="single" w:color="000000" w:sz="4"/>
                  </w:tcBorders>
                </w:tcPr>
                <w:p/>
              </w:tc>
              <w:tc>
                <w:tcPr>
                  <w:tcW w:type="dxa" w:w="2159"/>
                  <w:tcBorders>
                    <w:top w:val="none" w:color="000000" w:sz="4"/>
                    <w:left w:val="single" w:color="000000" w:sz="4"/>
                    <w:bottom w:val="single" w:color="000000" w:sz="4"/>
                    <w:right w:val="single" w:color="000000" w:sz="4"/>
                  </w:tcBorders>
                  <w:vAlign w:val="top"/>
                </w:tcPr>
                <w:p>
                  <w:pPr>
                    <w:jc w:val="both"/>
                  </w:pPr>
                  <w:r>
                    <w:rPr>
                      <w:sz w:val="21"/>
                    </w:rPr>
                    <w:t>5</w:t>
                  </w:r>
                  <w:r>
                    <w:rPr>
                      <w:sz w:val="21"/>
                    </w:rPr>
                    <w:t>、所有的工作人员必须穿工作服，跟车人员还须配戴闪光肩牌。工作人员和车辆须按规定办理保险。</w:t>
                  </w:r>
                </w:p>
              </w:tc>
              <w:tc>
                <w:tcPr>
                  <w:tcW w:type="dxa" w:w="1902"/>
                  <w:tcBorders>
                    <w:top w:val="none" w:color="000000" w:sz="4"/>
                    <w:left w:val="single" w:color="000000" w:sz="4"/>
                    <w:bottom w:val="single" w:color="000000" w:sz="4"/>
                    <w:right w:val="single" w:color="000000" w:sz="4"/>
                  </w:tcBorders>
                  <w:vAlign w:val="top"/>
                </w:tcPr>
                <w:p>
                  <w:pPr>
                    <w:jc w:val="both"/>
                  </w:pPr>
                  <w:r>
                    <w:rPr>
                      <w:sz w:val="21"/>
                    </w:rPr>
                    <w:t>发现未穿工作服和未配戴闪光肩牌的，每人次扣</w:t>
                  </w:r>
                  <w:r>
                    <w:rPr>
                      <w:sz w:val="21"/>
                    </w:rPr>
                    <w:t>0.5</w:t>
                  </w:r>
                  <w:r>
                    <w:rPr>
                      <w:sz w:val="21"/>
                    </w:rPr>
                    <w:t>分。每次检查没办理的扣</w:t>
                  </w:r>
                  <w:r>
                    <w:rPr>
                      <w:sz w:val="21"/>
                    </w:rPr>
                    <w:t>1分。</w:t>
                  </w:r>
                </w:p>
              </w:tc>
              <w:tc>
                <w:tcPr>
                  <w:tcW w:type="dxa" w:w="42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31"/>
                  <w:tcBorders>
                    <w:top w:val="none" w:color="000000" w:sz="4"/>
                    <w:left w:val="single" w:color="000000" w:sz="4"/>
                    <w:bottom w:val="single" w:color="000000" w:sz="4"/>
                    <w:right w:val="single" w:color="000000" w:sz="4"/>
                  </w:tcBorders>
                  <w:vAlign w:val="top"/>
                </w:tcPr>
                <w:p>
                  <w:pPr>
                    <w:jc w:val="center"/>
                  </w:pPr>
                </w:p>
              </w:tc>
            </w:tr>
            <w:tr>
              <w:tc>
                <w:tcPr>
                  <w:tcW w:type="dxa" w:w="684"/>
                  <w:vMerge/>
                  <w:tcBorders>
                    <w:top w:val="none" w:color="000000" w:sz="4"/>
                    <w:left w:val="single" w:color="000000" w:sz="4"/>
                    <w:bottom w:val="single" w:color="000000" w:sz="4"/>
                    <w:right w:val="single" w:color="000000" w:sz="4"/>
                  </w:tcBorders>
                </w:tcPr>
                <w:p/>
              </w:tc>
              <w:tc>
                <w:tcPr>
                  <w:tcW w:type="dxa" w:w="2159"/>
                  <w:tcBorders>
                    <w:top w:val="none" w:color="000000" w:sz="4"/>
                    <w:left w:val="single" w:color="000000" w:sz="4"/>
                    <w:bottom w:val="single" w:color="000000" w:sz="4"/>
                    <w:right w:val="single" w:color="000000" w:sz="4"/>
                  </w:tcBorders>
                  <w:vAlign w:val="top"/>
                </w:tcPr>
                <w:p>
                  <w:pPr>
                    <w:jc w:val="both"/>
                  </w:pPr>
                  <w:r>
                    <w:rPr>
                      <w:sz w:val="21"/>
                    </w:rPr>
                    <w:t>6</w:t>
                  </w:r>
                  <w:r>
                    <w:rPr>
                      <w:sz w:val="21"/>
                    </w:rPr>
                    <w:t>、</w:t>
                  </w:r>
                  <w:r>
                    <w:rPr>
                      <w:sz w:val="21"/>
                    </w:rPr>
                    <w:t>设有办公场所、规范性停车场，拉运输车辆不能乱停放</w:t>
                  </w:r>
                </w:p>
              </w:tc>
              <w:tc>
                <w:tcPr>
                  <w:tcW w:type="dxa" w:w="1902"/>
                  <w:tcBorders>
                    <w:top w:val="none" w:color="000000" w:sz="4"/>
                    <w:left w:val="single" w:color="000000" w:sz="4"/>
                    <w:bottom w:val="single" w:color="000000" w:sz="4"/>
                    <w:right w:val="single" w:color="000000" w:sz="4"/>
                  </w:tcBorders>
                  <w:vAlign w:val="top"/>
                </w:tcPr>
                <w:p>
                  <w:pPr>
                    <w:jc w:val="both"/>
                  </w:pPr>
                  <w:r>
                    <w:rPr>
                      <w:sz w:val="21"/>
                    </w:rPr>
                    <w:t>1.没办公室场所扣3分；停车场没有配备清洗车辆设施设备或没建设污水排放设施，扣2分；垃圾运输车辆乱停放，每次扣0.5分；</w:t>
                  </w:r>
                </w:p>
                <w:p>
                  <w:pPr>
                    <w:jc w:val="both"/>
                  </w:pPr>
                </w:p>
              </w:tc>
              <w:tc>
                <w:tcPr>
                  <w:tcW w:type="dxa" w:w="42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31"/>
                  <w:tcBorders>
                    <w:top w:val="none" w:color="000000" w:sz="4"/>
                    <w:left w:val="single" w:color="000000" w:sz="4"/>
                    <w:bottom w:val="single" w:color="000000" w:sz="4"/>
                    <w:right w:val="single" w:color="000000" w:sz="4"/>
                  </w:tcBorders>
                  <w:vAlign w:val="top"/>
                </w:tcPr>
                <w:p>
                  <w:pPr>
                    <w:jc w:val="center"/>
                  </w:pPr>
                </w:p>
              </w:tc>
            </w:tr>
            <w:tr>
              <w:tc>
                <w:tcPr>
                  <w:tcW w:type="dxa" w:w="684"/>
                  <w:vMerge/>
                  <w:tcBorders>
                    <w:top w:val="none" w:color="000000" w:sz="4"/>
                    <w:left w:val="single" w:color="000000" w:sz="4"/>
                    <w:bottom w:val="single" w:color="000000" w:sz="4"/>
                    <w:right w:val="single" w:color="000000" w:sz="4"/>
                  </w:tcBorders>
                </w:tcPr>
                <w:p/>
              </w:tc>
              <w:tc>
                <w:tcPr>
                  <w:tcW w:type="dxa" w:w="2159"/>
                  <w:tcBorders>
                    <w:top w:val="none" w:color="000000" w:sz="4"/>
                    <w:left w:val="single" w:color="000000" w:sz="4"/>
                    <w:bottom w:val="single" w:color="000000" w:sz="4"/>
                    <w:right w:val="single" w:color="000000" w:sz="4"/>
                  </w:tcBorders>
                  <w:vAlign w:val="top"/>
                </w:tcPr>
                <w:p>
                  <w:pPr>
                    <w:jc w:val="both"/>
                  </w:pPr>
                  <w:r>
                    <w:rPr>
                      <w:sz w:val="21"/>
                    </w:rPr>
                    <w:t>7</w:t>
                  </w:r>
                  <w:r>
                    <w:rPr>
                      <w:sz w:val="21"/>
                    </w:rPr>
                    <w:t>、</w:t>
                  </w:r>
                  <w:r>
                    <w:rPr>
                      <w:sz w:val="21"/>
                    </w:rPr>
                    <w:t>司机、司助、中转站看护人员每月至少开展一次交通安全及安全生产培训，每个季度至少开展一次应急演练，并做好台账记录（图文）。</w:t>
                  </w:r>
                </w:p>
              </w:tc>
              <w:tc>
                <w:tcPr>
                  <w:tcW w:type="dxa" w:w="1902"/>
                  <w:tcBorders>
                    <w:top w:val="none" w:color="000000" w:sz="4"/>
                    <w:left w:val="single" w:color="000000" w:sz="4"/>
                    <w:bottom w:val="single" w:color="000000" w:sz="4"/>
                    <w:right w:val="single" w:color="000000" w:sz="4"/>
                  </w:tcBorders>
                  <w:vAlign w:val="top"/>
                </w:tcPr>
                <w:p>
                  <w:pPr>
                    <w:jc w:val="both"/>
                  </w:pPr>
                  <w:r>
                    <w:rPr>
                      <w:sz w:val="21"/>
                    </w:rPr>
                    <w:t>1、没做交通安全及安全生产培训，并完成台账记录的扣1分。2、没做应急演练的及图文记录，扣1分。</w:t>
                  </w:r>
                </w:p>
              </w:tc>
              <w:tc>
                <w:tcPr>
                  <w:tcW w:type="dxa" w:w="42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31"/>
                  <w:tcBorders>
                    <w:top w:val="none" w:color="000000" w:sz="4"/>
                    <w:left w:val="single" w:color="000000" w:sz="4"/>
                    <w:bottom w:val="single" w:color="000000" w:sz="4"/>
                    <w:right w:val="single" w:color="000000" w:sz="4"/>
                  </w:tcBorders>
                  <w:vAlign w:val="top"/>
                </w:tcPr>
                <w:p>
                  <w:pPr>
                    <w:jc w:val="center"/>
                  </w:pPr>
                </w:p>
              </w:tc>
            </w:tr>
            <w:tr>
              <w:tc>
                <w:tcPr>
                  <w:tcW w:type="dxa" w:w="5597"/>
                  <w:gridSpan w:val="5"/>
                  <w:tcBorders>
                    <w:top w:val="none" w:color="000000" w:sz="4"/>
                    <w:left w:val="single" w:color="000000" w:sz="4"/>
                    <w:bottom w:val="single" w:color="000000" w:sz="4"/>
                    <w:right w:val="single" w:color="000000" w:sz="4"/>
                  </w:tcBorders>
                  <w:vAlign w:val="top"/>
                </w:tcPr>
                <w:p>
                  <w:pPr>
                    <w:jc w:val="center"/>
                  </w:pPr>
                  <w:r>
                    <w:rPr>
                      <w:sz w:val="21"/>
                    </w:rPr>
                    <w:t>合计总得分（</w:t>
                  </w:r>
                  <w:r>
                    <w:rPr>
                      <w:sz w:val="21"/>
                    </w:rPr>
                    <w:t xml:space="preserve"> </w:t>
                  </w:r>
                  <w:r>
                    <w:rPr>
                      <w:sz w:val="21"/>
                    </w:rPr>
                    <w:t>）＝总分（</w:t>
                  </w:r>
                  <w:r>
                    <w:rPr>
                      <w:sz w:val="21"/>
                    </w:rPr>
                    <w:t>100）－合计总扣分（  ）</w:t>
                  </w:r>
                </w:p>
              </w:tc>
            </w:tr>
            <w:tr>
              <w:tc>
                <w:tcPr>
                  <w:tcW w:type="dxa" w:w="5597"/>
                  <w:gridSpan w:val="5"/>
                  <w:tcBorders>
                    <w:top w:val="none" w:color="000000" w:sz="4"/>
                    <w:left w:val="single" w:color="000000" w:sz="4"/>
                    <w:bottom w:val="single" w:color="000000" w:sz="4"/>
                    <w:right w:val="single" w:color="000000" w:sz="4"/>
                  </w:tcBorders>
                  <w:vAlign w:val="top"/>
                </w:tcPr>
                <w:p>
                  <w:pPr>
                    <w:jc w:val="both"/>
                  </w:pPr>
                  <w:r>
                    <w:rPr>
                      <w:sz w:val="21"/>
                    </w:rPr>
                    <w:t>发包单位</w:t>
                  </w:r>
                  <w:r>
                    <w:rPr>
                      <w:sz w:val="21"/>
                    </w:rPr>
                    <w:t>人员签名：</w:t>
                  </w:r>
                  <w:r>
                    <w:rPr>
                      <w:sz w:val="21"/>
                    </w:rPr>
                    <w:t xml:space="preserve">                         </w:t>
                  </w:r>
                  <w:r>
                    <w:rPr>
                      <w:sz w:val="21"/>
                    </w:rPr>
                    <w:t>承包单位责任人签名：</w:t>
                  </w:r>
                </w:p>
                <w:p>
                  <w:pPr>
                    <w:jc w:val="center"/>
                  </w:pPr>
                </w:p>
              </w:tc>
            </w:tr>
            <w:tr>
              <w:tc>
                <w:tcPr>
                  <w:tcW w:type="dxa" w:w="5597"/>
                  <w:gridSpan w:val="5"/>
                  <w:tcBorders>
                    <w:top w:val="none" w:color="000000" w:sz="4"/>
                    <w:left w:val="single" w:color="000000" w:sz="4"/>
                    <w:bottom w:val="single" w:color="000000" w:sz="4"/>
                    <w:right w:val="single" w:color="000000" w:sz="4"/>
                  </w:tcBorders>
                  <w:vAlign w:val="top"/>
                </w:tcPr>
                <w:p>
                  <w:pPr>
                    <w:jc w:val="center"/>
                  </w:pPr>
                  <w:r>
                    <w:rPr>
                      <w:sz w:val="24"/>
                    </w:rPr>
                    <w:t>注：采购人有权根据实际情况对本考核办法进行修改完善，并保留最终解释权。</w:t>
                  </w:r>
                </w:p>
              </w:tc>
            </w:tr>
          </w:tbl>
          <w:p>
            <w:pPr>
              <w:ind w:firstLine="420"/>
              <w:jc w:val="both"/>
            </w:pPr>
            <w:r>
              <w:rPr>
                <w:sz w:val="21"/>
              </w:rPr>
              <w:t>说明：</w:t>
            </w:r>
            <w:r>
              <w:rPr>
                <w:sz w:val="21"/>
              </w:rPr>
              <w:t>采购人</w:t>
            </w:r>
            <w:r>
              <w:rPr>
                <w:sz w:val="21"/>
              </w:rPr>
              <w:t>对</w:t>
            </w:r>
            <w:r>
              <w:rPr>
                <w:sz w:val="21"/>
              </w:rPr>
              <w:t>中标人</w:t>
            </w:r>
            <w:r>
              <w:rPr>
                <w:sz w:val="21"/>
              </w:rPr>
              <w:t>的服务实行每月考评，按百分制打分。综合检查得分在</w:t>
            </w:r>
            <w:r>
              <w:rPr>
                <w:sz w:val="21"/>
              </w:rPr>
              <w:t>90分以上的（含90分），不扣减当月服务费；评分在80分以上（含80分）、90分以下区间，每低于90分1分</w:t>
            </w:r>
            <w:r>
              <w:rPr>
                <w:sz w:val="21"/>
              </w:rPr>
              <w:t>就</w:t>
            </w:r>
            <w:r>
              <w:rPr>
                <w:sz w:val="21"/>
              </w:rPr>
              <w:t>扣减当月</w:t>
            </w:r>
            <w:r>
              <w:rPr>
                <w:sz w:val="21"/>
              </w:rPr>
              <w:t>承包</w:t>
            </w:r>
            <w:r>
              <w:rPr>
                <w:sz w:val="21"/>
              </w:rPr>
              <w:t>费</w:t>
            </w:r>
            <w:r>
              <w:rPr>
                <w:sz w:val="21"/>
              </w:rPr>
              <w:t>1%</w:t>
            </w:r>
            <w:r>
              <w:rPr>
                <w:sz w:val="21"/>
              </w:rPr>
              <w:t>；评分在</w:t>
            </w:r>
            <w:r>
              <w:rPr>
                <w:sz w:val="21"/>
              </w:rPr>
              <w:t>70分以上（含70分）80分以下区间，每低于80分，1分</w:t>
            </w:r>
            <w:r>
              <w:rPr>
                <w:sz w:val="21"/>
              </w:rPr>
              <w:t>就</w:t>
            </w:r>
            <w:r>
              <w:rPr>
                <w:sz w:val="21"/>
              </w:rPr>
              <w:t>扣减当月</w:t>
            </w:r>
            <w:r>
              <w:rPr>
                <w:sz w:val="21"/>
              </w:rPr>
              <w:t>承包</w:t>
            </w:r>
            <w:r>
              <w:rPr>
                <w:sz w:val="21"/>
              </w:rPr>
              <w:t>费</w:t>
            </w:r>
            <w:r>
              <w:rPr>
                <w:sz w:val="21"/>
              </w:rPr>
              <w:t>2%</w:t>
            </w:r>
            <w:r>
              <w:rPr>
                <w:sz w:val="21"/>
              </w:rPr>
              <w:t>；考评分在</w:t>
            </w:r>
            <w:r>
              <w:rPr>
                <w:sz w:val="21"/>
              </w:rPr>
              <w:t>60以上（含60分）70分以下区间，</w:t>
            </w:r>
            <w:r>
              <w:rPr>
                <w:sz w:val="21"/>
              </w:rPr>
              <w:t>每年累计</w:t>
            </w:r>
            <w:r>
              <w:rPr>
                <w:sz w:val="21"/>
              </w:rPr>
              <w:t>3个月或以上评分在70分以下的，</w:t>
            </w:r>
            <w:r>
              <w:rPr>
                <w:sz w:val="21"/>
              </w:rPr>
              <w:t>采购人</w:t>
            </w:r>
            <w:r>
              <w:rPr>
                <w:sz w:val="21"/>
              </w:rPr>
              <w:t>有权单方面解除合同，履约保证金不予退还，经济损失和法律责任由</w:t>
            </w:r>
            <w:r>
              <w:rPr>
                <w:sz w:val="21"/>
              </w:rPr>
              <w:t>中标人</w:t>
            </w:r>
            <w:r>
              <w:rPr>
                <w:sz w:val="21"/>
              </w:rPr>
              <w:t>自行承担。</w:t>
            </w:r>
          </w:p>
          <w:p>
            <w:pPr>
              <w:ind w:firstLine="420"/>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b/>
                <w:sz w:val="21"/>
              </w:rPr>
              <w:t>附件</w:t>
            </w:r>
            <w:r>
              <w:rPr>
                <w:b/>
                <w:sz w:val="21"/>
              </w:rPr>
              <w:t>2. 垃圾转运站</w:t>
            </w:r>
          </w:p>
          <w:tbl>
            <w:tblPr>
              <w:tblInd w:type="dxa" w:w="90"/>
              <w:tblBorders>
                <w:top w:val="none" w:color="000000" w:sz="4"/>
                <w:left w:val="none" w:color="000000" w:sz="4"/>
                <w:bottom w:val="none" w:color="000000" w:sz="4"/>
                <w:right w:val="none" w:color="000000" w:sz="4"/>
                <w:insideH w:val="none"/>
                <w:insideV w:val="none"/>
              </w:tblBorders>
            </w:tblPr>
            <w:tblGrid>
              <w:gridCol w:w="468"/>
              <w:gridCol w:w="1666"/>
              <w:gridCol w:w="1826"/>
              <w:gridCol w:w="788"/>
              <w:gridCol w:w="838"/>
            </w:tblGrid>
            <w:tr>
              <w:tc>
                <w:tcPr>
                  <w:tcW w:type="dxa" w:w="468"/>
                  <w:tcBorders>
                    <w:top w:val="single" w:color="000000" w:sz="4"/>
                    <w:left w:val="single" w:color="000000" w:sz="4"/>
                    <w:bottom w:val="single" w:color="000000" w:sz="4"/>
                    <w:right w:val="single" w:color="000000" w:sz="4"/>
                  </w:tcBorders>
                  <w:vAlign w:val="top"/>
                </w:tcPr>
                <w:p>
                  <w:pPr>
                    <w:jc w:val="center"/>
                  </w:pPr>
                  <w:r>
                    <w:rPr>
                      <w:b/>
                      <w:sz w:val="22"/>
                    </w:rPr>
                    <w:t>序号</w:t>
                  </w:r>
                </w:p>
              </w:tc>
              <w:tc>
                <w:tcPr>
                  <w:tcW w:type="dxa" w:w="1666"/>
                  <w:tcBorders>
                    <w:top w:val="single" w:color="000000" w:sz="4"/>
                    <w:left w:val="none" w:color="000000" w:sz="4"/>
                    <w:bottom w:val="single" w:color="000000" w:sz="4"/>
                    <w:right w:val="single" w:color="000000" w:sz="4"/>
                  </w:tcBorders>
                  <w:vAlign w:val="top"/>
                </w:tcPr>
                <w:p>
                  <w:pPr>
                    <w:jc w:val="center"/>
                  </w:pPr>
                  <w:r>
                    <w:rPr>
                      <w:b/>
                      <w:sz w:val="22"/>
                    </w:rPr>
                    <w:t>垃圾中转站名称</w:t>
                  </w:r>
                </w:p>
              </w:tc>
              <w:tc>
                <w:tcPr>
                  <w:tcW w:type="dxa" w:w="1826"/>
                  <w:tcBorders>
                    <w:top w:val="single" w:color="000000" w:sz="4"/>
                    <w:left w:val="none" w:color="000000" w:sz="4"/>
                    <w:bottom w:val="single" w:color="000000" w:sz="4"/>
                    <w:right w:val="single" w:color="000000" w:sz="4"/>
                  </w:tcBorders>
                  <w:vAlign w:val="top"/>
                </w:tcPr>
                <w:p>
                  <w:pPr>
                    <w:jc w:val="center"/>
                  </w:pPr>
                  <w:r>
                    <w:rPr>
                      <w:b/>
                      <w:sz w:val="22"/>
                    </w:rPr>
                    <w:t>地址</w:t>
                  </w:r>
                </w:p>
              </w:tc>
              <w:tc>
                <w:tcPr>
                  <w:tcW w:type="dxa" w:w="788"/>
                  <w:tcBorders>
                    <w:top w:val="single" w:color="000000" w:sz="4"/>
                    <w:left w:val="none" w:color="000000" w:sz="4"/>
                    <w:bottom w:val="single" w:color="000000" w:sz="4"/>
                    <w:right w:val="single" w:color="000000" w:sz="4"/>
                  </w:tcBorders>
                  <w:vAlign w:val="top"/>
                </w:tcPr>
                <w:p>
                  <w:pPr>
                    <w:jc w:val="center"/>
                  </w:pPr>
                  <w:r>
                    <w:rPr>
                      <w:b/>
                      <w:sz w:val="22"/>
                    </w:rPr>
                    <w:t>日常收运</w:t>
                  </w:r>
                </w:p>
              </w:tc>
              <w:tc>
                <w:tcPr>
                  <w:tcW w:type="dxa" w:w="838"/>
                  <w:tcBorders>
                    <w:top w:val="single" w:color="000000" w:sz="4"/>
                    <w:left w:val="none" w:color="000000" w:sz="4"/>
                    <w:bottom w:val="single" w:color="000000" w:sz="4"/>
                    <w:right w:val="single" w:color="000000" w:sz="4"/>
                  </w:tcBorders>
                  <w:vAlign w:val="top"/>
                </w:tcPr>
                <w:p>
                  <w:pPr>
                    <w:jc w:val="center"/>
                  </w:pPr>
                  <w:r>
                    <w:rPr>
                      <w:b/>
                      <w:sz w:val="22"/>
                    </w:rPr>
                    <w:t>日常管养</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666"/>
                  <w:tcBorders>
                    <w:top w:val="none" w:color="000000" w:sz="4"/>
                    <w:left w:val="none" w:color="000000" w:sz="4"/>
                    <w:bottom w:val="single" w:color="000000" w:sz="4"/>
                    <w:right w:val="single" w:color="000000" w:sz="4"/>
                  </w:tcBorders>
                  <w:vAlign w:val="top"/>
                </w:tcPr>
                <w:p>
                  <w:pPr>
                    <w:jc w:val="center"/>
                  </w:pPr>
                  <w:r>
                    <w:rPr>
                      <w:sz w:val="22"/>
                    </w:rPr>
                    <w:t>体育公园垃圾中转站</w:t>
                  </w:r>
                  <w:r>
                    <w:rPr>
                      <w:sz w:val="22"/>
                    </w:rPr>
                    <w:t>01</w:t>
                  </w:r>
                </w:p>
              </w:tc>
              <w:tc>
                <w:tcPr>
                  <w:tcW w:type="dxa" w:w="1826"/>
                  <w:tcBorders>
                    <w:top w:val="none" w:color="000000" w:sz="4"/>
                    <w:left w:val="none" w:color="000000" w:sz="4"/>
                    <w:bottom w:val="single" w:color="000000" w:sz="4"/>
                    <w:right w:val="single" w:color="000000" w:sz="4"/>
                  </w:tcBorders>
                  <w:vAlign w:val="top"/>
                </w:tcPr>
                <w:p>
                  <w:pPr>
                    <w:jc w:val="center"/>
                  </w:pPr>
                  <w:r>
                    <w:rPr>
                      <w:sz w:val="22"/>
                    </w:rPr>
                    <w:t>大岭山大道旁</w:t>
                  </w:r>
                </w:p>
              </w:tc>
              <w:tc>
                <w:tcPr>
                  <w:tcW w:type="dxa" w:w="788"/>
                  <w:tcBorders>
                    <w:top w:val="none" w:color="000000" w:sz="4"/>
                    <w:left w:val="none" w:color="000000" w:sz="4"/>
                    <w:bottom w:val="single" w:color="000000" w:sz="4"/>
                    <w:right w:val="single" w:color="000000" w:sz="4"/>
                  </w:tcBorders>
                  <w:vAlign w:val="top"/>
                </w:tcPr>
                <w:p>
                  <w:pPr>
                    <w:jc w:val="center"/>
                  </w:pPr>
                  <w:r>
                    <w:rPr>
                      <w:sz w:val="22"/>
                    </w:rPr>
                    <w:t>纳入</w:t>
                  </w:r>
                </w:p>
              </w:tc>
              <w:tc>
                <w:tcPr>
                  <w:tcW w:type="dxa" w:w="838"/>
                  <w:tcBorders>
                    <w:top w:val="none" w:color="000000" w:sz="4"/>
                    <w:left w:val="none" w:color="000000" w:sz="4"/>
                    <w:bottom w:val="single" w:color="000000" w:sz="4"/>
                    <w:right w:val="single" w:color="000000" w:sz="4"/>
                  </w:tcBorders>
                  <w:vAlign w:val="top"/>
                </w:tcPr>
                <w:p>
                  <w:pPr>
                    <w:jc w:val="center"/>
                  </w:pPr>
                  <w:r>
                    <w:rPr>
                      <w:sz w:val="22"/>
                    </w:rPr>
                    <w:t>纳入</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2"/>
                    </w:rPr>
                    <w:t>2</w:t>
                  </w:r>
                </w:p>
              </w:tc>
              <w:tc>
                <w:tcPr>
                  <w:tcW w:type="dxa" w:w="1666"/>
                  <w:tcBorders>
                    <w:top w:val="none" w:color="000000" w:sz="4"/>
                    <w:left w:val="none" w:color="000000" w:sz="4"/>
                    <w:bottom w:val="single" w:color="000000" w:sz="4"/>
                    <w:right w:val="single" w:color="000000" w:sz="4"/>
                  </w:tcBorders>
                  <w:vAlign w:val="top"/>
                </w:tcPr>
                <w:p>
                  <w:pPr>
                    <w:jc w:val="center"/>
                  </w:pPr>
                  <w:r>
                    <w:rPr>
                      <w:sz w:val="22"/>
                    </w:rPr>
                    <w:t>南一路垃圾中转站</w:t>
                  </w:r>
                  <w:r>
                    <w:rPr>
                      <w:sz w:val="22"/>
                    </w:rPr>
                    <w:t>02</w:t>
                  </w:r>
                </w:p>
              </w:tc>
              <w:tc>
                <w:tcPr>
                  <w:tcW w:type="dxa" w:w="1826"/>
                  <w:tcBorders>
                    <w:top w:val="none" w:color="000000" w:sz="4"/>
                    <w:left w:val="none" w:color="000000" w:sz="4"/>
                    <w:bottom w:val="single" w:color="000000" w:sz="4"/>
                    <w:right w:val="single" w:color="000000" w:sz="4"/>
                  </w:tcBorders>
                  <w:vAlign w:val="top"/>
                </w:tcPr>
                <w:p>
                  <w:pPr>
                    <w:jc w:val="center"/>
                  </w:pPr>
                  <w:r>
                    <w:rPr>
                      <w:sz w:val="22"/>
                    </w:rPr>
                    <w:t>中心区南一路电信局旁</w:t>
                  </w:r>
                </w:p>
              </w:tc>
              <w:tc>
                <w:tcPr>
                  <w:tcW w:type="dxa" w:w="788"/>
                  <w:tcBorders>
                    <w:top w:val="none" w:color="000000" w:sz="4"/>
                    <w:left w:val="none" w:color="000000" w:sz="4"/>
                    <w:bottom w:val="single" w:color="000000" w:sz="4"/>
                    <w:right w:val="single" w:color="000000" w:sz="4"/>
                  </w:tcBorders>
                  <w:vAlign w:val="top"/>
                </w:tcPr>
                <w:p>
                  <w:pPr>
                    <w:jc w:val="center"/>
                  </w:pPr>
                  <w:r>
                    <w:rPr>
                      <w:sz w:val="22"/>
                    </w:rPr>
                    <w:t>纳入</w:t>
                  </w:r>
                </w:p>
              </w:tc>
              <w:tc>
                <w:tcPr>
                  <w:tcW w:type="dxa" w:w="838"/>
                  <w:tcBorders>
                    <w:top w:val="none" w:color="000000" w:sz="4"/>
                    <w:left w:val="none" w:color="000000" w:sz="4"/>
                    <w:bottom w:val="single" w:color="000000" w:sz="4"/>
                    <w:right w:val="single" w:color="000000" w:sz="4"/>
                  </w:tcBorders>
                  <w:vAlign w:val="top"/>
                </w:tcPr>
                <w:p>
                  <w:pPr>
                    <w:jc w:val="center"/>
                  </w:pPr>
                  <w:r>
                    <w:rPr>
                      <w:sz w:val="22"/>
                    </w:rPr>
                    <w:t>纳入</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2"/>
                    </w:rPr>
                    <w:t>3</w:t>
                  </w:r>
                </w:p>
              </w:tc>
              <w:tc>
                <w:tcPr>
                  <w:tcW w:type="dxa" w:w="1666"/>
                  <w:tcBorders>
                    <w:top w:val="none" w:color="000000" w:sz="4"/>
                    <w:left w:val="none" w:color="000000" w:sz="4"/>
                    <w:bottom w:val="single" w:color="000000" w:sz="4"/>
                    <w:right w:val="single" w:color="000000" w:sz="4"/>
                  </w:tcBorders>
                  <w:vAlign w:val="top"/>
                </w:tcPr>
                <w:p>
                  <w:pPr>
                    <w:jc w:val="center"/>
                  </w:pPr>
                  <w:r>
                    <w:rPr>
                      <w:sz w:val="22"/>
                    </w:rPr>
                    <w:t>新塘垃圾中转站</w:t>
                  </w:r>
                  <w:r>
                    <w:rPr>
                      <w:sz w:val="22"/>
                    </w:rPr>
                    <w:t>03</w:t>
                  </w:r>
                </w:p>
              </w:tc>
              <w:tc>
                <w:tcPr>
                  <w:tcW w:type="dxa" w:w="1826"/>
                  <w:tcBorders>
                    <w:top w:val="none" w:color="000000" w:sz="4"/>
                    <w:left w:val="none" w:color="000000" w:sz="4"/>
                    <w:bottom w:val="single" w:color="000000" w:sz="4"/>
                    <w:right w:val="single" w:color="000000" w:sz="4"/>
                  </w:tcBorders>
                  <w:vAlign w:val="top"/>
                </w:tcPr>
                <w:p>
                  <w:pPr>
                    <w:jc w:val="center"/>
                  </w:pPr>
                  <w:r>
                    <w:rPr>
                      <w:sz w:val="22"/>
                    </w:rPr>
                    <w:t>新塘村</w:t>
                  </w:r>
                </w:p>
              </w:tc>
              <w:tc>
                <w:tcPr>
                  <w:tcW w:type="dxa" w:w="788"/>
                  <w:tcBorders>
                    <w:top w:val="none" w:color="000000" w:sz="4"/>
                    <w:left w:val="none" w:color="000000" w:sz="4"/>
                    <w:bottom w:val="single" w:color="000000" w:sz="4"/>
                    <w:right w:val="single" w:color="000000" w:sz="4"/>
                  </w:tcBorders>
                  <w:vAlign w:val="top"/>
                </w:tcPr>
                <w:p>
                  <w:pPr>
                    <w:jc w:val="center"/>
                  </w:pPr>
                  <w:r>
                    <w:rPr>
                      <w:sz w:val="22"/>
                    </w:rPr>
                    <w:t>纳入</w:t>
                  </w:r>
                </w:p>
              </w:tc>
              <w:tc>
                <w:tcPr>
                  <w:tcW w:type="dxa" w:w="838"/>
                  <w:tcBorders>
                    <w:top w:val="none" w:color="000000" w:sz="4"/>
                    <w:left w:val="none" w:color="000000" w:sz="4"/>
                    <w:bottom w:val="single" w:color="000000" w:sz="4"/>
                    <w:right w:val="single" w:color="000000" w:sz="4"/>
                  </w:tcBorders>
                  <w:vAlign w:val="top"/>
                </w:tcPr>
                <w:p>
                  <w:pPr>
                    <w:jc w:val="center"/>
                  </w:pPr>
                  <w:r>
                    <w:rPr>
                      <w:sz w:val="22"/>
                    </w:rPr>
                    <w:t>纳入</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2"/>
                    </w:rPr>
                    <w:t>4</w:t>
                  </w:r>
                </w:p>
              </w:tc>
              <w:tc>
                <w:tcPr>
                  <w:tcW w:type="dxa" w:w="1666"/>
                  <w:tcBorders>
                    <w:top w:val="none" w:color="000000" w:sz="4"/>
                    <w:left w:val="none" w:color="000000" w:sz="4"/>
                    <w:bottom w:val="single" w:color="000000" w:sz="4"/>
                    <w:right w:val="single" w:color="000000" w:sz="4"/>
                  </w:tcBorders>
                  <w:vAlign w:val="top"/>
                </w:tcPr>
                <w:p>
                  <w:pPr>
                    <w:jc w:val="center"/>
                  </w:pPr>
                  <w:r>
                    <w:rPr>
                      <w:sz w:val="22"/>
                    </w:rPr>
                    <w:t>连平中转站</w:t>
                  </w:r>
                  <w:r>
                    <w:rPr>
                      <w:sz w:val="22"/>
                    </w:rPr>
                    <w:t>07</w:t>
                  </w:r>
                </w:p>
              </w:tc>
              <w:tc>
                <w:tcPr>
                  <w:tcW w:type="dxa" w:w="1826"/>
                  <w:tcBorders>
                    <w:top w:val="none" w:color="000000" w:sz="4"/>
                    <w:left w:val="none" w:color="000000" w:sz="4"/>
                    <w:bottom w:val="single" w:color="000000" w:sz="4"/>
                    <w:right w:val="single" w:color="000000" w:sz="4"/>
                  </w:tcBorders>
                  <w:vAlign w:val="top"/>
                </w:tcPr>
                <w:p>
                  <w:pPr>
                    <w:jc w:val="center"/>
                  </w:pPr>
                  <w:r>
                    <w:rPr>
                      <w:sz w:val="22"/>
                    </w:rPr>
                    <w:t>信立农批后面即进旧飞鹅村道旁</w:t>
                  </w:r>
                </w:p>
              </w:tc>
              <w:tc>
                <w:tcPr>
                  <w:tcW w:type="dxa" w:w="788"/>
                  <w:tcBorders>
                    <w:top w:val="none" w:color="000000" w:sz="4"/>
                    <w:left w:val="none" w:color="000000" w:sz="4"/>
                    <w:bottom w:val="single" w:color="000000" w:sz="4"/>
                    <w:right w:val="single" w:color="000000" w:sz="4"/>
                  </w:tcBorders>
                  <w:vAlign w:val="top"/>
                </w:tcPr>
                <w:p>
                  <w:pPr>
                    <w:jc w:val="center"/>
                  </w:pPr>
                  <w:r>
                    <w:rPr>
                      <w:sz w:val="22"/>
                    </w:rPr>
                    <w:t>纳入</w:t>
                  </w:r>
                </w:p>
              </w:tc>
              <w:tc>
                <w:tcPr>
                  <w:tcW w:type="dxa" w:w="838"/>
                  <w:tcBorders>
                    <w:top w:val="none" w:color="000000" w:sz="4"/>
                    <w:left w:val="none" w:color="000000" w:sz="4"/>
                    <w:bottom w:val="single" w:color="000000" w:sz="4"/>
                    <w:right w:val="single" w:color="000000" w:sz="4"/>
                  </w:tcBorders>
                  <w:vAlign w:val="top"/>
                </w:tcPr>
                <w:p>
                  <w:pPr>
                    <w:jc w:val="center"/>
                  </w:pPr>
                  <w:r>
                    <w:rPr>
                      <w:sz w:val="22"/>
                    </w:rPr>
                    <w:t>纳入</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2"/>
                    </w:rPr>
                    <w:t>5</w:t>
                  </w:r>
                </w:p>
              </w:tc>
              <w:tc>
                <w:tcPr>
                  <w:tcW w:type="dxa" w:w="1666"/>
                  <w:tcBorders>
                    <w:top w:val="none" w:color="000000" w:sz="4"/>
                    <w:left w:val="none" w:color="000000" w:sz="4"/>
                    <w:bottom w:val="single" w:color="000000" w:sz="4"/>
                    <w:right w:val="single" w:color="000000" w:sz="4"/>
                  </w:tcBorders>
                  <w:vAlign w:val="top"/>
                </w:tcPr>
                <w:p>
                  <w:pPr>
                    <w:jc w:val="center"/>
                  </w:pPr>
                  <w:r>
                    <w:rPr>
                      <w:sz w:val="22"/>
                    </w:rPr>
                    <w:t>金桔浮桥中转站</w:t>
                  </w:r>
                </w:p>
              </w:tc>
              <w:tc>
                <w:tcPr>
                  <w:tcW w:type="dxa" w:w="1826"/>
                  <w:tcBorders>
                    <w:top w:val="none" w:color="000000" w:sz="4"/>
                    <w:left w:val="none" w:color="000000" w:sz="4"/>
                    <w:bottom w:val="single" w:color="000000" w:sz="4"/>
                    <w:right w:val="single" w:color="000000" w:sz="4"/>
                  </w:tcBorders>
                  <w:vAlign w:val="top"/>
                </w:tcPr>
                <w:p>
                  <w:pPr>
                    <w:jc w:val="left"/>
                  </w:pPr>
                  <w:r>
                    <w:rPr>
                      <w:sz w:val="22"/>
                    </w:rPr>
                    <w:t xml:space="preserve">       </w:t>
                  </w:r>
                  <w:r>
                    <w:rPr>
                      <w:sz w:val="22"/>
                    </w:rPr>
                    <w:t>金桔浮桥路</w:t>
                  </w:r>
                </w:p>
              </w:tc>
              <w:tc>
                <w:tcPr>
                  <w:tcW w:type="dxa" w:w="788"/>
                  <w:tcBorders>
                    <w:top w:val="none" w:color="000000" w:sz="4"/>
                    <w:left w:val="none" w:color="000000" w:sz="4"/>
                    <w:bottom w:val="single" w:color="000000" w:sz="4"/>
                    <w:right w:val="single" w:color="000000" w:sz="4"/>
                  </w:tcBorders>
                  <w:vAlign w:val="top"/>
                </w:tcPr>
                <w:p>
                  <w:pPr>
                    <w:ind w:firstLine="440"/>
                    <w:jc w:val="left"/>
                  </w:pPr>
                  <w:r>
                    <w:rPr>
                      <w:sz w:val="22"/>
                    </w:rPr>
                    <w:t>纳入</w:t>
                  </w:r>
                </w:p>
              </w:tc>
              <w:tc>
                <w:tcPr>
                  <w:tcW w:type="dxa" w:w="838"/>
                  <w:tcBorders>
                    <w:top w:val="none" w:color="000000" w:sz="4"/>
                    <w:left w:val="none" w:color="000000" w:sz="4"/>
                    <w:bottom w:val="single" w:color="000000" w:sz="4"/>
                    <w:right w:val="single" w:color="000000" w:sz="4"/>
                  </w:tcBorders>
                  <w:vAlign w:val="top"/>
                </w:tcPr>
                <w:p>
                  <w:pPr>
                    <w:ind w:firstLine="440"/>
                    <w:jc w:val="left"/>
                  </w:pPr>
                  <w:r>
                    <w:rPr>
                      <w:sz w:val="22"/>
                    </w:rPr>
                    <w:t>纳入</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2"/>
                    </w:rPr>
                    <w:t>6</w:t>
                  </w:r>
                </w:p>
              </w:tc>
              <w:tc>
                <w:tcPr>
                  <w:tcW w:type="dxa" w:w="1666"/>
                  <w:tcBorders>
                    <w:top w:val="none" w:color="000000" w:sz="4"/>
                    <w:left w:val="none" w:color="000000" w:sz="4"/>
                    <w:bottom w:val="single" w:color="000000" w:sz="4"/>
                    <w:right w:val="single" w:color="000000" w:sz="4"/>
                  </w:tcBorders>
                  <w:vAlign w:val="top"/>
                </w:tcPr>
                <w:p>
                  <w:pPr>
                    <w:jc w:val="center"/>
                  </w:pPr>
                  <w:r>
                    <w:rPr>
                      <w:sz w:val="22"/>
                    </w:rPr>
                    <w:t>信立农批中转站</w:t>
                  </w:r>
                </w:p>
              </w:tc>
              <w:tc>
                <w:tcPr>
                  <w:tcW w:type="dxa" w:w="1826"/>
                  <w:tcBorders>
                    <w:top w:val="none" w:color="000000" w:sz="4"/>
                    <w:left w:val="none" w:color="000000" w:sz="4"/>
                    <w:bottom w:val="single" w:color="000000" w:sz="4"/>
                    <w:right w:val="single" w:color="000000" w:sz="4"/>
                  </w:tcBorders>
                  <w:vAlign w:val="top"/>
                </w:tcPr>
                <w:p>
                  <w:pPr>
                    <w:jc w:val="center"/>
                  </w:pPr>
                  <w:r>
                    <w:rPr>
                      <w:sz w:val="22"/>
                    </w:rPr>
                    <w:t>信立农批市场</w:t>
                  </w:r>
                </w:p>
              </w:tc>
              <w:tc>
                <w:tcPr>
                  <w:tcW w:type="dxa" w:w="788"/>
                  <w:tcBorders>
                    <w:top w:val="none" w:color="000000" w:sz="4"/>
                    <w:left w:val="none" w:color="000000" w:sz="4"/>
                    <w:bottom w:val="single" w:color="000000" w:sz="4"/>
                    <w:right w:val="single" w:color="000000" w:sz="4"/>
                  </w:tcBorders>
                  <w:vAlign w:val="top"/>
                </w:tcPr>
                <w:p>
                  <w:pPr>
                    <w:jc w:val="center"/>
                  </w:pPr>
                  <w:r>
                    <w:rPr>
                      <w:sz w:val="22"/>
                    </w:rPr>
                    <w:t>纳入</w:t>
                  </w:r>
                </w:p>
              </w:tc>
              <w:tc>
                <w:tcPr>
                  <w:tcW w:type="dxa" w:w="838"/>
                  <w:tcBorders>
                    <w:top w:val="none" w:color="000000" w:sz="4"/>
                    <w:left w:val="none" w:color="000000" w:sz="4"/>
                    <w:bottom w:val="single" w:color="000000" w:sz="4"/>
                    <w:right w:val="single" w:color="000000" w:sz="4"/>
                  </w:tcBorders>
                  <w:vAlign w:val="top"/>
                </w:tcPr>
                <w:p>
                  <w:pPr>
                    <w:jc w:val="center"/>
                  </w:pPr>
                  <w:r>
                    <w:rPr>
                      <w:sz w:val="22"/>
                    </w:rPr>
                    <w:t>信立农批自行管养</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2"/>
                    </w:rPr>
                    <w:t>7</w:t>
                  </w:r>
                </w:p>
              </w:tc>
              <w:tc>
                <w:tcPr>
                  <w:tcW w:type="dxa" w:w="1666"/>
                  <w:tcBorders>
                    <w:top w:val="none" w:color="000000" w:sz="4"/>
                    <w:left w:val="none" w:color="000000" w:sz="4"/>
                    <w:bottom w:val="single" w:color="000000" w:sz="4"/>
                    <w:right w:val="single" w:color="000000" w:sz="4"/>
                  </w:tcBorders>
                  <w:vAlign w:val="top"/>
                </w:tcPr>
                <w:p>
                  <w:pPr>
                    <w:jc w:val="center"/>
                  </w:pPr>
                  <w:r>
                    <w:rPr>
                      <w:sz w:val="22"/>
                    </w:rPr>
                    <w:t>鸡翅岭中转站</w:t>
                  </w:r>
                </w:p>
              </w:tc>
              <w:tc>
                <w:tcPr>
                  <w:tcW w:type="dxa" w:w="1826"/>
                  <w:tcBorders>
                    <w:top w:val="none" w:color="000000" w:sz="4"/>
                    <w:left w:val="none" w:color="000000" w:sz="4"/>
                    <w:bottom w:val="single" w:color="000000" w:sz="4"/>
                    <w:right w:val="single" w:color="000000" w:sz="4"/>
                  </w:tcBorders>
                  <w:vAlign w:val="top"/>
                </w:tcPr>
                <w:p>
                  <w:pPr>
                    <w:jc w:val="center"/>
                  </w:pPr>
                  <w:r>
                    <w:rPr>
                      <w:sz w:val="22"/>
                    </w:rPr>
                    <w:t>鸡翅岭村</w:t>
                  </w:r>
                </w:p>
              </w:tc>
              <w:tc>
                <w:tcPr>
                  <w:tcW w:type="dxa" w:w="788"/>
                  <w:tcBorders>
                    <w:top w:val="none" w:color="000000" w:sz="4"/>
                    <w:left w:val="none" w:color="000000" w:sz="4"/>
                    <w:bottom w:val="single" w:color="000000" w:sz="4"/>
                    <w:right w:val="single" w:color="000000" w:sz="4"/>
                  </w:tcBorders>
                  <w:vAlign w:val="top"/>
                </w:tcPr>
                <w:p>
                  <w:pPr>
                    <w:jc w:val="center"/>
                  </w:pPr>
                  <w:r>
                    <w:rPr>
                      <w:sz w:val="22"/>
                    </w:rPr>
                    <w:t>纳入</w:t>
                  </w:r>
                </w:p>
              </w:tc>
              <w:tc>
                <w:tcPr>
                  <w:tcW w:type="dxa" w:w="838"/>
                  <w:tcBorders>
                    <w:top w:val="none" w:color="000000" w:sz="4"/>
                    <w:left w:val="none" w:color="000000" w:sz="4"/>
                    <w:bottom w:val="single" w:color="000000" w:sz="4"/>
                    <w:right w:val="single" w:color="000000" w:sz="4"/>
                  </w:tcBorders>
                  <w:vAlign w:val="top"/>
                </w:tcPr>
                <w:p>
                  <w:pPr>
                    <w:jc w:val="center"/>
                  </w:pPr>
                  <w:r>
                    <w:rPr>
                      <w:sz w:val="22"/>
                    </w:rPr>
                    <w:t>纳入</w:t>
                  </w:r>
                </w:p>
              </w:tc>
            </w:tr>
          </w:tbl>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东莞市大岭山镇公用事业服务中心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采购包1(大岭山镇垃圾收集转运项目)：综合评分法,是指投标文件满足招标文件全部实质性要求，且按照评审因素的量化指标评审得分最高的投标人为中标候选人的评标方法。（最低报价不是中标的唯一依据。）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采购包1（大岭山镇垃圾收集转运项目）：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采购包1（大岭山镇垃圾收集转运项目）：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本项目不属于专门面向中小企业采购项目。</w:t>
            </w:r>
          </w:p>
        </w:tc>
      </w:tr>
    </w:tbl>
    <w:p/>
    <w:p>
      <w:pPr>
        <w:ind w:firstLine="480"/>
      </w:pPr>
      <w:r>
        <w:rPr/>
        <w:t>表二符合性审查表：</w:t>
      </w:r>
    </w:p>
    <w:p>
      <w:pPr>
        <w:ind w:firstLine="480"/>
      </w:pPr>
    </w:p>
    <w:p/>
    <w:p>
      <w:r>
        <w:rPr/>
        <w:t>采购包1（大岭山镇垃圾收集转运项目）：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采购包1(大岭山镇垃圾收集转运项目):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技术部分70.0分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项目重点难点分析 (10.0分)</w:t>
            </w:r>
            <w:r>
              <w:rPr/>
              <w:t>，（等次分值选择：</w:t>
            </w:r>
            <w:r>
              <w:rPr/>
              <w:t>0.0;</w:t>
            </w:r>
            <w:r>
              <w:rPr/>
              <w:t>1.0;</w:t>
            </w:r>
            <w:r>
              <w:rPr/>
              <w:t>3.0;</w:t>
            </w:r>
            <w:r>
              <w:rPr/>
              <w:t>6.0;</w:t>
            </w:r>
            <w:r>
              <w:rPr/>
              <w:t>10.0;</w:t>
            </w:r>
            <w:r>
              <w:rPr/>
              <w:t>）</w:t>
            </w:r>
          </w:p>
        </w:tc>
        <w:tc>
          <w:tcPr>
            <w:tcW w:type="dxa" w:w="5076"/>
          </w:tcPr>
          <w:p>
            <w:pPr>
              <w:jc w:val="left"/>
            </w:pPr>
            <w:r>
              <w:rPr/>
              <w:t>根据各投标人对本项目的熟悉程度、理解及项目重点和难点的分析，以及根据项目重点和难点所采取的措施等进行综合评审： 对本项目的熟悉程度深入，重点和难点分析清晰具体且对应措施完善详细具体、有针对性、操作性强，得10分； 对本项目的熟悉程度深入，重点和难点分析基本清晰具体且对应措施完善详细具体、有针对性、操作性较强，得6分； 对本项目的熟悉程度一般，重点和难点分析基本合理、对应措施可行性一般，得3分； 对本项目的熟悉程度、重点和难点分析不清晰不具体，得1分； 未提供对应方案，不得分。</w:t>
            </w:r>
          </w:p>
        </w:tc>
      </w:tr>
      <w:tr>
        <w:tc>
          <w:tcPr>
            <w:tcW w:type="dxa" w:w="922"/>
            <w:gridSpan w:val="2"/>
            <w:vMerge/>
          </w:tcPr>
          <w:p/>
        </w:tc>
        <w:tc>
          <w:tcPr>
            <w:tcW w:type="dxa" w:w="2307"/>
          </w:tcPr>
          <w:p>
            <w:pPr>
              <w:jc w:val="left"/>
            </w:pPr>
            <w:r>
              <w:rPr/>
              <w:t>服务方案 (15.0分)</w:t>
            </w:r>
            <w:r>
              <w:rPr/>
              <w:t>，（等次分值选择：</w:t>
            </w:r>
            <w:r>
              <w:rPr/>
              <w:t>0.0;</w:t>
            </w:r>
            <w:r>
              <w:rPr/>
              <w:t>1.0;</w:t>
            </w:r>
            <w:r>
              <w:rPr/>
              <w:t>5.0;</w:t>
            </w:r>
            <w:r>
              <w:rPr/>
              <w:t>10.0;</w:t>
            </w:r>
            <w:r>
              <w:rPr/>
              <w:t>15.0;</w:t>
            </w:r>
            <w:r>
              <w:rPr/>
              <w:t>）</w:t>
            </w:r>
          </w:p>
        </w:tc>
        <w:tc>
          <w:tcPr>
            <w:tcW w:type="dxa" w:w="5076"/>
          </w:tcPr>
          <w:p>
            <w:pPr>
              <w:jc w:val="left"/>
            </w:pPr>
            <w:r>
              <w:rPr/>
              <w:t>根据投标人提供的服务方案（包括但不限于作业区域的作业内容、作业时间、作业方法、日常巡查及自检保障措施等）进行综合评审： 方案筹划周全、非常有时效性，有完整规划的操作流程，非常有利于项目实施，得15分； 方案筹划较周全、较有时效性，有较完整规划的操作流程，有利于项目实施，得10分； 方案筹划一般，有基本的时效性，操作流程一般，基本能满足项目要求，得5分； 方案筹划及时效性有所欠缺，操作流程不能完全满足项目要求，得1分； 未提供对应方案，不得分。</w:t>
            </w:r>
          </w:p>
        </w:tc>
      </w:tr>
      <w:tr>
        <w:tc>
          <w:tcPr>
            <w:tcW w:type="dxa" w:w="922"/>
            <w:gridSpan w:val="2"/>
            <w:vMerge/>
          </w:tcPr>
          <w:p/>
        </w:tc>
        <w:tc>
          <w:tcPr>
            <w:tcW w:type="dxa" w:w="2307"/>
          </w:tcPr>
          <w:p>
            <w:pPr>
              <w:jc w:val="left"/>
            </w:pPr>
            <w:r>
              <w:rPr/>
              <w:t>安全作业措施方案 (10.0分)</w:t>
            </w:r>
            <w:r>
              <w:rPr/>
              <w:t>，（等次分值选择：</w:t>
            </w:r>
            <w:r>
              <w:rPr/>
              <w:t>0.0;</w:t>
            </w:r>
            <w:r>
              <w:rPr/>
              <w:t>1.0;</w:t>
            </w:r>
            <w:r>
              <w:rPr/>
              <w:t>3.0;</w:t>
            </w:r>
            <w:r>
              <w:rPr/>
              <w:t>6.0;</w:t>
            </w:r>
            <w:r>
              <w:rPr/>
              <w:t>10.0;</w:t>
            </w:r>
            <w:r>
              <w:rPr/>
              <w:t>）</w:t>
            </w:r>
          </w:p>
        </w:tc>
        <w:tc>
          <w:tcPr>
            <w:tcW w:type="dxa" w:w="5076"/>
          </w:tcPr>
          <w:p>
            <w:pPr>
              <w:jc w:val="left"/>
            </w:pPr>
            <w:r>
              <w:rPr/>
              <w:t>根据投标人对本项目编制的安全作业措施方案进行综合评审： 方案详尽科学、针对性强，相应措施合理可行，有利于项目实施，得10分； 方案较详尽，针对性基本符合要求，相应的措施基本合理可行，得6分； 方案全面性一般，针对性一般，相应的措施可行性一般，得3分； 方案不全面，针对性差，相应的措施可行性差，得1分； 未提供对应方案，不得分。</w:t>
            </w:r>
          </w:p>
        </w:tc>
      </w:tr>
      <w:tr>
        <w:tc>
          <w:tcPr>
            <w:tcW w:type="dxa" w:w="922"/>
            <w:gridSpan w:val="2"/>
            <w:vMerge/>
          </w:tcPr>
          <w:p/>
        </w:tc>
        <w:tc>
          <w:tcPr>
            <w:tcW w:type="dxa" w:w="2307"/>
          </w:tcPr>
          <w:p>
            <w:pPr>
              <w:jc w:val="left"/>
            </w:pPr>
            <w:r>
              <w:rPr/>
              <w:t>质量保证措施方案 (15.0分)</w:t>
            </w:r>
            <w:r>
              <w:rPr/>
              <w:t>，（等次分值选择：</w:t>
            </w:r>
            <w:r>
              <w:rPr/>
              <w:t>0.0;</w:t>
            </w:r>
            <w:r>
              <w:rPr/>
              <w:t>1.0;</w:t>
            </w:r>
            <w:r>
              <w:rPr/>
              <w:t>5.0;</w:t>
            </w:r>
            <w:r>
              <w:rPr/>
              <w:t>10.0;</w:t>
            </w:r>
            <w:r>
              <w:rPr/>
              <w:t>15.0;</w:t>
            </w:r>
            <w:r>
              <w:rPr/>
              <w:t>）</w:t>
            </w:r>
          </w:p>
        </w:tc>
        <w:tc>
          <w:tcPr>
            <w:tcW w:type="dxa" w:w="5076"/>
          </w:tcPr>
          <w:p>
            <w:pPr>
              <w:jc w:val="left"/>
            </w:pPr>
            <w:r>
              <w:rPr/>
              <w:t>根据投标人是否能根据本项目要求提供详细的服务质量方案保证目标及分期目标，并提供具体可行、详细的保证措施等进行综合评审： 措施科学完整，质量保证目标明确及具有合理具体的分期目标，针对性强，可行性强，可操作性强，得15分； 措施基本完整，质量保证目标明确及具有分期目标，针对性一般，可行性一般，可操性一般，得10分； 措施基本完整，质量保证目标不明确，分期目标不具体，针对性差，可行性一般，可操作性一般，得5分； 措施不完整，质量保证目标不明确，分期目标不具体，针对性差，可行性差，可操作性差，得1分； 未提供对应方案，不得分。</w:t>
            </w:r>
          </w:p>
        </w:tc>
      </w:tr>
      <w:tr>
        <w:tc>
          <w:tcPr>
            <w:tcW w:type="dxa" w:w="922"/>
            <w:gridSpan w:val="2"/>
            <w:vMerge/>
          </w:tcPr>
          <w:p/>
        </w:tc>
        <w:tc>
          <w:tcPr>
            <w:tcW w:type="dxa" w:w="2307"/>
          </w:tcPr>
          <w:p>
            <w:pPr>
              <w:jc w:val="left"/>
            </w:pPr>
            <w:r>
              <w:rPr/>
              <w:t>应急方案 (10.0分)</w:t>
            </w:r>
            <w:r>
              <w:rPr/>
              <w:t>，（等次分值选择：</w:t>
            </w:r>
            <w:r>
              <w:rPr/>
              <w:t>0.0;</w:t>
            </w:r>
            <w:r>
              <w:rPr/>
              <w:t>1.0;</w:t>
            </w:r>
            <w:r>
              <w:rPr/>
              <w:t>3.0;</w:t>
            </w:r>
            <w:r>
              <w:rPr/>
              <w:t>6.0;</w:t>
            </w:r>
            <w:r>
              <w:rPr/>
              <w:t>10.0;</w:t>
            </w:r>
            <w:r>
              <w:rPr/>
              <w:t>）</w:t>
            </w:r>
          </w:p>
        </w:tc>
        <w:tc>
          <w:tcPr>
            <w:tcW w:type="dxa" w:w="5076"/>
          </w:tcPr>
          <w:p>
            <w:pPr>
              <w:jc w:val="left"/>
            </w:pPr>
            <w:r>
              <w:rPr/>
              <w:t>根据投标人针对台风、暴雨等天气影响，重大接待任务，重大节假日或活动等特殊情况制定的应急方案（包括传达机制、人员和设备调配、责任分工等）进行综合评审： 应急方案详尽完整、针对性强，相应的应急措施切实有效可行，得10分； 应急方案较详尽完整、针对性较强，相应的应急措施较合理可行，得6分； 应急方案基本满足要求、针对性一般，相应的应急措施基本合理，得3分； 应急方案不能满足要求、针对性差、应急措施不合理，得1分； 未提供对应方案，不得分。</w:t>
            </w:r>
          </w:p>
        </w:tc>
      </w:tr>
      <w:tr>
        <w:tc>
          <w:tcPr>
            <w:tcW w:type="dxa" w:w="922"/>
            <w:gridSpan w:val="2"/>
            <w:vMerge/>
          </w:tcPr>
          <w:p/>
        </w:tc>
        <w:tc>
          <w:tcPr>
            <w:tcW w:type="dxa" w:w="2307"/>
          </w:tcPr>
          <w:p>
            <w:pPr>
              <w:jc w:val="left"/>
            </w:pPr>
            <w:r>
              <w:rPr/>
              <w:t>项目人员管理及配置安排 (5.0分)</w:t>
            </w:r>
            <w:r>
              <w:rPr/>
              <w:t>，（等次分值选择：</w:t>
            </w:r>
            <w:r>
              <w:rPr/>
              <w:t>0.0;</w:t>
            </w:r>
            <w:r>
              <w:rPr/>
              <w:t>1.0;</w:t>
            </w:r>
            <w:r>
              <w:rPr/>
              <w:t>3.0;</w:t>
            </w:r>
            <w:r>
              <w:rPr/>
              <w:t>5.0;</w:t>
            </w:r>
            <w:r>
              <w:rPr/>
              <w:t>）</w:t>
            </w:r>
          </w:p>
        </w:tc>
        <w:tc>
          <w:tcPr>
            <w:tcW w:type="dxa" w:w="5076"/>
          </w:tcPr>
          <w:p>
            <w:pPr>
              <w:jc w:val="left"/>
            </w:pPr>
            <w:r>
              <w:rPr/>
              <w:t>根据投标人所提供的人员管理实施方案(包括但不限于管理组织架构、人员分工、岗位责任、责任监督制度等)进行综合评审: 实施方案规范性、明确性、完整性较强,得5分； 实施方案规范性、明确性、完整性一般,得3分； 实施方案规范性、明确性、完整性较差,得1分； 未提供对应方案，不得分。</w:t>
            </w:r>
          </w:p>
        </w:tc>
      </w:tr>
      <w:tr>
        <w:tc>
          <w:tcPr>
            <w:tcW w:type="dxa" w:w="922"/>
            <w:gridSpan w:val="2"/>
            <w:vMerge/>
          </w:tcPr>
          <w:p/>
        </w:tc>
        <w:tc>
          <w:tcPr>
            <w:tcW w:type="dxa" w:w="2307"/>
          </w:tcPr>
          <w:p>
            <w:pPr>
              <w:jc w:val="left"/>
            </w:pPr>
            <w:r>
              <w:rPr/>
              <w:t>设备投入方案 (5.0分)</w:t>
            </w:r>
            <w:r>
              <w:rPr/>
              <w:t>，（等次分值选择：</w:t>
            </w:r>
            <w:r>
              <w:rPr/>
              <w:t>0.0;</w:t>
            </w:r>
            <w:r>
              <w:rPr/>
              <w:t>1.0;</w:t>
            </w:r>
            <w:r>
              <w:rPr/>
              <w:t>3.0;</w:t>
            </w:r>
            <w:r>
              <w:rPr/>
              <w:t>5.0;</w:t>
            </w:r>
            <w:r>
              <w:rPr/>
              <w:t>）</w:t>
            </w:r>
          </w:p>
        </w:tc>
        <w:tc>
          <w:tcPr>
            <w:tcW w:type="dxa" w:w="5076"/>
          </w:tcPr>
          <w:p>
            <w:pPr>
              <w:jc w:val="left"/>
            </w:pPr>
            <w:r>
              <w:rPr/>
              <w:t>根据投标人本项目的设备投入方案及投标人各种作业设备日常使用、维护保养的保障程度等进行综合评审： 方案完整合理、可行性强，完全满足或优于招标文件要求，得5分； 方案完整、可行性一般，符合招标文件要求，得3分； 方案基本完整、可行性较差，基本符合招标文件要求，得1分。 未提供对应方案，不得分。</w:t>
            </w:r>
          </w:p>
        </w:tc>
      </w:tr>
      <w:tr>
        <w:tc>
          <w:tcPr>
            <w:tcW w:type="dxa" w:w="922"/>
            <w:gridSpan w:val="2"/>
            <w:vMerge w:val="restart"/>
          </w:tcPr>
          <w:p>
            <w:pPr>
              <w:jc w:val="center"/>
            </w:pPr>
            <w:r>
              <w:rPr/>
              <w:t>商务部分</w:t>
            </w:r>
          </w:p>
        </w:tc>
        <w:tc>
          <w:tcPr>
            <w:tcW w:type="dxa" w:w="2307"/>
          </w:tcPr>
          <w:p>
            <w:pPr>
              <w:jc w:val="left"/>
            </w:pPr>
            <w:r>
              <w:rPr/>
              <w:t>体系认证 (6.0分)</w:t>
            </w:r>
          </w:p>
        </w:tc>
        <w:tc>
          <w:tcPr>
            <w:tcW w:type="dxa" w:w="5076"/>
          </w:tcPr>
          <w:p>
            <w:pPr>
              <w:jc w:val="left"/>
            </w:pPr>
            <w:r>
              <w:rPr/>
              <w:t>投标人具有由国家认监委批准设立的认证机构颁发并在有效期内的质量管理体系认证、环境管理体系认证、职业健康安全管理体系认证，每个得2分，最高得6分。 注：须提供有效证书复印件并加盖投标人公章，不符合以上要求的不得分。</w:t>
            </w:r>
          </w:p>
        </w:tc>
      </w:tr>
      <w:tr>
        <w:tc>
          <w:tcPr>
            <w:tcW w:type="dxa" w:w="922"/>
            <w:gridSpan w:val="2"/>
            <w:vMerge/>
          </w:tcPr>
          <w:p/>
        </w:tc>
        <w:tc>
          <w:tcPr>
            <w:tcW w:type="dxa" w:w="2307"/>
          </w:tcPr>
          <w:p>
            <w:pPr>
              <w:jc w:val="left"/>
            </w:pPr>
            <w:r>
              <w:rPr/>
              <w:t>业绩 (10.0分)</w:t>
            </w:r>
          </w:p>
        </w:tc>
        <w:tc>
          <w:tcPr>
            <w:tcW w:type="dxa" w:w="5076"/>
          </w:tcPr>
          <w:p>
            <w:pPr>
              <w:jc w:val="left"/>
            </w:pPr>
            <w:r>
              <w:rPr/>
              <w:t>投标人具有垃圾清运或垃圾清理（或合同内容含有垃圾清运或垃圾清理）类项目业绩，每个业绩得5分，最高得10分。 注：须提供合同复印件加盖投标人公章，不符合以上要求不得分。</w:t>
            </w:r>
          </w:p>
        </w:tc>
      </w:tr>
      <w:tr>
        <w:tc>
          <w:tcPr>
            <w:tcW w:type="dxa" w:w="922"/>
            <w:gridSpan w:val="2"/>
            <w:vMerge/>
          </w:tcPr>
          <w:p/>
        </w:tc>
        <w:tc>
          <w:tcPr>
            <w:tcW w:type="dxa" w:w="2307"/>
          </w:tcPr>
          <w:p>
            <w:pPr>
              <w:jc w:val="left"/>
            </w:pPr>
            <w:r>
              <w:rPr/>
              <w:t>服务便利性 (4.0分)</w:t>
            </w:r>
          </w:p>
        </w:tc>
        <w:tc>
          <w:tcPr>
            <w:tcW w:type="dxa" w:w="5076"/>
          </w:tcPr>
          <w:p>
            <w:pPr>
              <w:jc w:val="left"/>
            </w:pPr>
            <w:r>
              <w:rPr/>
              <w:t>根据投标人提供的服务承诺响应时间进行评审： 承诺在接到采购人通知后1小时（含）内到现场，得4分； 承诺在接到采购人通知后2小时（含）内到现场，得2分； 承诺在接到采购人通知后4小时（含）内到现场，得1分； 未承诺或其它不得分。 注：须提供服务承诺书，并加盖投标人公章，不符合以上要求不得分。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both"/>
      </w:pPr>
    </w:p>
    <w:p>
      <w:pPr>
        <w:jc w:val="both"/>
      </w:pPr>
    </w:p>
    <w:p>
      <w:pPr>
        <w:jc w:val="both"/>
      </w:pPr>
    </w:p>
    <w:p>
      <w:pPr>
        <w:jc w:val="both"/>
      </w:pP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center"/>
      </w:pPr>
      <w:r>
        <w:rPr>
          <w:b/>
          <w:sz w:val="48"/>
        </w:rPr>
        <w:t>广东省政府采购</w:t>
      </w:r>
    </w:p>
    <w:p>
      <w:pPr>
        <w:jc w:val="both"/>
      </w:pPr>
      <w:r>
        <w:rPr>
          <w:sz w:val="21"/>
        </w:rPr>
        <w:t xml:space="preserve"> </w:t>
      </w:r>
    </w:p>
    <w:p>
      <w:pPr>
        <w:jc w:val="center"/>
      </w:pPr>
      <w:r>
        <w:rPr>
          <w:b/>
          <w:sz w:val="48"/>
        </w:rPr>
        <w:t>合　同　书</w:t>
      </w:r>
    </w:p>
    <w:p>
      <w:pPr>
        <w:jc w:val="both"/>
      </w:pPr>
      <w:r>
        <w:br/>
      </w:r>
      <w:r>
        <w:br/>
      </w:r>
      <w:r>
        <w:br/>
      </w:r>
      <w:r>
        <w:br/>
      </w:r>
      <w:r>
        <w:br/>
      </w:r>
      <w:r>
        <w:br/>
      </w:r>
      <w:r>
        <w:br/>
      </w:r>
      <w:r>
        <w:br/>
      </w:r>
      <w:r>
        <w:rPr>
          <w:sz w:val="21"/>
        </w:rPr>
        <w:t xml:space="preserve"> </w:t>
      </w:r>
    </w:p>
    <w:p>
      <w:pPr>
        <w:jc w:val="center"/>
      </w:pPr>
      <w:r>
        <w:rPr>
          <w:sz w:val="28"/>
        </w:rPr>
        <w:t>采购计划编号：</w:t>
      </w:r>
    </w:p>
    <w:p>
      <w:pPr>
        <w:jc w:val="both"/>
      </w:pPr>
      <w:r>
        <w:rPr>
          <w:sz w:val="21"/>
        </w:rPr>
        <w:t xml:space="preserve"> </w:t>
      </w:r>
    </w:p>
    <w:p>
      <w:pPr>
        <w:jc w:val="center"/>
      </w:pPr>
      <w:r>
        <w:rPr>
          <w:sz w:val="28"/>
        </w:rPr>
        <w:t>项目编号：</w:t>
      </w:r>
    </w:p>
    <w:p>
      <w:pPr>
        <w:jc w:val="both"/>
      </w:pPr>
      <w:r>
        <w:rPr>
          <w:sz w:val="21"/>
        </w:rPr>
        <w:t xml:space="preserve"> </w:t>
      </w:r>
    </w:p>
    <w:p>
      <w:pPr>
        <w:jc w:val="center"/>
      </w:pPr>
      <w:r>
        <w:rPr>
          <w:sz w:val="28"/>
        </w:rPr>
        <w:t>项目名称：</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br/>
      </w:r>
      <w:r>
        <w:rPr>
          <w:sz w:val="21"/>
        </w:rPr>
        <w:t xml:space="preserve"> </w:t>
      </w:r>
    </w:p>
    <w:p>
      <w:pPr>
        <w:jc w:val="both"/>
      </w:pPr>
    </w:p>
    <w:p>
      <w:pPr>
        <w:jc w:val="both"/>
      </w:pPr>
    </w:p>
    <w:p>
      <w:pPr>
        <w:jc w:val="both"/>
      </w:pPr>
    </w:p>
    <w:p>
      <w:pPr>
        <w:jc w:val="both"/>
      </w:pPr>
      <w:r>
        <w:rPr>
          <w:sz w:val="21"/>
        </w:rPr>
        <w:t>甲方：</w:t>
      </w:r>
      <w:r>
        <w:rPr>
          <w:sz w:val="21"/>
        </w:rPr>
        <w:t xml:space="preserve"> </w:t>
      </w:r>
    </w:p>
    <w:p>
      <w:pPr>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jc w:val="both"/>
      </w:pPr>
      <w:r>
        <w:rPr>
          <w:sz w:val="21"/>
        </w:rPr>
        <w:t>乙方：</w:t>
      </w:r>
      <w:r>
        <w:rPr>
          <w:sz w:val="21"/>
        </w:rPr>
        <w:t xml:space="preserve"> </w:t>
      </w:r>
    </w:p>
    <w:p>
      <w:pPr>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jc w:val="both"/>
      </w:pPr>
      <w:r>
        <w:rPr>
          <w:sz w:val="21"/>
        </w:rPr>
        <w:t xml:space="preserve"> </w:t>
      </w:r>
    </w:p>
    <w:p>
      <w:pPr>
        <w:jc w:val="both"/>
      </w:pPr>
      <w:r>
        <w:rPr>
          <w:sz w:val="21"/>
        </w:rPr>
        <w:t xml:space="preserve">  </w:t>
      </w:r>
      <w:r>
        <w:rPr>
          <w:sz w:val="21"/>
        </w:rPr>
        <w:t>根据</w:t>
      </w:r>
      <w:r>
        <w:rPr>
          <w:sz w:val="21"/>
        </w:rPr>
        <w:t xml:space="preserve">         </w:t>
      </w:r>
      <w:r>
        <w:rPr>
          <w:sz w:val="21"/>
        </w:rPr>
        <w:t>项目的采购结果，按照《中华人民共和国政府采购法》，《中华人民共和国民法典</w:t>
      </w:r>
      <w:r>
        <w:rPr>
          <w:sz w:val="21"/>
        </w:rPr>
        <w:t>(合同编)》的规定，经双方协商，本着平等互利和诚实信用的原则，一致同意遵守本合同如下。</w:t>
      </w:r>
    </w:p>
    <w:p>
      <w:pPr>
        <w:jc w:val="both"/>
      </w:pPr>
      <w:r>
        <w:rPr>
          <w:sz w:val="21"/>
        </w:rPr>
        <w:t>一、合同金额</w:t>
      </w:r>
    </w:p>
    <w:p>
      <w:pPr>
        <w:jc w:val="both"/>
      </w:pPr>
      <w:r>
        <w:rPr>
          <w:sz w:val="21"/>
        </w:rPr>
        <w:t>　　合同金额为（大写）：</w:t>
      </w:r>
      <w:r>
        <w:rPr>
          <w:sz w:val="21"/>
        </w:rPr>
        <w:t>_____________元（￥_________元）人民币。</w:t>
      </w:r>
    </w:p>
    <w:p>
      <w:pPr>
        <w:jc w:val="both"/>
      </w:pPr>
      <w:r>
        <w:rPr>
          <w:sz w:val="21"/>
        </w:rPr>
        <w:t>二、服务范围</w:t>
      </w:r>
    </w:p>
    <w:p>
      <w:pPr>
        <w:jc w:val="both"/>
      </w:pPr>
      <w:r>
        <w:rPr>
          <w:sz w:val="21"/>
        </w:rPr>
        <w:t>　　甲方聘请乙方提供以下服务：</w:t>
      </w:r>
    </w:p>
    <w:p>
      <w:pPr>
        <w:jc w:val="both"/>
      </w:pPr>
      <w:r>
        <w:rPr>
          <w:sz w:val="21"/>
        </w:rPr>
        <w:t>1．　　　　　　　　　　　。</w:t>
      </w:r>
    </w:p>
    <w:p>
      <w:pPr>
        <w:jc w:val="both"/>
      </w:pPr>
      <w:r>
        <w:rPr>
          <w:sz w:val="21"/>
        </w:rPr>
        <w:t>2．　　　　　　　　　　　</w:t>
      </w:r>
    </w:p>
    <w:p>
      <w:pPr>
        <w:jc w:val="both"/>
      </w:pPr>
      <w:r>
        <w:rPr>
          <w:sz w:val="21"/>
        </w:rPr>
        <w:t>……</w:t>
      </w:r>
    </w:p>
    <w:p>
      <w:pPr>
        <w:jc w:val="both"/>
      </w:pPr>
      <w:r>
        <w:rPr>
          <w:sz w:val="21"/>
        </w:rPr>
        <w:t>三、甲方乙方的权利和义务</w:t>
      </w:r>
    </w:p>
    <w:p>
      <w:pPr>
        <w:jc w:val="both"/>
      </w:pPr>
      <w:r>
        <w:rPr>
          <w:sz w:val="21"/>
        </w:rPr>
        <w:t>1.甲方的权利和义务</w:t>
      </w:r>
    </w:p>
    <w:p>
      <w:pPr>
        <w:jc w:val="both"/>
      </w:pPr>
      <w:r>
        <w:rPr>
          <w:sz w:val="21"/>
        </w:rPr>
        <w:t>2.乙方的权利和义务</w:t>
      </w:r>
    </w:p>
    <w:p>
      <w:pPr>
        <w:jc w:val="both"/>
      </w:pPr>
      <w:r>
        <w:rPr>
          <w:sz w:val="21"/>
        </w:rPr>
        <w:t>四、服务期间（项目完成期限）</w:t>
      </w:r>
    </w:p>
    <w:p>
      <w:pPr>
        <w:jc w:val="both"/>
      </w:pPr>
      <w:r>
        <w:rPr>
          <w:sz w:val="21"/>
        </w:rPr>
        <w:t>1.委托服务期间自______年______月至______年______月止。</w:t>
      </w:r>
    </w:p>
    <w:p>
      <w:pPr>
        <w:jc w:val="both"/>
      </w:pPr>
      <w:r>
        <w:rPr>
          <w:sz w:val="21"/>
        </w:rPr>
        <w:t>五、付款方式</w:t>
      </w:r>
    </w:p>
    <w:p>
      <w:pPr>
        <w:jc w:val="both"/>
      </w:pPr>
      <w:r>
        <w:rPr>
          <w:sz w:val="21"/>
        </w:rPr>
        <w:t>　　由甲方按下列程序在</w:t>
      </w:r>
      <w:r>
        <w:rPr>
          <w:sz w:val="21"/>
        </w:rPr>
        <w:t xml:space="preserve">       </w:t>
      </w:r>
      <w:r>
        <w:rPr>
          <w:sz w:val="21"/>
        </w:rPr>
        <w:t>内付款：</w:t>
      </w:r>
    </w:p>
    <w:p>
      <w:pPr>
        <w:jc w:val="both"/>
      </w:pPr>
      <w:r>
        <w:rPr>
          <w:sz w:val="21"/>
        </w:rPr>
        <w:t>1.在合同实施及服务人员到达服务地后__天内，甲方应将第一次付　　款总服务费的__(-%)付给乙方。</w:t>
      </w:r>
    </w:p>
    <w:p>
      <w:pPr>
        <w:jc w:val="both"/>
      </w:pPr>
      <w:r>
        <w:rPr>
          <w:sz w:val="21"/>
        </w:rPr>
        <w:t>2.第二次付款额应为总服务费的__(-%)，甲方应在乙方已经准备好，并递交了服务报告及其它相关文件，而这些报告和文件符合合同附件上的要求并被甲方验收后付给乙方。</w:t>
      </w:r>
    </w:p>
    <w:p>
      <w:pPr>
        <w:jc w:val="both"/>
      </w:pPr>
      <w:r>
        <w:rPr>
          <w:sz w:val="21"/>
        </w:rPr>
        <w:t>3.最后一次付款额应为总服务费的__(-%)，甲方应在乙方递交了服务总结报告和说明并完全履行合同完毕_________日内付给乙方。</w:t>
      </w:r>
    </w:p>
    <w:p>
      <w:pPr>
        <w:jc w:val="both"/>
      </w:pPr>
      <w:r>
        <w:rPr>
          <w:sz w:val="21"/>
        </w:rPr>
        <w:t>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sz w:val="21"/>
        </w:rPr>
        <w:t>六、知识产权归属</w:t>
      </w:r>
    </w:p>
    <w:p>
      <w:pPr>
        <w:jc w:val="both"/>
      </w:pPr>
      <w:r>
        <w:rPr>
          <w:sz w:val="21"/>
        </w:rPr>
        <w:t>七、保密</w:t>
      </w:r>
    </w:p>
    <w:p>
      <w:pPr>
        <w:jc w:val="both"/>
      </w:pPr>
      <w:r>
        <w:rPr>
          <w:sz w:val="21"/>
        </w:rPr>
        <w:t>八、违约责任与赔偿损失</w:t>
      </w:r>
    </w:p>
    <w:p>
      <w:pPr>
        <w:jc w:val="both"/>
      </w:pPr>
      <w:r>
        <w:rPr>
          <w:sz w:val="21"/>
        </w:rPr>
        <w:t>1.乙方提供的服务不符合本合同规定的，甲方有权拒收，并且乙方须向甲方方支付本合同总价5%的违约金。</w:t>
      </w:r>
    </w:p>
    <w:p>
      <w:pPr>
        <w:jc w:val="both"/>
      </w:pPr>
      <w:r>
        <w:rPr>
          <w:sz w:val="21"/>
        </w:rPr>
        <w:t>2.乙方未能按本合同规定的交货时间提供服务，从逾期之日起每日按本合同总价3‰的数额向甲方支付违约金；逾期半个月以上的，甲方有权终止合同，由此造成的甲方经济损失由乙方承担。</w:t>
      </w:r>
    </w:p>
    <w:p>
      <w:pPr>
        <w:jc w:val="both"/>
      </w:pPr>
      <w:r>
        <w:rPr>
          <w:sz w:val="21"/>
        </w:rPr>
        <w:t>3.甲方无正当理由拒收接受服务，到期拒付服务款项的，甲方向乙方偿付本合同总的5%的违约金。甲方人逾期付款，则每日按本合同总价的3‰向乙方偿付违约金。</w:t>
      </w:r>
    </w:p>
    <w:p>
      <w:pPr>
        <w:jc w:val="both"/>
      </w:pPr>
      <w:r>
        <w:rPr>
          <w:sz w:val="21"/>
        </w:rPr>
        <w:t xml:space="preserve">4.对于因甲方原因导致变更、中止或者终止政府采购合同的，甲方应当依照以下合同约定对供应商受到的损失予以赔偿或者补偿：        </w:t>
      </w:r>
    </w:p>
    <w:p>
      <w:pPr>
        <w:jc w:val="both"/>
      </w:pPr>
      <w:r>
        <w:rPr>
          <w:sz w:val="21"/>
        </w:rPr>
        <w:t>5.其它违约责任按《中华人民共和国民法典(合同编)》处理。</w:t>
      </w:r>
    </w:p>
    <w:p>
      <w:pPr>
        <w:jc w:val="both"/>
      </w:pPr>
      <w:r>
        <w:rPr>
          <w:sz w:val="21"/>
        </w:rPr>
        <w:t>九、争议的解决</w:t>
      </w:r>
    </w:p>
    <w:p>
      <w:pPr>
        <w:jc w:val="both"/>
      </w:pPr>
      <w:r>
        <w:rPr>
          <w:sz w:val="21"/>
        </w:rPr>
        <w:t>合同执行过程中发生的任何争议，如双方不能通过友好协商解决，按相关法律法规处理。</w:t>
      </w:r>
      <w:r>
        <w:rPr>
          <w:sz w:val="21"/>
        </w:rPr>
        <w:t xml:space="preserve">    </w:t>
      </w:r>
    </w:p>
    <w:p>
      <w:pPr>
        <w:jc w:val="both"/>
      </w:pPr>
      <w:r>
        <w:rPr>
          <w:sz w:val="21"/>
        </w:rPr>
        <w:t>十、不可抗力</w:t>
      </w:r>
    </w:p>
    <w:p>
      <w:pPr>
        <w:jc w:val="both"/>
      </w:pPr>
      <w:r>
        <w:rPr>
          <w:sz w:val="21"/>
        </w:rPr>
        <w:t>　　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sz w:val="21"/>
        </w:rPr>
        <w:t>十一、税费</w:t>
      </w:r>
    </w:p>
    <w:p>
      <w:pPr>
        <w:jc w:val="both"/>
      </w:pPr>
      <w:r>
        <w:rPr>
          <w:sz w:val="21"/>
        </w:rPr>
        <w:t>　　在中国境内、外发生的与本合同执行有关的一切税费均由乙方负担。</w:t>
      </w:r>
    </w:p>
    <w:p>
      <w:pPr>
        <w:jc w:val="both"/>
      </w:pPr>
      <w:r>
        <w:rPr>
          <w:sz w:val="21"/>
        </w:rPr>
        <w:t>十二、其它</w:t>
      </w:r>
    </w:p>
    <w:p>
      <w:pPr>
        <w:jc w:val="both"/>
      </w:pPr>
      <w:r>
        <w:rPr>
          <w:sz w:val="21"/>
        </w:rPr>
        <w:t>1.本合同所有附件、招标文件、投标文件、中标通知书均为合同的有效组成部分，与本合同具有同等法律效力。</w:t>
      </w:r>
    </w:p>
    <w:p>
      <w:pPr>
        <w:jc w:val="both"/>
      </w:pPr>
      <w:r>
        <w:rPr>
          <w:sz w:val="21"/>
        </w:rPr>
        <w:t>2.在执行本合同的过程中，所有经双方签署确认的文件（包括会议纪要、补充协议、往来信函）即成为本合同的有效组成部分。</w:t>
      </w:r>
    </w:p>
    <w:p>
      <w:pPr>
        <w:jc w:val="both"/>
      </w:pPr>
      <w:r>
        <w:rPr>
          <w:sz w:val="21"/>
        </w:rPr>
        <w:t>3.如一方地址、电话、传真号码有变更，应在变更当日内书面通知对方，否则，应承担相应责任。</w:t>
      </w:r>
    </w:p>
    <w:p>
      <w:pPr>
        <w:jc w:val="both"/>
      </w:pPr>
      <w:r>
        <w:rPr>
          <w:sz w:val="21"/>
        </w:rPr>
        <w:t>4.除甲方事先书面同意外，乙方不得部分或全部转让其应履行的合同项下的义务。</w:t>
      </w:r>
    </w:p>
    <w:p>
      <w:pPr>
        <w:jc w:val="both"/>
      </w:pPr>
      <w:r>
        <w:rPr>
          <w:sz w:val="21"/>
        </w:rPr>
        <w:t>十三、合同生效</w:t>
      </w:r>
    </w:p>
    <w:p>
      <w:pPr>
        <w:jc w:val="both"/>
      </w:pPr>
      <w:r>
        <w:rPr>
          <w:sz w:val="21"/>
        </w:rPr>
        <w:t>1.本合同在甲乙双方法人代表或其授权代表签字盖章后生效。</w:t>
      </w:r>
    </w:p>
    <w:p>
      <w:pPr>
        <w:jc w:val="both"/>
      </w:pPr>
      <w:r>
        <w:rPr>
          <w:sz w:val="21"/>
        </w:rPr>
        <w:t>2.合同一式    份。</w:t>
      </w:r>
    </w:p>
    <w:p>
      <w:pPr>
        <w:jc w:val="both"/>
      </w:pPr>
      <w:r>
        <w:rPr>
          <w:sz w:val="21"/>
        </w:rPr>
        <w:t xml:space="preserve"> </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1"/>
              </w:rPr>
              <w:t>甲方（盖章）：</w:t>
            </w:r>
          </w:p>
        </w:tc>
        <w:tc>
          <w:tcPr>
            <w:tcW w:type="dxa" w:w="4153"/>
            <w:tcBorders>
              <w:top w:val="none" w:color="000000" w:sz="4"/>
              <w:left w:val="none" w:color="000000" w:sz="4"/>
              <w:bottom w:val="none" w:color="000000" w:sz="4"/>
              <w:right w:val="none" w:color="000000" w:sz="4"/>
            </w:tcBorders>
            <w:vAlign w:val="top"/>
          </w:tcPr>
          <w:p>
            <w:pPr>
              <w:jc w:val="both"/>
            </w:pPr>
            <w:r>
              <w:rPr>
                <w:sz w:val="21"/>
              </w:rPr>
              <w:t>乙方（盖章）：</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(签字)：</w:t>
            </w:r>
          </w:p>
        </w:tc>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(签字)：</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签约时间：</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签约地点：</w:t>
            </w:r>
          </w:p>
        </w:tc>
        <w:tc>
          <w:tcPr>
            <w:tcW w:type="dxa" w:w="4153"/>
            <w:tcBorders>
              <w:top w:val="none" w:color="000000" w:sz="4"/>
              <w:left w:val="none" w:color="000000" w:sz="4"/>
              <w:bottom w:val="none" w:color="000000" w:sz="4"/>
              <w:right w:val="none" w:color="000000" w:sz="4"/>
            </w:tcBorders>
            <w:vAlign w:val="top"/>
          </w:tcPr>
          <w:p>
            <w:pPr>
              <w:jc w:val="both"/>
            </w:pP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441900026-2023-00796</w:t>
      </w:r>
    </w:p>
    <w:p>
      <w:pPr>
        <w:jc w:val="center"/>
      </w:pPr>
      <w:r>
        <w:rPr>
          <w:b/>
          <w:sz w:val="24"/>
        </w:rPr>
        <w:t>采购项目编号：</w:t>
      </w:r>
      <w:r>
        <w:rPr>
          <w:b/>
          <w:sz w:val="24"/>
        </w:rPr>
        <w:t>441900026-2023-00796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大岭山镇垃圾收集转运项目</w:t>
      </w:r>
      <w:r>
        <w:rPr>
          <w:u w:val="single"/>
        </w:rPr>
        <w:t>”</w:t>
      </w:r>
      <w:r>
        <w:rPr/>
        <w:t>项目的招标[采购项目编号为：</w:t>
      </w:r>
      <w:r>
        <w:rPr>
          <w:u w:val="single"/>
        </w:rPr>
        <w:t>441900026-2023-00796</w:t>
      </w:r>
      <w:r>
        <w:rPr/>
        <w:t>]，我方愿参与投标。</w:t>
      </w:r>
    </w:p>
    <w:p>
      <w:pPr>
        <w:ind w:firstLine="480"/>
      </w:pPr>
      <w:r>
        <w:rPr/>
        <w:t>我方确认收到贵方提供的</w:t>
      </w:r>
      <w:r>
        <w:rPr>
          <w:u w:val="single"/>
        </w:rPr>
        <w:t>“</w:t>
      </w:r>
      <w:r>
        <w:rPr>
          <w:u w:val="single"/>
        </w:rPr>
        <w:t>大岭山镇垃圾收集转运项目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大岭山镇垃圾收集转运项目</w:t>
      </w:r>
      <w:r>
        <w:rPr/>
        <w:t>”项目采购[采购项目编号为</w:t>
      </w:r>
      <w:r>
        <w:rPr/>
        <w:t>441900026-2023-00796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东莞市大岭山镇公用事业服务中心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大岭山镇垃圾收集转运项目</w:t>
      </w:r>
      <w:r>
        <w:rPr/>
        <w:t>招标中获中标（采购项目编号：</w:t>
      </w:r>
      <w:r>
        <w:rPr/>
        <w:t>441900026-2023-00796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大岭山镇垃圾收集转运项目</w:t>
      </w:r>
      <w:r>
        <w:rPr/>
        <w:t>”项目（采购项目编号：</w:t>
      </w:r>
      <w:r>
        <w:rPr/>
        <w:t>441900026-2023-00796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