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441900028-2023-01138</w:t>
      </w:r>
    </w:p>
    <w:p>
      <w:pPr>
        <w:jc w:val="center"/>
      </w:pPr>
      <w:r>
        <w:rPr>
          <w:b/>
          <w:sz w:val="24"/>
        </w:rPr>
        <w:t>采购项目编号：</w:t>
      </w:r>
      <w:r>
        <w:rPr>
          <w:b/>
          <w:sz w:val="24"/>
        </w:rPr>
        <w:t>441900028-2023-01138</w:t>
      </w:r>
    </w:p>
    <w:p>
      <w:pPr>
        <w:jc w:val="center"/>
      </w:pPr>
      <w:r>
        <w:rPr>
          <w:b/>
          <w:sz w:val="24"/>
        </w:rPr>
        <w:t>项目名称：</w:t>
      </w:r>
      <w:r>
        <w:rPr>
          <w:b/>
          <w:sz w:val="24"/>
        </w:rPr>
        <w:t>万科体育路公园、万科城小公园及万科花园公园综合管理服务项目</w:t>
      </w:r>
    </w:p>
    <w:p>
      <w:pPr>
        <w:jc w:val="center"/>
      </w:pPr>
      <w:r>
        <w:rPr>
          <w:b/>
          <w:sz w:val="24"/>
        </w:rPr>
        <w:t>采购人：</w:t>
      </w:r>
      <w:r>
        <w:rPr>
          <w:b/>
          <w:sz w:val="24"/>
        </w:rPr>
        <w:t>东莞市虎门镇公用事业服务中心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东莞市虎门镇公用事业服务中心</w:t>
      </w:r>
      <w:r>
        <w:rPr/>
        <w:t>的委托，采用</w:t>
      </w:r>
      <w:r>
        <w:rPr/>
        <w:t>公开招标</w:t>
      </w:r>
      <w:r>
        <w:rPr/>
        <w:t>方式组织采购</w:t>
      </w:r>
      <w:r>
        <w:rPr/>
        <w:t>万科体育路公园、万科城小公园及万科花园公园综合管理服务项目</w:t>
      </w:r>
      <w:r>
        <w:rPr/>
        <w:t>。欢迎符合资格条件的国内供应商参加投标。</w:t>
      </w:r>
    </w:p>
    <w:p>
      <w:r>
        <w:rPr>
          <w:b/>
          <w:sz w:val="28"/>
        </w:rPr>
        <w:t>一.项目概述</w:t>
      </w:r>
    </w:p>
    <w:p>
      <w:r>
        <w:rPr>
          <w:b/>
          <w:sz w:val="24"/>
        </w:rPr>
        <w:t>1.名称与编号</w:t>
      </w:r>
    </w:p>
    <w:p>
      <w:pPr>
        <w:ind w:firstLine="480"/>
      </w:pPr>
      <w:r>
        <w:rPr/>
        <w:t>项目名称：</w:t>
      </w:r>
      <w:r>
        <w:rPr/>
        <w:t>万科体育路公园、万科城小公园及万科花园公园综合管理服务项目</w:t>
      </w:r>
    </w:p>
    <w:p>
      <w:pPr>
        <w:ind w:firstLine="480"/>
      </w:pPr>
      <w:r>
        <w:rPr/>
        <w:t>采购计划编号：</w:t>
      </w:r>
      <w:r>
        <w:rPr/>
        <w:t>441900028-2023-01138</w:t>
      </w:r>
    </w:p>
    <w:p>
      <w:pPr>
        <w:ind w:firstLine="480"/>
      </w:pPr>
      <w:r>
        <w:rPr/>
        <w:t>采购项目编号：</w:t>
      </w:r>
      <w:r>
        <w:rPr/>
        <w:t>441900028-2023-01138</w:t>
      </w:r>
    </w:p>
    <w:p>
      <w:pPr>
        <w:ind w:firstLine="480"/>
      </w:pPr>
      <w:r>
        <w:rPr/>
        <w:t>采购方式：</w:t>
      </w:r>
      <w:r>
        <w:rPr/>
        <w:t>公开招标</w:t>
      </w:r>
    </w:p>
    <w:p>
      <w:pPr>
        <w:ind w:firstLine="480"/>
      </w:pPr>
      <w:r>
        <w:rPr/>
        <w:t>预算金额：</w:t>
      </w:r>
      <w:r>
        <w:rPr/>
        <w:t>2,205,000.00</w:t>
      </w:r>
      <w:r>
        <w:rPr/>
        <w:t>元</w:t>
      </w:r>
    </w:p>
    <w:p>
      <w:r>
        <w:rPr>
          <w:b/>
          <w:sz w:val="24"/>
        </w:rPr>
        <w:t>2.项目内容及需求情况（采购项目技术规格、参数及要求）</w:t>
      </w:r>
    </w:p>
    <w:p>
      <w:pPr>
        <w:ind w:firstLine="480"/>
      </w:pPr>
    </w:p>
    <w:p/>
    <w:p>
      <w:r>
        <w:rPr/>
        <w:t>采购包1(万科体育路公园、万科城小公园及万科花园公园综合管理服务项目):</w:t>
      </w:r>
    </w:p>
    <w:p>
      <w:r>
        <w:rPr/>
        <w:t>采购包预算金额：2,205,000.00元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万科体育路公园、万科城小公园及万科花园公园综合管理服务项目</w:t>
            </w:r>
          </w:p>
        </w:tc>
        <w:tc>
          <w:tcPr>
            <w:tcW w:type="dxa" w:w="977"/>
          </w:tcPr>
          <w:p>
            <w:r>
              <w:rPr/>
              <w:t>1.00(项)</w:t>
            </w:r>
          </w:p>
        </w:tc>
        <w:tc>
          <w:tcPr>
            <w:tcW w:type="dxa" w:w="977"/>
          </w:tcPr>
          <w:p>
            <w:r>
              <w:rPr/>
              <w:t>详见第二章</w:t>
            </w:r>
          </w:p>
        </w:tc>
        <w:tc>
          <w:tcPr>
            <w:tcW w:type="dxa" w:w="977"/>
          </w:tcPr>
          <w:p>
            <w:r>
              <w:rPr/>
              <w:t>2,205,000.00</w:t>
            </w:r>
          </w:p>
        </w:tc>
        <w:tc>
          <w:tcPr>
            <w:tcW w:type="dxa" w:w="977"/>
          </w:tcPr>
          <w:p>
            <w:r>
              <w:rPr/>
              <w:t>否</w:t>
            </w:r>
          </w:p>
        </w:tc>
      </w:tr>
    </w:tbl>
    <w:p/>
    <w:p>
      <w:r>
        <w:rPr/>
        <w:t>本采购包不接受联合体投标</w:t>
      </w:r>
    </w:p>
    <w:p/>
    <w:p>
      <w:r>
        <w:rPr/>
        <w:t>合同履行期限：自合同签订生效之日起3年。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2）有依法缴纳税收和社会保障资金的良好记录：投标（响应）文件中提供《资格条件承诺函》，可参考公告附件格式。</w:t>
      </w:r>
    </w:p>
    <w:p/>
    <w:p>
      <w:r>
        <w:rPr/>
        <w:t>3）具有良好的商业信誉和健全的财务会计制度：投标（响应）文件中提供《资格条件承诺函》，可参考公告附件格式。</w:t>
      </w:r>
    </w:p>
    <w:p/>
    <w:p>
      <w:r>
        <w:rPr/>
        <w:t>4）履行合同所必需的设备和专业技术能力：投标（响应）文件中提供《资格条件承诺函》，可参考公告附件格式。</w:t>
      </w:r>
    </w:p>
    <w:p/>
    <w:p>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采购包1（万科体育路公园、万科城小公园及万科花园公园综合管理服务项目）：</w:t>
      </w:r>
      <w:r>
        <w:rPr/>
        <w:t>本项目不属于专门面向中小企业采购项目。</w:t>
      </w:r>
    </w:p>
    <w:p/>
    <w:p>
      <w:r>
        <w:rPr>
          <w:b/>
          <w:sz w:val="24"/>
        </w:rPr>
        <w:t>3.本项目特定的资格要求：</w:t>
      </w:r>
    </w:p>
    <w:p>
      <w:pPr>
        <w:ind w:firstLine="480"/>
      </w:pPr>
    </w:p>
    <w:p/>
    <w:p>
      <w:r>
        <w:rPr/>
        <w:t>采购包1（万科体育路公园、万科城小公园及万科花园公园综合管理服务项目）：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东莞市虎门镇公用事业服务中心</w:t>
      </w:r>
    </w:p>
    <w:p>
      <w:pPr>
        <w:ind w:firstLine="480"/>
      </w:pPr>
      <w:r>
        <w:rPr/>
        <w:t>地址：</w:t>
      </w:r>
      <w:r>
        <w:rPr/>
        <w:t>东莞市虎门镇威远岛南北大道城建办公区5号楼</w:t>
      </w:r>
    </w:p>
    <w:p>
      <w:pPr>
        <w:ind w:firstLine="480"/>
      </w:pPr>
      <w:r>
        <w:rPr/>
        <w:t>联系方式：</w:t>
      </w:r>
      <w:r>
        <w:rPr/>
        <w:t>0769-82256608</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杨先生</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本项目为万科体育路公园、万科城小公园及万科花园公园综合管理服务项目。</w:t>
      </w:r>
    </w:p>
    <w:p/>
    <w:p>
      <w:pPr>
        <w:ind w:firstLine="480"/>
      </w:pPr>
    </w:p>
    <w:p/>
    <w:p>
      <w:r>
        <w:rPr/>
        <w:t>采购包1（万科体育路公园、万科城小公园及万科花园公园综合管理服务项目）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自合同签订生效之日起3年。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合同生效后从第二个月起每月20日前，采购人按实际考核结果向中标人支付上月的养护费（每月养护费根据月度综合考评得分确定实际应付款数额后支付；付款时中标人应出具与实际应付款数额相符的发票，如中标人迟延提交发票或者提交的发票不符合要求的，采购人顺延付款不视为违约，由此造成的损失由中标人自行承担）。最终月度服务费=当月实际服务面积×月度服务单价×月考核评分对应管理费比例-扣减金额。 2.本承包合同的管养经费由政府财政拨款，如因政策的影响，拨款未能及时到位，中标人不得以此为由而不履行本合同规定的义务。否则，采购人按规定扣取违约金。</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p/>
          <w:p>
            <w:r>
              <w:rPr/>
              <w:t>收取比例：5%,说明：说明：中标人应在领取中标通知书之后签订合同之前递交履约保证金，履约保证金可采用保证金（银行转账、电汇）方式，或采用履约保函方式。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报价要求，投标报价采取打包报价的方式，投标报价包括材料、工具、人工、管理费、利润、税金、风险、招标代理费用等一切因素所有应该和可能发生的费用因素。</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万科体育路公园、万科城小公园及万科花园公园综合管理服务项目</w:t>
            </w:r>
          </w:p>
        </w:tc>
        <w:tc>
          <w:tcPr>
            <w:tcW w:type="dxa" w:w="933"/>
          </w:tcPr>
          <w:p>
            <w:pPr>
              <w:jc w:val="left"/>
            </w:pPr>
            <w:r>
              <w:rPr/>
              <w:t>项</w:t>
            </w:r>
          </w:p>
        </w:tc>
        <w:tc>
          <w:tcPr>
            <w:tcW w:type="dxa" w:w="933"/>
          </w:tcPr>
          <w:p>
            <w:pPr>
              <w:jc w:val="right"/>
            </w:pPr>
            <w:r>
              <w:rPr/>
              <w:t>1.00</w:t>
            </w:r>
          </w:p>
        </w:tc>
        <w:tc>
          <w:tcPr>
            <w:tcW w:type="dxa" w:w="933"/>
          </w:tcPr>
          <w:p>
            <w:pPr>
              <w:jc w:val="right"/>
            </w:pPr>
            <w:r>
              <w:rPr/>
              <w:t>2,205,000.00</w:t>
            </w:r>
          </w:p>
        </w:tc>
        <w:tc>
          <w:tcPr>
            <w:tcW w:type="dxa" w:w="933"/>
          </w:tcPr>
          <w:p>
            <w:pPr>
              <w:jc w:val="right"/>
            </w:pPr>
            <w:r>
              <w:rPr/>
              <w:t>2,205,000.00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万科体育路公园、万科城小公园及万科花园公园综合管理服务项目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
            <w:pPr>
              <w:jc w:val="both"/>
            </w:pPr>
            <w:r>
              <w:rPr>
                <w:b/>
                <w:sz w:val="24"/>
              </w:rPr>
              <w:t>一、招标范围内主要服务内容</w:t>
            </w:r>
          </w:p>
          <w:p>
            <w:pPr>
              <w:ind w:firstLine="420"/>
              <w:jc w:val="both"/>
            </w:pPr>
            <w:r>
              <w:rPr>
                <w:sz w:val="21"/>
              </w:rPr>
              <w:t>虎门镇城区小公园综合管理服务项目包括：万科体育路公园、万科城小公园及万科花园公园。万科体育路公园位于虎门镇体育路，面积</w:t>
            </w:r>
            <w:r>
              <w:rPr>
                <w:sz w:val="21"/>
              </w:rPr>
              <w:t>2.5万平方米；万科城小公园位于虎门镇长德路，面积0.9万平方米；万科花园公园位于虎门镇百达路，面积约1.5万平方米。实际管理量以双方确认为淮，以增减签证作调整。</w:t>
            </w:r>
          </w:p>
          <w:p>
            <w:pPr>
              <w:ind w:firstLine="420"/>
              <w:jc w:val="both"/>
            </w:pPr>
            <w:r>
              <w:rPr>
                <w:sz w:val="21"/>
              </w:rPr>
              <w:t>合同期间，采购人有权根据实际情况对管理量和管理范围进行增减调整</w:t>
            </w:r>
            <w:r>
              <w:rPr>
                <w:sz w:val="21"/>
              </w:rPr>
              <w:t>,中标人无正当理由不能拒绝接管采购人移交的管理工作，也不能拒绝采购人对管理工作的增加或者减少。</w:t>
            </w:r>
          </w:p>
          <w:p>
            <w:pPr>
              <w:ind w:firstLine="420"/>
              <w:jc w:val="both"/>
            </w:pPr>
            <w:r>
              <w:rPr>
                <w:sz w:val="21"/>
              </w:rPr>
              <w:t>虎门镇城区小公园综合管理服务，包括但不限于：市政设施维修管理、环卫保洁（含水面保洁）、绿化养护、保安服务、秩序管理，日常巡查，相关抗灾突击、应急、迎检工作任务等。</w:t>
            </w:r>
            <w:r>
              <w:rPr>
                <w:sz w:val="21"/>
              </w:rPr>
              <w:t>本项目不得为中标方私自使用，是作为公共开放绿地及公共公园供市民休闲。</w:t>
            </w:r>
          </w:p>
          <w:p>
            <w:pPr>
              <w:ind w:firstLine="420"/>
              <w:jc w:val="both"/>
            </w:pPr>
            <w:r>
              <w:rPr>
                <w:sz w:val="21"/>
              </w:rPr>
              <w:t>1、绿化养护招标范围</w:t>
            </w:r>
          </w:p>
          <w:p>
            <w:pPr>
              <w:ind w:firstLine="420"/>
              <w:jc w:val="both"/>
            </w:pPr>
            <w:r>
              <w:rPr>
                <w:sz w:val="21"/>
              </w:rPr>
              <w:t>1.1修剪、施肥、浇水，除虫、绿地保洁；老化、病死、荫死及所有不明原因缺失的苗木、地被的复壮、补植等：</w:t>
            </w:r>
          </w:p>
          <w:p>
            <w:pPr>
              <w:ind w:firstLine="420"/>
              <w:jc w:val="both"/>
            </w:pPr>
            <w:r>
              <w:rPr>
                <w:sz w:val="21"/>
              </w:rPr>
              <w:t>1.2死苗要求及时清理，补植回原来的种类并力求规格与原来植株接近，以保证优良的景观效果；</w:t>
            </w:r>
          </w:p>
          <w:p>
            <w:pPr>
              <w:ind w:firstLine="420"/>
              <w:jc w:val="both"/>
            </w:pPr>
            <w:r>
              <w:rPr>
                <w:sz w:val="21"/>
              </w:rPr>
              <w:t>1.3绿地乱张贴（涂画）和乱拉挂清理、除“四害”、日常巡查等；</w:t>
            </w:r>
          </w:p>
          <w:p>
            <w:pPr>
              <w:ind w:firstLine="420"/>
              <w:jc w:val="both"/>
            </w:pPr>
            <w:r>
              <w:rPr>
                <w:sz w:val="21"/>
              </w:rPr>
              <w:t>2、环卫保洁招标范围</w:t>
            </w:r>
          </w:p>
          <w:p>
            <w:pPr>
              <w:ind w:firstLine="420"/>
              <w:jc w:val="both"/>
            </w:pPr>
            <w:r>
              <w:rPr>
                <w:sz w:val="21"/>
              </w:rPr>
              <w:t xml:space="preserve">2.1环卫清扫、保洁、洒水及下水道口、雨水井口清淘、喷药杀虫消毒;  </w:t>
            </w:r>
          </w:p>
          <w:p>
            <w:pPr>
              <w:ind w:firstLine="420"/>
              <w:jc w:val="both"/>
            </w:pPr>
            <w:r>
              <w:rPr>
                <w:sz w:val="21"/>
              </w:rPr>
              <w:t>2.2所有“牛皮癣”清理,如:果皮箱、护栏、灯柱、围墙、围挡等“乱张贴”的清洁和清理；</w:t>
            </w:r>
          </w:p>
          <w:p>
            <w:pPr>
              <w:ind w:firstLine="420"/>
              <w:jc w:val="both"/>
            </w:pPr>
            <w:r>
              <w:rPr>
                <w:sz w:val="21"/>
              </w:rPr>
              <w:t>2.3园区所有果皮箱的日常更换、清理、清洁和维护(含更换垃圾袋)、日常巡查。</w:t>
            </w:r>
          </w:p>
          <w:p>
            <w:pPr>
              <w:ind w:firstLine="420"/>
              <w:jc w:val="both"/>
            </w:pPr>
            <w:r>
              <w:rPr>
                <w:sz w:val="21"/>
              </w:rPr>
              <w:t>3、市政设施维护招标范围</w:t>
            </w:r>
          </w:p>
          <w:p>
            <w:pPr>
              <w:ind w:firstLine="420"/>
              <w:jc w:val="both"/>
            </w:pPr>
            <w:r>
              <w:rPr>
                <w:sz w:val="21"/>
              </w:rPr>
              <w:t>3.1维护市政公共设施维修和管理，包括砖路面、各类检查井盖井座、路缘石、护栏、围网、路灯、庭院灯、建（构）筑物等：</w:t>
            </w:r>
          </w:p>
          <w:p>
            <w:pPr>
              <w:ind w:firstLine="420"/>
              <w:jc w:val="both"/>
            </w:pPr>
            <w:r>
              <w:rPr>
                <w:sz w:val="21"/>
              </w:rPr>
              <w:t>3.2花岗岩挡车柱、反光柱、各类标志牌修补、标线标识维护、构建筑物维护</w:t>
            </w:r>
          </w:p>
          <w:p>
            <w:pPr>
              <w:ind w:firstLine="420"/>
              <w:jc w:val="both"/>
            </w:pPr>
            <w:r>
              <w:rPr>
                <w:sz w:val="21"/>
              </w:rPr>
              <w:t>3.3同时包括对维护范围内所有设施进行巡查。</w:t>
            </w:r>
          </w:p>
          <w:p>
            <w:pPr>
              <w:ind w:firstLine="420"/>
              <w:jc w:val="both"/>
            </w:pPr>
            <w:r>
              <w:rPr>
                <w:sz w:val="21"/>
              </w:rPr>
              <w:t>4、保安、秩序管理服务招标范围</w:t>
            </w:r>
          </w:p>
          <w:p>
            <w:pPr>
              <w:ind w:firstLine="420"/>
              <w:jc w:val="both"/>
            </w:pPr>
            <w:r>
              <w:rPr>
                <w:sz w:val="21"/>
              </w:rPr>
              <w:t>4.1对各乱摆卖摊贩的驱赶和劝离；对违规“乱拉挂”行为的制止和清理、对违规倾倒生活、建筑及工业垃圾行为的巡查和制止；对未经审批施工及施工过程中随意破坏市政设施行为的监管和制止；对焚烧垃圾的行为的巡查和制止；对乱堆放建筑材料行为的监管和制止；</w:t>
            </w:r>
          </w:p>
          <w:p>
            <w:pPr>
              <w:ind w:firstLine="420"/>
              <w:jc w:val="both"/>
            </w:pPr>
            <w:r>
              <w:rPr>
                <w:sz w:val="21"/>
              </w:rPr>
              <w:t>4.2对园区内各公园公共安全秩序的管理和维护，制止违章搭建、乱张贴广告、乱填土、路面污染、噪音污染、野泳、钓鱼、网鱼等违法行为，协助执法人员执法。</w:t>
            </w:r>
          </w:p>
          <w:p>
            <w:pPr>
              <w:ind w:firstLine="420"/>
              <w:jc w:val="both"/>
            </w:pPr>
            <w:r>
              <w:rPr>
                <w:sz w:val="21"/>
              </w:rPr>
              <w:t>4.3保安、秩序管理的日常巡查。</w:t>
            </w:r>
          </w:p>
          <w:p>
            <w:pPr>
              <w:ind w:firstLine="420"/>
              <w:jc w:val="both"/>
            </w:pPr>
            <w:r>
              <w:rPr>
                <w:sz w:val="21"/>
              </w:rPr>
              <w:t>5、其他要求</w:t>
            </w:r>
          </w:p>
          <w:p>
            <w:pPr>
              <w:ind w:firstLine="420"/>
              <w:jc w:val="both"/>
            </w:pPr>
            <w:r>
              <w:rPr>
                <w:sz w:val="21"/>
              </w:rPr>
              <w:t>无条件配合采购人开展各类活动和按要求落实各项宣传工作，协调解决群众提出的合理需求</w:t>
            </w:r>
          </w:p>
          <w:p>
            <w:pPr>
              <w:jc w:val="both"/>
            </w:pPr>
            <w:r>
              <w:rPr>
                <w:b/>
                <w:sz w:val="24"/>
              </w:rPr>
              <w:t>二、项目预算清单</w:t>
            </w:r>
          </w:p>
          <w:tbl>
            <w:tblPr>
              <w:tblBorders>
                <w:top w:val="none" w:color="000000" w:sz="4"/>
                <w:left w:val="none" w:color="000000" w:sz="4"/>
                <w:bottom w:val="none" w:color="000000" w:sz="4"/>
                <w:right w:val="none" w:color="000000" w:sz="4"/>
                <w:insideH w:val="none"/>
                <w:insideV w:val="none"/>
              </w:tblBorders>
            </w:tblPr>
            <w:tblGrid>
              <w:gridCol w:w="404"/>
              <w:gridCol w:w="790"/>
              <w:gridCol w:w="828"/>
              <w:gridCol w:w="722"/>
              <w:gridCol w:w="1088"/>
              <w:gridCol w:w="857"/>
              <w:gridCol w:w="886"/>
            </w:tblGrid>
            <w:tr>
              <w:tc>
                <w:tcPr>
                  <w:tcW w:type="dxa" w:w="40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90"/>
                  <w:tcBorders>
                    <w:top w:val="single" w:color="000000" w:sz="4"/>
                    <w:left w:val="none" w:color="000000" w:sz="4"/>
                    <w:bottom w:val="single" w:color="000000" w:sz="4"/>
                    <w:right w:val="single" w:color="000000" w:sz="4"/>
                  </w:tcBorders>
                  <w:vAlign w:val="top"/>
                </w:tcPr>
                <w:p>
                  <w:pPr>
                    <w:jc w:val="center"/>
                  </w:pPr>
                  <w:r>
                    <w:rPr>
                      <w:sz w:val="21"/>
                    </w:rPr>
                    <w:t>地点</w:t>
                  </w:r>
                </w:p>
              </w:tc>
              <w:tc>
                <w:tcPr>
                  <w:tcW w:type="dxa" w:w="828"/>
                  <w:tcBorders>
                    <w:top w:val="single" w:color="000000" w:sz="4"/>
                    <w:left w:val="none" w:color="000000" w:sz="4"/>
                    <w:bottom w:val="single" w:color="000000" w:sz="4"/>
                    <w:right w:val="single" w:color="000000" w:sz="4"/>
                  </w:tcBorders>
                  <w:vAlign w:val="top"/>
                </w:tcPr>
                <w:p>
                  <w:pPr>
                    <w:jc w:val="center"/>
                  </w:pPr>
                  <w:r>
                    <w:rPr>
                      <w:sz w:val="21"/>
                    </w:rPr>
                    <w:t>项目内容</w:t>
                  </w:r>
                </w:p>
              </w:tc>
              <w:tc>
                <w:tcPr>
                  <w:tcW w:type="dxa" w:w="722"/>
                  <w:tcBorders>
                    <w:top w:val="single" w:color="000000" w:sz="4"/>
                    <w:left w:val="none" w:color="000000" w:sz="4"/>
                    <w:bottom w:val="single" w:color="000000" w:sz="4"/>
                    <w:right w:val="single" w:color="000000" w:sz="4"/>
                  </w:tcBorders>
                  <w:vAlign w:val="top"/>
                </w:tcPr>
                <w:p>
                  <w:pPr>
                    <w:jc w:val="center"/>
                  </w:pPr>
                  <w:r>
                    <w:rPr>
                      <w:sz w:val="21"/>
                    </w:rPr>
                    <w:t>面积</w:t>
                  </w:r>
                  <w:r>
                    <w:rPr>
                      <w:sz w:val="21"/>
                    </w:rPr>
                    <w:t>(㎡)</w:t>
                  </w:r>
                </w:p>
              </w:tc>
              <w:tc>
                <w:tcPr>
                  <w:tcW w:type="dxa" w:w="1088"/>
                  <w:tcBorders>
                    <w:top w:val="single" w:color="000000" w:sz="4"/>
                    <w:left w:val="none" w:color="000000" w:sz="4"/>
                    <w:bottom w:val="single" w:color="000000" w:sz="4"/>
                    <w:right w:val="single" w:color="000000" w:sz="4"/>
                  </w:tcBorders>
                  <w:vAlign w:val="top"/>
                </w:tcPr>
                <w:p>
                  <w:pPr>
                    <w:jc w:val="center"/>
                  </w:pPr>
                  <w:r>
                    <w:rPr>
                      <w:sz w:val="21"/>
                    </w:rPr>
                    <w:t>综合服务单价</w:t>
                  </w:r>
                </w:p>
                <w:p>
                  <w:pPr>
                    <w:jc w:val="center"/>
                  </w:pPr>
                  <w:r>
                    <w:rPr>
                      <w:sz w:val="21"/>
                    </w:rPr>
                    <w:t>(元/平方米/年)</w:t>
                  </w:r>
                </w:p>
              </w:tc>
              <w:tc>
                <w:tcPr>
                  <w:tcW w:type="dxa" w:w="857"/>
                  <w:tcBorders>
                    <w:top w:val="single" w:color="000000" w:sz="4"/>
                    <w:left w:val="none" w:color="000000" w:sz="4"/>
                    <w:bottom w:val="single" w:color="000000" w:sz="4"/>
                    <w:right w:val="single" w:color="000000" w:sz="4"/>
                  </w:tcBorders>
                  <w:vAlign w:val="top"/>
                </w:tcPr>
                <w:p>
                  <w:pPr>
                    <w:jc w:val="center"/>
                  </w:pPr>
                  <w:r>
                    <w:rPr>
                      <w:sz w:val="21"/>
                    </w:rPr>
                    <w:t>每月承包款（元）</w:t>
                  </w:r>
                </w:p>
              </w:tc>
              <w:tc>
                <w:tcPr>
                  <w:tcW w:type="dxa" w:w="886"/>
                  <w:tcBorders>
                    <w:top w:val="single" w:color="000000" w:sz="4"/>
                    <w:left w:val="none" w:color="000000" w:sz="4"/>
                    <w:bottom w:val="single" w:color="000000" w:sz="4"/>
                    <w:right w:val="single" w:color="000000" w:sz="4"/>
                  </w:tcBorders>
                  <w:vAlign w:val="top"/>
                </w:tcPr>
                <w:p>
                  <w:pPr>
                    <w:jc w:val="center"/>
                  </w:pPr>
                  <w:r>
                    <w:rPr>
                      <w:sz w:val="21"/>
                    </w:rPr>
                    <w:t>每年承包款（元）</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90"/>
                  <w:tcBorders>
                    <w:top w:val="none" w:color="000000" w:sz="4"/>
                    <w:left w:val="none" w:color="000000" w:sz="4"/>
                    <w:bottom w:val="single" w:color="000000" w:sz="4"/>
                    <w:right w:val="single" w:color="000000" w:sz="4"/>
                  </w:tcBorders>
                  <w:vAlign w:val="top"/>
                </w:tcPr>
                <w:p>
                  <w:pPr>
                    <w:jc w:val="center"/>
                  </w:pPr>
                  <w:r>
                    <w:rPr>
                      <w:sz w:val="21"/>
                    </w:rPr>
                    <w:t>万科体育路公园</w:t>
                  </w:r>
                </w:p>
              </w:tc>
              <w:tc>
                <w:tcPr>
                  <w:tcW w:type="dxa" w:w="828"/>
                  <w:tcBorders>
                    <w:top w:val="none" w:color="000000" w:sz="4"/>
                    <w:left w:val="none" w:color="000000" w:sz="4"/>
                    <w:bottom w:val="single" w:color="000000" w:sz="4"/>
                    <w:right w:val="single" w:color="000000" w:sz="4"/>
                  </w:tcBorders>
                  <w:vAlign w:val="top"/>
                </w:tcPr>
                <w:p>
                  <w:pPr>
                    <w:jc w:val="center"/>
                  </w:pPr>
                  <w:r>
                    <w:rPr>
                      <w:sz w:val="21"/>
                    </w:rPr>
                    <w:t>公园综合管理服务</w:t>
                  </w:r>
                </w:p>
              </w:tc>
              <w:tc>
                <w:tcPr>
                  <w:tcW w:type="dxa" w:w="722"/>
                  <w:tcBorders>
                    <w:top w:val="none" w:color="000000" w:sz="4"/>
                    <w:left w:val="none" w:color="000000" w:sz="4"/>
                    <w:bottom w:val="single" w:color="000000" w:sz="4"/>
                    <w:right w:val="single" w:color="000000" w:sz="4"/>
                  </w:tcBorders>
                  <w:vAlign w:val="top"/>
                </w:tcPr>
                <w:p>
                  <w:pPr>
                    <w:jc w:val="center"/>
                  </w:pPr>
                  <w:r>
                    <w:rPr>
                      <w:sz w:val="21"/>
                    </w:rPr>
                    <w:t>25000</w:t>
                  </w:r>
                </w:p>
              </w:tc>
              <w:tc>
                <w:tcPr>
                  <w:tcW w:type="dxa" w:w="1088"/>
                  <w:tcBorders>
                    <w:top w:val="none" w:color="000000" w:sz="4"/>
                    <w:left w:val="none" w:color="000000" w:sz="4"/>
                    <w:bottom w:val="single" w:color="000000" w:sz="4"/>
                    <w:right w:val="single" w:color="000000" w:sz="4"/>
                  </w:tcBorders>
                  <w:vAlign w:val="top"/>
                </w:tcPr>
                <w:p>
                  <w:pPr>
                    <w:jc w:val="center"/>
                  </w:pPr>
                  <w:r>
                    <w:rPr>
                      <w:sz w:val="21"/>
                    </w:rPr>
                    <w:t>15</w:t>
                  </w:r>
                </w:p>
              </w:tc>
              <w:tc>
                <w:tcPr>
                  <w:tcW w:type="dxa" w:w="857"/>
                  <w:tcBorders>
                    <w:top w:val="none" w:color="000000" w:sz="4"/>
                    <w:left w:val="none" w:color="000000" w:sz="4"/>
                    <w:bottom w:val="single" w:color="000000" w:sz="4"/>
                    <w:right w:val="single" w:color="000000" w:sz="4"/>
                  </w:tcBorders>
                  <w:vAlign w:val="top"/>
                </w:tcPr>
                <w:p>
                  <w:pPr>
                    <w:jc w:val="center"/>
                  </w:pPr>
                  <w:r>
                    <w:rPr>
                      <w:sz w:val="21"/>
                    </w:rPr>
                    <w:t>31250</w:t>
                  </w:r>
                </w:p>
              </w:tc>
              <w:tc>
                <w:tcPr>
                  <w:tcW w:type="dxa" w:w="886"/>
                  <w:tcBorders>
                    <w:top w:val="none" w:color="000000" w:sz="4"/>
                    <w:left w:val="none" w:color="000000" w:sz="4"/>
                    <w:bottom w:val="single" w:color="000000" w:sz="4"/>
                    <w:right w:val="single" w:color="000000" w:sz="4"/>
                  </w:tcBorders>
                  <w:vAlign w:val="top"/>
                </w:tcPr>
                <w:p>
                  <w:pPr>
                    <w:jc w:val="center"/>
                  </w:pPr>
                  <w:r>
                    <w:rPr>
                      <w:sz w:val="21"/>
                    </w:rPr>
                    <w:t>375000</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90"/>
                  <w:tcBorders>
                    <w:top w:val="none" w:color="000000" w:sz="4"/>
                    <w:left w:val="none" w:color="000000" w:sz="4"/>
                    <w:bottom w:val="single" w:color="000000" w:sz="4"/>
                    <w:right w:val="single" w:color="000000" w:sz="4"/>
                  </w:tcBorders>
                  <w:vAlign w:val="top"/>
                </w:tcPr>
                <w:p>
                  <w:pPr>
                    <w:jc w:val="center"/>
                  </w:pPr>
                  <w:r>
                    <w:rPr>
                      <w:sz w:val="21"/>
                    </w:rPr>
                    <w:t>万科城小公园</w:t>
                  </w:r>
                </w:p>
              </w:tc>
              <w:tc>
                <w:tcPr>
                  <w:tcW w:type="dxa" w:w="828"/>
                  <w:tcBorders>
                    <w:top w:val="none" w:color="000000" w:sz="4"/>
                    <w:left w:val="none" w:color="000000" w:sz="4"/>
                    <w:bottom w:val="single" w:color="000000" w:sz="4"/>
                    <w:right w:val="single" w:color="000000" w:sz="4"/>
                  </w:tcBorders>
                  <w:vAlign w:val="top"/>
                </w:tcPr>
                <w:p>
                  <w:pPr>
                    <w:jc w:val="center"/>
                  </w:pPr>
                  <w:r>
                    <w:rPr>
                      <w:sz w:val="21"/>
                    </w:rPr>
                    <w:t>公园综合管理服务</w:t>
                  </w:r>
                </w:p>
              </w:tc>
              <w:tc>
                <w:tcPr>
                  <w:tcW w:type="dxa" w:w="722"/>
                  <w:tcBorders>
                    <w:top w:val="none" w:color="000000" w:sz="4"/>
                    <w:left w:val="none" w:color="000000" w:sz="4"/>
                    <w:bottom w:val="single" w:color="000000" w:sz="4"/>
                    <w:right w:val="single" w:color="000000" w:sz="4"/>
                  </w:tcBorders>
                  <w:vAlign w:val="top"/>
                </w:tcPr>
                <w:p>
                  <w:pPr>
                    <w:jc w:val="center"/>
                  </w:pPr>
                  <w:r>
                    <w:rPr>
                      <w:sz w:val="21"/>
                    </w:rPr>
                    <w:t>9000</w:t>
                  </w:r>
                </w:p>
              </w:tc>
              <w:tc>
                <w:tcPr>
                  <w:tcW w:type="dxa" w:w="1088"/>
                  <w:tcBorders>
                    <w:top w:val="none" w:color="000000" w:sz="4"/>
                    <w:left w:val="none" w:color="000000" w:sz="4"/>
                    <w:bottom w:val="single" w:color="000000" w:sz="4"/>
                    <w:right w:val="single" w:color="000000" w:sz="4"/>
                  </w:tcBorders>
                  <w:vAlign w:val="top"/>
                </w:tcPr>
                <w:p>
                  <w:pPr>
                    <w:jc w:val="center"/>
                  </w:pPr>
                  <w:r>
                    <w:rPr>
                      <w:sz w:val="21"/>
                    </w:rPr>
                    <w:t>15</w:t>
                  </w:r>
                </w:p>
              </w:tc>
              <w:tc>
                <w:tcPr>
                  <w:tcW w:type="dxa" w:w="857"/>
                  <w:tcBorders>
                    <w:top w:val="none" w:color="000000" w:sz="4"/>
                    <w:left w:val="none" w:color="000000" w:sz="4"/>
                    <w:bottom w:val="single" w:color="000000" w:sz="4"/>
                    <w:right w:val="single" w:color="000000" w:sz="4"/>
                  </w:tcBorders>
                  <w:vAlign w:val="top"/>
                </w:tcPr>
                <w:p>
                  <w:pPr>
                    <w:jc w:val="center"/>
                  </w:pPr>
                  <w:r>
                    <w:rPr>
                      <w:sz w:val="21"/>
                    </w:rPr>
                    <w:t>11250</w:t>
                  </w:r>
                </w:p>
              </w:tc>
              <w:tc>
                <w:tcPr>
                  <w:tcW w:type="dxa" w:w="886"/>
                  <w:tcBorders>
                    <w:top w:val="none" w:color="000000" w:sz="4"/>
                    <w:left w:val="none" w:color="000000" w:sz="4"/>
                    <w:bottom w:val="single" w:color="000000" w:sz="4"/>
                    <w:right w:val="single" w:color="000000" w:sz="4"/>
                  </w:tcBorders>
                  <w:vAlign w:val="top"/>
                </w:tcPr>
                <w:p>
                  <w:pPr>
                    <w:jc w:val="center"/>
                  </w:pPr>
                  <w:r>
                    <w:rPr>
                      <w:sz w:val="21"/>
                    </w:rPr>
                    <w:t>135000</w:t>
                  </w:r>
                </w:p>
              </w:tc>
            </w:tr>
            <w:tr>
              <w:tc>
                <w:tcPr>
                  <w:tcW w:type="dxa" w:w="40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90"/>
                  <w:tcBorders>
                    <w:top w:val="none" w:color="000000" w:sz="4"/>
                    <w:left w:val="none" w:color="000000" w:sz="4"/>
                    <w:bottom w:val="single" w:color="000000" w:sz="4"/>
                    <w:right w:val="single" w:color="000000" w:sz="4"/>
                  </w:tcBorders>
                  <w:vAlign w:val="top"/>
                </w:tcPr>
                <w:p>
                  <w:pPr>
                    <w:jc w:val="center"/>
                  </w:pPr>
                  <w:r>
                    <w:rPr>
                      <w:sz w:val="21"/>
                    </w:rPr>
                    <w:t>万科花园公园</w:t>
                  </w:r>
                </w:p>
              </w:tc>
              <w:tc>
                <w:tcPr>
                  <w:tcW w:type="dxa" w:w="828"/>
                  <w:tcBorders>
                    <w:top w:val="none" w:color="000000" w:sz="4"/>
                    <w:left w:val="none" w:color="000000" w:sz="4"/>
                    <w:bottom w:val="single" w:color="000000" w:sz="4"/>
                    <w:right w:val="single" w:color="000000" w:sz="4"/>
                  </w:tcBorders>
                  <w:vAlign w:val="top"/>
                </w:tcPr>
                <w:p>
                  <w:pPr>
                    <w:jc w:val="center"/>
                  </w:pPr>
                  <w:r>
                    <w:rPr>
                      <w:sz w:val="21"/>
                    </w:rPr>
                    <w:t>公园综合管理服务</w:t>
                  </w:r>
                </w:p>
              </w:tc>
              <w:tc>
                <w:tcPr>
                  <w:tcW w:type="dxa" w:w="722"/>
                  <w:tcBorders>
                    <w:top w:val="none" w:color="000000" w:sz="4"/>
                    <w:left w:val="none" w:color="000000" w:sz="4"/>
                    <w:bottom w:val="single" w:color="000000" w:sz="4"/>
                    <w:right w:val="single" w:color="000000" w:sz="4"/>
                  </w:tcBorders>
                  <w:vAlign w:val="top"/>
                </w:tcPr>
                <w:p>
                  <w:pPr>
                    <w:jc w:val="center"/>
                  </w:pPr>
                  <w:r>
                    <w:rPr>
                      <w:sz w:val="21"/>
                    </w:rPr>
                    <w:t>15000</w:t>
                  </w:r>
                </w:p>
              </w:tc>
              <w:tc>
                <w:tcPr>
                  <w:tcW w:type="dxa" w:w="1088"/>
                  <w:tcBorders>
                    <w:top w:val="none" w:color="000000" w:sz="4"/>
                    <w:left w:val="none" w:color="000000" w:sz="4"/>
                    <w:bottom w:val="single" w:color="000000" w:sz="4"/>
                    <w:right w:val="single" w:color="000000" w:sz="4"/>
                  </w:tcBorders>
                  <w:vAlign w:val="top"/>
                </w:tcPr>
                <w:p>
                  <w:pPr>
                    <w:jc w:val="center"/>
                  </w:pPr>
                  <w:r>
                    <w:rPr>
                      <w:sz w:val="21"/>
                    </w:rPr>
                    <w:t>15</w:t>
                  </w:r>
                </w:p>
              </w:tc>
              <w:tc>
                <w:tcPr>
                  <w:tcW w:type="dxa" w:w="857"/>
                  <w:tcBorders>
                    <w:top w:val="none" w:color="000000" w:sz="4"/>
                    <w:left w:val="none" w:color="000000" w:sz="4"/>
                    <w:bottom w:val="single" w:color="000000" w:sz="4"/>
                    <w:right w:val="single" w:color="000000" w:sz="4"/>
                  </w:tcBorders>
                  <w:vAlign w:val="top"/>
                </w:tcPr>
                <w:p>
                  <w:pPr>
                    <w:jc w:val="center"/>
                  </w:pPr>
                  <w:r>
                    <w:rPr>
                      <w:sz w:val="21"/>
                    </w:rPr>
                    <w:t>18750</w:t>
                  </w:r>
                </w:p>
              </w:tc>
              <w:tc>
                <w:tcPr>
                  <w:tcW w:type="dxa" w:w="886"/>
                  <w:tcBorders>
                    <w:top w:val="none" w:color="000000" w:sz="4"/>
                    <w:left w:val="none" w:color="000000" w:sz="4"/>
                    <w:bottom w:val="single" w:color="000000" w:sz="4"/>
                    <w:right w:val="single" w:color="000000" w:sz="4"/>
                  </w:tcBorders>
                  <w:vAlign w:val="top"/>
                </w:tcPr>
                <w:p>
                  <w:pPr>
                    <w:jc w:val="center"/>
                  </w:pPr>
                  <w:r>
                    <w:rPr>
                      <w:sz w:val="21"/>
                    </w:rPr>
                    <w:t>225000</w:t>
                  </w:r>
                </w:p>
              </w:tc>
            </w:tr>
            <w:tr>
              <w:tc>
                <w:tcPr>
                  <w:tcW w:type="dxa" w:w="2022"/>
                  <w:gridSpan w:val="3"/>
                  <w:tcBorders>
                    <w:top w:val="none" w:color="000000" w:sz="4"/>
                    <w:left w:val="single" w:color="000000" w:sz="4"/>
                    <w:bottom w:val="single" w:color="000000" w:sz="4"/>
                    <w:right w:val="single" w:color="000000" w:sz="4"/>
                  </w:tcBorders>
                  <w:vAlign w:val="top"/>
                </w:tcPr>
                <w:p>
                  <w:pPr>
                    <w:jc w:val="center"/>
                  </w:pPr>
                  <w:r>
                    <w:rPr>
                      <w:sz w:val="21"/>
                    </w:rPr>
                    <w:t>小</w:t>
                  </w:r>
                  <w:r>
                    <w:rPr>
                      <w:sz w:val="21"/>
                    </w:rPr>
                    <w:t>计</w:t>
                  </w:r>
                </w:p>
              </w:tc>
              <w:tc>
                <w:tcPr>
                  <w:tcW w:type="dxa" w:w="722"/>
                  <w:tcBorders>
                    <w:top w:val="none" w:color="000000" w:sz="4"/>
                    <w:left w:val="none" w:color="000000" w:sz="4"/>
                    <w:bottom w:val="single" w:color="000000" w:sz="4"/>
                    <w:right w:val="single" w:color="000000" w:sz="4"/>
                  </w:tcBorders>
                  <w:vAlign w:val="top"/>
                </w:tcPr>
                <w:p>
                  <w:pPr>
                    <w:jc w:val="center"/>
                  </w:pPr>
                  <w:r>
                    <w:rPr>
                      <w:sz w:val="21"/>
                    </w:rPr>
                    <w:t>49000</w:t>
                  </w:r>
                </w:p>
              </w:tc>
              <w:tc>
                <w:tcPr>
                  <w:tcW w:type="dxa" w:w="1088"/>
                  <w:tcBorders>
                    <w:top w:val="none" w:color="000000" w:sz="4"/>
                    <w:left w:val="none" w:color="000000" w:sz="4"/>
                    <w:bottom w:val="single" w:color="000000" w:sz="4"/>
                    <w:right w:val="single" w:color="000000" w:sz="4"/>
                  </w:tcBorders>
                  <w:vAlign w:val="top"/>
                </w:tcPr>
                <w:p>
                  <w:pPr>
                    <w:jc w:val="center"/>
                  </w:pPr>
                  <w:r>
                    <w:rPr>
                      <w:sz w:val="21"/>
                    </w:rPr>
                    <w:t>15</w:t>
                  </w:r>
                </w:p>
              </w:tc>
              <w:tc>
                <w:tcPr>
                  <w:tcW w:type="dxa" w:w="857"/>
                  <w:tcBorders>
                    <w:top w:val="none" w:color="000000" w:sz="4"/>
                    <w:left w:val="none" w:color="000000" w:sz="4"/>
                    <w:bottom w:val="single" w:color="000000" w:sz="4"/>
                    <w:right w:val="single" w:color="000000" w:sz="4"/>
                  </w:tcBorders>
                  <w:vAlign w:val="top"/>
                </w:tcPr>
                <w:p>
                  <w:pPr>
                    <w:jc w:val="center"/>
                  </w:pPr>
                  <w:r>
                    <w:rPr>
                      <w:sz w:val="21"/>
                    </w:rPr>
                    <w:t>61250</w:t>
                  </w:r>
                </w:p>
              </w:tc>
              <w:tc>
                <w:tcPr>
                  <w:tcW w:type="dxa" w:w="886"/>
                  <w:tcBorders>
                    <w:top w:val="none" w:color="000000" w:sz="4"/>
                    <w:left w:val="none" w:color="000000" w:sz="4"/>
                    <w:bottom w:val="single" w:color="000000" w:sz="4"/>
                    <w:right w:val="single" w:color="000000" w:sz="4"/>
                  </w:tcBorders>
                  <w:vAlign w:val="top"/>
                </w:tcPr>
                <w:p>
                  <w:pPr>
                    <w:jc w:val="center"/>
                  </w:pPr>
                  <w:r>
                    <w:rPr>
                      <w:sz w:val="21"/>
                    </w:rPr>
                    <w:t>735000</w:t>
                  </w:r>
                </w:p>
              </w:tc>
            </w:tr>
            <w:tr>
              <w:tc>
                <w:tcPr>
                  <w:tcW w:type="dxa" w:w="2022"/>
                  <w:gridSpan w:val="3"/>
                  <w:tcBorders>
                    <w:top w:val="none" w:color="000000" w:sz="4"/>
                    <w:left w:val="single" w:color="000000" w:sz="4"/>
                    <w:bottom w:val="single" w:color="000000" w:sz="4"/>
                    <w:right w:val="single" w:color="000000" w:sz="4"/>
                  </w:tcBorders>
                  <w:vAlign w:val="top"/>
                </w:tcPr>
                <w:p>
                  <w:pPr>
                    <w:jc w:val="center"/>
                  </w:pPr>
                  <w:r>
                    <w:rPr>
                      <w:sz w:val="21"/>
                    </w:rPr>
                    <w:t>三年总预算（元）</w:t>
                  </w:r>
                </w:p>
              </w:tc>
              <w:tc>
                <w:tcPr>
                  <w:tcW w:type="dxa" w:w="3553"/>
                  <w:gridSpan w:val="4"/>
                  <w:tcBorders>
                    <w:top w:val="none" w:color="000000" w:sz="4"/>
                    <w:left w:val="none" w:color="000000" w:sz="4"/>
                    <w:bottom w:val="single" w:color="000000" w:sz="4"/>
                    <w:right w:val="single" w:color="000000" w:sz="4"/>
                  </w:tcBorders>
                  <w:vAlign w:val="top"/>
                </w:tcPr>
                <w:p>
                  <w:pPr>
                    <w:jc w:val="center"/>
                  </w:pPr>
                  <w:r>
                    <w:rPr>
                      <w:sz w:val="21"/>
                    </w:rPr>
                    <w:t>2205000</w:t>
                  </w:r>
                </w:p>
              </w:tc>
            </w:tr>
          </w:tbl>
          <w:p>
            <w:pPr>
              <w:jc w:val="both"/>
            </w:pPr>
          </w:p>
          <w:p>
            <w:pPr>
              <w:jc w:val="both"/>
            </w:pPr>
            <w:r>
              <w:rPr>
                <w:b/>
                <w:sz w:val="24"/>
              </w:rPr>
              <w:t>三、服务要求</w:t>
            </w:r>
          </w:p>
          <w:p>
            <w:pPr>
              <w:jc w:val="left"/>
            </w:pPr>
            <w:r>
              <w:rPr>
                <w:b/>
                <w:sz w:val="21"/>
              </w:rPr>
              <w:t>(一)绿化养护服务要求</w:t>
            </w:r>
          </w:p>
          <w:p>
            <w:pPr>
              <w:ind w:firstLine="420"/>
              <w:jc w:val="both"/>
            </w:pPr>
            <w:r>
              <w:rPr>
                <w:sz w:val="21"/>
              </w:rPr>
              <w:t>1、机械设备要求具有足够的剪草机、疏草机、修边机、打孔机、打药机、绿篱机、新型手推密闭垃圾收集车及铲、扫把、除“四害”工具等管理机械设备。</w:t>
            </w:r>
          </w:p>
          <w:p>
            <w:pPr>
              <w:ind w:firstLine="420"/>
              <w:jc w:val="both"/>
            </w:pPr>
            <w:r>
              <w:rPr>
                <w:sz w:val="21"/>
              </w:rPr>
              <w:t>2、人员要求</w:t>
            </w:r>
          </w:p>
          <w:p>
            <w:pPr>
              <w:ind w:firstLine="420"/>
              <w:jc w:val="both"/>
            </w:pPr>
            <w:r>
              <w:rPr>
                <w:sz w:val="21"/>
              </w:rPr>
              <w:t>绿化养护工人不少于</w:t>
            </w:r>
            <w:r>
              <w:rPr>
                <w:sz w:val="21"/>
              </w:rPr>
              <w:t>4人。</w:t>
            </w:r>
          </w:p>
          <w:p>
            <w:pPr>
              <w:ind w:firstLine="420"/>
              <w:jc w:val="both"/>
            </w:pPr>
            <w:r>
              <w:rPr>
                <w:sz w:val="21"/>
              </w:rPr>
              <w:t>3、其他要求</w:t>
            </w:r>
          </w:p>
          <w:p>
            <w:pPr>
              <w:ind w:firstLine="420"/>
              <w:jc w:val="both"/>
            </w:pPr>
            <w:r>
              <w:rPr>
                <w:sz w:val="21"/>
              </w:rPr>
              <w:t>①中标人须每月提交书面当月的管理记录，保证记录符合真实情况。</w:t>
            </w:r>
          </w:p>
          <w:p>
            <w:pPr>
              <w:ind w:firstLine="420"/>
              <w:jc w:val="both"/>
            </w:pPr>
            <w:r>
              <w:rPr>
                <w:sz w:val="21"/>
              </w:rPr>
              <w:t>②不管何种原因，一经发现绿化有缺损情况，中标人必须于三天内更换行道树及绿地。</w:t>
            </w:r>
          </w:p>
          <w:p>
            <w:pPr>
              <w:ind w:firstLine="420"/>
              <w:jc w:val="both"/>
            </w:pPr>
            <w:r>
              <w:rPr>
                <w:sz w:val="21"/>
              </w:rPr>
              <w:t>③中标人进行施肥、喷药前，应通知采购人现场验收肥料、农药。</w:t>
            </w:r>
          </w:p>
          <w:p>
            <w:pPr>
              <w:ind w:firstLine="420"/>
              <w:jc w:val="both"/>
            </w:pPr>
            <w:r>
              <w:rPr>
                <w:sz w:val="21"/>
              </w:rPr>
              <w:t>④中标人每年不少于两次刷树干白灰。</w:t>
            </w:r>
          </w:p>
          <w:p>
            <w:pPr>
              <w:ind w:firstLine="420"/>
              <w:jc w:val="both"/>
            </w:pPr>
            <w:r>
              <w:rPr>
                <w:sz w:val="21"/>
              </w:rPr>
              <w:t>⑤树撑：树撑要及时检修，根据实际情况进行调整、修复或拆除。</w:t>
            </w:r>
          </w:p>
          <w:p>
            <w:pPr>
              <w:jc w:val="left"/>
            </w:pPr>
            <w:r>
              <w:rPr>
                <w:b/>
                <w:sz w:val="21"/>
              </w:rPr>
              <w:t>(二)环卫保洁服务要求</w:t>
            </w:r>
          </w:p>
          <w:p>
            <w:pPr>
              <w:ind w:firstLine="420"/>
              <w:jc w:val="both"/>
            </w:pPr>
            <w:r>
              <w:rPr>
                <w:sz w:val="21"/>
              </w:rPr>
              <w:t>1、园区环卫清扫保洁要求</w:t>
            </w:r>
          </w:p>
          <w:p>
            <w:pPr>
              <w:ind w:firstLine="420"/>
              <w:jc w:val="both"/>
            </w:pPr>
            <w:r>
              <w:rPr>
                <w:sz w:val="21"/>
              </w:rPr>
              <w:t>①突击清洁任务，根据要求，一个小时内调动人手完成临时的清洁任务。</w:t>
            </w:r>
          </w:p>
          <w:p>
            <w:pPr>
              <w:ind w:firstLine="420"/>
              <w:jc w:val="both"/>
            </w:pPr>
            <w:r>
              <w:rPr>
                <w:sz w:val="21"/>
              </w:rPr>
              <w:t>②对果皮箱每天按时清掏，保持外观清洁；损坏在2个工作日内及时维修。</w:t>
            </w:r>
          </w:p>
          <w:p>
            <w:pPr>
              <w:ind w:firstLine="420"/>
              <w:jc w:val="both"/>
            </w:pPr>
            <w:r>
              <w:rPr>
                <w:sz w:val="21"/>
              </w:rPr>
              <w:t>2、机械设备及作业要求</w:t>
            </w:r>
          </w:p>
          <w:p>
            <w:pPr>
              <w:ind w:firstLine="420"/>
              <w:jc w:val="both"/>
            </w:pPr>
            <w:r>
              <w:rPr>
                <w:sz w:val="21"/>
              </w:rPr>
              <w:t>垃圾收集车配备</w:t>
            </w:r>
            <w:r>
              <w:rPr>
                <w:sz w:val="21"/>
              </w:rPr>
              <w:t>1台,清理牛皮癣机4台以上、清扫工程用车电动化比率合上级部门要求。密封手推车、铲，扫把，除“四害”工具批（5-11月，每月消毒、杀菌二次,12-4月,每月消毒、杀菌一次)等。</w:t>
            </w:r>
          </w:p>
          <w:p>
            <w:pPr>
              <w:ind w:firstLine="420"/>
              <w:jc w:val="both"/>
            </w:pPr>
            <w:r>
              <w:rPr>
                <w:sz w:val="21"/>
              </w:rPr>
              <w:t>3.人员要求</w:t>
            </w:r>
          </w:p>
          <w:p>
            <w:pPr>
              <w:ind w:firstLine="420"/>
              <w:jc w:val="both"/>
            </w:pPr>
            <w:r>
              <w:rPr>
                <w:sz w:val="21"/>
              </w:rPr>
              <w:t>环卫保洁工人不少于</w:t>
            </w:r>
            <w:r>
              <w:rPr>
                <w:sz w:val="21"/>
              </w:rPr>
              <w:t>6人，</w:t>
            </w:r>
          </w:p>
          <w:p>
            <w:pPr>
              <w:ind w:firstLine="420"/>
              <w:jc w:val="both"/>
            </w:pPr>
            <w:r>
              <w:rPr>
                <w:sz w:val="21"/>
              </w:rPr>
              <w:t>4.其他要求</w:t>
            </w:r>
          </w:p>
          <w:p>
            <w:pPr>
              <w:ind w:firstLine="420"/>
              <w:jc w:val="both"/>
            </w:pPr>
            <w:r>
              <w:rPr>
                <w:sz w:val="21"/>
              </w:rPr>
              <w:t>①中标后，中标人在合同签订后7天须按上述要求备好相关的人员和设备，交采购人检查确认。</w:t>
            </w:r>
          </w:p>
          <w:p>
            <w:pPr>
              <w:ind w:firstLine="420"/>
              <w:jc w:val="both"/>
            </w:pPr>
            <w:r>
              <w:rPr>
                <w:sz w:val="21"/>
              </w:rPr>
              <w:t>②中标人在每月10日前必须发放上个月员工工资。</w:t>
            </w:r>
          </w:p>
          <w:p>
            <w:pPr>
              <w:ind w:firstLine="420"/>
              <w:jc w:val="both"/>
            </w:pPr>
            <w:r>
              <w:rPr>
                <w:sz w:val="21"/>
              </w:rPr>
              <w:t>③中标人必须按规定为员工购买相关险种。</w:t>
            </w:r>
          </w:p>
          <w:p>
            <w:pPr>
              <w:ind w:firstLine="420"/>
              <w:jc w:val="both"/>
            </w:pPr>
            <w:r>
              <w:rPr>
                <w:sz w:val="21"/>
              </w:rPr>
              <w:t>④中标人需无条件协助采购人进行园区内的应急处理工作。</w:t>
            </w:r>
          </w:p>
          <w:p>
            <w:pPr>
              <w:ind w:firstLine="420"/>
              <w:jc w:val="both"/>
            </w:pPr>
            <w:r>
              <w:rPr>
                <w:sz w:val="21"/>
              </w:rPr>
              <w:t>⑤投标人在投标文件中所作的承诺均具有法律效力，若其中标需按其承诺的内容实施环卫保洁，投标人在报价时应充分考虑其承诺内容所产生的费用。</w:t>
            </w:r>
          </w:p>
          <w:p>
            <w:pPr>
              <w:jc w:val="left"/>
            </w:pPr>
            <w:r>
              <w:rPr>
                <w:b/>
                <w:sz w:val="21"/>
              </w:rPr>
              <w:t>(三)市政设施维护服务要求</w:t>
            </w:r>
          </w:p>
          <w:p>
            <w:pPr>
              <w:ind w:firstLine="420"/>
              <w:jc w:val="both"/>
            </w:pPr>
            <w:r>
              <w:rPr>
                <w:sz w:val="21"/>
              </w:rPr>
              <w:t>1、人员要求</w:t>
            </w:r>
          </w:p>
          <w:p>
            <w:pPr>
              <w:ind w:firstLine="420"/>
              <w:jc w:val="both"/>
            </w:pPr>
            <w:r>
              <w:rPr>
                <w:sz w:val="21"/>
              </w:rPr>
              <w:t>持证水电工不少于</w:t>
            </w:r>
            <w:r>
              <w:rPr>
                <w:sz w:val="21"/>
              </w:rPr>
              <w:t>2名，</w:t>
            </w:r>
          </w:p>
          <w:p>
            <w:pPr>
              <w:ind w:firstLine="420"/>
              <w:jc w:val="both"/>
            </w:pPr>
            <w:r>
              <w:rPr>
                <w:sz w:val="21"/>
              </w:rPr>
              <w:t>2、应急项目（如：突击任务抢修、领导交办、网络问政、恶劣天气、市政危险源等需短时间内完成的紧急项目)，中标人必须在接到维护通知1.5小时内到达现场，对应急事件做出回应并马上进行妥善处理。</w:t>
            </w:r>
          </w:p>
          <w:p>
            <w:pPr>
              <w:ind w:firstLine="420"/>
              <w:jc w:val="both"/>
            </w:pPr>
            <w:r>
              <w:rPr>
                <w:sz w:val="21"/>
              </w:rPr>
              <w:t>3、中标人每天对维护范围内的所有设施进行巡查；如发现问题，负责按规范要求设置安全警示，并进行拍照丈量，向采购人提交照片及相关资料，待采购人确认并同意施工后，方能对现场进行施工。</w:t>
            </w:r>
          </w:p>
          <w:p>
            <w:pPr>
              <w:ind w:firstLine="420"/>
              <w:jc w:val="both"/>
            </w:pPr>
            <w:r>
              <w:rPr>
                <w:sz w:val="21"/>
              </w:rPr>
              <w:t>4、中标人应设立每日巡查制度和群众投诉电话，发现问题要及时记录并上报采购人。所有市政设施发现被损坏或被盗，存在安全隐患的，必须立刻上报采购人，采购人同意施工的，必须在12小时内修复，特殊原因不能立即修复的必须在2小时内做好安全警示。</w:t>
            </w:r>
          </w:p>
          <w:p>
            <w:pPr>
              <w:ind w:firstLine="420"/>
              <w:jc w:val="both"/>
            </w:pPr>
            <w:r>
              <w:rPr>
                <w:sz w:val="21"/>
              </w:rPr>
              <w:t>5、在协议服务期限内，如有紧急或重要任务的，中标人必须无条件承接和服从采购人的工作安排，包括跨区域的工作任务。</w:t>
            </w:r>
          </w:p>
          <w:p>
            <w:pPr>
              <w:ind w:firstLine="420"/>
              <w:jc w:val="both"/>
            </w:pPr>
            <w:r>
              <w:rPr>
                <w:sz w:val="21"/>
              </w:rPr>
              <w:t>6、如因中标人未能按要求及时到达现场并做好安全警示工作，或未按时间要求完成修复工作，而造成恶劣影响的，需赔偿采购人全部损失，并向采购人支付5000-10000元违约金，情节严重的，采购人有权单方面解除合同。</w:t>
            </w:r>
          </w:p>
          <w:p>
            <w:pPr>
              <w:jc w:val="left"/>
            </w:pPr>
            <w:r>
              <w:rPr>
                <w:b/>
                <w:sz w:val="21"/>
              </w:rPr>
              <w:t>(四)保安服务要求</w:t>
            </w:r>
          </w:p>
          <w:p>
            <w:pPr>
              <w:ind w:firstLine="420"/>
              <w:jc w:val="both"/>
            </w:pPr>
            <w:r>
              <w:rPr>
                <w:sz w:val="21"/>
              </w:rPr>
              <w:t>1、服务内容：主要承担对园区各乱摆卖摊贩的驱赶和劝离、对违规“乱拉挂”行为的制止和清理、对违规倾倒生活、建筑及工业垃圾行为的巡查和制止对未经审批施工及施工过程中随意破坏市政设施行为的监管和制止、对烧垃圾的行为的巡查和制止、对乱堆放建筑材料行为的监管和制止、对园区内各公园公共安全秩序的管理和维护，并协助执法人员对园区内违章搭建、乱张贴广告、乱填土、路面污染、噪音污染、野泳、钓鱼、网鱼等违法行为进行查处；日常工作中亦需服从采购人的安排，完成采购人交待的其它工作</w:t>
            </w:r>
          </w:p>
          <w:p>
            <w:pPr>
              <w:ind w:firstLine="420"/>
              <w:jc w:val="both"/>
            </w:pPr>
            <w:r>
              <w:rPr>
                <w:sz w:val="21"/>
              </w:rPr>
              <w:t>2、服务时间、地点：具体的排班由中标人安排，采购人可根据实际情况要求对排班情况进行调整，根据实际工作需要机动调整保安员的工作时间和工作地点，若临时安排整治行动，中标人需保证在接到通知后二十分钟内安排人员到位。</w:t>
            </w:r>
          </w:p>
          <w:p>
            <w:pPr>
              <w:jc w:val="left"/>
            </w:pPr>
            <w:r>
              <w:rPr>
                <w:b/>
                <w:sz w:val="21"/>
              </w:rPr>
              <w:t>(五)其他服务要求</w:t>
            </w:r>
          </w:p>
          <w:p>
            <w:pPr>
              <w:ind w:firstLine="420"/>
              <w:jc w:val="both"/>
            </w:pPr>
            <w:r>
              <w:rPr>
                <w:sz w:val="21"/>
              </w:rPr>
              <w:t>1、以上人员和机械数是最低要求，如未能达到相应的作业效果，中标人应增加人员和机械的投入。</w:t>
            </w:r>
          </w:p>
          <w:p>
            <w:pPr>
              <w:ind w:firstLine="420"/>
              <w:jc w:val="both"/>
            </w:pPr>
            <w:r>
              <w:rPr>
                <w:sz w:val="21"/>
              </w:rPr>
              <w:t>2、未尽事宜，按照东莞市地方和行业相关的要求来执行。</w:t>
            </w:r>
          </w:p>
          <w:p>
            <w:pPr>
              <w:jc w:val="both"/>
            </w:pPr>
            <w:r>
              <w:rPr>
                <w:b/>
                <w:sz w:val="24"/>
              </w:rPr>
              <w:t>四、质量标准</w:t>
            </w:r>
          </w:p>
          <w:p>
            <w:pPr>
              <w:jc w:val="left"/>
            </w:pPr>
            <w:r>
              <w:rPr>
                <w:b/>
                <w:sz w:val="21"/>
              </w:rPr>
              <w:t>(一)绿化养护质量标准</w:t>
            </w:r>
          </w:p>
          <w:p>
            <w:pPr>
              <w:ind w:firstLine="420"/>
              <w:jc w:val="both"/>
            </w:pPr>
            <w:r>
              <w:rPr>
                <w:sz w:val="21"/>
              </w:rPr>
              <w:t>绿化养护参照广东省《城市绿地养护质量标准</w:t>
            </w:r>
            <w:r>
              <w:rPr>
                <w:sz w:val="21"/>
              </w:rPr>
              <w:t>)(DB44/T268-2005)一级标准进行养护。基本标准为：</w:t>
            </w:r>
          </w:p>
          <w:p>
            <w:pPr>
              <w:ind w:firstLine="420"/>
              <w:jc w:val="both"/>
            </w:pPr>
            <w:r>
              <w:rPr>
                <w:sz w:val="21"/>
              </w:rPr>
              <w:t>1、严格按照DB44/T 268-2005的规定对绿地进行养护。制定完善的养护技术方案，建有工种齐全和固定的养护队伍，养护到位、得当，达到黄土不露天，绿地总体景观好。</w:t>
            </w:r>
          </w:p>
          <w:p>
            <w:pPr>
              <w:ind w:firstLine="420"/>
              <w:jc w:val="both"/>
            </w:pPr>
            <w:r>
              <w:rPr>
                <w:sz w:val="21"/>
              </w:rPr>
              <w:t>2、园林植物</w:t>
            </w:r>
          </w:p>
          <w:p>
            <w:pPr>
              <w:ind w:firstLine="420"/>
              <w:jc w:val="both"/>
            </w:pPr>
            <w:r>
              <w:rPr>
                <w:sz w:val="21"/>
              </w:rPr>
              <w:t>2.1 草坪植物叶片健壮、色泽纯正，无枯黄叶；其他植物的新梢粗壮、叶片健壮、叶色纯正，无枯枝败叶。新建植草坪的绿色期和覆盖率在一年内、其他新物种的生长状况在两年内达到一级养护标准。</w:t>
            </w:r>
          </w:p>
          <w:p>
            <w:pPr>
              <w:ind w:firstLine="420"/>
              <w:jc w:val="both"/>
            </w:pPr>
            <w:r>
              <w:rPr>
                <w:sz w:val="21"/>
              </w:rPr>
              <w:t>2.2 乔木树冠完整、美观，生长旺盛，开花结果正常；主侧枝分布均匀，分枝点高度与树种特性相适应，分枝不影响游览和观景。无死株、缺株。行道树的体量、高度基本保持一致，下缘线和分枝点的高度控制符合DB44/T268-2005的规定，倾斜率小于3%。</w:t>
            </w:r>
          </w:p>
          <w:p>
            <w:pPr>
              <w:ind w:firstLine="420"/>
              <w:jc w:val="both"/>
            </w:pPr>
            <w:r>
              <w:rPr>
                <w:sz w:val="21"/>
              </w:rPr>
              <w:t>2.3 花灌木生长旺盛，株型完整、丰满，开花适时，花繁枝茂，花后修剪合理、及时。木本地被植物生长旺盛，覆盖率达到99%以上，无杂草，无死株、缺株。</w:t>
            </w:r>
          </w:p>
          <w:p>
            <w:pPr>
              <w:ind w:firstLine="420"/>
              <w:jc w:val="both"/>
            </w:pPr>
            <w:r>
              <w:rPr>
                <w:sz w:val="21"/>
              </w:rPr>
              <w:t>2.4 花坛、花带及绿篱轮廓清晰、层次分明，整齐美观，无残缺，无杂草，修剪及时、得当。</w:t>
            </w:r>
          </w:p>
          <w:p>
            <w:pPr>
              <w:ind w:firstLine="420"/>
              <w:jc w:val="both"/>
            </w:pPr>
            <w:r>
              <w:rPr>
                <w:sz w:val="21"/>
              </w:rPr>
              <w:t>2.5 造型植物修剪及时、得当，线条齐整、圆滑、流畅。规则式种植的造型植物，形状或体量保持一致；自然式种植的，形状和体量大小符合设计和景观的要求。</w:t>
            </w:r>
          </w:p>
          <w:p>
            <w:pPr>
              <w:ind w:firstLine="420"/>
              <w:jc w:val="both"/>
            </w:pPr>
            <w:r>
              <w:rPr>
                <w:sz w:val="21"/>
              </w:rPr>
              <w:t>2.6 藤本植物生长旺盛，开花适时，牵引得当、及时，覆盖率不低于90%。</w:t>
            </w:r>
          </w:p>
          <w:p>
            <w:pPr>
              <w:ind w:firstLine="420"/>
              <w:jc w:val="both"/>
            </w:pPr>
            <w:r>
              <w:rPr>
                <w:sz w:val="21"/>
              </w:rPr>
              <w:t>2.7 草本花卉生长旺盛，株型匀称、完整美观，开花适时、花繁、色正，开花时覆盖率达到95%，无杂草；花后需修剪的，修剪合理、及时。</w:t>
            </w:r>
          </w:p>
          <w:p>
            <w:pPr>
              <w:ind w:firstLine="420"/>
              <w:jc w:val="both"/>
            </w:pPr>
            <w:r>
              <w:rPr>
                <w:sz w:val="21"/>
              </w:rPr>
              <w:t>2.8 草坪的绿色期不少于280天，覆盖率不小于99%，杂草的覆盖率不超过1%，无积水、修剪及时、合理。</w:t>
            </w:r>
          </w:p>
          <w:p>
            <w:pPr>
              <w:ind w:firstLine="420"/>
              <w:jc w:val="both"/>
            </w:pPr>
            <w:r>
              <w:rPr>
                <w:sz w:val="21"/>
              </w:rPr>
              <w:t>2.9 水生植物生长旺盛，开花适时，生长范围符合景观要求。</w:t>
            </w:r>
          </w:p>
          <w:p>
            <w:pPr>
              <w:ind w:firstLine="420"/>
              <w:jc w:val="both"/>
            </w:pPr>
            <w:r>
              <w:rPr>
                <w:sz w:val="21"/>
              </w:rPr>
              <w:t>2.10 补植、改值于3天内完成。草坪补植或改植后一个月内覆盖率达到98%以上，其他植物补植或改植的成活率达到100%。</w:t>
            </w:r>
          </w:p>
          <w:p>
            <w:pPr>
              <w:ind w:firstLine="420"/>
              <w:jc w:val="both"/>
            </w:pPr>
            <w:r>
              <w:rPr>
                <w:sz w:val="21"/>
              </w:rPr>
              <w:t>2.11 病虫害控制及时、有效，被害植株不超过3%，被害叶片不超过植株叶片总量的1%，有害植物的危害得到及时治理，基本无鼠害。</w:t>
            </w:r>
          </w:p>
          <w:p>
            <w:pPr>
              <w:ind w:firstLine="420"/>
              <w:jc w:val="both"/>
            </w:pPr>
            <w:r>
              <w:rPr>
                <w:sz w:val="21"/>
              </w:rPr>
              <w:t>3、绿地内园林建筑小品及园路、铺装场地等设施的维护符合DB44/T268-2005的规定。</w:t>
            </w:r>
          </w:p>
          <w:p>
            <w:pPr>
              <w:ind w:firstLine="420"/>
              <w:jc w:val="both"/>
            </w:pPr>
            <w:r>
              <w:rPr>
                <w:sz w:val="21"/>
              </w:rPr>
              <w:t>4、有科学合理古树名木养护技术方案，严格按照DB44/T268-2005的规定进行养护。</w:t>
            </w:r>
          </w:p>
          <w:p>
            <w:pPr>
              <w:ind w:firstLine="420"/>
              <w:jc w:val="both"/>
            </w:pPr>
            <w:r>
              <w:rPr>
                <w:sz w:val="21"/>
              </w:rPr>
              <w:t>5、喷淋系统：喷淋系统要及时检修，喷头正常喷水，未发生管道漏水。</w:t>
            </w:r>
          </w:p>
          <w:p>
            <w:pPr>
              <w:ind w:firstLine="420"/>
              <w:jc w:val="both"/>
            </w:pPr>
            <w:r>
              <w:rPr>
                <w:sz w:val="21"/>
              </w:rPr>
              <w:t>6、施肥</w:t>
            </w:r>
          </w:p>
          <w:p>
            <w:pPr>
              <w:ind w:firstLine="420"/>
              <w:jc w:val="both"/>
            </w:pPr>
            <w:r>
              <w:rPr>
                <w:sz w:val="21"/>
              </w:rPr>
              <w:t>6.1 提倡平衡施肥技术，肥料的种类及数量应根据植物种类（品种）、生长发育阶段及观赏性不同而确定。生长期应施氮肥为主的完全肥，发育期应增施磷、钾肥。每次施肥量应考虑施肥方法。施肥应以有机肥料为主，无机肥料为辅；不应长期在同一地块施用同一种无机肥料，以免破坏土壤的理化性状。</w:t>
            </w:r>
          </w:p>
          <w:p>
            <w:pPr>
              <w:ind w:firstLine="420"/>
              <w:jc w:val="both"/>
            </w:pPr>
            <w:r>
              <w:rPr>
                <w:sz w:val="21"/>
              </w:rPr>
              <w:t>6.2 施肥要求：乔灌木每年不少于2次，2-3月和9-10月重点进行施肥，复合肥和基肥结合，每次2-3千克/株，对角埋施、新种、补种、生长势弱树木可适时适量多施；观花灌木每年不少于3次，每次0.5千克/单株；成片花卉每月撒施复合肥1次，每次0.15千克/平方米，每年根据其长势和覆盖率情况适当施基肥1-2次，每次0.5千克/平方米；绿篱每年撒施复合肥不少于2次，每次0.15千克/平方米，每年根据其长势和覆盖率情况适当施基肥1-2次，每次0.5千克/平方米；草地、地被每年不少于2次，每次施尿素0.1千克/平方米。</w:t>
            </w:r>
          </w:p>
          <w:p>
            <w:pPr>
              <w:ind w:firstLine="420"/>
              <w:jc w:val="both"/>
            </w:pPr>
            <w:r>
              <w:rPr>
                <w:sz w:val="21"/>
              </w:rPr>
              <w:t>6.3 施肥应避免在雨天进行。其中，根外追肥宜在清晨或傍晚进行，浓度一般不宜大于1.5%。除根外追肥外，肥料不得触及目的植物的叶片。</w:t>
            </w:r>
          </w:p>
          <w:p>
            <w:pPr>
              <w:ind w:firstLine="420"/>
              <w:jc w:val="both"/>
            </w:pPr>
            <w:r>
              <w:rPr>
                <w:sz w:val="21"/>
              </w:rPr>
              <w:t>中标人施肥前应提早三天通知采购人到场监督，该次施肥的购肥发票应交给采购人备案，购肥发票反映的肥料用量作为评定中标人有否按约定履行施肥义务的根据，如中标人拒交相关购肥发票的，采购人有权拒付当期管理费用。</w:t>
            </w:r>
          </w:p>
          <w:p>
            <w:pPr>
              <w:ind w:firstLine="420"/>
              <w:jc w:val="both"/>
            </w:pPr>
            <w:r>
              <w:rPr>
                <w:sz w:val="21"/>
              </w:rPr>
              <w:t>7、淋水要求：旱季一般乔木3-5天淋水1次，新补植乔木，淋好定根水后，一周内每天淋水1次；单丛灌木、成片花卉、绿篱一般2-3天淋水1次，补植后一周内每天淋水1次，施肥和补植需加强淋水；草地、地被一般每天淋水1次。雨季根据天气情况适当调节。</w:t>
            </w:r>
          </w:p>
          <w:p>
            <w:pPr>
              <w:ind w:firstLine="420"/>
              <w:jc w:val="both"/>
            </w:pPr>
            <w:r>
              <w:rPr>
                <w:sz w:val="21"/>
              </w:rPr>
              <w:t>8、苗木修剪</w:t>
            </w:r>
          </w:p>
          <w:p>
            <w:pPr>
              <w:ind w:firstLine="420"/>
              <w:jc w:val="both"/>
            </w:pPr>
            <w:r>
              <w:rPr>
                <w:sz w:val="21"/>
              </w:rPr>
              <w:t>8.1 自然形乔木每年不少于1次，造型乔木每年不少于4次。主要修剪内膛枝、徒长枝、病虫枝、交叉枝、下垂枝、扭伤枝及枯枝烂头等。庭荫树的分枝点应随着树木生长逐步提高，树冠与树干高度的比例应在7:3至6:4之间。行道树在同一路段的分枝点高低、树高、冠幅大小应基本一致。</w:t>
            </w:r>
          </w:p>
          <w:p>
            <w:pPr>
              <w:ind w:firstLine="420"/>
              <w:jc w:val="both"/>
            </w:pPr>
            <w:r>
              <w:rPr>
                <w:sz w:val="21"/>
              </w:rPr>
              <w:t>8.2 自然形成灌木每年不少于2次，造型灌木每年不少于4次。灌木修剪应促进枝繁叶茂、分布均匀。花灌木修剪要有利于短枝和花芽的形成，遵循“自上而下、先内后外、去弱留强、去老留新”的原则进行修剪。</w:t>
            </w:r>
          </w:p>
          <w:p>
            <w:pPr>
              <w:ind w:firstLine="420"/>
              <w:jc w:val="both"/>
            </w:pPr>
            <w:r>
              <w:rPr>
                <w:sz w:val="21"/>
              </w:rPr>
              <w:t>8.3 绿篱修剪一般按造型修剪的方法进行，按照规定的形状和高度修剪。每次修剪应保持形状轮廓线条清晰、表面平整、圆滑。修剪后新梢生长超过10厘米时，应进行第二次修剪。</w:t>
            </w:r>
          </w:p>
          <w:p>
            <w:pPr>
              <w:ind w:firstLine="420"/>
              <w:jc w:val="both"/>
            </w:pPr>
            <w:r>
              <w:rPr>
                <w:sz w:val="21"/>
              </w:rPr>
              <w:t>8.4 草坪修剪要促进分枝，加速覆盖功能，修剪高度应保持在6-8厘米，当草高超过12厘米时必须进行修剪。</w:t>
            </w:r>
          </w:p>
          <w:p>
            <w:pPr>
              <w:ind w:firstLine="420"/>
              <w:jc w:val="both"/>
            </w:pPr>
            <w:r>
              <w:rPr>
                <w:sz w:val="21"/>
              </w:rPr>
              <w:t>8.5 休眠期修剪以整形为主，可稍重剪，生长期修剪以调整树势为主，宜轻剪。修剪要避开树木伤流盛期。绿化修剪后的枯枝干叶等，在修剪当天及时清理运走，并及时清除灌木丛上的修剪枝，苗木落叶当天及时清扫保洁。</w:t>
            </w:r>
          </w:p>
          <w:p>
            <w:pPr>
              <w:ind w:firstLine="420"/>
              <w:jc w:val="both"/>
            </w:pPr>
            <w:r>
              <w:rPr>
                <w:sz w:val="21"/>
              </w:rPr>
              <w:t>9、节假日、全民义务植树活动活突击性的植树绿化任务，能按时、按标准、按要求完成分配的工作。每逢节假日，如春节、元旦、五一、国庆节等或某些特殊日子，能按上级要求完成特别安排的工作。</w:t>
            </w:r>
          </w:p>
          <w:p>
            <w:pPr>
              <w:ind w:firstLine="420"/>
              <w:jc w:val="both"/>
            </w:pPr>
            <w:r>
              <w:rPr>
                <w:sz w:val="21"/>
              </w:rPr>
              <w:t>10、防止意外及修复工作包括防台风、防汛、防寒等以及防止其它因素对绿地造成的损坏等并定期巡视挡土墙及边坡，防止滑坡。台风吹袭期间在确保安全的情况下迅速清理倒树断枝，疏通道路。台风后及时进行扶树、护树、补好残缺、清理断枝、落叶和垃圾，使绿化景观尽快恢复。遇雷电风雨、人畜危害而使树木歪斜或倒枝断枝，要立即处理，疏通交通。未能按要求及时完成清理、恢复原状工作的，当月考核评分档次为差；在采购人根据实际情况设定的恢复原状时间内，受损害部分的绿化景观将不列入考核评分范围内。</w:t>
            </w:r>
          </w:p>
          <w:p>
            <w:pPr>
              <w:ind w:firstLine="420"/>
              <w:jc w:val="both"/>
            </w:pPr>
            <w:r>
              <w:rPr>
                <w:sz w:val="21"/>
              </w:rPr>
              <w:t>11、绿地维护、保护及监管</w:t>
            </w:r>
          </w:p>
          <w:p>
            <w:pPr>
              <w:ind w:firstLine="420"/>
              <w:jc w:val="both"/>
            </w:pPr>
            <w:r>
              <w:rPr>
                <w:sz w:val="21"/>
              </w:rPr>
              <w:t>11.1 管理单位有义务保护绿地红线范围内不被侵占，绿地版图完整，花草树木不受破坏，无乱摆乱卖、乱停乱放现象。确保绿地外2米的空置地没有垃圾、杂物堆放，没有影响绿地美观的杂草丛生。</w:t>
            </w:r>
          </w:p>
          <w:p>
            <w:pPr>
              <w:ind w:firstLine="420"/>
              <w:jc w:val="both"/>
            </w:pPr>
            <w:r>
              <w:rPr>
                <w:sz w:val="21"/>
              </w:rPr>
              <w:t>11.2 要求保护绿地红线和红线内的花草树木，对任何侵占和破坏行为要加以制止并及时报告管理部门。经上级批准临时占用的绿地，应监督期限内恢复原状，如有超过审批面积或数量，要去立即上报。</w:t>
            </w:r>
          </w:p>
          <w:p>
            <w:pPr>
              <w:ind w:firstLine="420"/>
              <w:jc w:val="both"/>
            </w:pPr>
            <w:r>
              <w:rPr>
                <w:sz w:val="21"/>
              </w:rPr>
              <w:t>11.3 中标人要加强监管，使绿地内没有堆放东西和停放自行车、机动车，没有行人穿越绿地，没有人力车和机动车驶进草地，没有设摊摆摊，没有在绿地内玩耍、乘凉、攀折树木花草、采摘花果、损坏或窃取树木花草或绿化设施及其它损害花草树木的活动或行为，没有在树上挂标语、晾衣服等现象。</w:t>
            </w:r>
          </w:p>
          <w:p>
            <w:pPr>
              <w:ind w:firstLine="420"/>
              <w:jc w:val="both"/>
            </w:pPr>
            <w:r>
              <w:rPr>
                <w:sz w:val="21"/>
              </w:rPr>
              <w:t>12、安全作业</w:t>
            </w:r>
          </w:p>
          <w:p>
            <w:pPr>
              <w:ind w:firstLine="420"/>
              <w:jc w:val="both"/>
            </w:pPr>
            <w:r>
              <w:rPr>
                <w:sz w:val="21"/>
              </w:rPr>
              <w:t>12.1 园林机械的操作人员，应在上岗前接受必要的岗前培训。凡持证上岗的，必须取得相应的上岗证并报送采购人备案，并应严格按照操作规程作业。园林机械作业前，应对施工现场进行围合及标示。</w:t>
            </w:r>
          </w:p>
          <w:p>
            <w:pPr>
              <w:ind w:firstLine="420"/>
              <w:jc w:val="both"/>
            </w:pPr>
            <w:r>
              <w:rPr>
                <w:sz w:val="21"/>
              </w:rPr>
              <w:t>12.2 在城市主、次干道，快速路或高速公路上作业时，宜选择在非交通繁忙时段进行。作业人员必须披戴具有反光标志的背心，并在距离作业点正、反方向分别不少于80m和150m的地方设置反光警示牌及其他警示标志。</w:t>
            </w:r>
          </w:p>
          <w:p>
            <w:pPr>
              <w:ind w:firstLine="420"/>
              <w:jc w:val="both"/>
            </w:pPr>
            <w:r>
              <w:rPr>
                <w:sz w:val="21"/>
              </w:rPr>
              <w:t>12.3 截除较大的树枝、藤蔓或砍伐清除枯死的树枝时，应预先制定施工方案和应急预案，采取必要的安全措施。</w:t>
            </w:r>
          </w:p>
          <w:p>
            <w:pPr>
              <w:ind w:firstLine="420"/>
              <w:jc w:val="both"/>
            </w:pPr>
            <w:r>
              <w:rPr>
                <w:sz w:val="21"/>
              </w:rPr>
              <w:t>13、中标人要按照每月的工作计划内容及进度，正确填写《日常管理作业记录表》。</w:t>
            </w:r>
          </w:p>
          <w:p>
            <w:pPr>
              <w:jc w:val="left"/>
            </w:pPr>
            <w:r>
              <w:rPr>
                <w:b/>
                <w:sz w:val="21"/>
              </w:rPr>
              <w:t>（二）环卫质量标准</w:t>
            </w:r>
          </w:p>
          <w:p>
            <w:pPr>
              <w:ind w:firstLine="420"/>
              <w:jc w:val="both"/>
            </w:pPr>
            <w:r>
              <w:rPr>
                <w:sz w:val="21"/>
              </w:rPr>
              <w:t>环卫保洁参照《城市环境卫生质量标准》一级标准和《东莞市市区道路环卫保洁标准及检查考核办法》进行管理。基本标准为：</w:t>
            </w:r>
          </w:p>
          <w:p>
            <w:pPr>
              <w:ind w:firstLine="420"/>
              <w:jc w:val="both"/>
            </w:pPr>
            <w:r>
              <w:rPr>
                <w:sz w:val="21"/>
              </w:rPr>
              <w:t>1、严格按照《城市环境卫生质量标准》和《东莞市市区道路环卫保洁标准及检查考核办法》的规定对道路和环卫设施进行清扫及保洁。</w:t>
            </w:r>
          </w:p>
          <w:p>
            <w:pPr>
              <w:ind w:firstLine="420"/>
              <w:jc w:val="both"/>
            </w:pPr>
            <w:r>
              <w:rPr>
                <w:sz w:val="21"/>
              </w:rPr>
              <w:t>2、卫生质量标准以“九无”(无果皮、无纸屑、无塑膜、无痰迹、无污水、无暴露垃圾、无人畜粪便、无乱张贴、路牙无泥沙)；“四净”(路面净、果皮箱净、树穴绿化带净、地下通道净)“一通”(下水道口通)为标准。</w:t>
            </w:r>
          </w:p>
          <w:p>
            <w:pPr>
              <w:ind w:firstLine="420"/>
              <w:jc w:val="both"/>
            </w:pPr>
            <w:r>
              <w:rPr>
                <w:sz w:val="21"/>
              </w:rPr>
              <w:t>3、清扫作业，机动车道为机械清扫，人行单车混合道为人扫，保证每天上午7点、下午2：30分之前完成大扫作业，并采取全路段，全天候保洁，即7点—23点为保洁和检查时间。</w:t>
            </w:r>
          </w:p>
          <w:p>
            <w:pPr>
              <w:ind w:firstLine="420"/>
              <w:jc w:val="both"/>
            </w:pPr>
            <w:r>
              <w:rPr>
                <w:sz w:val="21"/>
              </w:rPr>
              <w:t>4、在保洁时间内，路面废弃物应符合下列规定，候车亭、地下通道的保洁质量与机动车道、人行道的保洁质量相同。</w:t>
            </w:r>
          </w:p>
          <w:tbl>
            <w:tblPr>
              <w:tblBorders>
                <w:top w:val="none" w:color="000000" w:sz="4"/>
                <w:left w:val="none" w:color="000000" w:sz="4"/>
                <w:bottom w:val="none" w:color="000000" w:sz="4"/>
                <w:right w:val="none" w:color="000000" w:sz="4"/>
                <w:insideH w:val="none"/>
                <w:insideV w:val="none"/>
              </w:tblBorders>
            </w:tblPr>
            <w:tblGrid>
              <w:gridCol w:w="877"/>
              <w:gridCol w:w="877"/>
              <w:gridCol w:w="877"/>
              <w:gridCol w:w="877"/>
              <w:gridCol w:w="733"/>
              <w:gridCol w:w="480"/>
              <w:gridCol w:w="877"/>
            </w:tblGrid>
            <w:tr>
              <w:tc>
                <w:tcPr>
                  <w:tcW w:type="dxa" w:w="877"/>
                  <w:tcBorders>
                    <w:top w:val="single" w:color="000000" w:sz="4"/>
                    <w:left w:val="single" w:color="000000" w:sz="4"/>
                    <w:bottom w:val="single" w:color="000000" w:sz="4"/>
                    <w:right w:val="single" w:color="000000" w:sz="4"/>
                  </w:tcBorders>
                  <w:vAlign w:val="top"/>
                </w:tcPr>
                <w:p>
                  <w:pPr>
                    <w:jc w:val="both"/>
                  </w:pPr>
                  <w:r>
                    <w:rPr>
                      <w:sz w:val="21"/>
                    </w:rPr>
                    <w:t>果皮</w:t>
                  </w:r>
                </w:p>
              </w:tc>
              <w:tc>
                <w:tcPr>
                  <w:tcW w:type="dxa" w:w="877"/>
                  <w:tcBorders>
                    <w:top w:val="single" w:color="000000" w:sz="4"/>
                    <w:left w:val="none" w:color="000000" w:sz="4"/>
                    <w:bottom w:val="single" w:color="000000" w:sz="4"/>
                    <w:right w:val="single" w:color="000000" w:sz="4"/>
                  </w:tcBorders>
                  <w:vAlign w:val="top"/>
                </w:tcPr>
                <w:p>
                  <w:pPr>
                    <w:jc w:val="both"/>
                  </w:pPr>
                  <w:r>
                    <w:rPr>
                      <w:sz w:val="21"/>
                    </w:rPr>
                    <w:t>纸屑塑膜</w:t>
                  </w:r>
                </w:p>
              </w:tc>
              <w:tc>
                <w:tcPr>
                  <w:tcW w:type="dxa" w:w="877"/>
                  <w:tcBorders>
                    <w:top w:val="single" w:color="000000" w:sz="4"/>
                    <w:left w:val="none" w:color="000000" w:sz="4"/>
                    <w:bottom w:val="single" w:color="000000" w:sz="4"/>
                    <w:right w:val="single" w:color="000000" w:sz="4"/>
                  </w:tcBorders>
                  <w:vAlign w:val="top"/>
                </w:tcPr>
                <w:p>
                  <w:pPr>
                    <w:jc w:val="both"/>
                  </w:pPr>
                  <w:r>
                    <w:rPr>
                      <w:sz w:val="21"/>
                    </w:rPr>
                    <w:t>烟蒂</w:t>
                  </w:r>
                </w:p>
              </w:tc>
              <w:tc>
                <w:tcPr>
                  <w:tcW w:type="dxa" w:w="877"/>
                  <w:tcBorders>
                    <w:top w:val="single" w:color="000000" w:sz="4"/>
                    <w:left w:val="none" w:color="000000" w:sz="4"/>
                    <w:bottom w:val="single" w:color="000000" w:sz="4"/>
                    <w:right w:val="single" w:color="000000" w:sz="4"/>
                  </w:tcBorders>
                  <w:vAlign w:val="top"/>
                </w:tcPr>
                <w:p>
                  <w:pPr>
                    <w:jc w:val="both"/>
                  </w:pPr>
                  <w:r>
                    <w:rPr>
                      <w:sz w:val="21"/>
                    </w:rPr>
                    <w:t>痰迹</w:t>
                  </w:r>
                </w:p>
              </w:tc>
              <w:tc>
                <w:tcPr>
                  <w:tcW w:type="dxa" w:w="733"/>
                  <w:tcBorders>
                    <w:top w:val="single" w:color="000000" w:sz="4"/>
                    <w:left w:val="none" w:color="000000" w:sz="4"/>
                    <w:bottom w:val="single" w:color="000000" w:sz="4"/>
                    <w:right w:val="single" w:color="000000" w:sz="4"/>
                  </w:tcBorders>
                  <w:vAlign w:val="top"/>
                </w:tcPr>
                <w:p>
                  <w:pPr>
                    <w:jc w:val="both"/>
                  </w:pPr>
                  <w:r>
                    <w:rPr>
                      <w:sz w:val="21"/>
                    </w:rPr>
                    <w:t>乱张贴画</w:t>
                  </w:r>
                </w:p>
              </w:tc>
              <w:tc>
                <w:tcPr>
                  <w:tcW w:type="dxa" w:w="480"/>
                  <w:tcBorders>
                    <w:top w:val="single" w:color="000000" w:sz="4"/>
                    <w:left w:val="none" w:color="000000" w:sz="4"/>
                    <w:bottom w:val="single" w:color="000000" w:sz="4"/>
                    <w:right w:val="single" w:color="000000" w:sz="4"/>
                  </w:tcBorders>
                  <w:vAlign w:val="top"/>
                </w:tcPr>
                <w:p>
                  <w:pPr>
                    <w:jc w:val="both"/>
                  </w:pPr>
                  <w:r>
                    <w:rPr>
                      <w:sz w:val="21"/>
                    </w:rPr>
                    <w:t>污水</w:t>
                  </w:r>
                </w:p>
              </w:tc>
              <w:tc>
                <w:tcPr>
                  <w:tcW w:type="dxa" w:w="877"/>
                  <w:tcBorders>
                    <w:top w:val="single" w:color="000000" w:sz="4"/>
                    <w:left w:val="none" w:color="000000" w:sz="4"/>
                    <w:bottom w:val="single" w:color="000000" w:sz="4"/>
                    <w:right w:val="single" w:color="000000" w:sz="4"/>
                  </w:tcBorders>
                  <w:vAlign w:val="top"/>
                </w:tcPr>
                <w:p>
                  <w:pPr>
                    <w:jc w:val="both"/>
                  </w:pPr>
                  <w:r>
                    <w:rPr>
                      <w:sz w:val="21"/>
                    </w:rPr>
                    <w:t>其他</w:t>
                  </w:r>
                </w:p>
              </w:tc>
            </w:tr>
            <w:tr>
              <w:tc>
                <w:tcPr>
                  <w:tcW w:type="dxa" w:w="877"/>
                  <w:tcBorders>
                    <w:top w:val="none" w:color="000000" w:sz="4"/>
                    <w:left w:val="single" w:color="000000" w:sz="4"/>
                    <w:bottom w:val="single" w:color="000000" w:sz="4"/>
                    <w:right w:val="single" w:color="000000" w:sz="4"/>
                  </w:tcBorders>
                  <w:vAlign w:val="top"/>
                </w:tcPr>
                <w:p>
                  <w:pPr>
                    <w:jc w:val="both"/>
                  </w:pPr>
                  <w:r>
                    <w:rPr>
                      <w:sz w:val="21"/>
                    </w:rPr>
                    <w:t>片</w:t>
                  </w:r>
                  <w:r>
                    <w:rPr>
                      <w:sz w:val="21"/>
                    </w:rPr>
                    <w:t>/1000㎡</w:t>
                  </w:r>
                </w:p>
              </w:tc>
              <w:tc>
                <w:tcPr>
                  <w:tcW w:type="dxa" w:w="877"/>
                  <w:tcBorders>
                    <w:top w:val="none" w:color="000000" w:sz="4"/>
                    <w:left w:val="none" w:color="000000" w:sz="4"/>
                    <w:bottom w:val="single" w:color="000000" w:sz="4"/>
                    <w:right w:val="single" w:color="000000" w:sz="4"/>
                  </w:tcBorders>
                  <w:vAlign w:val="top"/>
                </w:tcPr>
                <w:p>
                  <w:pPr>
                    <w:jc w:val="both"/>
                  </w:pPr>
                  <w:r>
                    <w:rPr>
                      <w:sz w:val="21"/>
                    </w:rPr>
                    <w:t>片</w:t>
                  </w:r>
                  <w:r>
                    <w:rPr>
                      <w:sz w:val="21"/>
                    </w:rPr>
                    <w:t>/1000㎡</w:t>
                  </w:r>
                </w:p>
              </w:tc>
              <w:tc>
                <w:tcPr>
                  <w:tcW w:type="dxa" w:w="877"/>
                  <w:tcBorders>
                    <w:top w:val="none" w:color="000000" w:sz="4"/>
                    <w:left w:val="none" w:color="000000" w:sz="4"/>
                    <w:bottom w:val="single" w:color="000000" w:sz="4"/>
                    <w:right w:val="single" w:color="000000" w:sz="4"/>
                  </w:tcBorders>
                  <w:vAlign w:val="top"/>
                </w:tcPr>
                <w:p>
                  <w:pPr>
                    <w:jc w:val="both"/>
                  </w:pPr>
                  <w:r>
                    <w:rPr>
                      <w:sz w:val="21"/>
                    </w:rPr>
                    <w:t>个</w:t>
                  </w:r>
                  <w:r>
                    <w:rPr>
                      <w:sz w:val="21"/>
                    </w:rPr>
                    <w:t>/1000㎡</w:t>
                  </w:r>
                </w:p>
              </w:tc>
              <w:tc>
                <w:tcPr>
                  <w:tcW w:type="dxa" w:w="877"/>
                  <w:tcBorders>
                    <w:top w:val="none" w:color="000000" w:sz="4"/>
                    <w:left w:val="none" w:color="000000" w:sz="4"/>
                    <w:bottom w:val="single" w:color="000000" w:sz="4"/>
                    <w:right w:val="single" w:color="000000" w:sz="4"/>
                  </w:tcBorders>
                  <w:vAlign w:val="top"/>
                </w:tcPr>
                <w:p>
                  <w:pPr>
                    <w:jc w:val="both"/>
                  </w:pPr>
                  <w:r>
                    <w:rPr>
                      <w:sz w:val="21"/>
                    </w:rPr>
                    <w:t>处</w:t>
                  </w:r>
                  <w:r>
                    <w:rPr>
                      <w:sz w:val="21"/>
                    </w:rPr>
                    <w:t>/1000㎡</w:t>
                  </w:r>
                </w:p>
              </w:tc>
              <w:tc>
                <w:tcPr>
                  <w:tcW w:type="dxa" w:w="733"/>
                  <w:tcBorders>
                    <w:top w:val="none" w:color="000000" w:sz="4"/>
                    <w:left w:val="none" w:color="000000" w:sz="4"/>
                    <w:bottom w:val="single" w:color="000000" w:sz="4"/>
                    <w:right w:val="single" w:color="000000" w:sz="4"/>
                  </w:tcBorders>
                  <w:vAlign w:val="top"/>
                </w:tcPr>
                <w:p>
                  <w:pPr>
                    <w:jc w:val="both"/>
                  </w:pPr>
                </w:p>
              </w:tc>
              <w:tc>
                <w:tcPr>
                  <w:tcW w:type="dxa" w:w="480"/>
                  <w:tcBorders>
                    <w:top w:val="none" w:color="000000" w:sz="4"/>
                    <w:left w:val="none" w:color="000000" w:sz="4"/>
                    <w:bottom w:val="single" w:color="000000" w:sz="4"/>
                    <w:right w:val="single" w:color="000000" w:sz="4"/>
                  </w:tcBorders>
                  <w:vAlign w:val="top"/>
                </w:tcPr>
                <w:p>
                  <w:pPr>
                    <w:jc w:val="both"/>
                  </w:pPr>
                </w:p>
              </w:tc>
              <w:tc>
                <w:tcPr>
                  <w:tcW w:type="dxa" w:w="877"/>
                  <w:tcBorders>
                    <w:top w:val="none" w:color="000000" w:sz="4"/>
                    <w:left w:val="none" w:color="000000" w:sz="4"/>
                    <w:bottom w:val="single" w:color="000000" w:sz="4"/>
                    <w:right w:val="single" w:color="000000" w:sz="4"/>
                  </w:tcBorders>
                  <w:vAlign w:val="top"/>
                </w:tcPr>
                <w:p>
                  <w:pPr>
                    <w:jc w:val="both"/>
                  </w:pPr>
                  <w:r>
                    <w:rPr>
                      <w:sz w:val="21"/>
                    </w:rPr>
                    <w:t>处</w:t>
                  </w:r>
                  <w:r>
                    <w:rPr>
                      <w:sz w:val="21"/>
                    </w:rPr>
                    <w:t>/1000㎡</w:t>
                  </w:r>
                </w:p>
              </w:tc>
            </w:tr>
            <w:tr>
              <w:tc>
                <w:tcPr>
                  <w:tcW w:type="dxa" w:w="877"/>
                  <w:tcBorders>
                    <w:top w:val="none" w:color="000000" w:sz="4"/>
                    <w:left w:val="single" w:color="000000" w:sz="4"/>
                    <w:bottom w:val="single" w:color="000000" w:sz="4"/>
                    <w:right w:val="single" w:color="000000" w:sz="4"/>
                  </w:tcBorders>
                  <w:vAlign w:val="top"/>
                </w:tcPr>
                <w:p>
                  <w:pPr>
                    <w:jc w:val="both"/>
                  </w:pPr>
                  <w:r>
                    <w:rPr>
                      <w:sz w:val="21"/>
                    </w:rPr>
                    <w:t>≤4</w:t>
                  </w:r>
                </w:p>
              </w:tc>
              <w:tc>
                <w:tcPr>
                  <w:tcW w:type="dxa" w:w="877"/>
                  <w:tcBorders>
                    <w:top w:val="none" w:color="000000" w:sz="4"/>
                    <w:left w:val="none" w:color="000000" w:sz="4"/>
                    <w:bottom w:val="single" w:color="000000" w:sz="4"/>
                    <w:right w:val="single" w:color="000000" w:sz="4"/>
                  </w:tcBorders>
                  <w:vAlign w:val="top"/>
                </w:tcPr>
                <w:p>
                  <w:pPr>
                    <w:jc w:val="both"/>
                  </w:pPr>
                  <w:r>
                    <w:rPr>
                      <w:sz w:val="21"/>
                    </w:rPr>
                    <w:t>≤4</w:t>
                  </w:r>
                </w:p>
              </w:tc>
              <w:tc>
                <w:tcPr>
                  <w:tcW w:type="dxa" w:w="877"/>
                  <w:tcBorders>
                    <w:top w:val="none" w:color="000000" w:sz="4"/>
                    <w:left w:val="none" w:color="000000" w:sz="4"/>
                    <w:bottom w:val="single" w:color="000000" w:sz="4"/>
                    <w:right w:val="single" w:color="000000" w:sz="4"/>
                  </w:tcBorders>
                  <w:vAlign w:val="top"/>
                </w:tcPr>
                <w:p>
                  <w:pPr>
                    <w:jc w:val="both"/>
                  </w:pPr>
                  <w:r>
                    <w:rPr>
                      <w:sz w:val="21"/>
                    </w:rPr>
                    <w:t>≤4</w:t>
                  </w:r>
                </w:p>
              </w:tc>
              <w:tc>
                <w:tcPr>
                  <w:tcW w:type="dxa" w:w="877"/>
                  <w:tcBorders>
                    <w:top w:val="none" w:color="000000" w:sz="4"/>
                    <w:left w:val="none" w:color="000000" w:sz="4"/>
                    <w:bottom w:val="single" w:color="000000" w:sz="4"/>
                    <w:right w:val="single" w:color="000000" w:sz="4"/>
                  </w:tcBorders>
                  <w:vAlign w:val="top"/>
                </w:tcPr>
                <w:p>
                  <w:pPr>
                    <w:jc w:val="both"/>
                  </w:pPr>
                  <w:r>
                    <w:rPr>
                      <w:sz w:val="21"/>
                    </w:rPr>
                    <w:t>无</w:t>
                  </w:r>
                </w:p>
              </w:tc>
              <w:tc>
                <w:tcPr>
                  <w:tcW w:type="dxa" w:w="733"/>
                  <w:tcBorders>
                    <w:top w:val="none" w:color="000000" w:sz="4"/>
                    <w:left w:val="none" w:color="000000" w:sz="4"/>
                    <w:bottom w:val="single" w:color="000000" w:sz="4"/>
                    <w:right w:val="single" w:color="000000" w:sz="4"/>
                  </w:tcBorders>
                  <w:vAlign w:val="top"/>
                </w:tcPr>
                <w:p>
                  <w:pPr>
                    <w:jc w:val="both"/>
                  </w:pPr>
                  <w:r>
                    <w:rPr>
                      <w:sz w:val="21"/>
                    </w:rPr>
                    <w:t>无</w:t>
                  </w:r>
                </w:p>
              </w:tc>
              <w:tc>
                <w:tcPr>
                  <w:tcW w:type="dxa" w:w="480"/>
                  <w:tcBorders>
                    <w:top w:val="none" w:color="000000" w:sz="4"/>
                    <w:left w:val="none" w:color="000000" w:sz="4"/>
                    <w:bottom w:val="single" w:color="000000" w:sz="4"/>
                    <w:right w:val="single" w:color="000000" w:sz="4"/>
                  </w:tcBorders>
                  <w:vAlign w:val="top"/>
                </w:tcPr>
                <w:p>
                  <w:pPr>
                    <w:jc w:val="both"/>
                  </w:pPr>
                  <w:r>
                    <w:rPr>
                      <w:sz w:val="21"/>
                    </w:rPr>
                    <w:t>无</w:t>
                  </w:r>
                </w:p>
              </w:tc>
              <w:tc>
                <w:tcPr>
                  <w:tcW w:type="dxa" w:w="877"/>
                  <w:tcBorders>
                    <w:top w:val="none" w:color="000000" w:sz="4"/>
                    <w:left w:val="none" w:color="000000" w:sz="4"/>
                    <w:bottom w:val="single" w:color="000000" w:sz="4"/>
                    <w:right w:val="single" w:color="000000" w:sz="4"/>
                  </w:tcBorders>
                  <w:vAlign w:val="top"/>
                </w:tcPr>
                <w:p>
                  <w:pPr>
                    <w:jc w:val="both"/>
                  </w:pPr>
                  <w:r>
                    <w:rPr>
                      <w:sz w:val="21"/>
                    </w:rPr>
                    <w:t>≤4</w:t>
                  </w:r>
                </w:p>
              </w:tc>
            </w:tr>
          </w:tbl>
          <w:p>
            <w:pPr>
              <w:ind w:firstLine="420"/>
              <w:jc w:val="both"/>
            </w:pPr>
            <w:r>
              <w:rPr>
                <w:sz w:val="21"/>
              </w:rPr>
              <w:t>注：果皮、纸屑、塑膜的面积以火柴盒大小为标准。</w:t>
            </w:r>
          </w:p>
          <w:p>
            <w:pPr>
              <w:ind w:firstLine="420"/>
              <w:jc w:val="both"/>
            </w:pPr>
            <w:r>
              <w:rPr>
                <w:sz w:val="21"/>
              </w:rPr>
              <w:t>5、路牙、人行道花基不得有明显的泥沙(长0．5米以上)，洒落在主车道上的余泥沙石，在发现后2小时内要及时清理干净；树池上的石粒不得扫在人行道上。</w:t>
            </w:r>
          </w:p>
          <w:p>
            <w:pPr>
              <w:ind w:firstLine="420"/>
              <w:jc w:val="both"/>
            </w:pPr>
            <w:r>
              <w:rPr>
                <w:sz w:val="21"/>
              </w:rPr>
              <w:t>6、要保证雨水口不堵塞，雨水井底无废弃物，每月至少完成全面清理雨水井设施1次，每日保洁室应注意雨水井口的垃圾清理，使可视范围内设施干净、无垃圾杂物、无淤泥，特别是雨季时期必须重点清理雨水井口垃圾。</w:t>
            </w:r>
          </w:p>
          <w:p>
            <w:pPr>
              <w:ind w:firstLine="420"/>
              <w:jc w:val="both"/>
            </w:pPr>
            <w:r>
              <w:rPr>
                <w:sz w:val="21"/>
              </w:rPr>
              <w:t>7、道路路面、花岗岩路牙石要保持原色。</w:t>
            </w:r>
          </w:p>
          <w:p>
            <w:pPr>
              <w:ind w:firstLine="420"/>
              <w:jc w:val="both"/>
            </w:pPr>
            <w:r>
              <w:rPr>
                <w:sz w:val="21"/>
              </w:rPr>
              <w:t>8、地下通道的顶棚、栏杆、候车亭，每个星期要进行两次的清洗，做到外表清洁、通透、无积尘、无乱张贴 (乱张贴时间不得超过12小时)。</w:t>
            </w:r>
          </w:p>
          <w:p>
            <w:pPr>
              <w:ind w:firstLine="420"/>
              <w:jc w:val="both"/>
            </w:pPr>
            <w:r>
              <w:rPr>
                <w:sz w:val="21"/>
              </w:rPr>
              <w:t>9、果皮箱的管理要做到摆放正确；清洁时间按清扫作业时间完成，并做好箱内垃圾的日清，保证无臭，外表清洁、无积尘、无乱涂、乱画、乱张贴；果皮箱完好率应不低于98%。</w:t>
            </w:r>
          </w:p>
          <w:p>
            <w:pPr>
              <w:ind w:firstLine="420"/>
              <w:jc w:val="both"/>
            </w:pPr>
            <w:r>
              <w:rPr>
                <w:sz w:val="21"/>
              </w:rPr>
              <w:t xml:space="preserve">10、要定时进行路面冲洗，道路冲洗应在每日23时至次日5时进行；洒水要求冬季每天不得少于1次，其它季节每天不得少于2次的洒水(雨天除外)，并做到洒水记录齐全。   </w:t>
            </w:r>
          </w:p>
          <w:p>
            <w:pPr>
              <w:jc w:val="left"/>
            </w:pPr>
            <w:r>
              <w:rPr>
                <w:b/>
                <w:sz w:val="21"/>
              </w:rPr>
              <w:t xml:space="preserve"> </w:t>
            </w:r>
            <w:r>
              <w:rPr>
                <w:b/>
                <w:sz w:val="21"/>
              </w:rPr>
              <w:t>(三)市政设施维护质量标准</w:t>
            </w:r>
          </w:p>
          <w:p>
            <w:pPr>
              <w:ind w:firstLine="420"/>
              <w:jc w:val="both"/>
            </w:pPr>
            <w:r>
              <w:rPr>
                <w:sz w:val="21"/>
              </w:rPr>
              <w:t>1、管理期间监督照明设施管养单位，确保路灯照明设施完好和达到路灯明设计要求，使城市照明正常运行和亮灯率在99%以上。</w:t>
            </w:r>
          </w:p>
          <w:p>
            <w:pPr>
              <w:ind w:firstLine="420"/>
              <w:jc w:val="both"/>
            </w:pPr>
            <w:r>
              <w:rPr>
                <w:sz w:val="21"/>
              </w:rPr>
              <w:t>2、照明设施亮灯情况出现故障必须在0.5小时内上报业主，并及时抢修。</w:t>
            </w:r>
          </w:p>
          <w:p>
            <w:pPr>
              <w:ind w:firstLine="420"/>
              <w:jc w:val="both"/>
            </w:pPr>
            <w:r>
              <w:rPr>
                <w:sz w:val="21"/>
              </w:rPr>
              <w:t>3、清除管养范围内的路灯箱变、分接箱、高压电气设备等的牛皮癣，确保其干净整洁</w:t>
            </w:r>
          </w:p>
          <w:p>
            <w:pPr>
              <w:ind w:firstLine="420"/>
              <w:jc w:val="both"/>
            </w:pPr>
            <w:r>
              <w:rPr>
                <w:sz w:val="21"/>
              </w:rPr>
              <w:t xml:space="preserve">4、及时反馈电力、电信、燃气管道及广告牌现场受损情况。  </w:t>
            </w:r>
          </w:p>
          <w:p>
            <w:pPr>
              <w:ind w:firstLine="420"/>
              <w:jc w:val="both"/>
            </w:pPr>
            <w:r>
              <w:rPr>
                <w:sz w:val="21"/>
              </w:rPr>
              <w:t>5、监管辖区范围内市政公共设施的运行情况，制止车辆停放人行道（绿道）和未经批准擅自挖掘、占用市政道路等擅自施工的行为。</w:t>
            </w:r>
          </w:p>
          <w:p>
            <w:pPr>
              <w:ind w:firstLine="420"/>
              <w:jc w:val="both"/>
            </w:pPr>
            <w:r>
              <w:rPr>
                <w:sz w:val="21"/>
              </w:rPr>
              <w:t>6、监督辖区范围内市政工程文明施工情况，督促施工单位严格按照文明施工要求，认真落实文明施工措施，确保施工范围市政设施安全运行，环卫环境整洁，行人行车安全有序。</w:t>
            </w:r>
          </w:p>
          <w:p>
            <w:pPr>
              <w:ind w:firstLine="420"/>
              <w:jc w:val="both"/>
            </w:pPr>
            <w:r>
              <w:rPr>
                <w:sz w:val="21"/>
              </w:rPr>
              <w:t>7、监管辖区范围内的排水设施日常运行情况，发现排水井溢水、管道塌陷、管道堵塞等情况，应及时处理并通知采购人。</w:t>
            </w:r>
          </w:p>
          <w:p>
            <w:pPr>
              <w:ind w:firstLine="420"/>
              <w:jc w:val="both"/>
            </w:pPr>
            <w:r>
              <w:rPr>
                <w:sz w:val="21"/>
              </w:rPr>
              <w:t>8、落实辖区范围内暴雨期间的内涝巡查工作，发现内涝点，应做好安全警示、围闭。交通疏导等相关工作，同时负责排查内涝原因，如因管道堵塞引起，应马上处理并通知采购人。</w:t>
            </w:r>
          </w:p>
          <w:p>
            <w:pPr>
              <w:ind w:firstLine="420"/>
              <w:jc w:val="both"/>
            </w:pPr>
            <w:r>
              <w:rPr>
                <w:sz w:val="21"/>
              </w:rPr>
              <w:t>9、公园内市政设施损坏应及时修复，按原设施规格。</w:t>
            </w:r>
          </w:p>
          <w:p>
            <w:pPr>
              <w:jc w:val="left"/>
            </w:pPr>
            <w:r>
              <w:rPr>
                <w:b/>
                <w:sz w:val="21"/>
              </w:rPr>
              <w:t xml:space="preserve">(四)保安、秩序质量要求     </w:t>
            </w:r>
          </w:p>
          <w:p>
            <w:pPr>
              <w:ind w:firstLine="420"/>
              <w:jc w:val="both"/>
            </w:pPr>
            <w:r>
              <w:rPr>
                <w:sz w:val="21"/>
              </w:rPr>
              <w:t xml:space="preserve"> </w:t>
            </w:r>
            <w:r>
              <w:rPr>
                <w:sz w:val="21"/>
              </w:rPr>
              <w:t>1、中标人应成立应急领导小组办公室，制定公园公共突发事件应急预案，定期组织演练，并报采购人备案。</w:t>
            </w:r>
          </w:p>
          <w:p>
            <w:pPr>
              <w:ind w:firstLine="420"/>
              <w:jc w:val="both"/>
            </w:pPr>
            <w:r>
              <w:rPr>
                <w:sz w:val="21"/>
              </w:rPr>
              <w:t>2、公园管理机构应当按照公园游客容量接待游客，入园人数超出游客容量时，应做好控制入园人流及游园分流措施。</w:t>
            </w:r>
          </w:p>
          <w:p>
            <w:pPr>
              <w:ind w:firstLine="420"/>
              <w:jc w:val="both"/>
            </w:pPr>
            <w:r>
              <w:rPr>
                <w:sz w:val="21"/>
              </w:rPr>
              <w:t>3、【大型群众性活动管理】在公园内组织群众性活动的，应经采购人批准，并按照有关规定落实防范和应急措施，保障游客安全。</w:t>
            </w:r>
          </w:p>
          <w:p>
            <w:pPr>
              <w:ind w:firstLine="420"/>
              <w:jc w:val="both"/>
            </w:pPr>
            <w:r>
              <w:rPr>
                <w:sz w:val="21"/>
              </w:rPr>
              <w:t>4、公园开放期间，如遇台风暴雨黄色及以上预警等紧急情况或者突发事件，应当按照应急预案采取疏散游客、关闭园门等保证游客安全的措施，并及时向采购人和有关部门报告。发生地震等重大灾害需要进入公园避灾避险的，公园管理机构应及时开放已经划定的避难场所。</w:t>
            </w:r>
          </w:p>
          <w:p>
            <w:pPr>
              <w:ind w:firstLine="420"/>
              <w:jc w:val="both"/>
            </w:pPr>
            <w:r>
              <w:rPr>
                <w:sz w:val="21"/>
              </w:rPr>
              <w:t>5、公园管理机构应当建立安全管理制度，加强对水上活动、大型展览、节假日游园活动和游乐、康乐等设施的安全管理，按规定设置游客须知、警示标志、安全保障和环境卫生设施等等。如落实防火、防汛、防山体滑坡安全措施；合理设置消防水源、消防设施，保证消防通道畅通；在水体边缘设置警示标志，禁止游水等危险活动。</w:t>
            </w:r>
          </w:p>
          <w:p>
            <w:pPr>
              <w:ind w:firstLine="420"/>
              <w:jc w:val="both"/>
            </w:pPr>
            <w:r>
              <w:rPr>
                <w:sz w:val="21"/>
              </w:rPr>
              <w:t>6、公园内涉及人身安全的照明、游乐、康乐项目安装竣工后，应按规定经有关部门检验合格方可使用，并应定期检测和维修保养。公园设备、设施的操作人员经业务培训合格后，按有关规定持证上岗。</w:t>
            </w:r>
          </w:p>
          <w:p>
            <w:pPr>
              <w:ind w:firstLine="420"/>
              <w:jc w:val="both"/>
            </w:pPr>
            <w:r>
              <w:rPr>
                <w:sz w:val="21"/>
              </w:rPr>
              <w:t>7、除老、幼、残障者专用的非机动车外，其他车辆未经同意不得进入公园。</w:t>
            </w:r>
          </w:p>
          <w:p>
            <w:pPr>
              <w:ind w:firstLine="420"/>
              <w:jc w:val="both"/>
            </w:pPr>
            <w:r>
              <w:rPr>
                <w:sz w:val="21"/>
              </w:rPr>
              <w:t>8、加强乞讨和流浪人员的管理，做好治安防范，保障游园秩序和市民的人身安全。</w:t>
            </w:r>
          </w:p>
          <w:p>
            <w:pPr>
              <w:jc w:val="both"/>
            </w:pPr>
            <w:r>
              <w:rPr>
                <w:b/>
                <w:sz w:val="24"/>
              </w:rPr>
              <w:t>五、考核办法</w:t>
            </w:r>
          </w:p>
          <w:p>
            <w:pPr>
              <w:ind w:firstLine="420"/>
              <w:jc w:val="both"/>
            </w:pPr>
            <w:r>
              <w:rPr>
                <w:sz w:val="21"/>
              </w:rPr>
              <w:t>月度检查考核工作由采购人负责组织实施。</w:t>
            </w:r>
          </w:p>
          <w:p>
            <w:pPr>
              <w:ind w:firstLine="420"/>
              <w:jc w:val="both"/>
            </w:pPr>
            <w:r>
              <w:rPr>
                <w:sz w:val="21"/>
              </w:rPr>
              <w:t>1、月度检查考核办法</w:t>
            </w:r>
          </w:p>
          <w:p>
            <w:pPr>
              <w:ind w:firstLine="420"/>
              <w:jc w:val="both"/>
            </w:pPr>
            <w:r>
              <w:rPr>
                <w:sz w:val="21"/>
              </w:rPr>
              <w:t>月度检查考核工作由采购人负责组织实施，通过明检、暗检、日常检查，并按照《虎门镇城区小公园综合管理服务项目管理标准及考评办法》（详见附件</w:t>
            </w:r>
            <w:r>
              <w:rPr>
                <w:sz w:val="21"/>
              </w:rPr>
              <w:t>1）进行考核评分。</w:t>
            </w:r>
          </w:p>
          <w:p>
            <w:pPr>
              <w:jc w:val="both"/>
            </w:pPr>
            <w:r>
              <w:rPr>
                <w:sz w:val="21"/>
              </w:rPr>
              <w:t>合同期内评分不及格达三次的，采购人有权直接解约并追究违约责任。</w:t>
            </w:r>
          </w:p>
          <w:p>
            <w:pPr>
              <w:ind w:firstLine="420"/>
              <w:jc w:val="left"/>
            </w:pPr>
            <w:r>
              <w:rPr>
                <w:sz w:val="21"/>
              </w:rPr>
              <w:t>中标认根据扣分情况，各个分数能够得到的月承包款如下：</w:t>
            </w:r>
          </w:p>
          <w:tbl>
            <w:tblPr>
              <w:tblBorders>
                <w:top w:val="none" w:color="000000" w:sz="4"/>
                <w:left w:val="none" w:color="000000" w:sz="4"/>
                <w:bottom w:val="none" w:color="000000" w:sz="4"/>
                <w:right w:val="none" w:color="000000" w:sz="4"/>
                <w:insideH w:val="none"/>
                <w:insideV w:val="none"/>
              </w:tblBorders>
            </w:tblPr>
            <w:tblGrid>
              <w:gridCol w:w="820"/>
              <w:gridCol w:w="1047"/>
              <w:gridCol w:w="820"/>
              <w:gridCol w:w="1047"/>
              <w:gridCol w:w="820"/>
              <w:gridCol w:w="1046"/>
            </w:tblGrid>
            <w:tr>
              <w:tc>
                <w:tcPr>
                  <w:tcW w:type="dxa" w:w="820"/>
                  <w:tcBorders>
                    <w:top w:val="single" w:color="000000" w:sz="4"/>
                    <w:left w:val="single" w:color="000000" w:sz="4"/>
                    <w:bottom w:val="single" w:color="000000" w:sz="4"/>
                    <w:right w:val="single" w:color="000000" w:sz="4"/>
                  </w:tcBorders>
                  <w:vAlign w:val="top"/>
                </w:tcPr>
                <w:p>
                  <w:pPr>
                    <w:jc w:val="center"/>
                  </w:pPr>
                  <w:r>
                    <w:rPr>
                      <w:sz w:val="21"/>
                    </w:rPr>
                    <w:t>分数</w:t>
                  </w:r>
                </w:p>
              </w:tc>
              <w:tc>
                <w:tcPr>
                  <w:tcW w:type="dxa" w:w="1047"/>
                  <w:tcBorders>
                    <w:top w:val="single" w:color="000000" w:sz="4"/>
                    <w:left w:val="none" w:color="000000" w:sz="4"/>
                    <w:bottom w:val="single" w:color="000000" w:sz="4"/>
                    <w:right w:val="single" w:color="000000" w:sz="4"/>
                  </w:tcBorders>
                  <w:vAlign w:val="top"/>
                </w:tcPr>
                <w:p>
                  <w:pPr>
                    <w:jc w:val="center"/>
                  </w:pPr>
                  <w:r>
                    <w:rPr>
                      <w:sz w:val="21"/>
                    </w:rPr>
                    <w:t>月管理费比例</w:t>
                  </w:r>
                </w:p>
              </w:tc>
              <w:tc>
                <w:tcPr>
                  <w:tcW w:type="dxa" w:w="820"/>
                  <w:tcBorders>
                    <w:top w:val="single" w:color="000000" w:sz="4"/>
                    <w:left w:val="none" w:color="000000" w:sz="4"/>
                    <w:bottom w:val="single" w:color="000000" w:sz="4"/>
                    <w:right w:val="single" w:color="000000" w:sz="4"/>
                  </w:tcBorders>
                  <w:vAlign w:val="top"/>
                </w:tcPr>
                <w:p>
                  <w:pPr>
                    <w:jc w:val="center"/>
                  </w:pPr>
                  <w:r>
                    <w:rPr>
                      <w:sz w:val="21"/>
                    </w:rPr>
                    <w:t>分数</w:t>
                  </w:r>
                </w:p>
              </w:tc>
              <w:tc>
                <w:tcPr>
                  <w:tcW w:type="dxa" w:w="1047"/>
                  <w:tcBorders>
                    <w:top w:val="single" w:color="000000" w:sz="4"/>
                    <w:left w:val="none" w:color="000000" w:sz="4"/>
                    <w:bottom w:val="single" w:color="000000" w:sz="4"/>
                    <w:right w:val="single" w:color="000000" w:sz="4"/>
                  </w:tcBorders>
                  <w:vAlign w:val="top"/>
                </w:tcPr>
                <w:p>
                  <w:pPr>
                    <w:jc w:val="center"/>
                  </w:pPr>
                  <w:r>
                    <w:rPr>
                      <w:sz w:val="21"/>
                    </w:rPr>
                    <w:t>月管理费比例</w:t>
                  </w:r>
                </w:p>
              </w:tc>
              <w:tc>
                <w:tcPr>
                  <w:tcW w:type="dxa" w:w="820"/>
                  <w:tcBorders>
                    <w:top w:val="single" w:color="000000" w:sz="4"/>
                    <w:left w:val="none" w:color="000000" w:sz="4"/>
                    <w:bottom w:val="single" w:color="000000" w:sz="4"/>
                    <w:right w:val="single" w:color="000000" w:sz="4"/>
                  </w:tcBorders>
                  <w:vAlign w:val="top"/>
                </w:tcPr>
                <w:p>
                  <w:pPr>
                    <w:jc w:val="center"/>
                  </w:pPr>
                  <w:r>
                    <w:rPr>
                      <w:sz w:val="21"/>
                    </w:rPr>
                    <w:t>分数</w:t>
                  </w:r>
                </w:p>
              </w:tc>
              <w:tc>
                <w:tcPr>
                  <w:tcW w:type="dxa" w:w="1046"/>
                  <w:tcBorders>
                    <w:top w:val="single" w:color="000000" w:sz="4"/>
                    <w:left w:val="none" w:color="000000" w:sz="4"/>
                    <w:bottom w:val="single" w:color="000000" w:sz="4"/>
                    <w:right w:val="single" w:color="000000" w:sz="4"/>
                  </w:tcBorders>
                  <w:vAlign w:val="top"/>
                </w:tcPr>
                <w:p>
                  <w:pPr>
                    <w:jc w:val="center"/>
                  </w:pPr>
                  <w:r>
                    <w:rPr>
                      <w:sz w:val="21"/>
                    </w:rPr>
                    <w:t>月管理费比例</w:t>
                  </w:r>
                </w:p>
              </w:tc>
            </w:tr>
            <w:tr>
              <w:tc>
                <w:tcPr>
                  <w:tcW w:type="dxa" w:w="820"/>
                  <w:tcBorders>
                    <w:top w:val="none" w:color="000000" w:sz="4"/>
                    <w:left w:val="single" w:color="000000" w:sz="4"/>
                    <w:bottom w:val="single" w:color="000000" w:sz="4"/>
                    <w:right w:val="single" w:color="000000" w:sz="4"/>
                  </w:tcBorders>
                  <w:vAlign w:val="top"/>
                </w:tcPr>
                <w:p>
                  <w:pPr>
                    <w:jc w:val="center"/>
                  </w:pPr>
                  <w:r>
                    <w:rPr>
                      <w:sz w:val="21"/>
                    </w:rPr>
                    <w:t>90及以上</w:t>
                  </w:r>
                </w:p>
              </w:tc>
              <w:tc>
                <w:tcPr>
                  <w:tcW w:type="dxa" w:w="1047"/>
                  <w:tcBorders>
                    <w:top w:val="none" w:color="000000" w:sz="4"/>
                    <w:left w:val="none" w:color="000000" w:sz="4"/>
                    <w:bottom w:val="single" w:color="000000" w:sz="4"/>
                    <w:right w:val="single" w:color="000000" w:sz="4"/>
                  </w:tcBorders>
                  <w:vAlign w:val="top"/>
                </w:tcPr>
                <w:p>
                  <w:pPr>
                    <w:jc w:val="center"/>
                  </w:pPr>
                  <w:r>
                    <w:rPr>
                      <w:sz w:val="21"/>
                    </w:rPr>
                    <w:t>100%</w:t>
                  </w:r>
                </w:p>
              </w:tc>
              <w:tc>
                <w:tcPr>
                  <w:tcW w:type="dxa" w:w="820"/>
                  <w:tcBorders>
                    <w:top w:val="none" w:color="000000" w:sz="4"/>
                    <w:left w:val="none" w:color="000000" w:sz="4"/>
                    <w:bottom w:val="single" w:color="000000" w:sz="4"/>
                    <w:right w:val="single" w:color="000000" w:sz="4"/>
                  </w:tcBorders>
                  <w:vAlign w:val="top"/>
                </w:tcPr>
                <w:p>
                  <w:pPr>
                    <w:jc w:val="center"/>
                  </w:pPr>
                  <w:r>
                    <w:rPr>
                      <w:sz w:val="21"/>
                    </w:rPr>
                    <w:t>79</w:t>
                  </w:r>
                </w:p>
              </w:tc>
              <w:tc>
                <w:tcPr>
                  <w:tcW w:type="dxa" w:w="1047"/>
                  <w:tcBorders>
                    <w:top w:val="none" w:color="000000" w:sz="4"/>
                    <w:left w:val="none" w:color="000000" w:sz="4"/>
                    <w:bottom w:val="single" w:color="000000" w:sz="4"/>
                    <w:right w:val="single" w:color="000000" w:sz="4"/>
                  </w:tcBorders>
                  <w:vAlign w:val="top"/>
                </w:tcPr>
                <w:p>
                  <w:pPr>
                    <w:jc w:val="center"/>
                  </w:pPr>
                  <w:r>
                    <w:rPr>
                      <w:sz w:val="21"/>
                    </w:rPr>
                    <w:t>88.5%</w:t>
                  </w:r>
                </w:p>
              </w:tc>
              <w:tc>
                <w:tcPr>
                  <w:tcW w:type="dxa" w:w="820"/>
                  <w:tcBorders>
                    <w:top w:val="none" w:color="000000" w:sz="4"/>
                    <w:left w:val="none" w:color="000000" w:sz="4"/>
                    <w:bottom w:val="single" w:color="000000" w:sz="4"/>
                    <w:right w:val="single" w:color="000000" w:sz="4"/>
                  </w:tcBorders>
                  <w:vAlign w:val="top"/>
                </w:tcPr>
                <w:p>
                  <w:pPr>
                    <w:jc w:val="center"/>
                  </w:pPr>
                  <w:r>
                    <w:rPr>
                      <w:sz w:val="21"/>
                    </w:rPr>
                    <w:t>68</w:t>
                  </w:r>
                </w:p>
              </w:tc>
              <w:tc>
                <w:tcPr>
                  <w:tcW w:type="dxa" w:w="1046"/>
                  <w:tcBorders>
                    <w:top w:val="none" w:color="000000" w:sz="4"/>
                    <w:left w:val="none" w:color="000000" w:sz="4"/>
                    <w:bottom w:val="single" w:color="000000" w:sz="4"/>
                    <w:right w:val="single" w:color="000000" w:sz="4"/>
                  </w:tcBorders>
                  <w:vAlign w:val="top"/>
                </w:tcPr>
                <w:p>
                  <w:pPr>
                    <w:jc w:val="center"/>
                  </w:pPr>
                  <w:r>
                    <w:rPr>
                      <w:sz w:val="21"/>
                    </w:rPr>
                    <w:t>71%</w:t>
                  </w:r>
                </w:p>
              </w:tc>
            </w:tr>
            <w:tr>
              <w:tc>
                <w:tcPr>
                  <w:tcW w:type="dxa" w:w="820"/>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1047"/>
                  <w:tcBorders>
                    <w:top w:val="none" w:color="000000" w:sz="4"/>
                    <w:left w:val="none" w:color="000000" w:sz="4"/>
                    <w:bottom w:val="single" w:color="000000" w:sz="4"/>
                    <w:right w:val="single" w:color="000000" w:sz="4"/>
                  </w:tcBorders>
                  <w:vAlign w:val="top"/>
                </w:tcPr>
                <w:p>
                  <w:pPr>
                    <w:jc w:val="center"/>
                  </w:pPr>
                  <w:r>
                    <w:rPr>
                      <w:sz w:val="21"/>
                    </w:rPr>
                    <w:t>99%</w:t>
                  </w:r>
                </w:p>
              </w:tc>
              <w:tc>
                <w:tcPr>
                  <w:tcW w:type="dxa" w:w="820"/>
                  <w:tcBorders>
                    <w:top w:val="none" w:color="000000" w:sz="4"/>
                    <w:left w:val="none" w:color="000000" w:sz="4"/>
                    <w:bottom w:val="single" w:color="000000" w:sz="4"/>
                    <w:right w:val="single" w:color="000000" w:sz="4"/>
                  </w:tcBorders>
                  <w:vAlign w:val="top"/>
                </w:tcPr>
                <w:p>
                  <w:pPr>
                    <w:jc w:val="center"/>
                  </w:pPr>
                  <w:r>
                    <w:rPr>
                      <w:sz w:val="21"/>
                    </w:rPr>
                    <w:t>78</w:t>
                  </w:r>
                </w:p>
              </w:tc>
              <w:tc>
                <w:tcPr>
                  <w:tcW w:type="dxa" w:w="1047"/>
                  <w:tcBorders>
                    <w:top w:val="none" w:color="000000" w:sz="4"/>
                    <w:left w:val="none" w:color="000000" w:sz="4"/>
                    <w:bottom w:val="single" w:color="000000" w:sz="4"/>
                    <w:right w:val="single" w:color="000000" w:sz="4"/>
                  </w:tcBorders>
                  <w:vAlign w:val="top"/>
                </w:tcPr>
                <w:p>
                  <w:pPr>
                    <w:jc w:val="center"/>
                  </w:pPr>
                  <w:r>
                    <w:rPr>
                      <w:sz w:val="21"/>
                    </w:rPr>
                    <w:t>87%</w:t>
                  </w:r>
                </w:p>
              </w:tc>
              <w:tc>
                <w:tcPr>
                  <w:tcW w:type="dxa" w:w="820"/>
                  <w:tcBorders>
                    <w:top w:val="none" w:color="000000" w:sz="4"/>
                    <w:left w:val="none" w:color="000000" w:sz="4"/>
                    <w:bottom w:val="single" w:color="000000" w:sz="4"/>
                    <w:right w:val="single" w:color="000000" w:sz="4"/>
                  </w:tcBorders>
                  <w:vAlign w:val="top"/>
                </w:tcPr>
                <w:p>
                  <w:pPr>
                    <w:jc w:val="center"/>
                  </w:pPr>
                  <w:r>
                    <w:rPr>
                      <w:sz w:val="21"/>
                    </w:rPr>
                    <w:t>67</w:t>
                  </w:r>
                </w:p>
              </w:tc>
              <w:tc>
                <w:tcPr>
                  <w:tcW w:type="dxa" w:w="1046"/>
                  <w:tcBorders>
                    <w:top w:val="none" w:color="000000" w:sz="4"/>
                    <w:left w:val="none" w:color="000000" w:sz="4"/>
                    <w:bottom w:val="single" w:color="000000" w:sz="4"/>
                    <w:right w:val="single" w:color="000000" w:sz="4"/>
                  </w:tcBorders>
                  <w:vAlign w:val="top"/>
                </w:tcPr>
                <w:p>
                  <w:pPr>
                    <w:jc w:val="center"/>
                  </w:pPr>
                  <w:r>
                    <w:rPr>
                      <w:sz w:val="21"/>
                    </w:rPr>
                    <w:t>69%</w:t>
                  </w:r>
                </w:p>
              </w:tc>
            </w:tr>
            <w:tr>
              <w:tc>
                <w:tcPr>
                  <w:tcW w:type="dxa" w:w="820"/>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1047"/>
                  <w:tcBorders>
                    <w:top w:val="none" w:color="000000" w:sz="4"/>
                    <w:left w:val="none" w:color="000000" w:sz="4"/>
                    <w:bottom w:val="single" w:color="000000" w:sz="4"/>
                    <w:right w:val="single" w:color="000000" w:sz="4"/>
                  </w:tcBorders>
                  <w:vAlign w:val="top"/>
                </w:tcPr>
                <w:p>
                  <w:pPr>
                    <w:jc w:val="center"/>
                  </w:pPr>
                  <w:r>
                    <w:rPr>
                      <w:sz w:val="21"/>
                    </w:rPr>
                    <w:t>98%</w:t>
                  </w:r>
                </w:p>
              </w:tc>
              <w:tc>
                <w:tcPr>
                  <w:tcW w:type="dxa" w:w="820"/>
                  <w:tcBorders>
                    <w:top w:val="none" w:color="000000" w:sz="4"/>
                    <w:left w:val="none" w:color="000000" w:sz="4"/>
                    <w:bottom w:val="single" w:color="000000" w:sz="4"/>
                    <w:right w:val="single" w:color="000000" w:sz="4"/>
                  </w:tcBorders>
                  <w:vAlign w:val="top"/>
                </w:tcPr>
                <w:p>
                  <w:pPr>
                    <w:jc w:val="center"/>
                  </w:pPr>
                  <w:r>
                    <w:rPr>
                      <w:sz w:val="21"/>
                    </w:rPr>
                    <w:t>77</w:t>
                  </w:r>
                </w:p>
              </w:tc>
              <w:tc>
                <w:tcPr>
                  <w:tcW w:type="dxa" w:w="1047"/>
                  <w:tcBorders>
                    <w:top w:val="none" w:color="000000" w:sz="4"/>
                    <w:left w:val="none" w:color="000000" w:sz="4"/>
                    <w:bottom w:val="single" w:color="000000" w:sz="4"/>
                    <w:right w:val="single" w:color="000000" w:sz="4"/>
                  </w:tcBorders>
                  <w:vAlign w:val="top"/>
                </w:tcPr>
                <w:p>
                  <w:pPr>
                    <w:jc w:val="center"/>
                  </w:pPr>
                  <w:r>
                    <w:rPr>
                      <w:sz w:val="21"/>
                    </w:rPr>
                    <w:t>85.5%</w:t>
                  </w:r>
                </w:p>
              </w:tc>
              <w:tc>
                <w:tcPr>
                  <w:tcW w:type="dxa" w:w="820"/>
                  <w:tcBorders>
                    <w:top w:val="none" w:color="000000" w:sz="4"/>
                    <w:left w:val="none" w:color="000000" w:sz="4"/>
                    <w:bottom w:val="single" w:color="000000" w:sz="4"/>
                    <w:right w:val="single" w:color="000000" w:sz="4"/>
                  </w:tcBorders>
                  <w:vAlign w:val="top"/>
                </w:tcPr>
                <w:p>
                  <w:pPr>
                    <w:jc w:val="center"/>
                  </w:pPr>
                  <w:r>
                    <w:rPr>
                      <w:sz w:val="21"/>
                    </w:rPr>
                    <w:t>66</w:t>
                  </w:r>
                </w:p>
              </w:tc>
              <w:tc>
                <w:tcPr>
                  <w:tcW w:type="dxa" w:w="1046"/>
                  <w:tcBorders>
                    <w:top w:val="none" w:color="000000" w:sz="4"/>
                    <w:left w:val="none" w:color="000000" w:sz="4"/>
                    <w:bottom w:val="single" w:color="000000" w:sz="4"/>
                    <w:right w:val="single" w:color="000000" w:sz="4"/>
                  </w:tcBorders>
                  <w:vAlign w:val="top"/>
                </w:tcPr>
                <w:p>
                  <w:pPr>
                    <w:jc w:val="center"/>
                  </w:pPr>
                  <w:r>
                    <w:rPr>
                      <w:sz w:val="21"/>
                    </w:rPr>
                    <w:t>67%</w:t>
                  </w:r>
                </w:p>
              </w:tc>
            </w:tr>
            <w:tr>
              <w:tc>
                <w:tcPr>
                  <w:tcW w:type="dxa" w:w="820"/>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1047"/>
                  <w:tcBorders>
                    <w:top w:val="none" w:color="000000" w:sz="4"/>
                    <w:left w:val="none" w:color="000000" w:sz="4"/>
                    <w:bottom w:val="single" w:color="000000" w:sz="4"/>
                    <w:right w:val="single" w:color="000000" w:sz="4"/>
                  </w:tcBorders>
                  <w:vAlign w:val="top"/>
                </w:tcPr>
                <w:p>
                  <w:pPr>
                    <w:jc w:val="center"/>
                  </w:pPr>
                  <w:r>
                    <w:rPr>
                      <w:sz w:val="21"/>
                    </w:rPr>
                    <w:t>97%</w:t>
                  </w:r>
                </w:p>
              </w:tc>
              <w:tc>
                <w:tcPr>
                  <w:tcW w:type="dxa" w:w="820"/>
                  <w:tcBorders>
                    <w:top w:val="none" w:color="000000" w:sz="4"/>
                    <w:left w:val="none" w:color="000000" w:sz="4"/>
                    <w:bottom w:val="single" w:color="000000" w:sz="4"/>
                    <w:right w:val="single" w:color="000000" w:sz="4"/>
                  </w:tcBorders>
                  <w:vAlign w:val="top"/>
                </w:tcPr>
                <w:p>
                  <w:pPr>
                    <w:jc w:val="center"/>
                  </w:pPr>
                  <w:r>
                    <w:rPr>
                      <w:sz w:val="21"/>
                    </w:rPr>
                    <w:t>76</w:t>
                  </w:r>
                </w:p>
              </w:tc>
              <w:tc>
                <w:tcPr>
                  <w:tcW w:type="dxa" w:w="1047"/>
                  <w:tcBorders>
                    <w:top w:val="none" w:color="000000" w:sz="4"/>
                    <w:left w:val="none" w:color="000000" w:sz="4"/>
                    <w:bottom w:val="single" w:color="000000" w:sz="4"/>
                    <w:right w:val="single" w:color="000000" w:sz="4"/>
                  </w:tcBorders>
                  <w:vAlign w:val="top"/>
                </w:tcPr>
                <w:p>
                  <w:pPr>
                    <w:jc w:val="center"/>
                  </w:pPr>
                  <w:r>
                    <w:rPr>
                      <w:sz w:val="21"/>
                    </w:rPr>
                    <w:t>84</w:t>
                  </w:r>
                </w:p>
              </w:tc>
              <w:tc>
                <w:tcPr>
                  <w:tcW w:type="dxa" w:w="820"/>
                  <w:tcBorders>
                    <w:top w:val="none" w:color="000000" w:sz="4"/>
                    <w:left w:val="none" w:color="000000" w:sz="4"/>
                    <w:bottom w:val="single" w:color="000000" w:sz="4"/>
                    <w:right w:val="single" w:color="000000" w:sz="4"/>
                  </w:tcBorders>
                  <w:vAlign w:val="top"/>
                </w:tcPr>
                <w:p>
                  <w:pPr>
                    <w:jc w:val="center"/>
                  </w:pPr>
                  <w:r>
                    <w:rPr>
                      <w:sz w:val="21"/>
                    </w:rPr>
                    <w:t>65</w:t>
                  </w:r>
                </w:p>
              </w:tc>
              <w:tc>
                <w:tcPr>
                  <w:tcW w:type="dxa" w:w="1046"/>
                  <w:tcBorders>
                    <w:top w:val="none" w:color="000000" w:sz="4"/>
                    <w:left w:val="none" w:color="000000" w:sz="4"/>
                    <w:bottom w:val="single" w:color="000000" w:sz="4"/>
                    <w:right w:val="single" w:color="000000" w:sz="4"/>
                  </w:tcBorders>
                  <w:vAlign w:val="top"/>
                </w:tcPr>
                <w:p>
                  <w:pPr>
                    <w:jc w:val="center"/>
                  </w:pPr>
                  <w:r>
                    <w:rPr>
                      <w:sz w:val="21"/>
                    </w:rPr>
                    <w:t>65%</w:t>
                  </w:r>
                </w:p>
              </w:tc>
            </w:tr>
            <w:tr>
              <w:tc>
                <w:tcPr>
                  <w:tcW w:type="dxa" w:w="820"/>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1047"/>
                  <w:tcBorders>
                    <w:top w:val="none" w:color="000000" w:sz="4"/>
                    <w:left w:val="none" w:color="000000" w:sz="4"/>
                    <w:bottom w:val="single" w:color="000000" w:sz="4"/>
                    <w:right w:val="single" w:color="000000" w:sz="4"/>
                  </w:tcBorders>
                  <w:vAlign w:val="top"/>
                </w:tcPr>
                <w:p>
                  <w:pPr>
                    <w:jc w:val="center"/>
                  </w:pPr>
                  <w:r>
                    <w:rPr>
                      <w:sz w:val="21"/>
                    </w:rPr>
                    <w:t>96%</w:t>
                  </w:r>
                </w:p>
              </w:tc>
              <w:tc>
                <w:tcPr>
                  <w:tcW w:type="dxa" w:w="820"/>
                  <w:tcBorders>
                    <w:top w:val="none" w:color="000000" w:sz="4"/>
                    <w:left w:val="none" w:color="000000" w:sz="4"/>
                    <w:bottom w:val="single" w:color="000000" w:sz="4"/>
                    <w:right w:val="single" w:color="000000" w:sz="4"/>
                  </w:tcBorders>
                  <w:vAlign w:val="top"/>
                </w:tcPr>
                <w:p>
                  <w:pPr>
                    <w:jc w:val="center"/>
                  </w:pPr>
                  <w:r>
                    <w:rPr>
                      <w:sz w:val="21"/>
                    </w:rPr>
                    <w:t>75</w:t>
                  </w:r>
                </w:p>
              </w:tc>
              <w:tc>
                <w:tcPr>
                  <w:tcW w:type="dxa" w:w="1047"/>
                  <w:tcBorders>
                    <w:top w:val="none" w:color="000000" w:sz="4"/>
                    <w:left w:val="none" w:color="000000" w:sz="4"/>
                    <w:bottom w:val="single" w:color="000000" w:sz="4"/>
                    <w:right w:val="single" w:color="000000" w:sz="4"/>
                  </w:tcBorders>
                  <w:vAlign w:val="top"/>
                </w:tcPr>
                <w:p>
                  <w:pPr>
                    <w:jc w:val="center"/>
                  </w:pPr>
                  <w:r>
                    <w:rPr>
                      <w:sz w:val="21"/>
                    </w:rPr>
                    <w:t>82.5%</w:t>
                  </w:r>
                </w:p>
              </w:tc>
              <w:tc>
                <w:tcPr>
                  <w:tcW w:type="dxa" w:w="820"/>
                  <w:tcBorders>
                    <w:top w:val="none" w:color="000000" w:sz="4"/>
                    <w:left w:val="none" w:color="000000" w:sz="4"/>
                    <w:bottom w:val="single" w:color="000000" w:sz="4"/>
                    <w:right w:val="single" w:color="000000" w:sz="4"/>
                  </w:tcBorders>
                  <w:vAlign w:val="top"/>
                </w:tcPr>
                <w:p>
                  <w:pPr>
                    <w:jc w:val="center"/>
                  </w:pPr>
                  <w:r>
                    <w:rPr>
                      <w:sz w:val="21"/>
                    </w:rPr>
                    <w:t>64</w:t>
                  </w:r>
                </w:p>
              </w:tc>
              <w:tc>
                <w:tcPr>
                  <w:tcW w:type="dxa" w:w="1046"/>
                  <w:tcBorders>
                    <w:top w:val="none" w:color="000000" w:sz="4"/>
                    <w:left w:val="none" w:color="000000" w:sz="4"/>
                    <w:bottom w:val="single" w:color="000000" w:sz="4"/>
                    <w:right w:val="single" w:color="000000" w:sz="4"/>
                  </w:tcBorders>
                  <w:vAlign w:val="top"/>
                </w:tcPr>
                <w:p>
                  <w:pPr>
                    <w:jc w:val="center"/>
                  </w:pPr>
                  <w:r>
                    <w:rPr>
                      <w:sz w:val="21"/>
                    </w:rPr>
                    <w:t>63%</w:t>
                  </w:r>
                </w:p>
              </w:tc>
            </w:tr>
            <w:tr>
              <w:tc>
                <w:tcPr>
                  <w:tcW w:type="dxa" w:w="820"/>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1047"/>
                  <w:tcBorders>
                    <w:top w:val="none" w:color="000000" w:sz="4"/>
                    <w:left w:val="none" w:color="000000" w:sz="4"/>
                    <w:bottom w:val="single" w:color="000000" w:sz="4"/>
                    <w:right w:val="single" w:color="000000" w:sz="4"/>
                  </w:tcBorders>
                  <w:vAlign w:val="top"/>
                </w:tcPr>
                <w:p>
                  <w:pPr>
                    <w:jc w:val="center"/>
                  </w:pPr>
                  <w:r>
                    <w:rPr>
                      <w:sz w:val="21"/>
                    </w:rPr>
                    <w:t>95%</w:t>
                  </w:r>
                </w:p>
              </w:tc>
              <w:tc>
                <w:tcPr>
                  <w:tcW w:type="dxa" w:w="820"/>
                  <w:tcBorders>
                    <w:top w:val="none" w:color="000000" w:sz="4"/>
                    <w:left w:val="none" w:color="000000" w:sz="4"/>
                    <w:bottom w:val="single" w:color="000000" w:sz="4"/>
                    <w:right w:val="single" w:color="000000" w:sz="4"/>
                  </w:tcBorders>
                  <w:vAlign w:val="top"/>
                </w:tcPr>
                <w:p>
                  <w:pPr>
                    <w:jc w:val="center"/>
                  </w:pPr>
                  <w:r>
                    <w:rPr>
                      <w:sz w:val="21"/>
                    </w:rPr>
                    <w:t>74</w:t>
                  </w:r>
                </w:p>
              </w:tc>
              <w:tc>
                <w:tcPr>
                  <w:tcW w:type="dxa" w:w="1047"/>
                  <w:tcBorders>
                    <w:top w:val="none" w:color="000000" w:sz="4"/>
                    <w:left w:val="none" w:color="000000" w:sz="4"/>
                    <w:bottom w:val="single" w:color="000000" w:sz="4"/>
                    <w:right w:val="single" w:color="000000" w:sz="4"/>
                  </w:tcBorders>
                  <w:vAlign w:val="top"/>
                </w:tcPr>
                <w:p>
                  <w:pPr>
                    <w:jc w:val="center"/>
                  </w:pPr>
                  <w:r>
                    <w:rPr>
                      <w:sz w:val="21"/>
                    </w:rPr>
                    <w:t>81%</w:t>
                  </w:r>
                </w:p>
              </w:tc>
              <w:tc>
                <w:tcPr>
                  <w:tcW w:type="dxa" w:w="820"/>
                  <w:tcBorders>
                    <w:top w:val="none" w:color="000000" w:sz="4"/>
                    <w:left w:val="none" w:color="000000" w:sz="4"/>
                    <w:bottom w:val="single" w:color="000000" w:sz="4"/>
                    <w:right w:val="single" w:color="000000" w:sz="4"/>
                  </w:tcBorders>
                  <w:vAlign w:val="top"/>
                </w:tcPr>
                <w:p>
                  <w:pPr>
                    <w:jc w:val="center"/>
                  </w:pPr>
                  <w:r>
                    <w:rPr>
                      <w:sz w:val="21"/>
                    </w:rPr>
                    <w:t>63</w:t>
                  </w:r>
                </w:p>
              </w:tc>
              <w:tc>
                <w:tcPr>
                  <w:tcW w:type="dxa" w:w="1046"/>
                  <w:tcBorders>
                    <w:top w:val="none" w:color="000000" w:sz="4"/>
                    <w:left w:val="none" w:color="000000" w:sz="4"/>
                    <w:bottom w:val="single" w:color="000000" w:sz="4"/>
                    <w:right w:val="single" w:color="000000" w:sz="4"/>
                  </w:tcBorders>
                  <w:vAlign w:val="top"/>
                </w:tcPr>
                <w:p>
                  <w:pPr>
                    <w:jc w:val="center"/>
                  </w:pPr>
                  <w:r>
                    <w:rPr>
                      <w:sz w:val="21"/>
                    </w:rPr>
                    <w:t>61%</w:t>
                  </w:r>
                </w:p>
              </w:tc>
            </w:tr>
            <w:tr>
              <w:tc>
                <w:tcPr>
                  <w:tcW w:type="dxa" w:w="820"/>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1047"/>
                  <w:tcBorders>
                    <w:top w:val="none" w:color="000000" w:sz="4"/>
                    <w:left w:val="none" w:color="000000" w:sz="4"/>
                    <w:bottom w:val="single" w:color="000000" w:sz="4"/>
                    <w:right w:val="single" w:color="000000" w:sz="4"/>
                  </w:tcBorders>
                  <w:vAlign w:val="top"/>
                </w:tcPr>
                <w:p>
                  <w:pPr>
                    <w:jc w:val="center"/>
                  </w:pPr>
                  <w:r>
                    <w:rPr>
                      <w:sz w:val="21"/>
                    </w:rPr>
                    <w:t>94%</w:t>
                  </w:r>
                </w:p>
              </w:tc>
              <w:tc>
                <w:tcPr>
                  <w:tcW w:type="dxa" w:w="820"/>
                  <w:tcBorders>
                    <w:top w:val="none" w:color="000000" w:sz="4"/>
                    <w:left w:val="none" w:color="000000" w:sz="4"/>
                    <w:bottom w:val="single" w:color="000000" w:sz="4"/>
                    <w:right w:val="single" w:color="000000" w:sz="4"/>
                  </w:tcBorders>
                  <w:vAlign w:val="top"/>
                </w:tcPr>
                <w:p>
                  <w:pPr>
                    <w:jc w:val="center"/>
                  </w:pPr>
                  <w:r>
                    <w:rPr>
                      <w:sz w:val="21"/>
                    </w:rPr>
                    <w:t>73</w:t>
                  </w:r>
                </w:p>
              </w:tc>
              <w:tc>
                <w:tcPr>
                  <w:tcW w:type="dxa" w:w="1047"/>
                  <w:tcBorders>
                    <w:top w:val="none" w:color="000000" w:sz="4"/>
                    <w:left w:val="none" w:color="000000" w:sz="4"/>
                    <w:bottom w:val="single" w:color="000000" w:sz="4"/>
                    <w:right w:val="single" w:color="000000" w:sz="4"/>
                  </w:tcBorders>
                  <w:vAlign w:val="top"/>
                </w:tcPr>
                <w:p>
                  <w:pPr>
                    <w:jc w:val="center"/>
                  </w:pPr>
                  <w:r>
                    <w:rPr>
                      <w:sz w:val="21"/>
                    </w:rPr>
                    <w:t>79.5%</w:t>
                  </w:r>
                </w:p>
              </w:tc>
              <w:tc>
                <w:tcPr>
                  <w:tcW w:type="dxa" w:w="820"/>
                  <w:tcBorders>
                    <w:top w:val="none" w:color="000000" w:sz="4"/>
                    <w:left w:val="none" w:color="000000" w:sz="4"/>
                    <w:bottom w:val="single" w:color="000000" w:sz="4"/>
                    <w:right w:val="single" w:color="000000" w:sz="4"/>
                  </w:tcBorders>
                  <w:vAlign w:val="top"/>
                </w:tcPr>
                <w:p>
                  <w:pPr>
                    <w:jc w:val="center"/>
                  </w:pPr>
                  <w:r>
                    <w:rPr>
                      <w:sz w:val="21"/>
                    </w:rPr>
                    <w:t>62</w:t>
                  </w:r>
                </w:p>
              </w:tc>
              <w:tc>
                <w:tcPr>
                  <w:tcW w:type="dxa" w:w="1046"/>
                  <w:tcBorders>
                    <w:top w:val="none" w:color="000000" w:sz="4"/>
                    <w:left w:val="none" w:color="000000" w:sz="4"/>
                    <w:bottom w:val="single" w:color="000000" w:sz="4"/>
                    <w:right w:val="single" w:color="000000" w:sz="4"/>
                  </w:tcBorders>
                  <w:vAlign w:val="top"/>
                </w:tcPr>
                <w:p>
                  <w:pPr>
                    <w:jc w:val="center"/>
                  </w:pPr>
                  <w:r>
                    <w:rPr>
                      <w:sz w:val="21"/>
                    </w:rPr>
                    <w:t>59%</w:t>
                  </w:r>
                </w:p>
              </w:tc>
            </w:tr>
            <w:tr>
              <w:tc>
                <w:tcPr>
                  <w:tcW w:type="dxa" w:w="820"/>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1047"/>
                  <w:tcBorders>
                    <w:top w:val="none" w:color="000000" w:sz="4"/>
                    <w:left w:val="none" w:color="000000" w:sz="4"/>
                    <w:bottom w:val="single" w:color="000000" w:sz="4"/>
                    <w:right w:val="single" w:color="000000" w:sz="4"/>
                  </w:tcBorders>
                  <w:vAlign w:val="top"/>
                </w:tcPr>
                <w:p>
                  <w:pPr>
                    <w:jc w:val="center"/>
                  </w:pPr>
                  <w:r>
                    <w:rPr>
                      <w:sz w:val="21"/>
                    </w:rPr>
                    <w:t>93%</w:t>
                  </w:r>
                </w:p>
              </w:tc>
              <w:tc>
                <w:tcPr>
                  <w:tcW w:type="dxa" w:w="820"/>
                  <w:tcBorders>
                    <w:top w:val="none" w:color="000000" w:sz="4"/>
                    <w:left w:val="none" w:color="000000" w:sz="4"/>
                    <w:bottom w:val="single" w:color="000000" w:sz="4"/>
                    <w:right w:val="single" w:color="000000" w:sz="4"/>
                  </w:tcBorders>
                  <w:vAlign w:val="top"/>
                </w:tcPr>
                <w:p>
                  <w:pPr>
                    <w:jc w:val="center"/>
                  </w:pPr>
                  <w:r>
                    <w:rPr>
                      <w:sz w:val="21"/>
                    </w:rPr>
                    <w:t>72</w:t>
                  </w:r>
                </w:p>
              </w:tc>
              <w:tc>
                <w:tcPr>
                  <w:tcW w:type="dxa" w:w="1047"/>
                  <w:tcBorders>
                    <w:top w:val="none" w:color="000000" w:sz="4"/>
                    <w:left w:val="none" w:color="000000" w:sz="4"/>
                    <w:bottom w:val="single" w:color="000000" w:sz="4"/>
                    <w:right w:val="single" w:color="000000" w:sz="4"/>
                  </w:tcBorders>
                  <w:vAlign w:val="top"/>
                </w:tcPr>
                <w:p>
                  <w:pPr>
                    <w:jc w:val="center"/>
                  </w:pPr>
                  <w:r>
                    <w:rPr>
                      <w:sz w:val="21"/>
                    </w:rPr>
                    <w:t>78%</w:t>
                  </w:r>
                </w:p>
              </w:tc>
              <w:tc>
                <w:tcPr>
                  <w:tcW w:type="dxa" w:w="820"/>
                  <w:tcBorders>
                    <w:top w:val="none" w:color="000000" w:sz="4"/>
                    <w:left w:val="none" w:color="000000" w:sz="4"/>
                    <w:bottom w:val="single" w:color="000000" w:sz="4"/>
                    <w:right w:val="single" w:color="000000" w:sz="4"/>
                  </w:tcBorders>
                  <w:vAlign w:val="top"/>
                </w:tcPr>
                <w:p>
                  <w:pPr>
                    <w:jc w:val="center"/>
                  </w:pPr>
                  <w:r>
                    <w:rPr>
                      <w:sz w:val="21"/>
                    </w:rPr>
                    <w:t>61</w:t>
                  </w:r>
                </w:p>
              </w:tc>
              <w:tc>
                <w:tcPr>
                  <w:tcW w:type="dxa" w:w="1046"/>
                  <w:tcBorders>
                    <w:top w:val="none" w:color="000000" w:sz="4"/>
                    <w:left w:val="none" w:color="000000" w:sz="4"/>
                    <w:bottom w:val="single" w:color="000000" w:sz="4"/>
                    <w:right w:val="single" w:color="000000" w:sz="4"/>
                  </w:tcBorders>
                  <w:vAlign w:val="top"/>
                </w:tcPr>
                <w:p>
                  <w:pPr>
                    <w:jc w:val="center"/>
                  </w:pPr>
                  <w:r>
                    <w:rPr>
                      <w:sz w:val="21"/>
                    </w:rPr>
                    <w:t>57%</w:t>
                  </w:r>
                </w:p>
              </w:tc>
            </w:tr>
            <w:tr>
              <w:tc>
                <w:tcPr>
                  <w:tcW w:type="dxa" w:w="820"/>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1047"/>
                  <w:tcBorders>
                    <w:top w:val="none" w:color="000000" w:sz="4"/>
                    <w:left w:val="none" w:color="000000" w:sz="4"/>
                    <w:bottom w:val="single" w:color="000000" w:sz="4"/>
                    <w:right w:val="single" w:color="000000" w:sz="4"/>
                  </w:tcBorders>
                  <w:vAlign w:val="top"/>
                </w:tcPr>
                <w:p>
                  <w:pPr>
                    <w:jc w:val="center"/>
                  </w:pPr>
                  <w:r>
                    <w:rPr>
                      <w:sz w:val="21"/>
                    </w:rPr>
                    <w:t>92%</w:t>
                  </w:r>
                </w:p>
              </w:tc>
              <w:tc>
                <w:tcPr>
                  <w:tcW w:type="dxa" w:w="820"/>
                  <w:tcBorders>
                    <w:top w:val="none" w:color="000000" w:sz="4"/>
                    <w:left w:val="none" w:color="000000" w:sz="4"/>
                    <w:bottom w:val="single" w:color="000000" w:sz="4"/>
                    <w:right w:val="single" w:color="000000" w:sz="4"/>
                  </w:tcBorders>
                  <w:vAlign w:val="top"/>
                </w:tcPr>
                <w:p>
                  <w:pPr>
                    <w:jc w:val="center"/>
                  </w:pPr>
                  <w:r>
                    <w:rPr>
                      <w:sz w:val="21"/>
                    </w:rPr>
                    <w:t>71</w:t>
                  </w:r>
                </w:p>
              </w:tc>
              <w:tc>
                <w:tcPr>
                  <w:tcW w:type="dxa" w:w="1047"/>
                  <w:tcBorders>
                    <w:top w:val="none" w:color="000000" w:sz="4"/>
                    <w:left w:val="none" w:color="000000" w:sz="4"/>
                    <w:bottom w:val="single" w:color="000000" w:sz="4"/>
                    <w:right w:val="single" w:color="000000" w:sz="4"/>
                  </w:tcBorders>
                  <w:vAlign w:val="top"/>
                </w:tcPr>
                <w:p>
                  <w:pPr>
                    <w:jc w:val="center"/>
                  </w:pPr>
                  <w:r>
                    <w:rPr>
                      <w:sz w:val="21"/>
                    </w:rPr>
                    <w:t>76.5%</w:t>
                  </w:r>
                </w:p>
              </w:tc>
              <w:tc>
                <w:tcPr>
                  <w:tcW w:type="dxa" w:w="820"/>
                  <w:tcBorders>
                    <w:top w:val="none" w:color="000000" w:sz="4"/>
                    <w:left w:val="none" w:color="000000" w:sz="4"/>
                    <w:bottom w:val="single" w:color="000000" w:sz="4"/>
                    <w:right w:val="single" w:color="000000" w:sz="4"/>
                  </w:tcBorders>
                  <w:vAlign w:val="top"/>
                </w:tcPr>
                <w:p>
                  <w:pPr>
                    <w:jc w:val="center"/>
                  </w:pPr>
                  <w:r>
                    <w:rPr>
                      <w:sz w:val="21"/>
                    </w:rPr>
                    <w:t>60</w:t>
                  </w:r>
                </w:p>
              </w:tc>
              <w:tc>
                <w:tcPr>
                  <w:tcW w:type="dxa" w:w="1046"/>
                  <w:tcBorders>
                    <w:top w:val="none" w:color="000000" w:sz="4"/>
                    <w:left w:val="none" w:color="000000" w:sz="4"/>
                    <w:bottom w:val="single" w:color="000000" w:sz="4"/>
                    <w:right w:val="single" w:color="000000" w:sz="4"/>
                  </w:tcBorders>
                  <w:vAlign w:val="top"/>
                </w:tcPr>
                <w:p>
                  <w:pPr>
                    <w:jc w:val="center"/>
                  </w:pPr>
                  <w:r>
                    <w:rPr>
                      <w:sz w:val="21"/>
                    </w:rPr>
                    <w:t>55%</w:t>
                  </w:r>
                </w:p>
              </w:tc>
            </w:tr>
            <w:tr>
              <w:tc>
                <w:tcPr>
                  <w:tcW w:type="dxa" w:w="820"/>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1047"/>
                  <w:tcBorders>
                    <w:top w:val="none" w:color="000000" w:sz="4"/>
                    <w:left w:val="none" w:color="000000" w:sz="4"/>
                    <w:bottom w:val="single" w:color="000000" w:sz="4"/>
                    <w:right w:val="single" w:color="000000" w:sz="4"/>
                  </w:tcBorders>
                  <w:vAlign w:val="top"/>
                </w:tcPr>
                <w:p>
                  <w:pPr>
                    <w:jc w:val="center"/>
                  </w:pPr>
                  <w:r>
                    <w:rPr>
                      <w:sz w:val="21"/>
                    </w:rPr>
                    <w:t>91%</w:t>
                  </w:r>
                </w:p>
              </w:tc>
              <w:tc>
                <w:tcPr>
                  <w:tcW w:type="dxa" w:w="820"/>
                  <w:tcBorders>
                    <w:top w:val="none" w:color="000000" w:sz="4"/>
                    <w:left w:val="none" w:color="000000" w:sz="4"/>
                    <w:bottom w:val="single" w:color="000000" w:sz="4"/>
                    <w:right w:val="single" w:color="000000" w:sz="4"/>
                  </w:tcBorders>
                  <w:vAlign w:val="top"/>
                </w:tcPr>
                <w:p>
                  <w:pPr>
                    <w:jc w:val="center"/>
                  </w:pPr>
                  <w:r>
                    <w:rPr>
                      <w:sz w:val="21"/>
                    </w:rPr>
                    <w:t>70</w:t>
                  </w:r>
                </w:p>
              </w:tc>
              <w:tc>
                <w:tcPr>
                  <w:tcW w:type="dxa" w:w="1047"/>
                  <w:tcBorders>
                    <w:top w:val="none" w:color="000000" w:sz="4"/>
                    <w:left w:val="none" w:color="000000" w:sz="4"/>
                    <w:bottom w:val="single" w:color="000000" w:sz="4"/>
                    <w:right w:val="single" w:color="000000" w:sz="4"/>
                  </w:tcBorders>
                  <w:vAlign w:val="top"/>
                </w:tcPr>
                <w:p>
                  <w:pPr>
                    <w:jc w:val="center"/>
                  </w:pPr>
                  <w:r>
                    <w:rPr>
                      <w:sz w:val="21"/>
                    </w:rPr>
                    <w:t>75%</w:t>
                  </w:r>
                </w:p>
              </w:tc>
              <w:tc>
                <w:tcPr>
                  <w:tcW w:type="dxa" w:w="820"/>
                  <w:tcBorders>
                    <w:top w:val="none" w:color="000000" w:sz="4"/>
                    <w:left w:val="none" w:color="000000" w:sz="4"/>
                    <w:bottom w:val="single" w:color="000000" w:sz="4"/>
                    <w:right w:val="single" w:color="000000" w:sz="4"/>
                  </w:tcBorders>
                  <w:vAlign w:val="top"/>
                </w:tcPr>
                <w:p>
                  <w:pPr>
                    <w:jc w:val="center"/>
                  </w:pPr>
                  <w:r>
                    <w:rPr>
                      <w:sz w:val="21"/>
                    </w:rPr>
                    <w:t>60以下</w:t>
                  </w:r>
                </w:p>
              </w:tc>
              <w:tc>
                <w:tcPr>
                  <w:tcW w:type="dxa" w:w="1046"/>
                  <w:tcBorders>
                    <w:top w:val="none" w:color="000000" w:sz="4"/>
                    <w:left w:val="none" w:color="000000" w:sz="4"/>
                    <w:bottom w:val="single" w:color="000000" w:sz="4"/>
                    <w:right w:val="single" w:color="000000" w:sz="4"/>
                  </w:tcBorders>
                  <w:vAlign w:val="top"/>
                </w:tcPr>
                <w:p>
                  <w:pPr>
                    <w:jc w:val="center"/>
                  </w:pPr>
                  <w:r>
                    <w:rPr>
                      <w:sz w:val="21"/>
                    </w:rPr>
                    <w:t>50%</w:t>
                  </w:r>
                </w:p>
              </w:tc>
            </w:tr>
            <w:tr>
              <w:tc>
                <w:tcPr>
                  <w:tcW w:type="dxa" w:w="820"/>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1047"/>
                  <w:tcBorders>
                    <w:top w:val="none" w:color="000000" w:sz="4"/>
                    <w:left w:val="none" w:color="000000" w:sz="4"/>
                    <w:bottom w:val="single" w:color="000000" w:sz="4"/>
                    <w:right w:val="single" w:color="000000" w:sz="4"/>
                  </w:tcBorders>
                  <w:vAlign w:val="top"/>
                </w:tcPr>
                <w:p>
                  <w:pPr>
                    <w:jc w:val="center"/>
                  </w:pPr>
                  <w:r>
                    <w:rPr>
                      <w:sz w:val="21"/>
                    </w:rPr>
                    <w:t>90%</w:t>
                  </w:r>
                </w:p>
              </w:tc>
              <w:tc>
                <w:tcPr>
                  <w:tcW w:type="dxa" w:w="820"/>
                  <w:tcBorders>
                    <w:top w:val="none" w:color="000000" w:sz="4"/>
                    <w:left w:val="none" w:color="000000" w:sz="4"/>
                    <w:bottom w:val="single" w:color="000000" w:sz="4"/>
                    <w:right w:val="single" w:color="000000" w:sz="4"/>
                  </w:tcBorders>
                  <w:vAlign w:val="top"/>
                </w:tcPr>
                <w:p>
                  <w:pPr>
                    <w:jc w:val="center"/>
                  </w:pPr>
                  <w:r>
                    <w:rPr>
                      <w:sz w:val="21"/>
                    </w:rPr>
                    <w:t>69</w:t>
                  </w:r>
                </w:p>
              </w:tc>
              <w:tc>
                <w:tcPr>
                  <w:tcW w:type="dxa" w:w="1047"/>
                  <w:tcBorders>
                    <w:top w:val="none" w:color="000000" w:sz="4"/>
                    <w:left w:val="none" w:color="000000" w:sz="4"/>
                    <w:bottom w:val="single" w:color="000000" w:sz="4"/>
                    <w:right w:val="single" w:color="000000" w:sz="4"/>
                  </w:tcBorders>
                  <w:vAlign w:val="top"/>
                </w:tcPr>
                <w:p>
                  <w:pPr>
                    <w:jc w:val="center"/>
                  </w:pPr>
                  <w:r>
                    <w:rPr>
                      <w:sz w:val="21"/>
                    </w:rPr>
                    <w:t>73%</w:t>
                  </w:r>
                </w:p>
              </w:tc>
              <w:tc>
                <w:tcPr>
                  <w:tcW w:type="dxa" w:w="820"/>
                  <w:tcBorders>
                    <w:top w:val="none" w:color="000000" w:sz="4"/>
                    <w:left w:val="none" w:color="000000" w:sz="4"/>
                    <w:bottom w:val="single" w:color="000000" w:sz="4"/>
                    <w:right w:val="single" w:color="000000" w:sz="4"/>
                  </w:tcBorders>
                  <w:vAlign w:val="top"/>
                </w:tcPr>
                <w:p>
                  <w:pPr>
                    <w:jc w:val="center"/>
                  </w:pPr>
                </w:p>
              </w:tc>
              <w:tc>
                <w:tcPr>
                  <w:tcW w:type="dxa" w:w="1046"/>
                  <w:tcBorders>
                    <w:top w:val="none" w:color="000000" w:sz="4"/>
                    <w:left w:val="none" w:color="000000" w:sz="4"/>
                    <w:bottom w:val="single" w:color="000000" w:sz="4"/>
                    <w:right w:val="single" w:color="000000" w:sz="4"/>
                  </w:tcBorders>
                  <w:vAlign w:val="top"/>
                </w:tcPr>
                <w:p>
                  <w:pPr>
                    <w:jc w:val="center"/>
                  </w:pPr>
                </w:p>
              </w:tc>
            </w:tr>
          </w:tbl>
          <w:p>
            <w:pPr>
              <w:ind w:firstLine="420"/>
              <w:jc w:val="left"/>
            </w:pPr>
            <w:r>
              <w:rPr>
                <w:sz w:val="21"/>
              </w:rPr>
              <w:t>若中标人分值为非整数，则按插值法计算其月承包款比例：</w:t>
            </w:r>
          </w:p>
          <w:p>
            <w:pPr>
              <w:ind w:firstLine="420"/>
              <w:jc w:val="left"/>
            </w:pPr>
            <w:r>
              <w:rPr>
                <w:sz w:val="21"/>
              </w:rPr>
              <w:t>备注：</w:t>
            </w:r>
            <w:r>
              <w:rPr>
                <w:sz w:val="21"/>
              </w:rPr>
              <w:t>90分及以上全额支付该月服务费；60分以下为不及格扣除当月承包款的50%，不适合于以下公式。</w:t>
            </w:r>
          </w:p>
          <w:p>
            <w:pPr>
              <w:ind w:firstLine="420"/>
              <w:jc w:val="left"/>
            </w:pPr>
            <w:r>
              <w:rPr>
                <w:sz w:val="21"/>
              </w:rPr>
              <w:t>例如：若中标人该月得分为</w:t>
            </w:r>
            <w:r>
              <w:rPr>
                <w:sz w:val="21"/>
              </w:rPr>
              <w:t>83.5分，则计算方式如下：</w:t>
            </w:r>
          </w:p>
          <w:p>
            <w:pPr>
              <w:ind w:firstLine="420"/>
              <w:jc w:val="left"/>
            </w:pPr>
            <w:r>
              <w:rPr>
                <w:sz w:val="21"/>
              </w:rPr>
              <w:t>对应月服务款比例</w:t>
            </w:r>
            <w:r>
              <w:rPr>
                <w:sz w:val="21"/>
              </w:rPr>
              <w:t>=93%+[(94%-93%)/(84-83)]×（83.5-83）=93.5%</w:t>
            </w:r>
          </w:p>
          <w:p>
            <w:pPr>
              <w:ind w:firstLine="420"/>
              <w:jc w:val="left"/>
            </w:pPr>
            <w:r>
              <w:rPr>
                <w:sz w:val="21"/>
              </w:rPr>
              <w:t>2、若出现违约扣减情况，根据招标文件（合同）约定的条例进行扣减，详见《万科体育路公园、万科城小公园及万科花园公园综合管理服务项目扣减通知书》（附件2）</w:t>
            </w:r>
          </w:p>
          <w:p>
            <w:pPr>
              <w:ind w:firstLine="420"/>
              <w:jc w:val="left"/>
            </w:pPr>
            <w:r>
              <w:rPr>
                <w:sz w:val="21"/>
              </w:rPr>
              <w:t>3、最终月度服务费=当月实际服务面积×月度服务单价×月考核评分对应管理费比例-扣减金额。</w:t>
            </w:r>
          </w:p>
          <w:p>
            <w:pPr>
              <w:jc w:val="both"/>
            </w:pPr>
            <w:r>
              <w:rPr>
                <w:b/>
                <w:sz w:val="24"/>
              </w:rPr>
              <w:t>六、其他</w:t>
            </w:r>
          </w:p>
          <w:p>
            <w:pPr>
              <w:ind w:firstLine="420"/>
              <w:jc w:val="both"/>
            </w:pPr>
            <w:r>
              <w:rPr>
                <w:sz w:val="21"/>
              </w:rPr>
              <w:t xml:space="preserve"> </w:t>
            </w:r>
            <w:r>
              <w:rPr>
                <w:sz w:val="21"/>
              </w:rPr>
              <w:t>1、中标人在管理期间自觉接受采购人、群众以及有关部门的监督管理。</w:t>
            </w:r>
          </w:p>
          <w:p>
            <w:pPr>
              <w:ind w:firstLine="420"/>
              <w:jc w:val="both"/>
            </w:pPr>
            <w:r>
              <w:rPr>
                <w:sz w:val="21"/>
              </w:rPr>
              <w:t>1.1中标人必须无条件服从采购人组织的一下突击性任务及迎检活动，按时、按标准、按要求完成所分配的工作。如在迎检活动中，由于工作不到位造成迎检项目不合格，扣减一个月管理经费，连续二次迎检工作因管理不到位造成迎检工作不合格的，采购人有权单方面解除合同，并有权按合同总价5%金额扣中标人违约金。</w:t>
            </w:r>
          </w:p>
          <w:p>
            <w:pPr>
              <w:ind w:firstLine="420"/>
              <w:jc w:val="both"/>
            </w:pPr>
            <w:r>
              <w:rPr>
                <w:sz w:val="21"/>
              </w:rPr>
              <w:t>1.2中标人必须随时、随地接受广大市民、新闻工作者的监督，若工作或安全生产工作受到市民投诉，经核实是管理不当的情况，每次扣取1000元；媒体负面投诉的，每次扣取5000元，经调查认定情况属实后未按要求按时整改的，每次扣取不少于2000元人民币服务款，造成恶劣影响的，当月评定不合格，采购人有权单方面解除合同并依职权对中标人通报批评。</w:t>
            </w:r>
          </w:p>
          <w:p>
            <w:pPr>
              <w:ind w:firstLine="420"/>
              <w:jc w:val="both"/>
            </w:pPr>
            <w:r>
              <w:rPr>
                <w:sz w:val="21"/>
              </w:rPr>
              <w:t>2、中标人根据本合同所承担的服务内容、按实际上岗人数自行到有关部门申办用工手续、员工劳动保险手续和办理居住证手续。安排好属下人员的住宿和教育管理工作</w:t>
            </w:r>
          </w:p>
          <w:p>
            <w:r>
              <w:rPr>
                <w:sz w:val="21"/>
              </w:rPr>
              <w:t xml:space="preserve">3、招聘人员时，鼓励优先考虑本区域范围内的下岗工人、农居民、具有工作能力的残疾人和低保人员。    </w:t>
            </w:r>
          </w:p>
          <w:p>
            <w:r>
              <w:rPr>
                <w:sz w:val="21"/>
              </w:rPr>
              <w:t>4、中标人须落实安全生产和安全防火措施，中标人应按采购人要求，为上岗工人购买统一的工作服或反光袖套，自行解决公路安全作业问题。在进行管理作业时，须认真负责，注意安全操作。如因中标人操作不当、管理疏漏等各种原因造成中标人职工、雇员或任何其他人人身或财产损害的，中标人应承担全部责任。如采购人在前述情形中实际承担了责任的，中标人同意无条件赔偿采购人的一切损失（包括但不限于相关的赔偿费用、诉讼费、保全费、鉴定费、公证费、律师费、差旅费等所有费用)。</w:t>
            </w:r>
          </w:p>
          <w:p>
            <w:pPr>
              <w:ind w:firstLine="420"/>
              <w:jc w:val="both"/>
            </w:pPr>
            <w:r>
              <w:rPr>
                <w:sz w:val="21"/>
              </w:rPr>
              <w:t>5、中标人应当按时支付工人工资，如产生工资纠纷，采购人有权终止合同。</w:t>
            </w:r>
          </w:p>
          <w:p>
            <w:pPr>
              <w:ind w:firstLine="420"/>
              <w:jc w:val="both"/>
            </w:pPr>
            <w:r>
              <w:rPr>
                <w:sz w:val="21"/>
              </w:rPr>
              <w:t xml:space="preserve">6、在合同期内，因国家建设需要征用或采购人管理需要调整服务内容时，中标人无条件服从大局，相应减服务面积及费用。由此造成的经济损失，采购人不负赔偿责任。  </w:t>
            </w:r>
          </w:p>
          <w:p>
            <w:pPr>
              <w:ind w:firstLine="420"/>
              <w:jc w:val="both"/>
            </w:pPr>
            <w:r>
              <w:rPr>
                <w:sz w:val="21"/>
              </w:rPr>
              <w:t xml:space="preserve">7、项目供水口地点:无:合同期内若供水不足,采购人可协助中标人实际需要办理专业给水口，但人工费，材料费由中标人支付。管理期内所需的水费（含污水处理费）由中标人承担，并由中标人直接向供水部门缴交，对于服务范围内现有完整自动灌淋浇喷系统的路段，中标人应优先使用并做好日常防盗。        </w:t>
            </w:r>
          </w:p>
          <w:p>
            <w:pPr>
              <w:ind w:firstLine="420"/>
              <w:jc w:val="both"/>
            </w:pPr>
            <w:r>
              <w:rPr>
                <w:sz w:val="21"/>
              </w:rPr>
              <w:t xml:space="preserve">8、服务范围内的设施被盗、损坏、树木折断或倒毁,致人死伤或造成其他维护损失的，由中标人负责贴偿和承担其他一切责任。    </w:t>
            </w:r>
          </w:p>
          <w:p>
            <w:pPr>
              <w:ind w:firstLine="420"/>
              <w:jc w:val="both"/>
            </w:pPr>
            <w:r>
              <w:rPr>
                <w:sz w:val="21"/>
              </w:rPr>
              <w:t>9、中标人必须积极配合做好管理项目移交工作。承包期满前半年，中标人必须完成补苗等移交前准备工作，到期满前3个月内仍未完成的,应按相当于3个月的管理费的标准向采购人支付违约金,并严禁再补苗,所缺苗木按《东莞市恢复绿化补偿费标准》赔偿给采购人。中标人要积极配合与下一服务单位移交,不得以任何方式阻碍、延误移交工作。</w:t>
            </w:r>
          </w:p>
          <w:p>
            <w:pPr>
              <w:ind w:firstLine="420"/>
              <w:jc w:val="both"/>
            </w:pPr>
            <w:r>
              <w:rPr>
                <w:sz w:val="21"/>
              </w:rPr>
              <w:t>10、中标人必须承担好服务范围内的绿地保护工作，严禁出现管理绿地被推自占用或破坏的现象，凡是属于中标人巡查，处理不及时导致绿地被擅自占用或破坏，且影响较大的，一经责任认定，当月考核评分档次为差，并按相关条款除当月管理费用。</w:t>
            </w:r>
          </w:p>
          <w:p>
            <w:pPr>
              <w:ind w:firstLine="420"/>
              <w:jc w:val="both"/>
            </w:pPr>
            <w:r>
              <w:rPr>
                <w:sz w:val="21"/>
              </w:rPr>
              <w:t>11、草坪应长期保持平整，凡是绿化草坪因人为破坏、交通事故或其他事件破坏的，必须于事后24小时内及时恢复。</w:t>
            </w:r>
          </w:p>
          <w:p>
            <w:pPr>
              <w:ind w:firstLine="420"/>
              <w:jc w:val="both"/>
            </w:pPr>
            <w:r>
              <w:rPr>
                <w:sz w:val="21"/>
              </w:rPr>
              <w:t>12、中标人堆放、处理枯枝、枯叶的方式及地点需符合行业要求，并报备采购人备案。</w:t>
            </w:r>
          </w:p>
          <w:p>
            <w:pPr>
              <w:ind w:firstLine="420"/>
              <w:jc w:val="both"/>
            </w:pPr>
            <w:r>
              <w:rPr>
                <w:sz w:val="21"/>
              </w:rPr>
              <w:t>13、投标人须在投标文件中以承诺函形式承诺：中标后，若中标人没有相关施工资质，经采购人同意后，可将本项目相关施工部分分包给有相应资质的公司实施，中标人须对该部分承担连带责任。（须提供承诺函）</w:t>
            </w:r>
          </w:p>
          <w:p>
            <w:pPr>
              <w:ind w:firstLine="420"/>
              <w:jc w:val="both"/>
            </w:pPr>
          </w:p>
          <w:p>
            <w:pPr>
              <w:jc w:val="both"/>
            </w:pPr>
            <w:r>
              <w:rPr>
                <w:b/>
                <w:sz w:val="24"/>
              </w:rPr>
              <w:t>七、违约责任</w:t>
            </w:r>
          </w:p>
          <w:p>
            <w:pPr>
              <w:ind w:firstLine="420"/>
              <w:jc w:val="both"/>
            </w:pPr>
            <w:r>
              <w:rPr>
                <w:sz w:val="21"/>
              </w:rPr>
              <w:t>1、如中标人存在以下三种情形之一，采购人有权即时中止合同，并视中标人违约处理：一是在采购人每月检查考核中，合同期内三次不合格（低于60分）；二是承包范围内的管理问题被省级或以上媒体曝光，情况较为严重；三是发生重大违规违法现象。</w:t>
            </w:r>
            <w:r>
              <w:br/>
            </w:r>
            <w:r>
              <w:rPr>
                <w:sz w:val="21"/>
              </w:rPr>
              <w:t xml:space="preserve">    </w:t>
            </w:r>
            <w:r>
              <w:rPr>
                <w:sz w:val="21"/>
              </w:rPr>
              <w:t>2、中标人与采购人签订承包合同时，必须提交金额为合同价5%的履约保证金。如中标人不能保质保量完成工程，未履行或未按照合同约定履行义务的，除承担相关责任外，采购人还将没收全部履约保证金。如中标人采用履约保函方式支付履约保证金，必须确保履约保函在合同期内有效，如保函失效，属中标人违约，由中标人按该保证金金额赔偿。</w:t>
            </w:r>
          </w:p>
          <w:p>
            <w:pPr>
              <w:ind w:firstLine="420"/>
              <w:jc w:val="both"/>
            </w:pPr>
            <w:r>
              <w:rPr>
                <w:sz w:val="21"/>
              </w:rPr>
              <w:t>3、中标人未征得采购人书面同意，擅自将本合同的服务项目部分或全部转包或分包给他人的,采购人有权单方面解除合同,没收履约保证金。</w:t>
            </w:r>
          </w:p>
          <w:p>
            <w:pPr>
              <w:ind w:firstLine="420"/>
              <w:jc w:val="both"/>
            </w:pPr>
            <w:r>
              <w:rPr>
                <w:sz w:val="21"/>
              </w:rPr>
              <w:t>4、中标人无故停止工作，采购人有权按损失程度扣减服务款，并有权要求中标人支付相当于总合价款5%的违约金，若无故停工累达7天内，采购人有权单方面解除合同，</w:t>
            </w:r>
          </w:p>
          <w:p>
            <w:pPr>
              <w:ind w:firstLine="420"/>
              <w:jc w:val="both"/>
            </w:pPr>
            <w:r>
              <w:rPr>
                <w:sz w:val="21"/>
              </w:rPr>
              <w:t>5、合同期内，中标人必须根据承包合同中的各项条款履行各项职责，如发现由于中标人组织措施不当、计划不落实、管理不严，导致服务质量达不到规定标准的，书面责令整改告诫后仍未再限期内落实的，第一次将扣减5000元；对同一内容出第二次书面催告仍未在期限内落实的，将双倍扣减；对同一内容出第三次书面催告仍未落实的，采购人有权终止合同。</w:t>
            </w:r>
          </w:p>
          <w:p>
            <w:pPr>
              <w:jc w:val="both"/>
            </w:pPr>
          </w:p>
          <w:p>
            <w:pPr>
              <w:jc w:val="both"/>
            </w:pPr>
          </w:p>
          <w:p/>
          <w:p/>
          <w:p>
            <w:pPr>
              <w:jc w:val="both"/>
            </w:pPr>
            <w:r>
              <w:rPr>
                <w:sz w:val="21"/>
              </w:rPr>
              <w:t>附件</w:t>
            </w:r>
            <w:r>
              <w:rPr>
                <w:sz w:val="21"/>
              </w:rPr>
              <w:t>1：</w:t>
            </w:r>
          </w:p>
          <w:p>
            <w:pPr>
              <w:jc w:val="center"/>
            </w:pPr>
            <w:r>
              <w:rPr>
                <w:sz w:val="28"/>
              </w:rPr>
              <w:t>《虎门镇万科三个小公园综合管理服务项目管理标准及考评办法》</w:t>
            </w:r>
          </w:p>
          <w:tbl>
            <w:tblPr>
              <w:tblBorders>
                <w:top w:val="none" w:color="000000" w:sz="4"/>
                <w:left w:val="none" w:color="000000" w:sz="4"/>
                <w:bottom w:val="none" w:color="000000" w:sz="4"/>
                <w:right w:val="none" w:color="000000" w:sz="4"/>
                <w:insideH w:val="none"/>
                <w:insideV w:val="none"/>
              </w:tblBorders>
            </w:tblPr>
            <w:tblGrid>
              <w:gridCol w:w="296"/>
              <w:gridCol w:w="430"/>
              <w:gridCol w:w="2437"/>
              <w:gridCol w:w="2436"/>
            </w:tblGrid>
            <w:tr>
              <w:tc>
                <w:tcPr>
                  <w:tcW w:type="dxa" w:w="29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430"/>
                  <w:tcBorders>
                    <w:top w:val="single" w:color="000000" w:sz="4"/>
                    <w:left w:val="single" w:color="000000" w:sz="4"/>
                    <w:bottom w:val="single" w:color="000000" w:sz="4"/>
                    <w:right w:val="single" w:color="000000" w:sz="4"/>
                  </w:tcBorders>
                  <w:vAlign w:val="top"/>
                </w:tcPr>
                <w:p>
                  <w:pPr>
                    <w:jc w:val="center"/>
                  </w:pPr>
                  <w:r>
                    <w:rPr>
                      <w:sz w:val="21"/>
                    </w:rPr>
                    <w:t>考评</w:t>
                  </w:r>
                </w:p>
                <w:p>
                  <w:pPr>
                    <w:jc w:val="center"/>
                  </w:pPr>
                  <w:r>
                    <w:rPr>
                      <w:sz w:val="21"/>
                    </w:rPr>
                    <w:t>项目</w:t>
                  </w:r>
                </w:p>
              </w:tc>
              <w:tc>
                <w:tcPr>
                  <w:tcW w:type="dxa" w:w="2437"/>
                  <w:tcBorders>
                    <w:top w:val="single" w:color="000000" w:sz="4"/>
                    <w:left w:val="single" w:color="000000" w:sz="4"/>
                    <w:bottom w:val="single" w:color="000000" w:sz="4"/>
                    <w:right w:val="single" w:color="000000" w:sz="4"/>
                  </w:tcBorders>
                  <w:vAlign w:val="top"/>
                </w:tcPr>
                <w:p>
                  <w:pPr>
                    <w:jc w:val="center"/>
                  </w:pPr>
                  <w:r>
                    <w:rPr>
                      <w:sz w:val="21"/>
                    </w:rPr>
                    <w:t>考评内容</w:t>
                  </w:r>
                </w:p>
              </w:tc>
              <w:tc>
                <w:tcPr>
                  <w:tcW w:type="dxa" w:w="2436"/>
                  <w:tcBorders>
                    <w:top w:val="single" w:color="000000" w:sz="4"/>
                    <w:left w:val="single" w:color="000000" w:sz="4"/>
                    <w:bottom w:val="single" w:color="000000" w:sz="4"/>
                    <w:right w:val="single" w:color="000000" w:sz="4"/>
                  </w:tcBorders>
                  <w:vAlign w:val="top"/>
                </w:tcPr>
                <w:p>
                  <w:pPr>
                    <w:jc w:val="center"/>
                  </w:pPr>
                  <w:r>
                    <w:rPr>
                      <w:sz w:val="21"/>
                    </w:rPr>
                    <w:t>扣分标准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30"/>
                  <w:tcBorders>
                    <w:top w:val="none" w:color="000000" w:sz="4"/>
                    <w:left w:val="single" w:color="000000" w:sz="4"/>
                    <w:bottom w:val="single" w:color="000000" w:sz="4"/>
                    <w:right w:val="single" w:color="000000" w:sz="4"/>
                  </w:tcBorders>
                  <w:vAlign w:val="top"/>
                </w:tcPr>
                <w:p>
                  <w:pPr>
                    <w:jc w:val="center"/>
                  </w:pPr>
                  <w:r>
                    <w:rPr>
                      <w:sz w:val="21"/>
                    </w:rPr>
                    <w:t>人员</w:t>
                  </w:r>
                </w:p>
                <w:p>
                  <w:pPr>
                    <w:jc w:val="center"/>
                  </w:pPr>
                  <w:r>
                    <w:rPr>
                      <w:sz w:val="21"/>
                    </w:rPr>
                    <w:t>配备</w:t>
                  </w:r>
                </w:p>
              </w:tc>
              <w:tc>
                <w:tcPr>
                  <w:tcW w:type="dxa" w:w="2437"/>
                  <w:tcBorders>
                    <w:top w:val="none" w:color="000000" w:sz="4"/>
                    <w:left w:val="single" w:color="000000" w:sz="4"/>
                    <w:bottom w:val="single" w:color="000000" w:sz="4"/>
                    <w:right w:val="single" w:color="000000" w:sz="4"/>
                  </w:tcBorders>
                  <w:vAlign w:val="top"/>
                </w:tcPr>
                <w:p>
                  <w:r>
                    <w:rPr>
                      <w:sz w:val="21"/>
                    </w:rPr>
                    <w:t>1、绿化养护：绿化工人按每7500㎡绿化养护面积配备1人。</w:t>
                  </w:r>
                </w:p>
                <w:p>
                  <w:r>
                    <w:rPr>
                      <w:sz w:val="21"/>
                    </w:rPr>
                    <w:t>2、环卫保洁：按每7000平方米环卫保洁面积配备1人。</w:t>
                  </w:r>
                </w:p>
                <w:p>
                  <w:r>
                    <w:rPr>
                      <w:sz w:val="21"/>
                    </w:rPr>
                    <w:t>3、保安人员，按合同规定配备</w:t>
                  </w:r>
                </w:p>
                <w:p>
                  <w:r>
                    <w:rPr>
                      <w:sz w:val="21"/>
                    </w:rPr>
                    <w:t>4、管理技术人员：必须按合同规定配备专职的管理人员，管理人员不得在他处兼职，配备园林、市政等相关专业人员，有3年以上工作经验、技术，其中至少一人具有中级或以上职称。</w:t>
                  </w:r>
                </w:p>
              </w:tc>
              <w:tc>
                <w:tcPr>
                  <w:tcW w:type="dxa" w:w="2436"/>
                  <w:tcBorders>
                    <w:top w:val="none" w:color="000000" w:sz="4"/>
                    <w:left w:val="single" w:color="000000" w:sz="4"/>
                    <w:bottom w:val="single" w:color="000000" w:sz="4"/>
                    <w:right w:val="single" w:color="000000" w:sz="4"/>
                  </w:tcBorders>
                  <w:vAlign w:val="top"/>
                </w:tcPr>
                <w:p>
                  <w:r>
                    <w:rPr>
                      <w:sz w:val="21"/>
                    </w:rPr>
                    <w:t>每月实施不定时核查，工人、保安人员每少一人扣</w:t>
                  </w:r>
                  <w:r>
                    <w:rPr>
                      <w:sz w:val="21"/>
                    </w:rPr>
                    <w:t>0.5分，技术人员每少一人扣3分，本项扣完为止。</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30"/>
                  <w:vMerge w:val="restart"/>
                  <w:tcBorders>
                    <w:top w:val="none" w:color="000000" w:sz="4"/>
                    <w:left w:val="single" w:color="000000" w:sz="4"/>
                    <w:bottom w:val="single" w:color="000000" w:sz="4"/>
                    <w:right w:val="single" w:color="000000" w:sz="4"/>
                  </w:tcBorders>
                  <w:vAlign w:val="top"/>
                </w:tcPr>
                <w:p>
                  <w:pPr>
                    <w:jc w:val="center"/>
                  </w:pPr>
                  <w:r>
                    <w:rPr>
                      <w:sz w:val="21"/>
                    </w:rPr>
                    <w:t>绿地保护</w:t>
                  </w:r>
                </w:p>
              </w:tc>
              <w:tc>
                <w:tcPr>
                  <w:tcW w:type="dxa" w:w="2437"/>
                  <w:tcBorders>
                    <w:top w:val="none" w:color="000000" w:sz="4"/>
                    <w:left w:val="single" w:color="000000" w:sz="4"/>
                    <w:bottom w:val="single" w:color="000000" w:sz="4"/>
                    <w:right w:val="single" w:color="000000" w:sz="4"/>
                  </w:tcBorders>
                  <w:vAlign w:val="top"/>
                </w:tcPr>
                <w:p>
                  <w:r>
                    <w:rPr>
                      <w:sz w:val="21"/>
                    </w:rPr>
                    <w:t>管理单位有义务保护绿地红线范围内不被侵占，绿地版图完整，及时制止相关违法行为、并及时报甲方执法部门。</w:t>
                  </w:r>
                </w:p>
              </w:tc>
              <w:tc>
                <w:tcPr>
                  <w:tcW w:type="dxa" w:w="2436"/>
                  <w:tcBorders>
                    <w:top w:val="none" w:color="000000" w:sz="4"/>
                    <w:left w:val="single" w:color="000000" w:sz="4"/>
                    <w:bottom w:val="single" w:color="000000" w:sz="4"/>
                    <w:right w:val="single" w:color="000000" w:sz="4"/>
                  </w:tcBorders>
                  <w:vAlign w:val="top"/>
                </w:tcPr>
                <w:p>
                  <w:r>
                    <w:rPr>
                      <w:sz w:val="21"/>
                    </w:rPr>
                    <w:t>每发现一处，扣</w:t>
                  </w:r>
                  <w:r>
                    <w:rPr>
                      <w:sz w:val="21"/>
                    </w:rPr>
                    <w:t>0.2分。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经城管分局批准临时占用的绿地，有责任查看其审批文件，监督其按审批要求做好文明施工措施。</w:t>
                  </w:r>
                </w:p>
              </w:tc>
              <w:tc>
                <w:tcPr>
                  <w:tcW w:type="dxa" w:w="2436"/>
                  <w:tcBorders>
                    <w:top w:val="none" w:color="000000" w:sz="4"/>
                    <w:left w:val="single" w:color="000000" w:sz="4"/>
                    <w:bottom w:val="single" w:color="000000" w:sz="4"/>
                    <w:right w:val="single" w:color="000000" w:sz="4"/>
                  </w:tcBorders>
                  <w:vAlign w:val="top"/>
                </w:tcPr>
                <w:p>
                  <w:r>
                    <w:rPr>
                      <w:sz w:val="21"/>
                    </w:rPr>
                    <w:t>每发现一处未达文明施工要求，未及时报告，扣</w:t>
                  </w:r>
                  <w:r>
                    <w:rPr>
                      <w:sz w:val="21"/>
                    </w:rPr>
                    <w:t>0.1分。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管理单位有义务采取措施制止以下行为：</w:t>
                  </w:r>
                  <w:r>
                    <w:rPr>
                      <w:sz w:val="21"/>
                    </w:rPr>
                    <w:t>1、绿地内乱堆乱放东西；2、停放自行车、机动车，3、行人踩踏绿地，4、人力车和机动车驶进草地；5、设摊摆卖；6、攀折树木花草、采摘花果、损坏、盗窃树木花草或绿化设施，7树上挂标语、晾衣服；8、开垦菜地。放养放牧、烧烤野炊。</w:t>
                  </w:r>
                </w:p>
              </w:tc>
              <w:tc>
                <w:tcPr>
                  <w:tcW w:type="dxa" w:w="2436"/>
                  <w:tcBorders>
                    <w:top w:val="none" w:color="000000" w:sz="4"/>
                    <w:left w:val="single" w:color="000000" w:sz="4"/>
                    <w:bottom w:val="single" w:color="000000" w:sz="4"/>
                    <w:right w:val="single" w:color="000000" w:sz="4"/>
                  </w:tcBorders>
                  <w:vAlign w:val="top"/>
                </w:tcPr>
                <w:p>
                  <w:r>
                    <w:rPr>
                      <w:sz w:val="21"/>
                    </w:rPr>
                    <w:t>每发现一处未及时采取措施制止及报告，扣</w:t>
                  </w:r>
                  <w:r>
                    <w:rPr>
                      <w:sz w:val="21"/>
                    </w:rPr>
                    <w:t>0.5分。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保护绿化供水、照明供电、园林小品等设施，防止被破坏或盗窃。</w:t>
                  </w:r>
                </w:p>
              </w:tc>
              <w:tc>
                <w:tcPr>
                  <w:tcW w:type="dxa" w:w="2436"/>
                  <w:tcBorders>
                    <w:top w:val="none" w:color="000000" w:sz="4"/>
                    <w:left w:val="single" w:color="000000" w:sz="4"/>
                    <w:bottom w:val="single" w:color="000000" w:sz="4"/>
                    <w:right w:val="single" w:color="000000" w:sz="4"/>
                  </w:tcBorders>
                  <w:vAlign w:val="top"/>
                </w:tcPr>
                <w:p>
                  <w:r>
                    <w:rPr>
                      <w:sz w:val="21"/>
                    </w:rPr>
                    <w:t>由于乙方责任不到位而造成园林设施被盗被损，视严重程度每次扣</w:t>
                  </w:r>
                  <w:r>
                    <w:rPr>
                      <w:sz w:val="21"/>
                    </w:rPr>
                    <w:t>0.3分。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路基、花基上要保持清洁、美观，完好无损。对其上的乱涂、乱画、乱张贴要及时清理干净。</w:t>
                  </w:r>
                </w:p>
              </w:tc>
              <w:tc>
                <w:tcPr>
                  <w:tcW w:type="dxa" w:w="2436"/>
                  <w:tcBorders>
                    <w:top w:val="none" w:color="000000" w:sz="4"/>
                    <w:left w:val="single" w:color="000000" w:sz="4"/>
                    <w:bottom w:val="single" w:color="000000" w:sz="4"/>
                    <w:right w:val="single" w:color="000000" w:sz="4"/>
                  </w:tcBorders>
                  <w:vAlign w:val="top"/>
                </w:tcPr>
                <w:p>
                  <w:r>
                    <w:rPr>
                      <w:sz w:val="21"/>
                    </w:rPr>
                    <w:t>每发现一处，扣</w:t>
                  </w:r>
                  <w:r>
                    <w:rPr>
                      <w:sz w:val="21"/>
                    </w:rPr>
                    <w:t>0.1分。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做好园林雕塑、园林小品、景观灯具等设施的表面和结构的看护，要保持整洁、美观，完好无损。</w:t>
                  </w:r>
                </w:p>
              </w:tc>
              <w:tc>
                <w:tcPr>
                  <w:tcW w:type="dxa" w:w="2436"/>
                  <w:tcBorders>
                    <w:top w:val="none" w:color="000000" w:sz="4"/>
                    <w:left w:val="single" w:color="000000" w:sz="4"/>
                    <w:bottom w:val="single" w:color="000000" w:sz="4"/>
                    <w:right w:val="single" w:color="000000" w:sz="4"/>
                  </w:tcBorders>
                  <w:vAlign w:val="top"/>
                </w:tcPr>
                <w:p>
                  <w:r>
                    <w:rPr>
                      <w:sz w:val="21"/>
                    </w:rPr>
                    <w:t>每发现一处被人为破坏，扣</w:t>
                  </w:r>
                  <w:r>
                    <w:rPr>
                      <w:sz w:val="21"/>
                    </w:rPr>
                    <w:t>0.1分。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30"/>
                  <w:vMerge w:val="restart"/>
                  <w:tcBorders>
                    <w:top w:val="none" w:color="000000" w:sz="4"/>
                    <w:left w:val="single" w:color="000000" w:sz="4"/>
                    <w:bottom w:val="single" w:color="000000" w:sz="4"/>
                    <w:right w:val="single" w:color="000000" w:sz="4"/>
                  </w:tcBorders>
                  <w:vAlign w:val="top"/>
                </w:tcPr>
                <w:p>
                  <w:pPr>
                    <w:jc w:val="center"/>
                  </w:pPr>
                  <w:r>
                    <w:rPr>
                      <w:sz w:val="21"/>
                    </w:rPr>
                    <w:t>乔木</w:t>
                  </w:r>
                </w:p>
                <w:p>
                  <w:pPr>
                    <w:jc w:val="center"/>
                  </w:pPr>
                  <w:r>
                    <w:rPr>
                      <w:sz w:val="21"/>
                    </w:rPr>
                    <w:t>养护</w:t>
                  </w:r>
                </w:p>
              </w:tc>
              <w:tc>
                <w:tcPr>
                  <w:tcW w:type="dxa" w:w="2437"/>
                  <w:tcBorders>
                    <w:top w:val="none" w:color="000000" w:sz="4"/>
                    <w:left w:val="single" w:color="000000" w:sz="4"/>
                    <w:bottom w:val="single" w:color="000000" w:sz="4"/>
                    <w:right w:val="single" w:color="000000" w:sz="4"/>
                  </w:tcBorders>
                  <w:vAlign w:val="top"/>
                </w:tcPr>
                <w:p>
                  <w:r>
                    <w:rPr>
                      <w:sz w:val="21"/>
                    </w:rPr>
                    <w:t>观感生长旺盛，枝叶健壮，树形美观。行道树下缘线整齐，修剪适度，干直冠美，无死树缺枝，无枯枝残叶，景观效果优良。</w:t>
                  </w:r>
                </w:p>
              </w:tc>
              <w:tc>
                <w:tcPr>
                  <w:tcW w:type="dxa" w:w="2436"/>
                  <w:tcBorders>
                    <w:top w:val="none" w:color="000000" w:sz="4"/>
                    <w:left w:val="single" w:color="000000" w:sz="4"/>
                    <w:bottom w:val="single" w:color="000000" w:sz="4"/>
                    <w:right w:val="single" w:color="000000" w:sz="4"/>
                  </w:tcBorders>
                  <w:vAlign w:val="top"/>
                </w:tcPr>
                <w:p>
                  <w:r>
                    <w:rPr>
                      <w:sz w:val="21"/>
                    </w:rPr>
                    <w:t>观感优，不扣分；良，扣</w:t>
                  </w:r>
                  <w:r>
                    <w:rPr>
                      <w:sz w:val="21"/>
                    </w:rPr>
                    <w:t>0.5分；中，扣1分；差；不得分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(一)生长势要求乔木生长旺盛，枝叶健壮，无枯枝残叶、适时开花。</w:t>
                  </w:r>
                </w:p>
              </w:tc>
              <w:tc>
                <w:tcPr>
                  <w:tcW w:type="dxa" w:w="2436"/>
                  <w:tcBorders>
                    <w:top w:val="none" w:color="000000" w:sz="4"/>
                    <w:left w:val="single" w:color="000000" w:sz="4"/>
                    <w:bottom w:val="single" w:color="000000" w:sz="4"/>
                    <w:right w:val="single" w:color="000000" w:sz="4"/>
                  </w:tcBorders>
                  <w:vAlign w:val="top"/>
                </w:tcPr>
                <w:p>
                  <w:r>
                    <w:rPr>
                      <w:sz w:val="21"/>
                    </w:rPr>
                    <w:t>乔木叶色明显不正常，叶片稀疏、调零、萎靡、长势明显弱，开花季节应开花不开花，生长明显缺陷的植株占抽查数量超过总量的</w:t>
                  </w:r>
                  <w:r>
                    <w:rPr>
                      <w:sz w:val="21"/>
                    </w:rPr>
                    <w:t>5%，扣0.5分。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二)修剪1、根据树种的生长特点修剪，行道树修剪要保持树冠完整美观，主侧枝分布匀称和数量适宜，内膛通风透光，少荫枝、乱枝，2、不影响安全通行、高压线、路灯和交通指示牌；3、修剪截口要平滑不得劈裂，大伤口要涂保护剂，4、下缘线下的萌蘖枝及干枯枝叶要及时剪除。3、及时维护树木支护装置，适时时将原有护树带或铁箍放松，以免嵌入树皮内。</w:t>
                  </w:r>
                </w:p>
              </w:tc>
              <w:tc>
                <w:tcPr>
                  <w:tcW w:type="dxa" w:w="2436"/>
                  <w:tcBorders>
                    <w:top w:val="none" w:color="000000" w:sz="4"/>
                    <w:left w:val="single" w:color="000000" w:sz="4"/>
                    <w:bottom w:val="single" w:color="000000" w:sz="4"/>
                    <w:right w:val="single" w:color="000000" w:sz="4"/>
                  </w:tcBorders>
                  <w:vAlign w:val="top"/>
                </w:tcPr>
                <w:p>
                  <w:r>
                    <w:rPr>
                      <w:sz w:val="21"/>
                    </w:rPr>
                    <w:t>1、没有及时修剪，荫枝、乱枝过多影响生长的，甲方指出后没有整改的，每10株扣0.1分。</w:t>
                  </w:r>
                </w:p>
                <w:p>
                  <w:r>
                    <w:rPr>
                      <w:sz w:val="21"/>
                    </w:rPr>
                    <w:t>2、影响安全通行、高压线、路灯和交通指示牌没有及时修剪的，每处扣0.1分。</w:t>
                  </w:r>
                </w:p>
                <w:p>
                  <w:r>
                    <w:rPr>
                      <w:sz w:val="21"/>
                    </w:rPr>
                    <w:t>3、直径8厘米以上修剪截口劈裂不修平滑的，直径10厘米以上大伤口没有涂保护剂的，每处扣0.1分。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(三)补植、改植</w:t>
                  </w:r>
                </w:p>
                <w:p>
                  <w:r>
                    <w:rPr>
                      <w:sz w:val="21"/>
                    </w:rPr>
                    <w:t>发现非不可抗力和甲方责任因素造成的死亡或损毁树木，应及时通知甲方，做好登记、及时清理。要求在两周内补植回原来的树种，规格与原来树木接近。保证成活，如要改植品种，要事先征得绿化主管部门的批准。</w:t>
                  </w:r>
                </w:p>
              </w:tc>
              <w:tc>
                <w:tcPr>
                  <w:tcW w:type="dxa" w:w="2436"/>
                  <w:tcBorders>
                    <w:top w:val="none" w:color="000000" w:sz="4"/>
                    <w:left w:val="single" w:color="000000" w:sz="4"/>
                    <w:bottom w:val="single" w:color="000000" w:sz="4"/>
                    <w:right w:val="single" w:color="000000" w:sz="4"/>
                  </w:tcBorders>
                  <w:vAlign w:val="top"/>
                </w:tcPr>
                <w:p>
                  <w:pPr>
                    <w:jc w:val="both"/>
                  </w:pPr>
                  <w:r>
                    <w:rPr>
                      <w:sz w:val="21"/>
                    </w:rPr>
                    <w:t>未及时补种，每株扣</w:t>
                  </w:r>
                  <w:r>
                    <w:rPr>
                      <w:sz w:val="21"/>
                    </w:rPr>
                    <w:t>0.2分。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(四)病虫害防治</w:t>
                  </w:r>
                </w:p>
                <w:p>
                  <w:r>
                    <w:rPr>
                      <w:sz w:val="21"/>
                    </w:rPr>
                    <w:t>1、树木无明显受蛀干、蛀梢、吃叶、地下害虫、刺吸害虫、螨类、的危害症象，无染病的植株或枝叶。发生存在病虫害的植株在5％以下。</w:t>
                  </w:r>
                </w:p>
              </w:tc>
              <w:tc>
                <w:tcPr>
                  <w:tcW w:type="dxa" w:w="2436"/>
                  <w:tcBorders>
                    <w:top w:val="none" w:color="000000" w:sz="4"/>
                    <w:left w:val="single" w:color="000000" w:sz="4"/>
                    <w:bottom w:val="single" w:color="000000" w:sz="4"/>
                    <w:right w:val="single" w:color="000000" w:sz="4"/>
                  </w:tcBorders>
                  <w:vAlign w:val="top"/>
                </w:tcPr>
                <w:p>
                  <w:r>
                    <w:rPr>
                      <w:sz w:val="21"/>
                    </w:rPr>
                    <w:t>随机抽查，发生存在病虫害的植株在</w:t>
                  </w:r>
                  <w:r>
                    <w:rPr>
                      <w:sz w:val="21"/>
                    </w:rPr>
                    <w:t>5％以上，每超1%，扣0.1分。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2、树木树身保持清洁干净，无菌丝、虫丝、虫瘿、虫洞、虫卵、蚁道。树皮无松动龟裂剥落现象。所有树干基部1.3米应用树木涂白剂涂白。</w:t>
                  </w:r>
                </w:p>
              </w:tc>
              <w:tc>
                <w:tcPr>
                  <w:tcW w:type="dxa" w:w="2436"/>
                  <w:tcBorders>
                    <w:top w:val="none" w:color="000000" w:sz="4"/>
                    <w:left w:val="single" w:color="000000" w:sz="4"/>
                    <w:bottom w:val="single" w:color="000000" w:sz="4"/>
                    <w:right w:val="single" w:color="000000" w:sz="4"/>
                  </w:tcBorders>
                  <w:vAlign w:val="top"/>
                </w:tcPr>
                <w:p>
                  <w:r>
                    <w:rPr>
                      <w:sz w:val="21"/>
                    </w:rPr>
                    <w:t>树木树身保持有菌丝、虫丝、虫瘿、虫洞、虫卵、蚁道，树皮松动龟裂剥落现象。树木没有涂白剂涂白，每株扣</w:t>
                  </w:r>
                  <w:r>
                    <w:rPr>
                      <w:sz w:val="21"/>
                    </w:rPr>
                    <w:t>0.1分。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430"/>
                  <w:vMerge w:val="restart"/>
                  <w:tcBorders>
                    <w:top w:val="none" w:color="000000" w:sz="4"/>
                    <w:left w:val="single" w:color="000000" w:sz="4"/>
                    <w:bottom w:val="single" w:color="000000" w:sz="4"/>
                    <w:right w:val="single" w:color="000000" w:sz="4"/>
                  </w:tcBorders>
                  <w:vAlign w:val="top"/>
                </w:tcPr>
                <w:p>
                  <w:pPr>
                    <w:jc w:val="center"/>
                  </w:pPr>
                  <w:r>
                    <w:rPr>
                      <w:sz w:val="21"/>
                    </w:rPr>
                    <w:t>灌木和花卉</w:t>
                  </w:r>
                </w:p>
              </w:tc>
              <w:tc>
                <w:tcPr>
                  <w:tcW w:type="dxa" w:w="2437"/>
                  <w:tcBorders>
                    <w:top w:val="none" w:color="000000" w:sz="4"/>
                    <w:left w:val="single" w:color="000000" w:sz="4"/>
                    <w:bottom w:val="single" w:color="000000" w:sz="4"/>
                    <w:right w:val="single" w:color="000000" w:sz="4"/>
                  </w:tcBorders>
                  <w:vAlign w:val="top"/>
                </w:tcPr>
                <w:p>
                  <w:r>
                    <w:rPr>
                      <w:sz w:val="21"/>
                    </w:rPr>
                    <w:t>生长旺盛，花繁叶茂，适时开花、造型美观，造型花坛、灌木要适时修剪，修剪工艺精细。灌木和花卉长势良好，枝叶健壮，枝多叶茂，叶色鲜艳，下部不光秃，无枯枝残叶，花卉适时开花，花多色艳。花坛轮廓清晰，无残缺，绿篱无断层。</w:t>
                  </w:r>
                </w:p>
              </w:tc>
              <w:tc>
                <w:tcPr>
                  <w:tcW w:type="dxa" w:w="2436"/>
                  <w:tcBorders>
                    <w:top w:val="none" w:color="000000" w:sz="4"/>
                    <w:left w:val="single" w:color="000000" w:sz="4"/>
                    <w:bottom w:val="single" w:color="000000" w:sz="4"/>
                    <w:right w:val="single" w:color="000000" w:sz="4"/>
                  </w:tcBorders>
                  <w:vAlign w:val="top"/>
                </w:tcPr>
                <w:p>
                  <w:r>
                    <w:rPr>
                      <w:sz w:val="21"/>
                    </w:rPr>
                    <w:t>1、观感优，不扣分；</w:t>
                  </w:r>
                </w:p>
                <w:p>
                  <w:r>
                    <w:rPr>
                      <w:sz w:val="21"/>
                    </w:rPr>
                    <w:t>2、良，扣0.5分；</w:t>
                  </w:r>
                </w:p>
                <w:p>
                  <w:r>
                    <w:rPr>
                      <w:sz w:val="21"/>
                    </w:rPr>
                    <w:t>3、中，扣1分；</w:t>
                  </w:r>
                </w:p>
                <w:p>
                  <w:r>
                    <w:rPr>
                      <w:sz w:val="21"/>
                    </w:rPr>
                    <w:t>4、差；不得分。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灌木和花坛丛中无垃圾、烟蒂、无病枝枯枝堆积。</w:t>
                  </w:r>
                </w:p>
              </w:tc>
              <w:tc>
                <w:tcPr>
                  <w:tcW w:type="dxa" w:w="2436"/>
                  <w:tcBorders>
                    <w:top w:val="none" w:color="000000" w:sz="4"/>
                    <w:left w:val="single" w:color="000000" w:sz="4"/>
                    <w:bottom w:val="single" w:color="000000" w:sz="4"/>
                    <w:right w:val="single" w:color="000000" w:sz="4"/>
                  </w:tcBorders>
                  <w:vAlign w:val="top"/>
                </w:tcPr>
                <w:p>
                  <w:r>
                    <w:rPr>
                      <w:sz w:val="21"/>
                    </w:rPr>
                    <w:t>抽查灌木和花坛丛，每</w:t>
                  </w:r>
                  <w:r>
                    <w:rPr>
                      <w:sz w:val="21"/>
                    </w:rPr>
                    <w:t>100平方米，（大于火柴盒）垃圾、（长于20厘米的）病枝枯枝、烟头分别不得超过3片、5根、10个，每超1片（根、个）扣0.1分。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灌木养护要适时修剪，灌木和花卉做到造型美观、适时开花，花多色艳。花灌木和草本花卉在花芽分化前进行修剪，避免把花芽剪掉，花谢后及时将残花残枝剪去，常年开花植物要有目的地培养花枝，使四季有花。对于影响行人安全的，要及时修剪。</w:t>
                  </w:r>
                </w:p>
              </w:tc>
              <w:tc>
                <w:tcPr>
                  <w:tcW w:type="dxa" w:w="2436"/>
                  <w:tcBorders>
                    <w:top w:val="none" w:color="000000" w:sz="4"/>
                    <w:left w:val="single" w:color="000000" w:sz="4"/>
                    <w:bottom w:val="single" w:color="000000" w:sz="4"/>
                    <w:right w:val="single" w:color="000000" w:sz="4"/>
                  </w:tcBorders>
                  <w:vAlign w:val="top"/>
                </w:tcPr>
                <w:p>
                  <w:r>
                    <w:rPr>
                      <w:sz w:val="21"/>
                    </w:rPr>
                    <w:t>1、灌木修剪不及时，或不规范修剪，影响植物正常生长、开花的，或影响景观效果、行人安全的的，甲方指出后仍未改正的，每次扣0.2分。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灌溉、施肥要根据植物的生长及开花特性进行合理灌溉和施肥。发现灌木土壤板结时应实施除草松土作业。</w:t>
                  </w:r>
                </w:p>
              </w:tc>
              <w:tc>
                <w:tcPr>
                  <w:tcW w:type="dxa" w:w="2436"/>
                  <w:tcBorders>
                    <w:top w:val="none" w:color="000000" w:sz="4"/>
                    <w:left w:val="single" w:color="000000" w:sz="4"/>
                    <w:bottom w:val="single" w:color="000000" w:sz="4"/>
                    <w:right w:val="single" w:color="000000" w:sz="4"/>
                  </w:tcBorders>
                  <w:vAlign w:val="top"/>
                </w:tcPr>
                <w:p>
                  <w:r>
                    <w:rPr>
                      <w:sz w:val="21"/>
                    </w:rPr>
                    <w:t>发现灌木缺水、缺肥、或土壤板结，甲方要求整改，未及时整改，每次扣</w:t>
                  </w:r>
                  <w:r>
                    <w:rPr>
                      <w:sz w:val="21"/>
                    </w:rPr>
                    <w:t>0.2分。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发现非不可抗力和甲方责任因素造成的死亡或损毁灌木、花卉，应及时通知甲方，做好登记、及时清理。要求及时清理死苗，一周内补植回原来的种类并力求规格与原来植株接近，以保证优良的景观效果。补植按照种植规范进行，施足基肥并加强淋水等保养措施，保证成活率达</w:t>
                  </w:r>
                  <w:r>
                    <w:rPr>
                      <w:sz w:val="21"/>
                    </w:rPr>
                    <w:t>95％以上。对已呈老化或明显与周围环境不协调的灌木和花卉应及时进行改植，改植品种要事先征得绿化主管部门批准。</w:t>
                  </w:r>
                </w:p>
              </w:tc>
              <w:tc>
                <w:tcPr>
                  <w:tcW w:type="dxa" w:w="2436"/>
                  <w:tcBorders>
                    <w:top w:val="none" w:color="000000" w:sz="4"/>
                    <w:left w:val="single" w:color="000000" w:sz="4"/>
                    <w:bottom w:val="single" w:color="000000" w:sz="4"/>
                    <w:right w:val="single" w:color="000000" w:sz="4"/>
                  </w:tcBorders>
                  <w:vAlign w:val="top"/>
                </w:tcPr>
                <w:p>
                  <w:r>
                    <w:rPr>
                      <w:sz w:val="21"/>
                    </w:rPr>
                    <w:t>未及时补种，每平方米扣</w:t>
                  </w:r>
                  <w:r>
                    <w:rPr>
                      <w:sz w:val="21"/>
                    </w:rPr>
                    <w:t>0.2分。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要求及时做好病虫害的防治工作，发生病虫为害，最严重的危害率在</w:t>
                  </w:r>
                  <w:r>
                    <w:rPr>
                      <w:sz w:val="21"/>
                    </w:rPr>
                    <w:t>5％以下。</w:t>
                  </w:r>
                </w:p>
              </w:tc>
              <w:tc>
                <w:tcPr>
                  <w:tcW w:type="dxa" w:w="2436"/>
                  <w:tcBorders>
                    <w:top w:val="none" w:color="000000" w:sz="4"/>
                    <w:left w:val="single" w:color="000000" w:sz="4"/>
                    <w:bottom w:val="single" w:color="000000" w:sz="4"/>
                    <w:right w:val="single" w:color="000000" w:sz="4"/>
                  </w:tcBorders>
                  <w:vAlign w:val="top"/>
                </w:tcPr>
                <w:p>
                  <w:r>
                    <w:rPr>
                      <w:sz w:val="21"/>
                    </w:rPr>
                    <w:t>随机抽查，连片</w:t>
                  </w:r>
                  <w:r>
                    <w:rPr>
                      <w:sz w:val="21"/>
                    </w:rPr>
                    <w:t>20株发生存在病虫害的植株在5％以上，每发现1株，扣0.2分。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430"/>
                  <w:vMerge w:val="restart"/>
                  <w:tcBorders>
                    <w:top w:val="none" w:color="000000" w:sz="4"/>
                    <w:left w:val="single" w:color="000000" w:sz="4"/>
                    <w:bottom w:val="single" w:color="000000" w:sz="4"/>
                    <w:right w:val="single" w:color="000000" w:sz="4"/>
                  </w:tcBorders>
                  <w:vAlign w:val="top"/>
                </w:tcPr>
                <w:p>
                  <w:pPr>
                    <w:jc w:val="center"/>
                  </w:pPr>
                  <w:r>
                    <w:rPr>
                      <w:sz w:val="21"/>
                    </w:rPr>
                    <w:t>草坪地被</w:t>
                  </w:r>
                </w:p>
              </w:tc>
              <w:tc>
                <w:tcPr>
                  <w:tcW w:type="dxa" w:w="2437"/>
                  <w:tcBorders>
                    <w:top w:val="none" w:color="000000" w:sz="4"/>
                    <w:left w:val="single" w:color="000000" w:sz="4"/>
                    <w:bottom w:val="single" w:color="000000" w:sz="4"/>
                    <w:right w:val="single" w:color="000000" w:sz="4"/>
                  </w:tcBorders>
                  <w:vAlign w:val="top"/>
                </w:tcPr>
                <w:p>
                  <w:r>
                    <w:rPr>
                      <w:sz w:val="21"/>
                    </w:rPr>
                    <w:t>（一）生长旺盛，草坪修剪整齐，四季常绿，非目的草种率低于</w:t>
                  </w:r>
                  <w:r>
                    <w:rPr>
                      <w:sz w:val="21"/>
                    </w:rPr>
                    <w:t>3％，无坑洼积水，无裸露地。叶色浓绿均匀，无枯黄叶、无裸露黄土。</w:t>
                  </w:r>
                </w:p>
              </w:tc>
              <w:tc>
                <w:tcPr>
                  <w:tcW w:type="dxa" w:w="2436"/>
                  <w:tcBorders>
                    <w:top w:val="none" w:color="000000" w:sz="4"/>
                    <w:left w:val="single" w:color="000000" w:sz="4"/>
                    <w:bottom w:val="single" w:color="000000" w:sz="4"/>
                    <w:right w:val="single" w:color="000000" w:sz="4"/>
                  </w:tcBorders>
                  <w:vAlign w:val="top"/>
                </w:tcPr>
                <w:p>
                  <w:r>
                    <w:rPr>
                      <w:sz w:val="21"/>
                    </w:rPr>
                    <w:t>1、优：生长旺盛，叶色浓绿均匀，无枯黄斑，无裸露黄土，，不扣分；</w:t>
                  </w:r>
                </w:p>
                <w:p>
                  <w:r>
                    <w:rPr>
                      <w:sz w:val="21"/>
                    </w:rPr>
                    <w:t>2、良：叶色浓绿，每年3-11月，偶有枯黄现象，枯黄面积不到5%，全年无裸露黄土扣0.2分；</w:t>
                  </w:r>
                </w:p>
                <w:p>
                  <w:r>
                    <w:rPr>
                      <w:sz w:val="21"/>
                    </w:rPr>
                    <w:t>3、中：每年3-11月，有枯黄现象，枯黄面积不到25%，全年期间无明显裸露黄土扣0.5分；</w:t>
                  </w:r>
                </w:p>
                <w:p>
                  <w:r>
                    <w:rPr>
                      <w:sz w:val="21"/>
                    </w:rPr>
                    <w:t>4、差；枯黄面积超过25%，或有大面积裸露黄土，超过3%不得分。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（二）修剪草高一致，边缘整齐、无坑洼不平。高度控制在：一级养护，结缕草类</w:t>
                  </w:r>
                  <w:r>
                    <w:rPr>
                      <w:sz w:val="21"/>
                    </w:rPr>
                    <w:t>5厘米以下，大叶油草、其它目的草种8厘米以下，二级养护，结缕草类8厘米以下，大叶油草、其它目的草种10厘米以下。其他地被生长要平整密实，枯黄叶片要及时清理。草地与路(花)基、色块的分界宽度不超过8厘米；分车绿化带的草坪植物要修剪整齐，不得超出路基外缘。</w:t>
                  </w:r>
                </w:p>
              </w:tc>
              <w:tc>
                <w:tcPr>
                  <w:tcW w:type="dxa" w:w="2436"/>
                  <w:tcBorders>
                    <w:top w:val="none" w:color="000000" w:sz="4"/>
                    <w:left w:val="single" w:color="000000" w:sz="4"/>
                    <w:bottom w:val="single" w:color="000000" w:sz="4"/>
                    <w:right w:val="single" w:color="000000" w:sz="4"/>
                  </w:tcBorders>
                  <w:vAlign w:val="top"/>
                </w:tcPr>
                <w:p>
                  <w:r>
                    <w:rPr>
                      <w:sz w:val="21"/>
                    </w:rPr>
                    <w:t>1、草坪高度在控制标准以上，每高1厘米，扣0.1分。</w:t>
                  </w:r>
                </w:p>
                <w:p>
                  <w:r>
                    <w:rPr>
                      <w:sz w:val="21"/>
                    </w:rPr>
                    <w:t>2、绿化带边缘的草坪植物要修剪整齐，不得超出路牙石外缘、或有路牙石缝长草现象。每发现一处扣0.1分。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(三)灌溉、施肥</w:t>
                  </w:r>
                </w:p>
                <w:p>
                  <w:r>
                    <w:rPr>
                      <w:sz w:val="21"/>
                    </w:rPr>
                    <w:t>要根据草坪植物的生长需要加强淋水和施肥，保证肥水充足，肥料的施用方法和用量科学。在雨水缺少的季节，每天的淋水量不低于</w:t>
                  </w:r>
                  <w:r>
                    <w:rPr>
                      <w:sz w:val="21"/>
                    </w:rPr>
                    <w:t>0.5千克/平方米。</w:t>
                  </w:r>
                </w:p>
              </w:tc>
              <w:tc>
                <w:tcPr>
                  <w:tcW w:type="dxa" w:w="2436"/>
                  <w:tcBorders>
                    <w:top w:val="none" w:color="000000" w:sz="4"/>
                    <w:left w:val="single" w:color="000000" w:sz="4"/>
                    <w:bottom w:val="single" w:color="000000" w:sz="4"/>
                    <w:right w:val="single" w:color="000000" w:sz="4"/>
                  </w:tcBorders>
                  <w:vAlign w:val="top"/>
                </w:tcPr>
                <w:p>
                  <w:r>
                    <w:rPr>
                      <w:sz w:val="21"/>
                    </w:rPr>
                    <w:t>现场检查或查阅养护记录，发现草坪灌溉、施肥不足，甲方指出问题后仍未及时整改到位，每次扣</w:t>
                  </w:r>
                  <w:r>
                    <w:rPr>
                      <w:sz w:val="21"/>
                    </w:rPr>
                    <w:t>0.2分。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（四）及时清除杂草，草坪不得发现阔叶杂草和其他非目的草种恶性杂草。</w:t>
                  </w:r>
                </w:p>
              </w:tc>
              <w:tc>
                <w:tcPr>
                  <w:tcW w:type="dxa" w:w="2436"/>
                  <w:tcBorders>
                    <w:top w:val="none" w:color="000000" w:sz="4"/>
                    <w:left w:val="single" w:color="000000" w:sz="4"/>
                    <w:bottom w:val="single" w:color="000000" w:sz="4"/>
                    <w:right w:val="single" w:color="000000" w:sz="4"/>
                  </w:tcBorders>
                  <w:vAlign w:val="top"/>
                </w:tcPr>
                <w:p>
                  <w:r>
                    <w:rPr>
                      <w:sz w:val="21"/>
                    </w:rPr>
                    <w:t>随机检查草坪，每</w:t>
                  </w:r>
                  <w:r>
                    <w:rPr>
                      <w:sz w:val="21"/>
                    </w:rPr>
                    <w:t>10平方米草坪阔叶杂草超过3株，每超一株扣0.1分。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(五)草坪内无坑洼积水，平整雅观。</w:t>
                  </w:r>
                </w:p>
              </w:tc>
              <w:tc>
                <w:tcPr>
                  <w:tcW w:type="dxa" w:w="2436"/>
                  <w:tcBorders>
                    <w:top w:val="none" w:color="000000" w:sz="4"/>
                    <w:left w:val="single" w:color="000000" w:sz="4"/>
                    <w:bottom w:val="single" w:color="000000" w:sz="4"/>
                    <w:right w:val="single" w:color="000000" w:sz="4"/>
                  </w:tcBorders>
                  <w:vAlign w:val="top"/>
                </w:tcPr>
                <w:p>
                  <w:r>
                    <w:rPr>
                      <w:sz w:val="21"/>
                    </w:rPr>
                    <w:t>随机检查草坪，发现有一处扣</w:t>
                  </w:r>
                  <w:r>
                    <w:rPr>
                      <w:sz w:val="21"/>
                    </w:rPr>
                    <w:t>0.1分。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(六)无露土地面，无露土踩踏小路（老鼠路），对被破坏或死亡的草坪植物应及时补植，使草坪保持完整，无裸露地。</w:t>
                  </w:r>
                </w:p>
              </w:tc>
              <w:tc>
                <w:tcPr>
                  <w:tcW w:type="dxa" w:w="2436"/>
                  <w:tcBorders>
                    <w:top w:val="none" w:color="000000" w:sz="4"/>
                    <w:left w:val="single" w:color="000000" w:sz="4"/>
                    <w:bottom w:val="single" w:color="000000" w:sz="4"/>
                    <w:right w:val="single" w:color="000000" w:sz="4"/>
                  </w:tcBorders>
                  <w:vAlign w:val="top"/>
                </w:tcPr>
                <w:p>
                  <w:r>
                    <w:rPr>
                      <w:sz w:val="21"/>
                    </w:rPr>
                    <w:t>检查草坪，发现裸露黄土现象，未及时修复的，每平方米扣</w:t>
                  </w:r>
                  <w:r>
                    <w:rPr>
                      <w:sz w:val="21"/>
                    </w:rPr>
                    <w:t>0.1分。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(七)病虫害、有害生物防治及时做好病虫害的防治工作，草坪无因地吃根害虫形成的斑秃现象，无蚁巢堆、蝼蛄孔、老鼠洞。经常检查，早发现早处理。发生病虫为害。</w:t>
                  </w:r>
                </w:p>
              </w:tc>
              <w:tc>
                <w:tcPr>
                  <w:tcW w:type="dxa" w:w="2436"/>
                  <w:tcBorders>
                    <w:top w:val="none" w:color="000000" w:sz="4"/>
                    <w:left w:val="single" w:color="000000" w:sz="4"/>
                    <w:bottom w:val="single" w:color="000000" w:sz="4"/>
                    <w:right w:val="single" w:color="000000" w:sz="4"/>
                  </w:tcBorders>
                  <w:vAlign w:val="top"/>
                </w:tcPr>
                <w:p>
                  <w:r>
                    <w:rPr>
                      <w:sz w:val="21"/>
                    </w:rPr>
                    <w:t>检查草坪，发现有斑秃现象，蚁巢堆、蝼蛄孔、老鼠洞，未处理的，每处扣</w:t>
                  </w:r>
                  <w:r>
                    <w:rPr>
                      <w:sz w:val="21"/>
                    </w:rPr>
                    <w:t>0.1分。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430"/>
                  <w:tcBorders>
                    <w:top w:val="none" w:color="000000" w:sz="4"/>
                    <w:left w:val="single" w:color="000000" w:sz="4"/>
                    <w:bottom w:val="single" w:color="000000" w:sz="4"/>
                    <w:right w:val="single" w:color="000000" w:sz="4"/>
                  </w:tcBorders>
                  <w:vAlign w:val="top"/>
                </w:tcPr>
                <w:p>
                  <w:pPr>
                    <w:jc w:val="center"/>
                  </w:pPr>
                  <w:r>
                    <w:rPr>
                      <w:sz w:val="21"/>
                    </w:rPr>
                    <w:t>绿化</w:t>
                  </w:r>
                </w:p>
                <w:p>
                  <w:pPr>
                    <w:jc w:val="center"/>
                  </w:pPr>
                  <w:r>
                    <w:rPr>
                      <w:sz w:val="21"/>
                    </w:rPr>
                    <w:t>灌溉</w:t>
                  </w:r>
                </w:p>
              </w:tc>
              <w:tc>
                <w:tcPr>
                  <w:tcW w:type="dxa" w:w="2437"/>
                  <w:tcBorders>
                    <w:top w:val="none" w:color="000000" w:sz="4"/>
                    <w:left w:val="single" w:color="000000" w:sz="4"/>
                    <w:bottom w:val="single" w:color="000000" w:sz="4"/>
                    <w:right w:val="single" w:color="000000" w:sz="4"/>
                  </w:tcBorders>
                  <w:vAlign w:val="top"/>
                </w:tcPr>
                <w:p>
                  <w:r>
                    <w:rPr>
                      <w:sz w:val="21"/>
                    </w:rPr>
                    <w:t>根据实际情况，适时适当进行浇水。喷灌应定时开关。无雨天气，应对每株乔木每十天灌一次水；每天所有绿地应普浇一次，每公顷不少于</w:t>
                  </w:r>
                  <w:r>
                    <w:rPr>
                      <w:sz w:val="21"/>
                    </w:rPr>
                    <w:t>5吨。炎热干燥天气期间，应对树木喷水降温，每天至少一次。树冠积聚灰尘较多时，应及时清洗。</w:t>
                  </w:r>
                </w:p>
                <w:p>
                  <w:pPr>
                    <w:jc w:val="both"/>
                  </w:pPr>
                  <w:r>
                    <w:rPr>
                      <w:sz w:val="21"/>
                    </w:rPr>
                    <w:t>雨季期，对低洼树木应及时开沟，打孔排水、绿地或树池内积水不得超过</w:t>
                  </w:r>
                  <w:r>
                    <w:rPr>
                      <w:sz w:val="21"/>
                    </w:rPr>
                    <w:t>24小时。</w:t>
                  </w:r>
                </w:p>
              </w:tc>
              <w:tc>
                <w:tcPr>
                  <w:tcW w:type="dxa" w:w="2436"/>
                  <w:tcBorders>
                    <w:top w:val="none" w:color="000000" w:sz="4"/>
                    <w:left w:val="single" w:color="000000" w:sz="4"/>
                    <w:bottom w:val="single" w:color="000000" w:sz="4"/>
                    <w:right w:val="single" w:color="000000" w:sz="4"/>
                  </w:tcBorders>
                  <w:vAlign w:val="top"/>
                </w:tcPr>
                <w:p>
                  <w:r>
                    <w:rPr>
                      <w:sz w:val="21"/>
                    </w:rPr>
                    <w:t>乙方应每天按规范灌溉，浇足水量，如未能达到，甲方指出后，仍未能达到要求，每一天，扣</w:t>
                  </w:r>
                  <w:r>
                    <w:rPr>
                      <w:sz w:val="21"/>
                    </w:rPr>
                    <w:t>0.2分。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430"/>
                  <w:tcBorders>
                    <w:top w:val="none" w:color="000000" w:sz="4"/>
                    <w:left w:val="single" w:color="000000" w:sz="4"/>
                    <w:bottom w:val="single" w:color="000000" w:sz="4"/>
                    <w:right w:val="single" w:color="000000" w:sz="4"/>
                  </w:tcBorders>
                  <w:vAlign w:val="top"/>
                </w:tcPr>
                <w:p>
                  <w:pPr>
                    <w:jc w:val="center"/>
                  </w:pPr>
                  <w:r>
                    <w:rPr>
                      <w:sz w:val="21"/>
                    </w:rPr>
                    <w:t>防风防寒防涝</w:t>
                  </w:r>
                </w:p>
                <w:p>
                  <w:pPr>
                    <w:jc w:val="center"/>
                  </w:pPr>
                  <w:r>
                    <w:rPr>
                      <w:sz w:val="21"/>
                    </w:rPr>
                    <w:t>灾害处置</w:t>
                  </w:r>
                </w:p>
              </w:tc>
              <w:tc>
                <w:tcPr>
                  <w:tcW w:type="dxa" w:w="2437"/>
                  <w:tcBorders>
                    <w:top w:val="none" w:color="000000" w:sz="4"/>
                    <w:left w:val="single" w:color="000000" w:sz="4"/>
                    <w:bottom w:val="single" w:color="000000" w:sz="4"/>
                    <w:right w:val="single" w:color="000000" w:sz="4"/>
                  </w:tcBorders>
                  <w:vAlign w:val="top"/>
                </w:tcPr>
                <w:p>
                  <w:r>
                    <w:rPr>
                      <w:sz w:val="21"/>
                    </w:rPr>
                    <w:t>1、防台风暴雨台风、暴雨、寒潮前，应加强防御措施，合理修剪，用直杆或绳索固定易倒树木，包裹抗寒能力弱的树木，加固护树设施。</w:t>
                  </w:r>
                </w:p>
                <w:p>
                  <w:r>
                    <w:rPr>
                      <w:sz w:val="21"/>
                    </w:rPr>
                    <w:t>2台风吹袭期间在确保安全的情况下迅速清理倒树断枝，疏通道路。</w:t>
                  </w:r>
                </w:p>
                <w:p>
                  <w:r>
                    <w:rPr>
                      <w:sz w:val="21"/>
                    </w:rPr>
                    <w:t>3、台风后及时进行受损树木的处理，修剪、扶正，重植、标记登记受损树木。清理断枝、落叶和垃圾，使绿化景观尽快恢复。遇雷电风雨、人畜危害而使树木歪斜或倒枝断枝，要立即处理、疏通道路。有明显主干的树种主干应保持竖直不倾斜。台风、暴雨后形成积水要及时排除。</w:t>
                  </w:r>
                </w:p>
              </w:tc>
              <w:tc>
                <w:tcPr>
                  <w:tcW w:type="dxa" w:w="2436"/>
                  <w:tcBorders>
                    <w:top w:val="none" w:color="000000" w:sz="4"/>
                    <w:left w:val="single" w:color="000000" w:sz="4"/>
                    <w:bottom w:val="single" w:color="000000" w:sz="4"/>
                    <w:right w:val="single" w:color="000000" w:sz="4"/>
                  </w:tcBorders>
                  <w:vAlign w:val="top"/>
                </w:tcPr>
                <w:p>
                  <w:pPr>
                    <w:jc w:val="both"/>
                  </w:pPr>
                  <w:r>
                    <w:rPr>
                      <w:sz w:val="21"/>
                    </w:rPr>
                    <w:t>1、未及时采取防御措施，每扣0.1分。</w:t>
                  </w:r>
                </w:p>
                <w:p>
                  <w:pPr>
                    <w:jc w:val="both"/>
                  </w:pPr>
                  <w:r>
                    <w:rPr>
                      <w:sz w:val="21"/>
                    </w:rPr>
                    <w:t>2、未能及时疏通道路，扣0.1分。</w:t>
                  </w:r>
                </w:p>
                <w:p>
                  <w:r>
                    <w:rPr>
                      <w:sz w:val="21"/>
                    </w:rPr>
                    <w:t>3、违反本项第3条，台风后未及时、规范对受损树木进行处理，扣0.1分。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430"/>
                  <w:vMerge w:val="restart"/>
                  <w:tcBorders>
                    <w:top w:val="none" w:color="000000" w:sz="4"/>
                    <w:left w:val="single" w:color="000000" w:sz="4"/>
                    <w:bottom w:val="single" w:color="000000" w:sz="4"/>
                    <w:right w:val="single" w:color="000000" w:sz="4"/>
                  </w:tcBorders>
                  <w:vAlign w:val="top"/>
                </w:tcPr>
                <w:p>
                  <w:pPr>
                    <w:jc w:val="center"/>
                  </w:pPr>
                  <w:r>
                    <w:rPr>
                      <w:sz w:val="21"/>
                    </w:rPr>
                    <w:t>绿地绿道</w:t>
                  </w:r>
                </w:p>
                <w:p>
                  <w:pPr>
                    <w:jc w:val="center"/>
                  </w:pPr>
                  <w:r>
                    <w:rPr>
                      <w:sz w:val="21"/>
                    </w:rPr>
                    <w:t>卫生</w:t>
                  </w:r>
                </w:p>
              </w:tc>
              <w:tc>
                <w:tcPr>
                  <w:tcW w:type="dxa" w:w="2437"/>
                  <w:tcBorders>
                    <w:top w:val="none" w:color="000000" w:sz="4"/>
                    <w:left w:val="single" w:color="000000" w:sz="4"/>
                    <w:bottom w:val="single" w:color="000000" w:sz="4"/>
                    <w:right w:val="single" w:color="000000" w:sz="4"/>
                  </w:tcBorders>
                  <w:vAlign w:val="top"/>
                </w:tcPr>
                <w:p>
                  <w:r>
                    <w:rPr>
                      <w:sz w:val="21"/>
                    </w:rPr>
                    <w:t>要求每天</w:t>
                  </w:r>
                  <w:r>
                    <w:rPr>
                      <w:sz w:val="21"/>
                    </w:rPr>
                    <w:t>6：30—21：30保持绿地范围内无垃圾杂物，包括各类垃圾、石砾砖块、干枯枝叶、粪便烟头，</w:t>
                  </w:r>
                </w:p>
                <w:p>
                  <w:r>
                    <w:rPr>
                      <w:sz w:val="21"/>
                    </w:rPr>
                    <w:t>清除垃圾杂物后要注意保洁，绿地一有垃圾，要求及日寸捡拾干净。</w:t>
                  </w:r>
                </w:p>
              </w:tc>
              <w:tc>
                <w:tcPr>
                  <w:tcW w:type="dxa" w:w="2436"/>
                  <w:tcBorders>
                    <w:top w:val="none" w:color="000000" w:sz="4"/>
                    <w:left w:val="single" w:color="000000" w:sz="4"/>
                    <w:bottom w:val="single" w:color="000000" w:sz="4"/>
                    <w:right w:val="single" w:color="000000" w:sz="4"/>
                  </w:tcBorders>
                  <w:vAlign w:val="top"/>
                </w:tcPr>
                <w:p>
                  <w:r>
                    <w:rPr>
                      <w:sz w:val="21"/>
                    </w:rPr>
                    <w:t>未安要求落实。发现一次扣</w:t>
                  </w:r>
                  <w:r>
                    <w:rPr>
                      <w:sz w:val="21"/>
                    </w:rPr>
                    <w:t>0.1分。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无红火蚁穴、无鼠洞和蚊蝇滋生地等，发现无红火蚁穴、鼠洞要随时清除。</w:t>
                  </w:r>
                </w:p>
              </w:tc>
              <w:tc>
                <w:tcPr>
                  <w:tcW w:type="dxa" w:w="2436"/>
                  <w:tcBorders>
                    <w:top w:val="none" w:color="000000" w:sz="4"/>
                    <w:left w:val="single" w:color="000000" w:sz="4"/>
                    <w:bottom w:val="single" w:color="000000" w:sz="4"/>
                    <w:right w:val="single" w:color="000000" w:sz="4"/>
                  </w:tcBorders>
                  <w:vAlign w:val="top"/>
                </w:tcPr>
                <w:p>
                  <w:r>
                    <w:rPr>
                      <w:sz w:val="21"/>
                    </w:rPr>
                    <w:t>未安要求落实。发现一次扣</w:t>
                  </w:r>
                  <w:r>
                    <w:rPr>
                      <w:sz w:val="21"/>
                    </w:rPr>
                    <w:t>0.2分。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绿地园林小品、设施、雕塑、果皮箱、桌椅、应每天清洗干净，无无乱张贴、牛皮癣。</w:t>
                  </w:r>
                </w:p>
              </w:tc>
              <w:tc>
                <w:tcPr>
                  <w:tcW w:type="dxa" w:w="2436"/>
                  <w:tcBorders>
                    <w:top w:val="none" w:color="000000" w:sz="4"/>
                    <w:left w:val="single" w:color="000000" w:sz="4"/>
                    <w:bottom w:val="single" w:color="000000" w:sz="4"/>
                    <w:right w:val="single" w:color="000000" w:sz="4"/>
                  </w:tcBorders>
                  <w:vAlign w:val="top"/>
                </w:tcPr>
                <w:p>
                  <w:r>
                    <w:rPr>
                      <w:sz w:val="21"/>
                    </w:rPr>
                    <w:t>未安要求落实。发现一次扣</w:t>
                  </w:r>
                  <w:r>
                    <w:rPr>
                      <w:sz w:val="21"/>
                    </w:rPr>
                    <w:t>0.1分。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绿道、硬化铺装，每周至少全面冲洗一次，绿道、铺装地面应显现地面铺装材料的原色。</w:t>
                  </w:r>
                </w:p>
              </w:tc>
              <w:tc>
                <w:tcPr>
                  <w:tcW w:type="dxa" w:w="2436"/>
                  <w:tcBorders>
                    <w:top w:val="none" w:color="000000" w:sz="4"/>
                    <w:left w:val="single" w:color="000000" w:sz="4"/>
                    <w:bottom w:val="single" w:color="000000" w:sz="4"/>
                    <w:right w:val="single" w:color="000000" w:sz="4"/>
                  </w:tcBorders>
                  <w:vAlign w:val="top"/>
                </w:tcPr>
                <w:p>
                  <w:r>
                    <w:rPr>
                      <w:sz w:val="21"/>
                    </w:rPr>
                    <w:t>未安要求落实。发现一次扣</w:t>
                  </w:r>
                  <w:r>
                    <w:rPr>
                      <w:sz w:val="21"/>
                    </w:rPr>
                    <w:t>0.2分。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收集装袋后的的垃圾杂物和清洁器具摆放在隐蔽的地方。</w:t>
                  </w:r>
                </w:p>
              </w:tc>
              <w:tc>
                <w:tcPr>
                  <w:tcW w:type="dxa" w:w="2436"/>
                  <w:tcBorders>
                    <w:top w:val="none" w:color="000000" w:sz="4"/>
                    <w:left w:val="single" w:color="000000" w:sz="4"/>
                    <w:bottom w:val="single" w:color="000000" w:sz="4"/>
                    <w:right w:val="single" w:color="000000" w:sz="4"/>
                  </w:tcBorders>
                  <w:vAlign w:val="top"/>
                </w:tcPr>
                <w:p>
                  <w:r>
                    <w:rPr>
                      <w:sz w:val="21"/>
                    </w:rPr>
                    <w:t>未安要求落实。发现一次扣</w:t>
                  </w:r>
                  <w:r>
                    <w:rPr>
                      <w:sz w:val="21"/>
                    </w:rPr>
                    <w:t>0.2分。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绿地内果皮箱用环卫垃圾袋收集垃圾清走，随满随清。垃圾做到日产日清，不准过夜。</w:t>
                  </w:r>
                </w:p>
              </w:tc>
              <w:tc>
                <w:tcPr>
                  <w:tcW w:type="dxa" w:w="2436"/>
                  <w:tcBorders>
                    <w:top w:val="none" w:color="000000" w:sz="4"/>
                    <w:left w:val="single" w:color="000000" w:sz="4"/>
                    <w:bottom w:val="single" w:color="000000" w:sz="4"/>
                    <w:right w:val="single" w:color="000000" w:sz="4"/>
                  </w:tcBorders>
                  <w:vAlign w:val="top"/>
                </w:tcPr>
                <w:p>
                  <w:r>
                    <w:rPr>
                      <w:sz w:val="21"/>
                    </w:rPr>
                    <w:t>未安要求落实。发现一次扣</w:t>
                  </w:r>
                  <w:r>
                    <w:rPr>
                      <w:sz w:val="21"/>
                    </w:rPr>
                    <w:t>0.2分。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不准焚烧枯枝落叶和各类垃圾。</w:t>
                  </w:r>
                </w:p>
              </w:tc>
              <w:tc>
                <w:tcPr>
                  <w:tcW w:type="dxa" w:w="2436"/>
                  <w:tcBorders>
                    <w:top w:val="none" w:color="000000" w:sz="4"/>
                    <w:left w:val="single" w:color="000000" w:sz="4"/>
                    <w:bottom w:val="single" w:color="000000" w:sz="4"/>
                    <w:right w:val="single" w:color="000000" w:sz="4"/>
                  </w:tcBorders>
                  <w:vAlign w:val="top"/>
                </w:tcPr>
                <w:p>
                  <w:r>
                    <w:rPr>
                      <w:sz w:val="21"/>
                    </w:rPr>
                    <w:t>未安要求落实。发现一次扣</w:t>
                  </w:r>
                  <w:r>
                    <w:rPr>
                      <w:sz w:val="21"/>
                    </w:rPr>
                    <w:t>0.5分。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确保绿地外</w:t>
                  </w:r>
                  <w:r>
                    <w:rPr>
                      <w:sz w:val="21"/>
                    </w:rPr>
                    <w:t>10米范围内的空置地没有垃圾、杂物堆放，没有影响绿地美观的杂草丛生。负责绿地与水体岸线外两米水域垃圾的清理。</w:t>
                  </w:r>
                </w:p>
              </w:tc>
              <w:tc>
                <w:tcPr>
                  <w:tcW w:type="dxa" w:w="2436"/>
                  <w:tcBorders>
                    <w:top w:val="none" w:color="000000" w:sz="4"/>
                    <w:left w:val="single" w:color="000000" w:sz="4"/>
                    <w:bottom w:val="single" w:color="000000" w:sz="4"/>
                    <w:right w:val="single" w:color="000000" w:sz="4"/>
                  </w:tcBorders>
                  <w:vAlign w:val="top"/>
                </w:tcPr>
                <w:p>
                  <w:r>
                    <w:rPr>
                      <w:sz w:val="21"/>
                    </w:rPr>
                    <w:t>未安要求落实。发现一次扣</w:t>
                  </w:r>
                  <w:r>
                    <w:rPr>
                      <w:sz w:val="21"/>
                    </w:rPr>
                    <w:t>0.2分。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430"/>
                  <w:tcBorders>
                    <w:top w:val="none" w:color="000000" w:sz="4"/>
                    <w:left w:val="single" w:color="000000" w:sz="4"/>
                    <w:bottom w:val="single" w:color="000000" w:sz="4"/>
                    <w:right w:val="single" w:color="000000" w:sz="4"/>
                  </w:tcBorders>
                  <w:vAlign w:val="top"/>
                </w:tcPr>
                <w:p>
                  <w:pPr>
                    <w:jc w:val="center"/>
                  </w:pPr>
                  <w:r>
                    <w:rPr>
                      <w:sz w:val="21"/>
                    </w:rPr>
                    <w:t>道路</w:t>
                  </w:r>
                </w:p>
                <w:p>
                  <w:pPr>
                    <w:jc w:val="center"/>
                  </w:pPr>
                  <w:r>
                    <w:rPr>
                      <w:sz w:val="21"/>
                    </w:rPr>
                    <w:t>保洁整体</w:t>
                  </w:r>
                </w:p>
                <w:p>
                  <w:pPr>
                    <w:jc w:val="center"/>
                  </w:pPr>
                  <w:r>
                    <w:rPr>
                      <w:sz w:val="21"/>
                    </w:rPr>
                    <w:t>观感</w:t>
                  </w:r>
                </w:p>
              </w:tc>
              <w:tc>
                <w:tcPr>
                  <w:tcW w:type="dxa" w:w="2437"/>
                  <w:tcBorders>
                    <w:top w:val="none" w:color="000000" w:sz="4"/>
                    <w:left w:val="single" w:color="000000" w:sz="4"/>
                    <w:bottom w:val="single" w:color="000000" w:sz="4"/>
                    <w:right w:val="single" w:color="000000" w:sz="4"/>
                  </w:tcBorders>
                  <w:vAlign w:val="top"/>
                </w:tcPr>
                <w:p>
                  <w:r>
                    <w:rPr>
                      <w:sz w:val="21"/>
                    </w:rPr>
                    <w:t>道路等公共地域整洁无尘，无果皮、无纸屑、无塑膜、无痰迹、无污水、无暴露垃圾、无人畜粪便、无乱张贴、路牙无泥沙。</w:t>
                  </w:r>
                </w:p>
                <w:p>
                  <w:r>
                    <w:rPr>
                      <w:sz w:val="21"/>
                    </w:rPr>
                    <w:t>路面净、果皮箱净、树穴绿化带净、地下通道净、无残留污水，排水口清洁、无沙土残积。路沿石、废物箱、等公共设施无明显污迹。</w:t>
                  </w:r>
                </w:p>
              </w:tc>
              <w:tc>
                <w:tcPr>
                  <w:tcW w:type="dxa" w:w="2436"/>
                  <w:tcBorders>
                    <w:top w:val="none" w:color="000000" w:sz="4"/>
                    <w:left w:val="single" w:color="000000" w:sz="4"/>
                    <w:bottom w:val="single" w:color="000000" w:sz="4"/>
                    <w:right w:val="single" w:color="000000" w:sz="4"/>
                  </w:tcBorders>
                  <w:vAlign w:val="top"/>
                </w:tcPr>
                <w:p>
                  <w:r>
                    <w:rPr>
                      <w:sz w:val="21"/>
                    </w:rPr>
                    <w:t>观感好，不扣分；中，扣</w:t>
                  </w:r>
                  <w:r>
                    <w:rPr>
                      <w:sz w:val="21"/>
                    </w:rPr>
                    <w:t>2分；差，扣4分；极差，不得分。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430"/>
                  <w:tcBorders>
                    <w:top w:val="none" w:color="000000" w:sz="4"/>
                    <w:left w:val="single" w:color="000000" w:sz="4"/>
                    <w:bottom w:val="single" w:color="000000" w:sz="4"/>
                    <w:right w:val="single" w:color="000000" w:sz="4"/>
                  </w:tcBorders>
                  <w:vAlign w:val="top"/>
                </w:tcPr>
                <w:p>
                  <w:pPr>
                    <w:jc w:val="center"/>
                  </w:pPr>
                  <w:r>
                    <w:rPr>
                      <w:sz w:val="21"/>
                    </w:rPr>
                    <w:t>保洁</w:t>
                  </w:r>
                </w:p>
                <w:p>
                  <w:pPr>
                    <w:jc w:val="center"/>
                  </w:pPr>
                  <w:r>
                    <w:rPr>
                      <w:sz w:val="21"/>
                    </w:rPr>
                    <w:t>要求</w:t>
                  </w:r>
                  <w:r>
                    <w:rPr>
                      <w:sz w:val="21"/>
                    </w:rPr>
                    <w:t>1</w:t>
                  </w:r>
                </w:p>
              </w:tc>
              <w:tc>
                <w:tcPr>
                  <w:tcW w:type="dxa" w:w="2437"/>
                  <w:tcBorders>
                    <w:top w:val="none" w:color="000000" w:sz="4"/>
                    <w:left w:val="single" w:color="000000" w:sz="4"/>
                    <w:bottom w:val="single" w:color="000000" w:sz="4"/>
                    <w:right w:val="single" w:color="000000" w:sz="4"/>
                  </w:tcBorders>
                  <w:vAlign w:val="top"/>
                </w:tcPr>
                <w:p>
                  <w:r>
                    <w:rPr>
                      <w:sz w:val="21"/>
                    </w:rPr>
                    <w:t>在保洁时间内，责任区域废弃物应符合下列规定：每</w:t>
                  </w:r>
                  <w:r>
                    <w:rPr>
                      <w:sz w:val="21"/>
                    </w:rPr>
                    <w:t>1000平方米地面果皮、烟蒂、塑料、纸屑、石块分别不得超过5片。注：果皮、纸屑、塑膜的面积以火柴盒大小为标准。</w:t>
                  </w:r>
                </w:p>
              </w:tc>
              <w:tc>
                <w:tcPr>
                  <w:tcW w:type="dxa" w:w="2436"/>
                  <w:tcBorders>
                    <w:top w:val="none" w:color="000000" w:sz="4"/>
                    <w:left w:val="single" w:color="000000" w:sz="4"/>
                    <w:bottom w:val="single" w:color="000000" w:sz="4"/>
                    <w:right w:val="single" w:color="000000" w:sz="4"/>
                  </w:tcBorders>
                  <w:vAlign w:val="top"/>
                </w:tcPr>
                <w:p>
                  <w:pPr>
                    <w:jc w:val="both"/>
                  </w:pPr>
                  <w:r>
                    <w:rPr>
                      <w:sz w:val="21"/>
                    </w:rPr>
                    <w:t>每超</w:t>
                  </w:r>
                  <w:r>
                    <w:rPr>
                      <w:sz w:val="21"/>
                    </w:rPr>
                    <w:t>1片，扣0.2分。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430"/>
                  <w:tcBorders>
                    <w:top w:val="none" w:color="000000" w:sz="4"/>
                    <w:left w:val="single" w:color="000000" w:sz="4"/>
                    <w:bottom w:val="single" w:color="000000" w:sz="4"/>
                    <w:right w:val="single" w:color="000000" w:sz="4"/>
                  </w:tcBorders>
                  <w:vAlign w:val="top"/>
                </w:tcPr>
                <w:p>
                  <w:pPr>
                    <w:jc w:val="center"/>
                  </w:pPr>
                  <w:r>
                    <w:rPr>
                      <w:sz w:val="21"/>
                    </w:rPr>
                    <w:t>保洁</w:t>
                  </w:r>
                </w:p>
                <w:p>
                  <w:pPr>
                    <w:jc w:val="center"/>
                  </w:pPr>
                  <w:r>
                    <w:rPr>
                      <w:sz w:val="21"/>
                    </w:rPr>
                    <w:t>要求</w:t>
                  </w:r>
                  <w:r>
                    <w:rPr>
                      <w:sz w:val="21"/>
                    </w:rPr>
                    <w:t>2</w:t>
                  </w:r>
                </w:p>
              </w:tc>
              <w:tc>
                <w:tcPr>
                  <w:tcW w:type="dxa" w:w="2437"/>
                  <w:tcBorders>
                    <w:top w:val="none" w:color="000000" w:sz="4"/>
                    <w:left w:val="single" w:color="000000" w:sz="4"/>
                    <w:bottom w:val="single" w:color="000000" w:sz="4"/>
                    <w:right w:val="single" w:color="000000" w:sz="4"/>
                  </w:tcBorders>
                  <w:vAlign w:val="top"/>
                </w:tcPr>
                <w:p>
                  <w:pPr>
                    <w:jc w:val="both"/>
                  </w:pPr>
                  <w:r>
                    <w:rPr>
                      <w:sz w:val="21"/>
                    </w:rPr>
                    <w:t>路牙、人行道、花基基部不得得有明显的泥沙或泥渍</w:t>
                  </w:r>
                  <w:r>
                    <w:rPr>
                      <w:sz w:val="21"/>
                    </w:rPr>
                    <w:t>(长0．5米以上)，洒落在主车道上的余泥沙石，在发现后2小时内要及时清理干净；树池上的石粒不得扫在人行道上。</w:t>
                  </w:r>
                </w:p>
              </w:tc>
              <w:tc>
                <w:tcPr>
                  <w:tcW w:type="dxa" w:w="2436"/>
                  <w:tcBorders>
                    <w:top w:val="none" w:color="000000" w:sz="4"/>
                    <w:left w:val="single" w:color="000000" w:sz="4"/>
                    <w:bottom w:val="single" w:color="000000" w:sz="4"/>
                    <w:right w:val="single" w:color="000000" w:sz="4"/>
                  </w:tcBorders>
                  <w:vAlign w:val="top"/>
                </w:tcPr>
                <w:p>
                  <w:pPr>
                    <w:jc w:val="both"/>
                  </w:pPr>
                  <w:r>
                    <w:rPr>
                      <w:sz w:val="21"/>
                    </w:rPr>
                    <w:t>道路、广场有泥砂或泥渍、水泥渍、油渍，没及时清理干净，每处扣</w:t>
                  </w:r>
                  <w:r>
                    <w:rPr>
                      <w:sz w:val="21"/>
                    </w:rPr>
                    <w:t>0.2分。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430"/>
                  <w:tcBorders>
                    <w:top w:val="none" w:color="000000" w:sz="4"/>
                    <w:left w:val="single" w:color="000000" w:sz="4"/>
                    <w:bottom w:val="single" w:color="000000" w:sz="4"/>
                    <w:right w:val="single" w:color="000000" w:sz="4"/>
                  </w:tcBorders>
                  <w:vAlign w:val="top"/>
                </w:tcPr>
                <w:p>
                  <w:pPr>
                    <w:jc w:val="center"/>
                  </w:pPr>
                  <w:r>
                    <w:rPr>
                      <w:sz w:val="21"/>
                    </w:rPr>
                    <w:t>保洁</w:t>
                  </w:r>
                </w:p>
                <w:p>
                  <w:pPr>
                    <w:jc w:val="center"/>
                  </w:pPr>
                  <w:r>
                    <w:rPr>
                      <w:sz w:val="21"/>
                    </w:rPr>
                    <w:t>要求</w:t>
                  </w:r>
                  <w:r>
                    <w:rPr>
                      <w:sz w:val="21"/>
                    </w:rPr>
                    <w:t>3</w:t>
                  </w:r>
                </w:p>
              </w:tc>
              <w:tc>
                <w:tcPr>
                  <w:tcW w:type="dxa" w:w="2437"/>
                  <w:tcBorders>
                    <w:top w:val="none" w:color="000000" w:sz="4"/>
                    <w:left w:val="single" w:color="000000" w:sz="4"/>
                    <w:bottom w:val="single" w:color="000000" w:sz="4"/>
                    <w:right w:val="single" w:color="000000" w:sz="4"/>
                  </w:tcBorders>
                  <w:vAlign w:val="top"/>
                </w:tcPr>
                <w:p>
                  <w:r>
                    <w:rPr>
                      <w:sz w:val="21"/>
                    </w:rPr>
                    <w:t>要保证雨水口不堵塞，雨水井底无废弃物，即每个雨水口底部的废弃物，不得超过</w:t>
                  </w:r>
                  <w:r>
                    <w:rPr>
                      <w:sz w:val="21"/>
                    </w:rPr>
                    <w:t>8件／口。</w:t>
                  </w:r>
                </w:p>
              </w:tc>
              <w:tc>
                <w:tcPr>
                  <w:tcW w:type="dxa" w:w="2436"/>
                  <w:tcBorders>
                    <w:top w:val="none" w:color="000000" w:sz="4"/>
                    <w:left w:val="single" w:color="000000" w:sz="4"/>
                    <w:bottom w:val="single" w:color="000000" w:sz="4"/>
                    <w:right w:val="single" w:color="000000" w:sz="4"/>
                  </w:tcBorders>
                  <w:vAlign w:val="top"/>
                </w:tcPr>
                <w:p>
                  <w:r>
                    <w:rPr>
                      <w:sz w:val="21"/>
                    </w:rPr>
                    <w:t>抽查</w:t>
                  </w:r>
                  <w:r>
                    <w:rPr>
                      <w:sz w:val="21"/>
                    </w:rPr>
                    <w:t>10口雨水口，每发现雨水口底部未清理，每口扣0.2分。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430"/>
                  <w:tcBorders>
                    <w:top w:val="none" w:color="000000" w:sz="4"/>
                    <w:left w:val="single" w:color="000000" w:sz="4"/>
                    <w:bottom w:val="single" w:color="000000" w:sz="4"/>
                    <w:right w:val="single" w:color="000000" w:sz="4"/>
                  </w:tcBorders>
                  <w:vAlign w:val="top"/>
                </w:tcPr>
                <w:p>
                  <w:pPr>
                    <w:jc w:val="center"/>
                  </w:pPr>
                  <w:r>
                    <w:rPr>
                      <w:sz w:val="21"/>
                    </w:rPr>
                    <w:t>保洁</w:t>
                  </w:r>
                </w:p>
                <w:p>
                  <w:pPr>
                    <w:jc w:val="center"/>
                  </w:pPr>
                  <w:r>
                    <w:rPr>
                      <w:sz w:val="21"/>
                    </w:rPr>
                    <w:t>要求</w:t>
                  </w:r>
                  <w:r>
                    <w:rPr>
                      <w:sz w:val="21"/>
                    </w:rPr>
                    <w:t>4</w:t>
                  </w:r>
                </w:p>
              </w:tc>
              <w:tc>
                <w:tcPr>
                  <w:tcW w:type="dxa" w:w="2437"/>
                  <w:tcBorders>
                    <w:top w:val="none" w:color="000000" w:sz="4"/>
                    <w:left w:val="single" w:color="000000" w:sz="4"/>
                    <w:bottom w:val="single" w:color="000000" w:sz="4"/>
                    <w:right w:val="single" w:color="000000" w:sz="4"/>
                  </w:tcBorders>
                  <w:vAlign w:val="top"/>
                </w:tcPr>
                <w:p>
                  <w:r>
                    <w:rPr>
                      <w:sz w:val="21"/>
                    </w:rPr>
                    <w:t>慢行道、人行道路面、花岗岩路牙石每周至少水洗一次，要保持原色。</w:t>
                  </w:r>
                </w:p>
              </w:tc>
              <w:tc>
                <w:tcPr>
                  <w:tcW w:type="dxa" w:w="2436"/>
                  <w:tcBorders>
                    <w:top w:val="none" w:color="000000" w:sz="4"/>
                    <w:left w:val="single" w:color="000000" w:sz="4"/>
                    <w:bottom w:val="single" w:color="000000" w:sz="4"/>
                    <w:right w:val="single" w:color="000000" w:sz="4"/>
                  </w:tcBorders>
                  <w:vAlign w:val="top"/>
                </w:tcPr>
                <w:p>
                  <w:r>
                    <w:rPr>
                      <w:sz w:val="21"/>
                    </w:rPr>
                    <w:t>未能执行本款，扣</w:t>
                  </w:r>
                  <w:r>
                    <w:rPr>
                      <w:sz w:val="21"/>
                    </w:rPr>
                    <w:t>0.5分。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430"/>
                  <w:tcBorders>
                    <w:top w:val="none" w:color="000000" w:sz="4"/>
                    <w:left w:val="single" w:color="000000" w:sz="4"/>
                    <w:bottom w:val="single" w:color="000000" w:sz="4"/>
                    <w:right w:val="single" w:color="000000" w:sz="4"/>
                  </w:tcBorders>
                  <w:vAlign w:val="top"/>
                </w:tcPr>
                <w:p>
                  <w:pPr>
                    <w:jc w:val="center"/>
                  </w:pPr>
                  <w:r>
                    <w:rPr>
                      <w:sz w:val="21"/>
                    </w:rPr>
                    <w:t>保洁</w:t>
                  </w:r>
                </w:p>
                <w:p>
                  <w:pPr>
                    <w:jc w:val="center"/>
                  </w:pPr>
                  <w:r>
                    <w:rPr>
                      <w:sz w:val="21"/>
                    </w:rPr>
                    <w:t>要求</w:t>
                  </w:r>
                  <w:r>
                    <w:rPr>
                      <w:sz w:val="21"/>
                    </w:rPr>
                    <w:t>5</w:t>
                  </w:r>
                </w:p>
              </w:tc>
              <w:tc>
                <w:tcPr>
                  <w:tcW w:type="dxa" w:w="2437"/>
                  <w:tcBorders>
                    <w:top w:val="none" w:color="000000" w:sz="4"/>
                    <w:left w:val="single" w:color="000000" w:sz="4"/>
                    <w:bottom w:val="single" w:color="000000" w:sz="4"/>
                    <w:right w:val="single" w:color="000000" w:sz="4"/>
                  </w:tcBorders>
                  <w:vAlign w:val="top"/>
                </w:tcPr>
                <w:p>
                  <w:r>
                    <w:rPr>
                      <w:sz w:val="21"/>
                    </w:rPr>
                    <w:t>责任区域内，栏杆、阶梯、扶手、墙面、地面、座椅、路面、雕塑等应整洁、无乱张贴、乱画、垃圾和积存污水。</w:t>
                  </w:r>
                </w:p>
              </w:tc>
              <w:tc>
                <w:tcPr>
                  <w:tcW w:type="dxa" w:w="2436"/>
                  <w:tcBorders>
                    <w:top w:val="none" w:color="000000" w:sz="4"/>
                    <w:left w:val="single" w:color="000000" w:sz="4"/>
                    <w:bottom w:val="single" w:color="000000" w:sz="4"/>
                    <w:right w:val="single" w:color="000000" w:sz="4"/>
                  </w:tcBorders>
                  <w:vAlign w:val="top"/>
                </w:tcPr>
                <w:p>
                  <w:r>
                    <w:rPr>
                      <w:sz w:val="21"/>
                    </w:rPr>
                    <w:t>每发现一处、乱张贴、乱画、垃圾堆和积存污水，扣</w:t>
                  </w:r>
                  <w:r>
                    <w:rPr>
                      <w:sz w:val="21"/>
                    </w:rPr>
                    <w:t>0.1分。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430"/>
                  <w:tcBorders>
                    <w:top w:val="none" w:color="000000" w:sz="4"/>
                    <w:left w:val="single" w:color="000000" w:sz="4"/>
                    <w:bottom w:val="single" w:color="000000" w:sz="4"/>
                    <w:right w:val="single" w:color="000000" w:sz="4"/>
                  </w:tcBorders>
                  <w:vAlign w:val="top"/>
                </w:tcPr>
                <w:p>
                  <w:pPr>
                    <w:jc w:val="center"/>
                  </w:pPr>
                  <w:r>
                    <w:rPr>
                      <w:sz w:val="21"/>
                    </w:rPr>
                    <w:t>保洁</w:t>
                  </w:r>
                </w:p>
                <w:p>
                  <w:pPr>
                    <w:jc w:val="center"/>
                  </w:pPr>
                  <w:r>
                    <w:rPr>
                      <w:sz w:val="21"/>
                    </w:rPr>
                    <w:t>要求</w:t>
                  </w:r>
                  <w:r>
                    <w:rPr>
                      <w:sz w:val="21"/>
                    </w:rPr>
                    <w:t>6</w:t>
                  </w:r>
                </w:p>
              </w:tc>
              <w:tc>
                <w:tcPr>
                  <w:tcW w:type="dxa" w:w="2437"/>
                  <w:tcBorders>
                    <w:top w:val="none" w:color="000000" w:sz="4"/>
                    <w:left w:val="single" w:color="000000" w:sz="4"/>
                    <w:bottom w:val="single" w:color="000000" w:sz="4"/>
                    <w:right w:val="single" w:color="000000" w:sz="4"/>
                  </w:tcBorders>
                  <w:vAlign w:val="top"/>
                </w:tcPr>
                <w:p>
                  <w:r>
                    <w:rPr>
                      <w:sz w:val="21"/>
                    </w:rPr>
                    <w:t>高架下穿通道的顶棚、栏杆、果皮箱、绿道指引牌、道路路名牌、挡车柱每个星期至少要进行两次的清洗，做到外表清洁、通透、无积尘、无乱张贴</w:t>
                  </w:r>
                  <w:r>
                    <w:rPr>
                      <w:sz w:val="21"/>
                    </w:rPr>
                    <w:t>(乱张贴时间不得超过12小时)。公共区域角落应没有不雅异味。</w:t>
                  </w:r>
                </w:p>
              </w:tc>
              <w:tc>
                <w:tcPr>
                  <w:tcW w:type="dxa" w:w="2436"/>
                  <w:tcBorders>
                    <w:top w:val="none" w:color="000000" w:sz="4"/>
                    <w:left w:val="single" w:color="000000" w:sz="4"/>
                    <w:bottom w:val="single" w:color="000000" w:sz="4"/>
                    <w:right w:val="single" w:color="000000" w:sz="4"/>
                  </w:tcBorders>
                  <w:vAlign w:val="top"/>
                </w:tcPr>
                <w:p>
                  <w:r>
                    <w:rPr>
                      <w:sz w:val="21"/>
                    </w:rPr>
                    <w:t>每发现一处、乱张贴、乱画、垃圾堆、粪便和积存灰尘、不雅味道，扣</w:t>
                  </w:r>
                  <w:r>
                    <w:rPr>
                      <w:sz w:val="21"/>
                    </w:rPr>
                    <w:t>0.1分。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430"/>
                  <w:tcBorders>
                    <w:top w:val="none" w:color="000000" w:sz="4"/>
                    <w:left w:val="single" w:color="000000" w:sz="4"/>
                    <w:bottom w:val="single" w:color="000000" w:sz="4"/>
                    <w:right w:val="single" w:color="000000" w:sz="4"/>
                  </w:tcBorders>
                  <w:vAlign w:val="top"/>
                </w:tcPr>
                <w:p>
                  <w:pPr>
                    <w:jc w:val="center"/>
                  </w:pPr>
                  <w:r>
                    <w:rPr>
                      <w:sz w:val="21"/>
                    </w:rPr>
                    <w:t>保洁</w:t>
                  </w:r>
                </w:p>
                <w:p>
                  <w:pPr>
                    <w:jc w:val="center"/>
                  </w:pPr>
                  <w:r>
                    <w:rPr>
                      <w:sz w:val="21"/>
                    </w:rPr>
                    <w:t>要求</w:t>
                  </w:r>
                  <w:r>
                    <w:rPr>
                      <w:sz w:val="21"/>
                    </w:rPr>
                    <w:t>7</w:t>
                  </w:r>
                </w:p>
              </w:tc>
              <w:tc>
                <w:tcPr>
                  <w:tcW w:type="dxa" w:w="2437"/>
                  <w:tcBorders>
                    <w:top w:val="none" w:color="000000" w:sz="4"/>
                    <w:left w:val="single" w:color="000000" w:sz="4"/>
                    <w:bottom w:val="single" w:color="000000" w:sz="4"/>
                    <w:right w:val="single" w:color="000000" w:sz="4"/>
                  </w:tcBorders>
                  <w:vAlign w:val="top"/>
                </w:tcPr>
                <w:p>
                  <w:r>
                    <w:rPr>
                      <w:sz w:val="21"/>
                    </w:rPr>
                    <w:t>果皮箱的管理要做到摆放正确，内胆敷放垃圾袋；收集、清洁时间按清扫作业时间完成，并做好箱内垃圾的日清，保证无臭，外表清洁、无积尘、无撒漏、无乱涂、乱画、乱张贴。</w:t>
                  </w:r>
                </w:p>
              </w:tc>
              <w:tc>
                <w:tcPr>
                  <w:tcW w:type="dxa" w:w="2436"/>
                  <w:tcBorders>
                    <w:top w:val="none" w:color="000000" w:sz="4"/>
                    <w:left w:val="single" w:color="000000" w:sz="4"/>
                    <w:bottom w:val="single" w:color="000000" w:sz="4"/>
                    <w:right w:val="single" w:color="000000" w:sz="4"/>
                  </w:tcBorders>
                  <w:vAlign w:val="top"/>
                </w:tcPr>
                <w:p>
                  <w:r>
                    <w:rPr>
                      <w:sz w:val="21"/>
                    </w:rPr>
                    <w:t>发现果皮箱未按规定保洁和清理，每一处扣</w:t>
                  </w:r>
                  <w:r>
                    <w:rPr>
                      <w:sz w:val="21"/>
                    </w:rPr>
                    <w:t>0.2分。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430"/>
                  <w:tcBorders>
                    <w:top w:val="none" w:color="000000" w:sz="4"/>
                    <w:left w:val="single" w:color="000000" w:sz="4"/>
                    <w:bottom w:val="single" w:color="000000" w:sz="4"/>
                    <w:right w:val="single" w:color="000000" w:sz="4"/>
                  </w:tcBorders>
                  <w:vAlign w:val="top"/>
                </w:tcPr>
                <w:p>
                  <w:pPr>
                    <w:jc w:val="center"/>
                  </w:pPr>
                  <w:r>
                    <w:rPr>
                      <w:sz w:val="21"/>
                    </w:rPr>
                    <w:t>保洁要求</w:t>
                  </w:r>
                  <w:r>
                    <w:rPr>
                      <w:sz w:val="21"/>
                    </w:rPr>
                    <w:t>8</w:t>
                  </w:r>
                </w:p>
              </w:tc>
              <w:tc>
                <w:tcPr>
                  <w:tcW w:type="dxa" w:w="2437"/>
                  <w:tcBorders>
                    <w:top w:val="none" w:color="000000" w:sz="4"/>
                    <w:left w:val="single" w:color="000000" w:sz="4"/>
                    <w:bottom w:val="single" w:color="000000" w:sz="4"/>
                    <w:right w:val="single" w:color="000000" w:sz="4"/>
                  </w:tcBorders>
                  <w:vAlign w:val="top"/>
                </w:tcPr>
                <w:p>
                  <w:r>
                    <w:rPr>
                      <w:sz w:val="21"/>
                    </w:rPr>
                    <w:t>要定时进行路面冲洗，洒水要求所有机动车道每天不得少于</w:t>
                  </w:r>
                  <w:r>
                    <w:rPr>
                      <w:sz w:val="21"/>
                    </w:rPr>
                    <w:t>1次，一级保洁路面每天至少两次，雨天除外)，并做到洒水记录齐全。</w:t>
                  </w:r>
                </w:p>
              </w:tc>
              <w:tc>
                <w:tcPr>
                  <w:tcW w:type="dxa" w:w="2436"/>
                  <w:tcBorders>
                    <w:top w:val="none" w:color="000000" w:sz="4"/>
                    <w:left w:val="single" w:color="000000" w:sz="4"/>
                    <w:bottom w:val="single" w:color="000000" w:sz="4"/>
                    <w:right w:val="single" w:color="000000" w:sz="4"/>
                  </w:tcBorders>
                  <w:vAlign w:val="top"/>
                </w:tcPr>
                <w:p>
                  <w:r>
                    <w:rPr>
                      <w:sz w:val="21"/>
                    </w:rPr>
                    <w:t>未按规定执行，每发现一次，扣</w:t>
                  </w:r>
                  <w:r>
                    <w:rPr>
                      <w:sz w:val="21"/>
                    </w:rPr>
                    <w:t>0.5分。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430"/>
                  <w:vMerge w:val="restart"/>
                  <w:tcBorders>
                    <w:top w:val="none" w:color="000000" w:sz="4"/>
                    <w:left w:val="single" w:color="000000" w:sz="4"/>
                    <w:bottom w:val="single" w:color="000000" w:sz="4"/>
                    <w:right w:val="single" w:color="000000" w:sz="4"/>
                  </w:tcBorders>
                  <w:vAlign w:val="top"/>
                </w:tcPr>
                <w:p>
                  <w:pPr>
                    <w:jc w:val="center"/>
                  </w:pPr>
                  <w:r>
                    <w:rPr>
                      <w:sz w:val="21"/>
                    </w:rPr>
                    <w:t>保洁</w:t>
                  </w:r>
                </w:p>
                <w:p>
                  <w:pPr>
                    <w:jc w:val="center"/>
                  </w:pPr>
                  <w:r>
                    <w:rPr>
                      <w:sz w:val="21"/>
                    </w:rPr>
                    <w:t>要求</w:t>
                  </w:r>
                  <w:r>
                    <w:rPr>
                      <w:sz w:val="21"/>
                    </w:rPr>
                    <w:t>9</w:t>
                  </w:r>
                </w:p>
              </w:tc>
              <w:tc>
                <w:tcPr>
                  <w:tcW w:type="dxa" w:w="2437"/>
                  <w:tcBorders>
                    <w:top w:val="none" w:color="000000" w:sz="4"/>
                    <w:left w:val="single" w:color="000000" w:sz="4"/>
                    <w:bottom w:val="single" w:color="000000" w:sz="4"/>
                    <w:right w:val="single" w:color="000000" w:sz="4"/>
                  </w:tcBorders>
                  <w:vAlign w:val="top"/>
                </w:tcPr>
                <w:p>
                  <w:r>
                    <w:rPr>
                      <w:sz w:val="21"/>
                    </w:rPr>
                    <w:t>遇到运输车辆撒落渣土、废料、泥浆、油料等物质污染路面时，及时清理清洗，不得拖延。</w:t>
                  </w:r>
                </w:p>
              </w:tc>
              <w:tc>
                <w:tcPr>
                  <w:tcW w:type="dxa" w:w="2436"/>
                  <w:tcBorders>
                    <w:top w:val="none" w:color="000000" w:sz="4"/>
                    <w:left w:val="single" w:color="000000" w:sz="4"/>
                    <w:bottom w:val="single" w:color="000000" w:sz="4"/>
                    <w:right w:val="single" w:color="000000" w:sz="4"/>
                  </w:tcBorders>
                  <w:vAlign w:val="top"/>
                </w:tcPr>
                <w:p>
                  <w:r>
                    <w:rPr>
                      <w:sz w:val="21"/>
                    </w:rPr>
                    <w:t>未按规定执行，每发现一次，扣</w:t>
                  </w:r>
                  <w:r>
                    <w:rPr>
                      <w:sz w:val="21"/>
                    </w:rPr>
                    <w:t>0.2分。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负责区域范围的所有公共地域及闲置地的巡查和保洁，合约时间内范围的新增垃圾由乙方及时负责清理，清理费用自行负责解决，乙方抓到偷倒垃圾的，可以由乙方的偷倒方案处理。</w:t>
                  </w:r>
                </w:p>
              </w:tc>
              <w:tc>
                <w:tcPr>
                  <w:tcW w:type="dxa" w:w="2436"/>
                  <w:tcBorders>
                    <w:top w:val="none" w:color="000000" w:sz="4"/>
                    <w:left w:val="single" w:color="000000" w:sz="4"/>
                    <w:bottom w:val="single" w:color="000000" w:sz="4"/>
                    <w:right w:val="single" w:color="000000" w:sz="4"/>
                  </w:tcBorders>
                  <w:vAlign w:val="top"/>
                </w:tcPr>
                <w:p>
                  <w:r>
                    <w:rPr>
                      <w:sz w:val="21"/>
                    </w:rPr>
                    <w:t>未按规定执行，每发现一次，扣</w:t>
                  </w:r>
                  <w:r>
                    <w:rPr>
                      <w:sz w:val="21"/>
                    </w:rPr>
                    <w:t>0.5分。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闲置地，无成堆垃圾，无卫生死角、无乱贴、乱挂的</w:t>
                  </w:r>
                  <w:r>
                    <w:rPr>
                      <w:sz w:val="21"/>
                    </w:rPr>
                    <w:t>“六乱现象”。合同期新增偷到垃圾由乙方负责清理。</w:t>
                  </w:r>
                </w:p>
              </w:tc>
              <w:tc>
                <w:tcPr>
                  <w:tcW w:type="dxa" w:w="2436"/>
                  <w:tcBorders>
                    <w:top w:val="none" w:color="000000" w:sz="4"/>
                    <w:left w:val="single" w:color="000000" w:sz="4"/>
                    <w:bottom w:val="single" w:color="000000" w:sz="4"/>
                    <w:right w:val="single" w:color="000000" w:sz="4"/>
                  </w:tcBorders>
                  <w:vAlign w:val="top"/>
                </w:tcPr>
                <w:p>
                  <w:r>
                    <w:rPr>
                      <w:sz w:val="21"/>
                    </w:rPr>
                    <w:t>闲置地有新增垃圾，卫生死角、乱张贴、乱挂的</w:t>
                  </w:r>
                  <w:r>
                    <w:rPr>
                      <w:sz w:val="21"/>
                    </w:rPr>
                    <w:t>“六乱现象”，未有及时处置，扣0.5分。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430"/>
                  <w:tcBorders>
                    <w:top w:val="none" w:color="000000" w:sz="4"/>
                    <w:left w:val="single" w:color="000000" w:sz="4"/>
                    <w:bottom w:val="single" w:color="000000" w:sz="4"/>
                    <w:right w:val="single" w:color="000000" w:sz="4"/>
                  </w:tcBorders>
                  <w:vAlign w:val="top"/>
                </w:tcPr>
                <w:p>
                  <w:pPr>
                    <w:jc w:val="center"/>
                  </w:pPr>
                  <w:r>
                    <w:rPr>
                      <w:sz w:val="21"/>
                    </w:rPr>
                    <w:t>文明作业</w:t>
                  </w:r>
                </w:p>
                <w:p>
                  <w:pPr>
                    <w:jc w:val="center"/>
                  </w:pPr>
                  <w:r>
                    <w:rPr>
                      <w:sz w:val="21"/>
                    </w:rPr>
                    <w:t>要求</w:t>
                  </w:r>
                </w:p>
              </w:tc>
              <w:tc>
                <w:tcPr>
                  <w:tcW w:type="dxa" w:w="2437"/>
                  <w:tcBorders>
                    <w:top w:val="none" w:color="000000" w:sz="4"/>
                    <w:left w:val="single" w:color="000000" w:sz="4"/>
                    <w:bottom w:val="single" w:color="000000" w:sz="4"/>
                    <w:right w:val="single" w:color="000000" w:sz="4"/>
                  </w:tcBorders>
                  <w:vAlign w:val="top"/>
                </w:tcPr>
                <w:p>
                  <w:r>
                    <w:rPr>
                      <w:sz w:val="21"/>
                    </w:rPr>
                    <w:t>清扫保洁人员应小心执扫，控制扬尘，避免妨碍行人。</w:t>
                  </w:r>
                </w:p>
                <w:p>
                  <w:r>
                    <w:rPr>
                      <w:sz w:val="21"/>
                    </w:rPr>
                    <w:t>非普扫时间不使用大扫把。</w:t>
                  </w:r>
                </w:p>
                <w:p>
                  <w:r>
                    <w:rPr>
                      <w:sz w:val="21"/>
                    </w:rPr>
                    <w:t>清扫保洁工具应摆放整齐，保洁范围内有工具房的应存放在工具房内，保洁垃圾车、手推车等不得横向占道。</w:t>
                  </w:r>
                </w:p>
                <w:p>
                  <w:r>
                    <w:rPr>
                      <w:sz w:val="21"/>
                    </w:rPr>
                    <w:t>保洁垃圾车、手推车装载垃圾时，应覆盖密闭。</w:t>
                  </w:r>
                </w:p>
                <w:p>
                  <w:r>
                    <w:rPr>
                      <w:sz w:val="21"/>
                    </w:rPr>
                    <w:t>清扫保洁人员应穿着统一制作的行业工作服，保持衣冠整齐、整洁，有明显所属单位标志，作业佩带反光安全标志。机动车道上作业应放置警示桩、警示灯等安全标识标志。</w:t>
                  </w:r>
                </w:p>
                <w:p>
                  <w:r>
                    <w:rPr>
                      <w:sz w:val="21"/>
                    </w:rPr>
                    <w:t>洒水车、扫路车作业时应发送警示声光信号，并应控制适当的水压和行速，避免妨碍路人。扫路车应有洒水降尘配置。</w:t>
                  </w:r>
                </w:p>
              </w:tc>
              <w:tc>
                <w:tcPr>
                  <w:tcW w:type="dxa" w:w="2436"/>
                  <w:tcBorders>
                    <w:top w:val="none" w:color="000000" w:sz="4"/>
                    <w:left w:val="single" w:color="000000" w:sz="4"/>
                    <w:bottom w:val="single" w:color="000000" w:sz="4"/>
                    <w:right w:val="single" w:color="000000" w:sz="4"/>
                  </w:tcBorders>
                  <w:vAlign w:val="top"/>
                </w:tcPr>
                <w:p>
                  <w:r>
                    <w:rPr>
                      <w:sz w:val="21"/>
                    </w:rPr>
                    <w:t>未按规定执行，每发现一起，扣</w:t>
                  </w:r>
                  <w:r>
                    <w:rPr>
                      <w:sz w:val="21"/>
                    </w:rPr>
                    <w:t>0.2分。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430"/>
                  <w:tcBorders>
                    <w:top w:val="none" w:color="000000" w:sz="4"/>
                    <w:left w:val="single" w:color="000000" w:sz="4"/>
                    <w:bottom w:val="single" w:color="000000" w:sz="4"/>
                    <w:right w:val="single" w:color="000000" w:sz="4"/>
                  </w:tcBorders>
                  <w:vAlign w:val="top"/>
                </w:tcPr>
                <w:p>
                  <w:pPr>
                    <w:jc w:val="center"/>
                  </w:pPr>
                  <w:r>
                    <w:rPr>
                      <w:sz w:val="21"/>
                    </w:rPr>
                    <w:t>城市</w:t>
                  </w:r>
                </w:p>
                <w:p>
                  <w:pPr>
                    <w:jc w:val="center"/>
                  </w:pPr>
                  <w:r>
                    <w:rPr>
                      <w:sz w:val="21"/>
                    </w:rPr>
                    <w:t>照明</w:t>
                  </w:r>
                </w:p>
              </w:tc>
              <w:tc>
                <w:tcPr>
                  <w:tcW w:type="dxa" w:w="2437"/>
                  <w:tcBorders>
                    <w:top w:val="none" w:color="000000" w:sz="4"/>
                    <w:left w:val="single" w:color="000000" w:sz="4"/>
                    <w:bottom w:val="single" w:color="000000" w:sz="4"/>
                    <w:right w:val="single" w:color="000000" w:sz="4"/>
                  </w:tcBorders>
                  <w:vAlign w:val="top"/>
                </w:tcPr>
                <w:p>
                  <w:r>
                    <w:rPr>
                      <w:sz w:val="21"/>
                    </w:rPr>
                    <w:t>检查有关灯杆、灯罩、设备表面情况，做好设备的清洁、翻新，同时及时清除灯杆、箱式变压器、分接箱、高压电气设备等的牛皮癣。</w:t>
                  </w:r>
                </w:p>
                <w:p>
                  <w:r>
                    <w:rPr>
                      <w:sz w:val="21"/>
                    </w:rPr>
                    <w:t>巡查辖区内各公共电力设备设施，发现损坏及时更换及修复。每日检查区内电缆沟井盖、电箱门的闭合情况，发现可疑情况或可疑人员、车辆，采取报告、监视、驱离措施。监督照明设施管养单位对其它用电设施（如：广告、灯饰及其它非用于路灯照明设施）的用电需经经业主同意后，管养单位才能接驳线路；监督照明设施管养单位按合同规定时间恢复损坏的照明设施并上报业主；及时反馈电力、电信、燃气管道及广告牌现场受损情况。</w:t>
                  </w:r>
                  <w:r>
                    <w:br/>
                  </w:r>
                  <w:r>
                    <w:rPr>
                      <w:sz w:val="21"/>
                    </w:rPr>
                    <w:t>对绿地上的园林照明设施，定期进行巡查，发现灯泡烧毁、灯罩破损、构件生锈的要及时处理，确保园林灯光的正常运作。</w:t>
                  </w:r>
                </w:p>
              </w:tc>
              <w:tc>
                <w:tcPr>
                  <w:tcW w:type="dxa" w:w="2436"/>
                  <w:tcBorders>
                    <w:top w:val="none" w:color="000000" w:sz="4"/>
                    <w:left w:val="single" w:color="000000" w:sz="4"/>
                    <w:bottom w:val="single" w:color="000000" w:sz="4"/>
                    <w:right w:val="single" w:color="000000" w:sz="4"/>
                  </w:tcBorders>
                  <w:vAlign w:val="top"/>
                </w:tcPr>
                <w:p>
                  <w:r>
                    <w:rPr>
                      <w:sz w:val="21"/>
                    </w:rPr>
                    <w:t>未按规定执行，每次扣</w:t>
                  </w:r>
                  <w:r>
                    <w:rPr>
                      <w:sz w:val="21"/>
                    </w:rPr>
                    <w:t>1分，扣完本项得分为止。</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430"/>
                  <w:tcBorders>
                    <w:top w:val="none" w:color="000000" w:sz="4"/>
                    <w:left w:val="single" w:color="000000" w:sz="4"/>
                    <w:bottom w:val="single" w:color="000000" w:sz="4"/>
                    <w:right w:val="single" w:color="000000" w:sz="4"/>
                  </w:tcBorders>
                  <w:vAlign w:val="top"/>
                </w:tcPr>
                <w:p>
                  <w:pPr>
                    <w:jc w:val="center"/>
                  </w:pPr>
                  <w:r>
                    <w:rPr>
                      <w:sz w:val="21"/>
                    </w:rPr>
                    <w:t>户外广告燃气管道监管</w:t>
                  </w:r>
                </w:p>
              </w:tc>
              <w:tc>
                <w:tcPr>
                  <w:tcW w:type="dxa" w:w="2437"/>
                  <w:tcBorders>
                    <w:top w:val="none" w:color="000000" w:sz="4"/>
                    <w:left w:val="single" w:color="000000" w:sz="4"/>
                    <w:bottom w:val="single" w:color="000000" w:sz="4"/>
                    <w:right w:val="single" w:color="000000" w:sz="4"/>
                  </w:tcBorders>
                  <w:vAlign w:val="top"/>
                </w:tcPr>
                <w:p>
                  <w:r>
                    <w:rPr>
                      <w:sz w:val="21"/>
                    </w:rPr>
                    <w:t>及时发现户外广告破损、显示不全、字体残缺、陈旧褪色等现象，及时反馈燃气管道及其标志桩的破损情况，同时报甲方代表处理。</w:t>
                  </w:r>
                </w:p>
              </w:tc>
              <w:tc>
                <w:tcPr>
                  <w:tcW w:type="dxa" w:w="2436"/>
                  <w:tcBorders>
                    <w:top w:val="none" w:color="000000" w:sz="4"/>
                    <w:left w:val="single" w:color="000000" w:sz="4"/>
                    <w:bottom w:val="single" w:color="000000" w:sz="4"/>
                    <w:right w:val="single" w:color="000000" w:sz="4"/>
                  </w:tcBorders>
                  <w:vAlign w:val="top"/>
                </w:tcPr>
                <w:p>
                  <w:r>
                    <w:rPr>
                      <w:sz w:val="21"/>
                    </w:rPr>
                    <w:t>应发现未及时发现问题，每次扣</w:t>
                  </w:r>
                  <w:r>
                    <w:rPr>
                      <w:sz w:val="21"/>
                    </w:rPr>
                    <w:t>1分，扣完本项得分为止。</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430"/>
                  <w:vMerge w:val="restart"/>
                  <w:tcBorders>
                    <w:top w:val="none" w:color="000000" w:sz="4"/>
                    <w:left w:val="single" w:color="000000" w:sz="4"/>
                    <w:bottom w:val="single" w:color="000000" w:sz="4"/>
                    <w:right w:val="single" w:color="000000" w:sz="4"/>
                  </w:tcBorders>
                  <w:vAlign w:val="top"/>
                </w:tcPr>
                <w:p>
                  <w:pPr>
                    <w:jc w:val="center"/>
                  </w:pPr>
                  <w:r>
                    <w:rPr>
                      <w:sz w:val="21"/>
                    </w:rPr>
                    <w:t>市政道路</w:t>
                  </w:r>
                </w:p>
                <w:p>
                  <w:pPr>
                    <w:jc w:val="center"/>
                  </w:pPr>
                  <w:r>
                    <w:rPr>
                      <w:sz w:val="21"/>
                    </w:rPr>
                    <w:t>设施巡查</w:t>
                  </w:r>
                </w:p>
                <w:p>
                  <w:pPr>
                    <w:jc w:val="center"/>
                  </w:pPr>
                  <w:r>
                    <w:rPr>
                      <w:sz w:val="21"/>
                    </w:rPr>
                    <w:t>监管</w:t>
                  </w:r>
                </w:p>
              </w:tc>
              <w:tc>
                <w:tcPr>
                  <w:tcW w:type="dxa" w:w="2437"/>
                  <w:tcBorders>
                    <w:top w:val="none" w:color="000000" w:sz="4"/>
                    <w:left w:val="single" w:color="000000" w:sz="4"/>
                    <w:bottom w:val="single" w:color="000000" w:sz="4"/>
                    <w:right w:val="single" w:color="000000" w:sz="4"/>
                  </w:tcBorders>
                  <w:vAlign w:val="top"/>
                </w:tcPr>
                <w:p>
                  <w:r>
                    <w:rPr>
                      <w:sz w:val="21"/>
                    </w:rPr>
                    <w:t>对市政道路、广场、市政设施设备进行巡查，及时发现问题，及时处理。</w:t>
                  </w:r>
                </w:p>
                <w:p>
                  <w:r>
                    <w:rPr>
                      <w:sz w:val="21"/>
                    </w:rPr>
                    <w:t>通过巡查及时发现道路各部位及其附属设施部件的损坏、塌陷、洼坑、缺失等影响市容景观或有安全隐患的情况，及时发现市政井盖、消火栓、指引牌缺失、失效、破损、老化、褪色、锈蚀等情况；及时发现：公共广场、停车场、绿道存在的破损、老化、沉降等情况，及时发现排水井溢水、道路周边积水等问题；同时及时做好现场安全围护工作，第一时间完成整改。</w:t>
                  </w:r>
                </w:p>
              </w:tc>
              <w:tc>
                <w:tcPr>
                  <w:tcW w:type="dxa" w:w="2436"/>
                  <w:tcBorders>
                    <w:top w:val="none" w:color="000000" w:sz="4"/>
                    <w:left w:val="single" w:color="000000" w:sz="4"/>
                    <w:bottom w:val="single" w:color="000000" w:sz="4"/>
                    <w:right w:val="single" w:color="000000" w:sz="4"/>
                  </w:tcBorders>
                  <w:vAlign w:val="top"/>
                </w:tcPr>
                <w:p>
                  <w:pPr>
                    <w:jc w:val="both"/>
                  </w:pPr>
                  <w:r>
                    <w:rPr>
                      <w:sz w:val="21"/>
                    </w:rPr>
                    <w:t>未按规定执行，对市政道路、广场、市政设施设备进行巡查，及时发现问题，报甲方通知维护单位处置，每次扣</w:t>
                  </w:r>
                  <w:r>
                    <w:rPr>
                      <w:sz w:val="21"/>
                    </w:rPr>
                    <w:t>1分，扣完本项得分为止。</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1乙方有义务维护绿化设施，包括喷灌系统、甲方移交的喷灌系统要完好，能正常使用。</w:t>
                  </w:r>
                </w:p>
                <w:p>
                  <w:r>
                    <w:rPr>
                      <w:sz w:val="21"/>
                    </w:rPr>
                    <w:t>2、维护树木的支柱、斜撑、横条、绑扎等设施。树木的护桩、横条、绑扎完好率保持95％以上，横条、胶带要根据树木生长情况及时松绑：保护好护树设施，护桩、横条、胶带因霉烂、松脱、断裂，要及时更换，使其达到护树的效果；不需要扶护树木的设施要及时拆除、清理。对破坏行为要加以制止并及时报告绿化管理部及执法部门。</w:t>
                  </w:r>
                </w:p>
              </w:tc>
              <w:tc>
                <w:tcPr>
                  <w:tcW w:type="dxa" w:w="2436"/>
                  <w:tcBorders>
                    <w:top w:val="none" w:color="000000" w:sz="4"/>
                    <w:left w:val="single" w:color="000000" w:sz="4"/>
                    <w:bottom w:val="single" w:color="000000" w:sz="4"/>
                    <w:right w:val="single" w:color="000000" w:sz="4"/>
                  </w:tcBorders>
                  <w:vAlign w:val="top"/>
                </w:tcPr>
                <w:p>
                  <w:r>
                    <w:rPr>
                      <w:sz w:val="21"/>
                    </w:rPr>
                    <w:t>每发现一处，扣</w:t>
                  </w:r>
                  <w:r>
                    <w:rPr>
                      <w:sz w:val="21"/>
                    </w:rPr>
                    <w:t>0.2分。</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甲方要求由乙方实行维修工程，乙方必须接受并按时按质完成，并及时提交工程资料予甲方审核结算。</w:t>
                  </w:r>
                </w:p>
                <w:p>
                  <w:r>
                    <w:rPr>
                      <w:sz w:val="21"/>
                    </w:rPr>
                    <w:t>1、路面修复5个工作日完成，路基恢复30个工作日完成，确保路面处于完好状态。出现路面（边坡）塌陷、下沉等安全隐患，12小时完成现场围护。沥青路面的维护及修复质量按《城镇道路养护技术规范》等现行相关规范、标准及要求执行。</w:t>
                  </w:r>
                </w:p>
                <w:p>
                  <w:r>
                    <w:rPr>
                      <w:sz w:val="21"/>
                    </w:rPr>
                    <w:t>2、井盖：井盖位移于6小时完成恢复；井盖缺失于1个工作日完成更换，5个工作日完成修复；井盖凸起、沉降、开裂、破损、弹跳产生声响于5个工作日完成修复；井盖基础沉降、塌陷或隆起，有安全隐患的于15个工作日完成修复。</w:t>
                  </w:r>
                </w:p>
                <w:p>
                  <w:r>
                    <w:rPr>
                      <w:sz w:val="21"/>
                    </w:rPr>
                    <w:t>3、消火栓：10个工作日完成涂漆，15个工作日完成修复、更换或拆除。</w:t>
                  </w:r>
                </w:p>
                <w:p>
                  <w:r>
                    <w:rPr>
                      <w:sz w:val="21"/>
                    </w:rPr>
                    <w:t>4、指引牌（包括路名牌）：10个工作日完成涂漆，15个工作日完成修复、更换或拆除。</w:t>
                  </w:r>
                </w:p>
              </w:tc>
              <w:tc>
                <w:tcPr>
                  <w:tcW w:type="dxa" w:w="2436"/>
                  <w:tcBorders>
                    <w:top w:val="none" w:color="000000" w:sz="4"/>
                    <w:left w:val="single" w:color="000000" w:sz="4"/>
                    <w:bottom w:val="single" w:color="000000" w:sz="4"/>
                    <w:right w:val="single" w:color="000000" w:sz="4"/>
                  </w:tcBorders>
                  <w:vAlign w:val="top"/>
                </w:tcPr>
                <w:p>
                  <w:pPr>
                    <w:jc w:val="both"/>
                  </w:pPr>
                  <w:r>
                    <w:rPr>
                      <w:sz w:val="21"/>
                    </w:rPr>
                    <w:t>未按规定，并按时按质完成，并及时提交工程资料予甲方审核结算。每项扣</w:t>
                  </w:r>
                  <w:r>
                    <w:rPr>
                      <w:sz w:val="21"/>
                    </w:rPr>
                    <w:t>2分，扣完本项得分为止。</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430"/>
                  <w:vMerge w:val="restart"/>
                  <w:tcBorders>
                    <w:top w:val="none" w:color="000000" w:sz="4"/>
                    <w:left w:val="single" w:color="000000" w:sz="4"/>
                    <w:bottom w:val="single" w:color="000000" w:sz="4"/>
                    <w:right w:val="single" w:color="000000" w:sz="4"/>
                  </w:tcBorders>
                  <w:vAlign w:val="top"/>
                </w:tcPr>
                <w:p>
                  <w:pPr>
                    <w:jc w:val="center"/>
                  </w:pPr>
                  <w:r>
                    <w:rPr>
                      <w:sz w:val="21"/>
                    </w:rPr>
                    <w:t>城市管理保安</w:t>
                  </w:r>
                </w:p>
              </w:tc>
              <w:tc>
                <w:tcPr>
                  <w:tcW w:type="dxa" w:w="2437"/>
                  <w:tcBorders>
                    <w:top w:val="none" w:color="000000" w:sz="4"/>
                    <w:left w:val="single" w:color="000000" w:sz="4"/>
                    <w:bottom w:val="single" w:color="000000" w:sz="4"/>
                    <w:right w:val="single" w:color="000000" w:sz="4"/>
                  </w:tcBorders>
                  <w:vAlign w:val="top"/>
                </w:tcPr>
                <w:p>
                  <w:r>
                    <w:rPr>
                      <w:sz w:val="21"/>
                    </w:rPr>
                    <w:t>及时制止和杜绝所管理区域范围内乱摆卖行为。</w:t>
                  </w:r>
                </w:p>
              </w:tc>
              <w:tc>
                <w:tcPr>
                  <w:tcW w:type="dxa" w:w="2436"/>
                  <w:tcBorders>
                    <w:top w:val="none" w:color="000000" w:sz="4"/>
                    <w:left w:val="single" w:color="000000" w:sz="4"/>
                    <w:bottom w:val="single" w:color="000000" w:sz="4"/>
                    <w:right w:val="single" w:color="000000" w:sz="4"/>
                  </w:tcBorders>
                  <w:vAlign w:val="top"/>
                </w:tcPr>
                <w:p>
                  <w:r>
                    <w:rPr>
                      <w:sz w:val="21"/>
                    </w:rPr>
                    <w:t>在巡查过程中违法违规行为视而不见，没有及时进行制止、教育、劝导</w:t>
                  </w:r>
                  <w:r>
                    <w:rPr>
                      <w:sz w:val="21"/>
                    </w:rPr>
                    <w:t>,发现问题未及时上报处理。导致相关违法行为未能及时制止，每次扣1分，扣完本项得分为止。</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及时制止、清除管理区域范围内一切</w:t>
                  </w:r>
                  <w:r>
                    <w:rPr>
                      <w:sz w:val="21"/>
                    </w:rPr>
                    <w:t>“乱拉挂”、乱张贴行为和现象。</w:t>
                  </w:r>
                </w:p>
              </w:tc>
              <w:tc>
                <w:tcPr>
                  <w:tcW w:type="dxa" w:w="2436"/>
                  <w:tcBorders>
                    <w:top w:val="none" w:color="000000" w:sz="4"/>
                    <w:left w:val="single" w:color="000000" w:sz="4"/>
                    <w:bottom w:val="single" w:color="000000" w:sz="4"/>
                    <w:right w:val="single" w:color="000000" w:sz="4"/>
                  </w:tcBorders>
                  <w:vAlign w:val="top"/>
                </w:tcPr>
                <w:p>
                  <w:r>
                    <w:rPr>
                      <w:sz w:val="21"/>
                    </w:rPr>
                    <w:t>在巡查过程中违法违规行为视而不见，没有及时进行制止、教育、劝导</w:t>
                  </w:r>
                  <w:r>
                    <w:rPr>
                      <w:sz w:val="21"/>
                    </w:rPr>
                    <w:t>,发现问题未及时上报处理。导致本项情况的发生，每次扣0.3分，扣完本项分为止。</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对所管理区域内在市政道路、绿化带及人行道上的各类施工工程，要通过严格巡查监管，确保符合各项文明施工管理规定。</w:t>
                  </w:r>
                </w:p>
              </w:tc>
              <w:tc>
                <w:tcPr>
                  <w:tcW w:type="dxa" w:w="2436"/>
                  <w:tcBorders>
                    <w:top w:val="none" w:color="000000" w:sz="4"/>
                    <w:left w:val="single" w:color="000000" w:sz="4"/>
                    <w:bottom w:val="single" w:color="000000" w:sz="4"/>
                    <w:right w:val="single" w:color="000000" w:sz="4"/>
                  </w:tcBorders>
                  <w:vAlign w:val="top"/>
                </w:tcPr>
                <w:p>
                  <w:r>
                    <w:rPr>
                      <w:sz w:val="21"/>
                    </w:rPr>
                    <w:t>在巡查过程中违法违规行为视而不见，没有及时进行制止、教育、劝导</w:t>
                  </w:r>
                  <w:r>
                    <w:rPr>
                      <w:sz w:val="21"/>
                    </w:rPr>
                    <w:t>,发现问题未及时上报处理。导致本项时间的发生，每次扣1分，扣完本项得分为止。</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杜绝和制止管理区域内焚烧垃圾。</w:t>
                  </w:r>
                </w:p>
              </w:tc>
              <w:tc>
                <w:tcPr>
                  <w:tcW w:type="dxa" w:w="2436"/>
                  <w:tcBorders>
                    <w:top w:val="none" w:color="000000" w:sz="4"/>
                    <w:left w:val="single" w:color="000000" w:sz="4"/>
                    <w:bottom w:val="single" w:color="000000" w:sz="4"/>
                    <w:right w:val="single" w:color="000000" w:sz="4"/>
                  </w:tcBorders>
                  <w:vAlign w:val="top"/>
                </w:tcPr>
                <w:p>
                  <w:r>
                    <w:rPr>
                      <w:sz w:val="21"/>
                    </w:rPr>
                    <w:t>在巡查过程中违法违规行为视而不见，没有及时进行制止、教育、劝导</w:t>
                  </w:r>
                  <w:r>
                    <w:rPr>
                      <w:sz w:val="21"/>
                    </w:rPr>
                    <w:t>,发现问题未及时上报处理。导致本项的发生，每次扣1分，扣完本项得分为止。</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制止域内建筑施工项目占用道路、绿化施工或堆放建筑材料的现象。</w:t>
                  </w:r>
                </w:p>
              </w:tc>
              <w:tc>
                <w:tcPr>
                  <w:tcW w:type="dxa" w:w="2436"/>
                  <w:tcBorders>
                    <w:top w:val="none" w:color="000000" w:sz="4"/>
                    <w:left w:val="single" w:color="000000" w:sz="4"/>
                    <w:bottom w:val="single" w:color="000000" w:sz="4"/>
                    <w:right w:val="single" w:color="000000" w:sz="4"/>
                  </w:tcBorders>
                  <w:vAlign w:val="top"/>
                </w:tcPr>
                <w:p>
                  <w:r>
                    <w:rPr>
                      <w:sz w:val="21"/>
                    </w:rPr>
                    <w:t>在巡查过程中违法违规行为视而不见，没有及时进行制止、教育、劝导</w:t>
                  </w:r>
                  <w:r>
                    <w:rPr>
                      <w:sz w:val="21"/>
                    </w:rPr>
                    <w:t>,发现问题未及时上报处理。导致本项的发生，每次扣1分，扣完本项得分为止。</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制止建筑施工项目施工运输车辆随地撒漏污染、施工围蔽不善等现象。</w:t>
                  </w:r>
                </w:p>
              </w:tc>
              <w:tc>
                <w:tcPr>
                  <w:tcW w:type="dxa" w:w="2436"/>
                  <w:tcBorders>
                    <w:top w:val="none" w:color="000000" w:sz="4"/>
                    <w:left w:val="single" w:color="000000" w:sz="4"/>
                    <w:bottom w:val="single" w:color="000000" w:sz="4"/>
                    <w:right w:val="single" w:color="000000" w:sz="4"/>
                  </w:tcBorders>
                  <w:vAlign w:val="top"/>
                </w:tcPr>
                <w:p>
                  <w:r>
                    <w:rPr>
                      <w:sz w:val="21"/>
                    </w:rPr>
                    <w:t>巡查过程中违法违规行为视而不见，没有及时进行制止、教育、劝导</w:t>
                  </w:r>
                  <w:r>
                    <w:rPr>
                      <w:sz w:val="21"/>
                    </w:rPr>
                    <w:t>,发现问题未及时上报处理。导致本项时间的发生，每次扣1分，扣完本项得分为止。</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及时制止车辆停放人行道（绿道）和未经审批擅自挖掘、占用市政道路等擅自施工的行为。</w:t>
                  </w:r>
                </w:p>
              </w:tc>
              <w:tc>
                <w:tcPr>
                  <w:tcW w:type="dxa" w:w="2436"/>
                  <w:tcBorders>
                    <w:top w:val="none" w:color="000000" w:sz="4"/>
                    <w:left w:val="single" w:color="000000" w:sz="4"/>
                    <w:bottom w:val="single" w:color="000000" w:sz="4"/>
                    <w:right w:val="single" w:color="000000" w:sz="4"/>
                  </w:tcBorders>
                  <w:vAlign w:val="top"/>
                </w:tcPr>
                <w:p>
                  <w:r>
                    <w:rPr>
                      <w:sz w:val="21"/>
                    </w:rPr>
                    <w:t>在巡查过程中违法违规行为视而不见，没有及时进行制止、教育、劝导</w:t>
                  </w:r>
                  <w:r>
                    <w:rPr>
                      <w:sz w:val="21"/>
                    </w:rPr>
                    <w:t>,发现问题未及时上报处理。导致本项的发生，每次扣1分，扣完本项得分为止。</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负责制定保安机制，维持景区、公园、道路的安全秩序、保障市民安全。</w:t>
                  </w:r>
                </w:p>
              </w:tc>
              <w:tc>
                <w:tcPr>
                  <w:tcW w:type="dxa" w:w="2436"/>
                  <w:tcBorders>
                    <w:top w:val="none" w:color="000000" w:sz="4"/>
                    <w:left w:val="single" w:color="000000" w:sz="4"/>
                    <w:bottom w:val="single" w:color="000000" w:sz="4"/>
                    <w:right w:val="single" w:color="000000" w:sz="4"/>
                  </w:tcBorders>
                  <w:vAlign w:val="top"/>
                </w:tcPr>
                <w:p>
                  <w:r>
                    <w:rPr>
                      <w:sz w:val="21"/>
                    </w:rPr>
                    <w:t>未制定相关健全工作机制的，每项扣</w:t>
                  </w:r>
                  <w:r>
                    <w:rPr>
                      <w:sz w:val="21"/>
                    </w:rPr>
                    <w:t>1分，扣完本项得分为止。</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建立巡查机制，保护、看管好市政设施设备不被偷盗、破坏。</w:t>
                  </w:r>
                </w:p>
              </w:tc>
              <w:tc>
                <w:tcPr>
                  <w:tcW w:type="dxa" w:w="2436"/>
                  <w:tcBorders>
                    <w:top w:val="none" w:color="000000" w:sz="4"/>
                    <w:left w:val="single" w:color="000000" w:sz="4"/>
                    <w:bottom w:val="single" w:color="000000" w:sz="4"/>
                    <w:right w:val="single" w:color="000000" w:sz="4"/>
                  </w:tcBorders>
                  <w:vAlign w:val="top"/>
                </w:tcPr>
                <w:p>
                  <w:r>
                    <w:rPr>
                      <w:sz w:val="21"/>
                    </w:rPr>
                    <w:t>在巡查过程中违法违规行为视而不见，没有及时进行制止、教育、劝导</w:t>
                  </w:r>
                  <w:r>
                    <w:rPr>
                      <w:sz w:val="21"/>
                    </w:rPr>
                    <w:t>,发现问题未及时上报处理。导致本项时间的发生，每次扣1分，扣完本项得分为止。</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及时制止市民如攀爬树木、雕像、在禁区游泳、钓鱼等危险的行为。</w:t>
                  </w:r>
                </w:p>
              </w:tc>
              <w:tc>
                <w:tcPr>
                  <w:tcW w:type="dxa" w:w="2436"/>
                  <w:tcBorders>
                    <w:top w:val="none" w:color="000000" w:sz="4"/>
                    <w:left w:val="single" w:color="000000" w:sz="4"/>
                    <w:bottom w:val="single" w:color="000000" w:sz="4"/>
                    <w:right w:val="single" w:color="000000" w:sz="4"/>
                  </w:tcBorders>
                  <w:vAlign w:val="top"/>
                </w:tcPr>
                <w:p>
                  <w:r>
                    <w:rPr>
                      <w:sz w:val="21"/>
                    </w:rPr>
                    <w:t>在巡查过程中违法违规行为视而不见，没有及时进行制止、教育、劝导</w:t>
                  </w:r>
                  <w:r>
                    <w:rPr>
                      <w:sz w:val="21"/>
                    </w:rPr>
                    <w:t>,发现问题未及时上报处理。导致本项时间的发生，每次扣0.5分，扣完本项得分为止。</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430"/>
                  <w:vMerge/>
                  <w:tcBorders>
                    <w:top w:val="none" w:color="000000" w:sz="4"/>
                    <w:left w:val="single" w:color="000000" w:sz="4"/>
                    <w:bottom w:val="single" w:color="000000" w:sz="4"/>
                    <w:right w:val="single" w:color="000000" w:sz="4"/>
                  </w:tcBorders>
                </w:tcPr>
                <w:p/>
              </w:tc>
              <w:tc>
                <w:tcPr>
                  <w:tcW w:type="dxa" w:w="2437"/>
                  <w:tcBorders>
                    <w:top w:val="none" w:color="000000" w:sz="4"/>
                    <w:left w:val="single" w:color="000000" w:sz="4"/>
                    <w:bottom w:val="single" w:color="000000" w:sz="4"/>
                    <w:right w:val="single" w:color="000000" w:sz="4"/>
                  </w:tcBorders>
                  <w:vAlign w:val="top"/>
                </w:tcPr>
                <w:p>
                  <w:r>
                    <w:rPr>
                      <w:sz w:val="21"/>
                    </w:rPr>
                    <w:t>制止在绿地放养禽畜行为、和非法养殖行为。</w:t>
                  </w:r>
                </w:p>
              </w:tc>
              <w:tc>
                <w:tcPr>
                  <w:tcW w:type="dxa" w:w="2436"/>
                  <w:tcBorders>
                    <w:top w:val="none" w:color="000000" w:sz="4"/>
                    <w:left w:val="single" w:color="000000" w:sz="4"/>
                    <w:bottom w:val="single" w:color="000000" w:sz="4"/>
                    <w:right w:val="single" w:color="000000" w:sz="4"/>
                  </w:tcBorders>
                  <w:vAlign w:val="top"/>
                </w:tcPr>
                <w:p>
                  <w:r>
                    <w:rPr>
                      <w:sz w:val="21"/>
                    </w:rPr>
                    <w:t>1、在巡查过程中违法违规行为视而不见，没有及时进行制止、教育、劝导,发现问题未及时上报处理。导致本项时间的发生，每次扣1分，扣完本项得分为止。</w:t>
                  </w:r>
                </w:p>
              </w:tc>
            </w:tr>
          </w:tbl>
          <w:p>
            <w:pPr>
              <w:jc w:val="both"/>
            </w:pPr>
          </w:p>
          <w:p>
            <w:pPr>
              <w:ind w:firstLine="420"/>
              <w:jc w:val="left"/>
            </w:pPr>
            <w:r>
              <w:rPr>
                <w:sz w:val="21"/>
              </w:rPr>
              <w:t>注：经甲乙双方协商一致后，甲方有权根据实际情况对本管理标准及考核办法进行修改完善，并保留最终解释权。</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sz w:val="21"/>
              </w:rPr>
              <w:t>附件</w:t>
            </w:r>
            <w:r>
              <w:rPr>
                <w:sz w:val="21"/>
              </w:rPr>
              <w:t>2：</w:t>
            </w:r>
            <w:r>
              <w:rPr>
                <w:b/>
                <w:sz w:val="21"/>
              </w:rPr>
              <w:t>扣减通知书</w:t>
            </w:r>
          </w:p>
          <w:p>
            <w:pPr>
              <w:jc w:val="right"/>
            </w:pPr>
            <w:r>
              <w:rPr>
                <w:sz w:val="24"/>
              </w:rPr>
              <w:t>编号：</w:t>
            </w:r>
            <w:r>
              <w:rPr>
                <w:sz w:val="24"/>
              </w:rPr>
              <w:t>________________</w:t>
            </w:r>
          </w:p>
          <w:p>
            <w:pPr>
              <w:jc w:val="both"/>
            </w:pPr>
          </w:p>
          <w:p>
            <w:pPr>
              <w:jc w:val="both"/>
            </w:pPr>
          </w:p>
          <w:p>
            <w:pPr>
              <w:jc w:val="center"/>
            </w:pPr>
          </w:p>
          <w:p>
            <w:pPr>
              <w:jc w:val="center"/>
            </w:pPr>
            <w:r>
              <w:rPr>
                <w:b/>
                <w:sz w:val="24"/>
              </w:rPr>
              <w:t>万科体育路公园、万科城小公园及万科花园公园综合管理服务项目</w:t>
            </w:r>
            <w:r>
              <w:rPr>
                <w:b/>
                <w:sz w:val="24"/>
              </w:rPr>
              <w:t>扣减告知书</w:t>
            </w:r>
          </w:p>
          <w:p>
            <w:pPr>
              <w:jc w:val="both"/>
            </w:pPr>
          </w:p>
          <w:p>
            <w:pPr>
              <w:jc w:val="both"/>
            </w:pPr>
            <w:r>
              <w:rPr>
                <w:sz w:val="24"/>
              </w:rPr>
              <w:t>___________________________</w:t>
            </w:r>
            <w:r>
              <w:rPr>
                <w:sz w:val="24"/>
              </w:rPr>
              <w:t>：</w:t>
            </w:r>
          </w:p>
          <w:p>
            <w:pPr>
              <w:ind w:firstLine="480"/>
              <w:jc w:val="both"/>
            </w:pPr>
            <w:r>
              <w:rPr>
                <w:sz w:val="24"/>
              </w:rPr>
              <w:t>经采购人现场管理人员巡查发现你公司，在市政维护、绿化养护工作中违反招标文件（合同）第</w:t>
            </w:r>
            <w:r>
              <w:rPr>
                <w:sz w:val="24"/>
              </w:rPr>
              <w:t>___________________项，现按照招标文件（合同）的约定对你公司作出扣减告知，此告知书作为扣减依据，</w:t>
            </w:r>
            <w:r>
              <w:rPr>
                <w:sz w:val="24"/>
              </w:rPr>
              <w:t>在</w:t>
            </w:r>
            <w:r>
              <w:rPr>
                <w:sz w:val="24"/>
              </w:rPr>
              <w:t>你司</w:t>
            </w:r>
            <w:r>
              <w:rPr>
                <w:sz w:val="24"/>
              </w:rPr>
              <w:t>当期或往期结算款项中扣减。</w:t>
            </w:r>
          </w:p>
          <w:p>
            <w:pPr>
              <w:jc w:val="both"/>
            </w:pPr>
            <w:r>
              <w:rPr>
                <w:sz w:val="24"/>
              </w:rPr>
              <w:t>附现场照片</w:t>
            </w:r>
            <w:r>
              <w:rPr>
                <w:sz w:val="24"/>
              </w:rPr>
              <w:t>_______张。</w:t>
            </w:r>
          </w:p>
          <w:p>
            <w:pPr>
              <w:jc w:val="both"/>
            </w:pPr>
          </w:p>
          <w:p>
            <w:pPr>
              <w:jc w:val="right"/>
            </w:pPr>
          </w:p>
          <w:p>
            <w:pPr>
              <w:jc w:val="right"/>
            </w:pPr>
            <w:r>
              <w:rPr>
                <w:sz w:val="24"/>
              </w:rPr>
              <w:t>东莞市虎门镇公用事业服务中心</w:t>
            </w:r>
          </w:p>
          <w:p>
            <w:pPr>
              <w:ind w:firstLine="5866"/>
              <w:jc w:val="both"/>
            </w:pPr>
          </w:p>
          <w:p>
            <w:pPr>
              <w:ind w:firstLine="5866"/>
              <w:jc w:val="both"/>
            </w:pPr>
            <w:r>
              <w:rPr>
                <w:sz w:val="24"/>
              </w:rPr>
              <w:t>年</w:t>
            </w:r>
            <w:r>
              <w:rPr>
                <w:sz w:val="24"/>
              </w:rPr>
              <w:t xml:space="preserve">    </w:t>
            </w:r>
            <w:r>
              <w:rPr>
                <w:sz w:val="24"/>
              </w:rPr>
              <w:t>月</w:t>
            </w:r>
            <w:r>
              <w:rPr>
                <w:sz w:val="24"/>
              </w:rPr>
              <w:t xml:space="preserve">    </w:t>
            </w:r>
            <w:r>
              <w:rPr>
                <w:sz w:val="24"/>
              </w:rPr>
              <w:t>日</w:t>
            </w:r>
          </w:p>
          <w:p>
            <w:pPr>
              <w:jc w:val="both"/>
            </w:pPr>
          </w:p>
          <w:p>
            <w:pPr>
              <w:jc w:val="both"/>
            </w:pPr>
          </w:p>
          <w:p>
            <w:pPr>
              <w:jc w:val="both"/>
            </w:pPr>
            <w:r>
              <w:rPr>
                <w:sz w:val="24"/>
              </w:rPr>
              <w:t>招标人管理代表签字：</w:t>
            </w:r>
          </w:p>
          <w:p>
            <w:pPr>
              <w:jc w:val="both"/>
            </w:pPr>
          </w:p>
          <w:p>
            <w:pPr>
              <w:jc w:val="both"/>
            </w:pPr>
            <w:r>
              <w:rPr>
                <w:sz w:val="24"/>
              </w:rPr>
              <w:t>中标人代表（现场施工人员）签收：</w:t>
            </w: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东莞市虎门镇公用事业服务中心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万科体育路公园、万科城小公园及万科花园公园综合管理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采购包1（万科体育路公园、万科城小公园及万科花园公园综合管理服务项目）：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采购包1（万科体育路公园、万科城小公园及万科花园公园综合管理服务项目）：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本项目不属于专门面向中小企业采购项目。</w:t>
            </w:r>
          </w:p>
        </w:tc>
      </w:tr>
    </w:tbl>
    <w:p/>
    <w:p>
      <w:pPr>
        <w:ind w:firstLine="480"/>
      </w:pPr>
      <w:r>
        <w:rPr/>
        <w:t>表二符合性审查表：</w:t>
      </w:r>
    </w:p>
    <w:p>
      <w:pPr>
        <w:ind w:firstLine="480"/>
      </w:pPr>
    </w:p>
    <w:p/>
    <w:p>
      <w:r>
        <w:rPr/>
        <w:t>采购包1（万科体育路公园、万科城小公园及万科花园公园综合管理服务项目）：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采购包1(万科体育路公园、万科城小公园及万科花园公园综合管理服务项目):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技术部分60.0分</w:t>
            </w:r>
          </w:p>
          <w:p>
            <w:r>
              <w:rPr/>
              <w:t>报价得分20.0分</w:t>
            </w:r>
          </w:p>
        </w:tc>
      </w:tr>
      <w:tr>
        <w:tc>
          <w:tcPr>
            <w:tcW w:type="dxa" w:w="922"/>
            <w:gridSpan w:val="2"/>
            <w:vMerge w:val="restart"/>
          </w:tcPr>
          <w:p>
            <w:pPr>
              <w:jc w:val="center"/>
            </w:pPr>
            <w:r>
              <w:rPr/>
              <w:t>技术部分</w:t>
            </w:r>
          </w:p>
        </w:tc>
        <w:tc>
          <w:tcPr>
            <w:tcW w:type="dxa" w:w="2307"/>
          </w:tcPr>
          <w:p>
            <w:pPr>
              <w:jc w:val="left"/>
            </w:pPr>
            <w:r>
              <w:rPr/>
              <w:t>对项目的理解 (10.0分)</w:t>
            </w:r>
            <w:r>
              <w:rPr/>
              <w:t>，（等次分值选择：</w:t>
            </w:r>
            <w:r>
              <w:rPr/>
              <w:t>0.0;</w:t>
            </w:r>
            <w:r>
              <w:rPr/>
              <w:t>1.0;</w:t>
            </w:r>
            <w:r>
              <w:rPr/>
              <w:t>3.0;</w:t>
            </w:r>
            <w:r>
              <w:rPr/>
              <w:t>6.0;</w:t>
            </w:r>
            <w:r>
              <w:rPr/>
              <w:t>10.0;</w:t>
            </w:r>
            <w:r>
              <w:rPr/>
              <w:t>）</w:t>
            </w:r>
          </w:p>
        </w:tc>
        <w:tc>
          <w:tcPr>
            <w:tcW w:type="dxa" w:w="5076"/>
          </w:tcPr>
          <w:p>
            <w:pPr>
              <w:jc w:val="left"/>
            </w:pPr>
            <w:r>
              <w:rPr/>
              <w:t>根据投标人对项目现状的认识，基础资料调查，重点难点分析等情况进行综合评审：  项目现状认识深刻，基础资料调查非常完整，重点难点分析到位的，得10分；  项目现状认识较为深刻，基础资料调查较为完整，重点难点分析比较到位的，得6分；  项目现状认识一般，基础资料调查一般完整，重点难点分析一般的，得3分；  项目现状认识偏弱，基础资料调查不太完整，重点难点分析不到位的，得1分；  无提供方案不得分。</w:t>
            </w:r>
          </w:p>
        </w:tc>
      </w:tr>
      <w:tr>
        <w:tc>
          <w:tcPr>
            <w:tcW w:type="dxa" w:w="922"/>
            <w:gridSpan w:val="2"/>
            <w:vMerge/>
          </w:tcPr>
          <w:p/>
        </w:tc>
        <w:tc>
          <w:tcPr>
            <w:tcW w:type="dxa" w:w="2307"/>
          </w:tcPr>
          <w:p>
            <w:pPr>
              <w:jc w:val="left"/>
            </w:pPr>
            <w:r>
              <w:rPr/>
              <w:t>项目实施方案 (15.0分)</w:t>
            </w:r>
            <w:r>
              <w:rPr/>
              <w:t>，（等次分值选择：</w:t>
            </w:r>
            <w:r>
              <w:rPr/>
              <w:t>0.0;</w:t>
            </w:r>
            <w:r>
              <w:rPr/>
              <w:t>1.0;</w:t>
            </w:r>
            <w:r>
              <w:rPr/>
              <w:t>5.0;</w:t>
            </w:r>
            <w:r>
              <w:rPr/>
              <w:t>10.0;</w:t>
            </w:r>
            <w:r>
              <w:rPr/>
              <w:t>15.0;</w:t>
            </w:r>
            <w:r>
              <w:rPr/>
              <w:t>）</w:t>
            </w:r>
          </w:p>
        </w:tc>
        <w:tc>
          <w:tcPr>
            <w:tcW w:type="dxa" w:w="5076"/>
          </w:tcPr>
          <w:p>
            <w:pPr>
              <w:jc w:val="left"/>
            </w:pPr>
            <w:r>
              <w:rPr/>
              <w:t>根据投标人针对本项目作出的项目实施方案是否具有针对性、可行性、科学性等进行综合评审： 方案完善具体、针对性强、可行性强、科学合理的，得15分； 方案比较完善、针对性较强、可行性较强、较合理的，得10分； 方案不够具体、针对性一般、可行性一般、合理的，得5分； 方案简单，针对性差，可行性差的，得1分。 无提供方案不得分。</w:t>
            </w:r>
          </w:p>
        </w:tc>
      </w:tr>
      <w:tr>
        <w:tc>
          <w:tcPr>
            <w:tcW w:type="dxa" w:w="922"/>
            <w:gridSpan w:val="2"/>
            <w:vMerge/>
          </w:tcPr>
          <w:p/>
        </w:tc>
        <w:tc>
          <w:tcPr>
            <w:tcW w:type="dxa" w:w="2307"/>
          </w:tcPr>
          <w:p>
            <w:pPr>
              <w:jc w:val="left"/>
            </w:pPr>
            <w:r>
              <w:rPr/>
              <w:t>质量及安全保证措施 (15.0分)</w:t>
            </w:r>
            <w:r>
              <w:rPr/>
              <w:t>，（等次分值选择：</w:t>
            </w:r>
            <w:r>
              <w:rPr/>
              <w:t>0.0;</w:t>
            </w:r>
            <w:r>
              <w:rPr/>
              <w:t>1.0;</w:t>
            </w:r>
            <w:r>
              <w:rPr/>
              <w:t>5.0;</w:t>
            </w:r>
            <w:r>
              <w:rPr/>
              <w:t>10.0;</w:t>
            </w:r>
            <w:r>
              <w:rPr/>
              <w:t>15.0;</w:t>
            </w:r>
            <w:r>
              <w:rPr/>
              <w:t>）</w:t>
            </w:r>
          </w:p>
        </w:tc>
        <w:tc>
          <w:tcPr>
            <w:tcW w:type="dxa" w:w="5076"/>
          </w:tcPr>
          <w:p>
            <w:pPr>
              <w:jc w:val="left"/>
            </w:pPr>
            <w:r>
              <w:rPr/>
              <w:t>根据投标人对本项目的要求，提供项目质量及安全保证措施等方案进行综合评审： 质量及安全保证措施非常明确可行、保证措施方案非常详细的，得15分； 质量及安全保证措施比较明确可行、保证措施方案比较详细的，得10分； 质量及安全保证措施一般、保证措施方案一般的，得5分； 质量及安全保证措施不明确、可行性差、内容简单的，得1分。 无提供方案不得分。</w:t>
            </w:r>
          </w:p>
        </w:tc>
      </w:tr>
      <w:tr>
        <w:tc>
          <w:tcPr>
            <w:tcW w:type="dxa" w:w="922"/>
            <w:gridSpan w:val="2"/>
            <w:vMerge/>
          </w:tcPr>
          <w:p/>
        </w:tc>
        <w:tc>
          <w:tcPr>
            <w:tcW w:type="dxa" w:w="2307"/>
          </w:tcPr>
          <w:p>
            <w:pPr>
              <w:jc w:val="left"/>
            </w:pPr>
            <w:r>
              <w:rPr/>
              <w:t>服务自律承诺 (10.0分)</w:t>
            </w:r>
            <w:r>
              <w:rPr/>
              <w:t>，（等次分值选择：</w:t>
            </w:r>
            <w:r>
              <w:rPr/>
              <w:t>0.0;</w:t>
            </w:r>
            <w:r>
              <w:rPr/>
              <w:t>1.0;</w:t>
            </w:r>
            <w:r>
              <w:rPr/>
              <w:t>3.0;</w:t>
            </w:r>
            <w:r>
              <w:rPr/>
              <w:t>6.0;</w:t>
            </w:r>
            <w:r>
              <w:rPr/>
              <w:t>10.0;</w:t>
            </w:r>
            <w:r>
              <w:rPr/>
              <w:t>）</w:t>
            </w:r>
          </w:p>
        </w:tc>
        <w:tc>
          <w:tcPr>
            <w:tcW w:type="dxa" w:w="5076"/>
          </w:tcPr>
          <w:p>
            <w:pPr>
              <w:jc w:val="left"/>
            </w:pPr>
            <w:r>
              <w:rPr/>
              <w:t>根据投标人对本项目能够承诺保证有足够的人力、设备及作出违约责任的内容进行综合评审： 提供优质服务，作出违约责任等承诺具体可行、非常详细的，得10分； 提供较良服务，作出违约责任等承诺的比较可行性、比较详细的，得6分； 提供较良服务，作出违约责任等承诺的可行性一般的，得3分； 提供较差服务，作出违约责任等承诺的可行性差、内容简单的，得1分。 无提供不得分。</w:t>
            </w:r>
          </w:p>
        </w:tc>
      </w:tr>
      <w:tr>
        <w:tc>
          <w:tcPr>
            <w:tcW w:type="dxa" w:w="922"/>
            <w:gridSpan w:val="2"/>
            <w:vMerge/>
          </w:tcPr>
          <w:p/>
        </w:tc>
        <w:tc>
          <w:tcPr>
            <w:tcW w:type="dxa" w:w="2307"/>
          </w:tcPr>
          <w:p>
            <w:pPr>
              <w:jc w:val="left"/>
            </w:pPr>
            <w:r>
              <w:rPr/>
              <w:t>应急方案 (10.0分)</w:t>
            </w:r>
            <w:r>
              <w:rPr/>
              <w:t>，（等次分值选择：</w:t>
            </w:r>
            <w:r>
              <w:rPr/>
              <w:t>0.0;</w:t>
            </w:r>
            <w:r>
              <w:rPr/>
              <w:t>1.0;</w:t>
            </w:r>
            <w:r>
              <w:rPr/>
              <w:t>3.0;</w:t>
            </w:r>
            <w:r>
              <w:rPr/>
              <w:t>6.0;</w:t>
            </w:r>
            <w:r>
              <w:rPr/>
              <w:t>10.0;</w:t>
            </w:r>
            <w:r>
              <w:rPr/>
              <w:t>）</w:t>
            </w:r>
          </w:p>
        </w:tc>
        <w:tc>
          <w:tcPr>
            <w:tcW w:type="dxa" w:w="5076"/>
          </w:tcPr>
          <w:p>
            <w:pPr>
              <w:jc w:val="left"/>
            </w:pPr>
            <w:r>
              <w:rPr/>
              <w:t>根据投标人针对台风、暴雨等天气影响，重大接待任务，重大节假日或活动等特殊情况制定应急处置方案，包括传达机制、人员和设备调配、责任分工等进行综合评审： 应急方案科学合理，能针对上述情况提出具体方案，可操作性强，得10分。 应急方案较合理，能针对上述情况提出较具体方案，可操作性较强，得6分。 应急方案基本完整，能针对上述情况提出简单方案，可操作性一般，得3分。 应急方案简单，不能应对上述情况，得1分。 无提供方案不得分。</w:t>
            </w:r>
          </w:p>
        </w:tc>
      </w:tr>
      <w:tr>
        <w:tc>
          <w:tcPr>
            <w:tcW w:type="dxa" w:w="922"/>
            <w:gridSpan w:val="2"/>
            <w:vMerge w:val="restart"/>
          </w:tcPr>
          <w:p>
            <w:pPr>
              <w:jc w:val="center"/>
            </w:pPr>
            <w:r>
              <w:rPr/>
              <w:t>商务部分</w:t>
            </w:r>
          </w:p>
        </w:tc>
        <w:tc>
          <w:tcPr>
            <w:tcW w:type="dxa" w:w="2307"/>
          </w:tcPr>
          <w:p>
            <w:pPr>
              <w:jc w:val="left"/>
            </w:pPr>
            <w:r>
              <w:rPr/>
              <w:t>业绩 (15.0分)</w:t>
            </w:r>
          </w:p>
        </w:tc>
        <w:tc>
          <w:tcPr>
            <w:tcW w:type="dxa" w:w="5076"/>
          </w:tcPr>
          <w:p>
            <w:pPr>
              <w:jc w:val="left"/>
            </w:pPr>
            <w:r>
              <w:rPr/>
              <w:t>投标人具有绿化养护（或环卫保洁或市政维护）类项目业绩的，每提供一个合同业绩得5分，本项最高得15分。 注：须提供合同复印件并加盖投标人公章，否则不得分。</w:t>
            </w:r>
          </w:p>
        </w:tc>
      </w:tr>
      <w:tr>
        <w:tc>
          <w:tcPr>
            <w:tcW w:type="dxa" w:w="922"/>
            <w:gridSpan w:val="2"/>
            <w:vMerge/>
          </w:tcPr>
          <w:p/>
        </w:tc>
        <w:tc>
          <w:tcPr>
            <w:tcW w:type="dxa" w:w="2307"/>
          </w:tcPr>
          <w:p>
            <w:pPr>
              <w:jc w:val="left"/>
            </w:pPr>
            <w:r>
              <w:rPr/>
              <w:t>服务响应时间 (5.0分)</w:t>
            </w:r>
          </w:p>
        </w:tc>
        <w:tc>
          <w:tcPr>
            <w:tcW w:type="dxa" w:w="5076"/>
          </w:tcPr>
          <w:p>
            <w:pPr>
              <w:jc w:val="left"/>
            </w:pPr>
            <w:r>
              <w:rPr/>
              <w:t>根据投标人提供的服务响应时间承诺进行评审： 承诺在接到采购人通知后1小时内到现场的，得5分； 承诺在接到采购人通知后2小时内到现场的，得3分； 承诺在接到采购人通知后3小时内到现场的，得1分； 未承诺或承诺在接到采购人通知后超过3小时到现场的，不得分。 注：须提供单独服务承诺书，并加盖投标人公章。</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p>
    <w:p>
      <w:pPr>
        <w:jc w:val="center"/>
      </w:pPr>
    </w:p>
    <w:p>
      <w:pPr>
        <w:jc w:val="center"/>
      </w:pPr>
    </w:p>
    <w:p>
      <w:pPr>
        <w:jc w:val="center"/>
      </w:pPr>
    </w:p>
    <w:p>
      <w:pPr>
        <w:jc w:val="center"/>
      </w:pPr>
    </w:p>
    <w:p>
      <w:pPr>
        <w:jc w:val="center"/>
      </w:pPr>
      <w:r>
        <w:rPr>
          <w:b/>
          <w:sz w:val="48"/>
        </w:rPr>
        <w:t>广东省政府采购</w:t>
      </w:r>
    </w:p>
    <w:p>
      <w:pPr>
        <w:jc w:val="center"/>
      </w:pPr>
      <w:r>
        <w:rPr>
          <w:b/>
          <w:sz w:val="48"/>
        </w:rPr>
        <w:t>合同书</w:t>
      </w:r>
    </w:p>
    <w:p>
      <w:pPr>
        <w:jc w:val="center"/>
      </w:pPr>
    </w:p>
    <w:p>
      <w:pPr>
        <w:jc w:val="center"/>
      </w:pPr>
    </w:p>
    <w:p>
      <w:pPr>
        <w:jc w:val="center"/>
      </w:pPr>
    </w:p>
    <w:p>
      <w:pPr>
        <w:jc w:val="center"/>
      </w:pPr>
    </w:p>
    <w:p>
      <w:pPr>
        <w:jc w:val="center"/>
      </w:pPr>
    </w:p>
    <w:p>
      <w:pPr>
        <w:jc w:val="center"/>
      </w:pPr>
    </w:p>
    <w:p>
      <w:pPr>
        <w:jc w:val="center"/>
      </w:pPr>
    </w:p>
    <w:p>
      <w:pPr>
        <w:jc w:val="center"/>
      </w:pPr>
      <w:r>
        <w:rPr>
          <w:sz w:val="28"/>
        </w:rPr>
        <w:t>采购计划编号：</w:t>
      </w:r>
    </w:p>
    <w:p>
      <w:pPr>
        <w:jc w:val="center"/>
      </w:pPr>
      <w:r>
        <w:rPr>
          <w:sz w:val="28"/>
        </w:rPr>
        <w:t>项目编号：</w:t>
      </w:r>
    </w:p>
    <w:p>
      <w:pPr>
        <w:jc w:val="center"/>
      </w:pPr>
      <w:r>
        <w:rPr>
          <w:sz w:val="28"/>
        </w:rPr>
        <w:t>项目名称：</w:t>
      </w:r>
    </w:p>
    <w:p>
      <w:pPr>
        <w:jc w:val="both"/>
      </w:pPr>
    </w:p>
    <w:p/>
    <w:p>
      <w:r>
        <w:rPr/>
        <w:t xml:space="preserve"> </w:t>
      </w:r>
    </w:p>
    <w:p>
      <w:pPr>
        <w:jc w:val="both"/>
      </w:pPr>
      <w:r>
        <w:rPr>
          <w:sz w:val="21"/>
        </w:rPr>
        <w:t>甲方：</w:t>
      </w:r>
      <w:r>
        <w:rPr>
          <w:sz w:val="21"/>
        </w:rPr>
        <w:t xml:space="preserve"> </w:t>
      </w:r>
    </w:p>
    <w:p>
      <w:pPr>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jc w:val="both"/>
      </w:pPr>
      <w:r>
        <w:rPr>
          <w:sz w:val="21"/>
        </w:rPr>
        <w:t>乙方：</w:t>
      </w:r>
      <w:r>
        <w:rPr>
          <w:sz w:val="21"/>
        </w:rPr>
        <w:t xml:space="preserve"> </w:t>
      </w:r>
    </w:p>
    <w:p>
      <w:pPr>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jc w:val="both"/>
      </w:pPr>
      <w:r>
        <w:rPr>
          <w:sz w:val="21"/>
        </w:rPr>
        <w:t xml:space="preserve"> </w:t>
      </w:r>
    </w:p>
    <w:p>
      <w:pPr>
        <w:jc w:val="both"/>
      </w:pPr>
      <w:r>
        <w:rPr>
          <w:sz w:val="21"/>
        </w:rPr>
        <w:t xml:space="preserve">  </w:t>
      </w:r>
      <w:r>
        <w:rPr>
          <w:sz w:val="21"/>
        </w:rPr>
        <w:t>根据</w:t>
      </w:r>
      <w:r>
        <w:rPr>
          <w:sz w:val="21"/>
        </w:rPr>
        <w:t xml:space="preserve">         </w:t>
      </w:r>
      <w:r>
        <w:rPr>
          <w:sz w:val="21"/>
        </w:rPr>
        <w:t>项目</w:t>
      </w:r>
      <w:r>
        <w:rPr>
          <w:sz w:val="21"/>
        </w:rPr>
        <w:t>的采购结果，按照《中华人民共和国政府采购法》，《中华人民共和国民法典</w:t>
      </w:r>
      <w:r>
        <w:rPr>
          <w:sz w:val="21"/>
        </w:rPr>
        <w:t>(合同编)》的规定，经双方协商，本着平等互利和诚实信用的原则，一致同意遵守本合同如下。</w:t>
      </w:r>
    </w:p>
    <w:p>
      <w:pPr>
        <w:jc w:val="both"/>
      </w:pPr>
      <w:r>
        <w:rPr>
          <w:sz w:val="21"/>
        </w:rPr>
        <w:t>一、合同金额</w:t>
      </w:r>
    </w:p>
    <w:p>
      <w:pPr>
        <w:ind w:firstLine="420"/>
        <w:jc w:val="both"/>
      </w:pPr>
      <w:r>
        <w:rPr>
          <w:sz w:val="21"/>
        </w:rPr>
        <w:t>合同金额为（大写）：</w:t>
      </w:r>
      <w:r>
        <w:rPr>
          <w:sz w:val="21"/>
        </w:rPr>
        <w:t>_____________元（￥_________元）人民币。</w:t>
      </w:r>
      <w:r>
        <w:rPr>
          <w:sz w:val="21"/>
        </w:rPr>
        <w:t>包括材料、工具、人工、管理费、利润、税金、风险、招标代理费用等一切因素所有应该和可能发生的费用因素。</w:t>
      </w:r>
    </w:p>
    <w:p>
      <w:pPr>
        <w:jc w:val="both"/>
      </w:pPr>
      <w:r>
        <w:rPr>
          <w:sz w:val="21"/>
        </w:rPr>
        <w:t>二、服务范围</w:t>
      </w:r>
    </w:p>
    <w:p>
      <w:pPr>
        <w:ind w:firstLine="420"/>
        <w:jc w:val="both"/>
      </w:pPr>
      <w:r>
        <w:rPr>
          <w:sz w:val="21"/>
        </w:rPr>
        <w:t>（一）招标范围内主要服务内容</w:t>
      </w:r>
    </w:p>
    <w:p>
      <w:pPr>
        <w:ind w:firstLine="420"/>
        <w:jc w:val="both"/>
      </w:pPr>
      <w:r>
        <w:rPr>
          <w:sz w:val="21"/>
        </w:rPr>
        <w:t>虎门镇城区小公园综合管理服务项目包括：万科体育路公园、万科城小公园及万科花园公园。万科体育路公园位于虎门镇体育路，面积</w:t>
      </w:r>
      <w:r>
        <w:rPr>
          <w:sz w:val="21"/>
        </w:rPr>
        <w:t>2.5万平方米；万科城小公园位于虎门镇长德路，面积0.9万平方米；万科花园公园位于虎门镇百达路，面积约1.5万平方米。实际管理量以双方确认为淮，以增减签证作调整。</w:t>
      </w:r>
    </w:p>
    <w:p>
      <w:pPr>
        <w:ind w:firstLine="420"/>
        <w:jc w:val="both"/>
      </w:pPr>
      <w:r>
        <w:rPr>
          <w:sz w:val="21"/>
        </w:rPr>
        <w:t>合同期间，甲方有权根据实际情况对管理量和管理范围进行增减调整</w:t>
      </w:r>
      <w:r>
        <w:rPr>
          <w:sz w:val="21"/>
        </w:rPr>
        <w:t>,乙方无正当理由不能拒绝接管甲方移交的管理工作，也不能拒绝甲方对管理工作的增加或者减少。</w:t>
      </w:r>
    </w:p>
    <w:p>
      <w:pPr>
        <w:ind w:firstLine="420"/>
        <w:jc w:val="both"/>
      </w:pPr>
      <w:r>
        <w:rPr>
          <w:sz w:val="21"/>
        </w:rPr>
        <w:t>虎门镇城区小公园综合管理服务，包括但不限于：市政设施维修管理、环卫保洁（含水面保洁）、绿化养护、保安服务、秩序管理，日常巡查，相关抗灾突击、应急、迎检工作任务等。本项目不得为乙方私自使用，是作为公共开放绿地及公共公园供市民休闲。</w:t>
      </w:r>
    </w:p>
    <w:p>
      <w:pPr>
        <w:ind w:firstLine="420"/>
        <w:jc w:val="both"/>
      </w:pPr>
      <w:r>
        <w:rPr>
          <w:sz w:val="21"/>
        </w:rPr>
        <w:t>1、绿化养护招标范围</w:t>
      </w:r>
    </w:p>
    <w:p>
      <w:pPr>
        <w:ind w:firstLine="420"/>
        <w:jc w:val="both"/>
      </w:pPr>
      <w:r>
        <w:rPr>
          <w:sz w:val="21"/>
        </w:rPr>
        <w:t>1.1修剪、施肥、浇水，除虫、绿地保洁；老化、病死、荫死及所有不明原因缺失的苗木、地被的复壮、补植等；</w:t>
      </w:r>
    </w:p>
    <w:p>
      <w:pPr>
        <w:ind w:firstLine="420"/>
        <w:jc w:val="both"/>
      </w:pPr>
      <w:r>
        <w:rPr>
          <w:sz w:val="21"/>
        </w:rPr>
        <w:t>1.2死苗要求及时清理，补植回原来的种类并力求规格与原来植株接近，以保证优良的景观效果；</w:t>
      </w:r>
    </w:p>
    <w:p>
      <w:pPr>
        <w:ind w:firstLine="420"/>
        <w:jc w:val="both"/>
      </w:pPr>
      <w:r>
        <w:rPr>
          <w:sz w:val="21"/>
        </w:rPr>
        <w:t>1.3绿地乱张贴（涂画）和乱拉挂清理、除“四害”、日常巡查等。</w:t>
      </w:r>
    </w:p>
    <w:p>
      <w:pPr>
        <w:ind w:firstLine="420"/>
        <w:jc w:val="both"/>
      </w:pPr>
      <w:r>
        <w:rPr>
          <w:sz w:val="21"/>
        </w:rPr>
        <w:t>2、环卫保洁招标范围</w:t>
      </w:r>
    </w:p>
    <w:p>
      <w:pPr>
        <w:ind w:firstLine="420"/>
        <w:jc w:val="both"/>
      </w:pPr>
      <w:r>
        <w:rPr>
          <w:sz w:val="21"/>
        </w:rPr>
        <w:t>2.1环卫清扫、保洁、洒水及下水道口、雨水井口清淘、喷药杀虫消毒；</w:t>
      </w:r>
    </w:p>
    <w:p>
      <w:pPr>
        <w:ind w:firstLine="420"/>
        <w:jc w:val="both"/>
      </w:pPr>
      <w:r>
        <w:rPr>
          <w:sz w:val="21"/>
        </w:rPr>
        <w:t>2.2所有“牛皮癣”清理,如:果皮箱、护栏、灯柱、围墙、围挡等“乱张贴”的清洁和清理；</w:t>
      </w:r>
    </w:p>
    <w:p>
      <w:pPr>
        <w:ind w:firstLine="420"/>
        <w:jc w:val="both"/>
      </w:pPr>
      <w:r>
        <w:rPr>
          <w:sz w:val="21"/>
        </w:rPr>
        <w:t>2.3园区所有果皮箱的日常更换、清理、清洁和维护(含更换垃圾袋)、日常巡查。</w:t>
      </w:r>
    </w:p>
    <w:p>
      <w:pPr>
        <w:ind w:firstLine="420"/>
        <w:jc w:val="both"/>
      </w:pPr>
      <w:r>
        <w:rPr>
          <w:sz w:val="21"/>
        </w:rPr>
        <w:t>3、市政设施维护招标范围</w:t>
      </w:r>
    </w:p>
    <w:p>
      <w:pPr>
        <w:ind w:firstLine="420"/>
        <w:jc w:val="both"/>
      </w:pPr>
      <w:r>
        <w:rPr>
          <w:sz w:val="21"/>
        </w:rPr>
        <w:t>3.1维护市政公共设施维修和管理，包括砖路面、各类检查井盖井座、路缘石、护栏、围网、路灯、庭院灯、建（构）筑物等；</w:t>
      </w:r>
    </w:p>
    <w:p>
      <w:pPr>
        <w:ind w:firstLine="420"/>
        <w:jc w:val="both"/>
      </w:pPr>
      <w:r>
        <w:rPr>
          <w:sz w:val="21"/>
        </w:rPr>
        <w:t>3.2花岗岩挡车柱、反光柱、各类标志牌修补、标线标识维护、构建筑物维护；</w:t>
      </w:r>
    </w:p>
    <w:p>
      <w:pPr>
        <w:ind w:firstLine="420"/>
        <w:jc w:val="both"/>
      </w:pPr>
      <w:r>
        <w:rPr>
          <w:sz w:val="21"/>
        </w:rPr>
        <w:t>3.3同时包括对维护范围内所有设施进行巡查。</w:t>
      </w:r>
    </w:p>
    <w:p>
      <w:pPr>
        <w:ind w:firstLine="420"/>
        <w:jc w:val="both"/>
      </w:pPr>
      <w:r>
        <w:rPr>
          <w:sz w:val="21"/>
        </w:rPr>
        <w:t>4、保安、秩序管理服务招标范围</w:t>
      </w:r>
    </w:p>
    <w:p>
      <w:pPr>
        <w:ind w:firstLine="420"/>
        <w:jc w:val="both"/>
      </w:pPr>
      <w:r>
        <w:rPr>
          <w:sz w:val="21"/>
        </w:rPr>
        <w:t>4.1对各乱摆卖摊贩的驱赶和劝离；对违规“乱拉挂”行为的制止和清理、对违规倾倒生活、建筑及工业垃圾行为的巡查和制止；对未经审批施工及施工过程中随意破坏市政设施行为的监管和制止；对焚烧垃圾的行为的巡查和制止；对乱堆放建筑材料行为的监管和制止；</w:t>
      </w:r>
    </w:p>
    <w:p>
      <w:pPr>
        <w:ind w:firstLine="420"/>
        <w:jc w:val="both"/>
      </w:pPr>
      <w:r>
        <w:rPr>
          <w:sz w:val="21"/>
        </w:rPr>
        <w:t>4.2对园区内各公园公共安全秩序的管理和维护，制止违章搭建、乱张贴广告、乱填土、路面污染、噪音污染、野泳、钓鱼、网鱼等违法行为，协助执法人员执法。</w:t>
      </w:r>
    </w:p>
    <w:p>
      <w:pPr>
        <w:ind w:firstLine="420"/>
        <w:jc w:val="both"/>
      </w:pPr>
      <w:r>
        <w:rPr>
          <w:sz w:val="21"/>
        </w:rPr>
        <w:t>4.3保安、秩序管理的日常巡查。</w:t>
      </w:r>
    </w:p>
    <w:p>
      <w:pPr>
        <w:ind w:firstLine="420"/>
        <w:jc w:val="both"/>
      </w:pPr>
      <w:r>
        <w:rPr>
          <w:sz w:val="21"/>
        </w:rPr>
        <w:t>5、其他要求</w:t>
      </w:r>
    </w:p>
    <w:p>
      <w:pPr>
        <w:ind w:firstLine="420"/>
        <w:jc w:val="both"/>
      </w:pPr>
      <w:r>
        <w:rPr>
          <w:sz w:val="21"/>
        </w:rPr>
        <w:t>无条件配合甲方开展各类活动和按要求落实各项宣传工作，协调解决群众提出的合理需求</w:t>
      </w:r>
    </w:p>
    <w:p>
      <w:pPr>
        <w:ind w:firstLine="420"/>
        <w:jc w:val="both"/>
      </w:pPr>
      <w:r>
        <w:rPr>
          <w:sz w:val="21"/>
        </w:rPr>
        <w:t>（二）项目预算清单</w:t>
      </w:r>
    </w:p>
    <w:tbl>
      <w:tblPr>
        <w:tblW w:w="0" w:type="auto"/>
        <w:tblBorders>
          <w:top w:val="none" w:color="000000" w:sz="4"/>
          <w:left w:val="none" w:color="000000" w:sz="4"/>
          <w:bottom w:val="none" w:color="000000" w:sz="4"/>
          <w:right w:val="none" w:color="000000" w:sz="4"/>
          <w:insideH w:val="none"/>
          <w:insideV w:val="none"/>
        </w:tblBorders>
      </w:tblPr>
      <w:tblGrid>
        <w:gridCol w:w="393"/>
        <w:gridCol w:w="1210"/>
        <w:gridCol w:w="1702"/>
        <w:gridCol w:w="793"/>
        <w:gridCol w:w="1574"/>
        <w:gridCol w:w="1384"/>
        <w:gridCol w:w="1195"/>
      </w:tblGrid>
      <w:tr>
        <w:tc>
          <w:tcPr>
            <w:tcW w:type="dxa" w:w="39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210"/>
            <w:tcBorders>
              <w:top w:val="single" w:color="000000" w:sz="4"/>
              <w:left w:val="none" w:color="000000" w:sz="4"/>
              <w:bottom w:val="single" w:color="000000" w:sz="4"/>
              <w:right w:val="single" w:color="000000" w:sz="4"/>
            </w:tcBorders>
            <w:vAlign w:val="top"/>
          </w:tcPr>
          <w:p>
            <w:pPr>
              <w:jc w:val="center"/>
            </w:pPr>
            <w:r>
              <w:rPr>
                <w:sz w:val="21"/>
              </w:rPr>
              <w:t>地点</w:t>
            </w:r>
          </w:p>
        </w:tc>
        <w:tc>
          <w:tcPr>
            <w:tcW w:type="dxa" w:w="1702"/>
            <w:tcBorders>
              <w:top w:val="single" w:color="000000" w:sz="4"/>
              <w:left w:val="none" w:color="000000" w:sz="4"/>
              <w:bottom w:val="single" w:color="000000" w:sz="4"/>
              <w:right w:val="single" w:color="000000" w:sz="4"/>
            </w:tcBorders>
            <w:vAlign w:val="top"/>
          </w:tcPr>
          <w:p>
            <w:pPr>
              <w:jc w:val="center"/>
            </w:pPr>
            <w:r>
              <w:rPr>
                <w:sz w:val="21"/>
              </w:rPr>
              <w:t>项目内容</w:t>
            </w:r>
          </w:p>
        </w:tc>
        <w:tc>
          <w:tcPr>
            <w:tcW w:type="dxa" w:w="793"/>
            <w:tcBorders>
              <w:top w:val="single" w:color="000000" w:sz="4"/>
              <w:left w:val="none" w:color="000000" w:sz="4"/>
              <w:bottom w:val="single" w:color="000000" w:sz="4"/>
              <w:right w:val="single" w:color="000000" w:sz="4"/>
            </w:tcBorders>
            <w:vAlign w:val="top"/>
          </w:tcPr>
          <w:p>
            <w:pPr>
              <w:jc w:val="center"/>
            </w:pPr>
            <w:r>
              <w:rPr>
                <w:sz w:val="21"/>
              </w:rPr>
              <w:t>面积</w:t>
            </w:r>
            <w:r>
              <w:rPr>
                <w:sz w:val="21"/>
              </w:rPr>
              <w:t>(㎡)</w:t>
            </w:r>
          </w:p>
        </w:tc>
        <w:tc>
          <w:tcPr>
            <w:tcW w:type="dxa" w:w="1574"/>
            <w:tcBorders>
              <w:top w:val="single" w:color="000000" w:sz="4"/>
              <w:left w:val="none" w:color="000000" w:sz="4"/>
              <w:bottom w:val="single" w:color="000000" w:sz="4"/>
              <w:right w:val="single" w:color="000000" w:sz="4"/>
            </w:tcBorders>
            <w:vAlign w:val="top"/>
          </w:tcPr>
          <w:p>
            <w:pPr>
              <w:jc w:val="center"/>
            </w:pPr>
            <w:r>
              <w:rPr>
                <w:sz w:val="21"/>
              </w:rPr>
              <w:t>综合服务单价</w:t>
            </w:r>
          </w:p>
          <w:p>
            <w:pPr>
              <w:jc w:val="center"/>
            </w:pPr>
            <w:r>
              <w:rPr>
                <w:sz w:val="21"/>
              </w:rPr>
              <w:t>(元/平方米/年)</w:t>
            </w:r>
          </w:p>
        </w:tc>
        <w:tc>
          <w:tcPr>
            <w:tcW w:type="dxa" w:w="1384"/>
            <w:tcBorders>
              <w:top w:val="single" w:color="000000" w:sz="4"/>
              <w:left w:val="none" w:color="000000" w:sz="4"/>
              <w:bottom w:val="single" w:color="000000" w:sz="4"/>
              <w:right w:val="single" w:color="000000" w:sz="4"/>
            </w:tcBorders>
            <w:vAlign w:val="top"/>
          </w:tcPr>
          <w:p>
            <w:pPr>
              <w:jc w:val="center"/>
            </w:pPr>
            <w:r>
              <w:rPr>
                <w:sz w:val="21"/>
              </w:rPr>
              <w:t>每月承包款（元）</w:t>
            </w:r>
          </w:p>
        </w:tc>
        <w:tc>
          <w:tcPr>
            <w:tcW w:type="dxa" w:w="1195"/>
            <w:tcBorders>
              <w:top w:val="single" w:color="000000" w:sz="4"/>
              <w:left w:val="none" w:color="000000" w:sz="4"/>
              <w:bottom w:val="single" w:color="000000" w:sz="4"/>
              <w:right w:val="single" w:color="000000" w:sz="4"/>
            </w:tcBorders>
            <w:vAlign w:val="top"/>
          </w:tcPr>
          <w:p>
            <w:pPr>
              <w:jc w:val="center"/>
            </w:pPr>
            <w:r>
              <w:rPr>
                <w:sz w:val="21"/>
              </w:rPr>
              <w:t>每年承包款（元）</w:t>
            </w:r>
          </w:p>
        </w:tc>
      </w:tr>
      <w:tr>
        <w:tc>
          <w:tcPr>
            <w:tcW w:type="dxa" w:w="39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10"/>
            <w:tcBorders>
              <w:top w:val="none" w:color="000000" w:sz="4"/>
              <w:left w:val="none" w:color="000000" w:sz="4"/>
              <w:bottom w:val="single" w:color="000000" w:sz="4"/>
              <w:right w:val="single" w:color="000000" w:sz="4"/>
            </w:tcBorders>
            <w:vAlign w:val="top"/>
          </w:tcPr>
          <w:p>
            <w:pPr>
              <w:jc w:val="center"/>
            </w:pPr>
            <w:r>
              <w:rPr>
                <w:sz w:val="21"/>
              </w:rPr>
              <w:t>万科体育路公园</w:t>
            </w:r>
          </w:p>
        </w:tc>
        <w:tc>
          <w:tcPr>
            <w:tcW w:type="dxa" w:w="1702"/>
            <w:tcBorders>
              <w:top w:val="none" w:color="000000" w:sz="4"/>
              <w:left w:val="none" w:color="000000" w:sz="4"/>
              <w:bottom w:val="single" w:color="000000" w:sz="4"/>
              <w:right w:val="single" w:color="000000" w:sz="4"/>
            </w:tcBorders>
            <w:vAlign w:val="top"/>
          </w:tcPr>
          <w:p>
            <w:pPr>
              <w:jc w:val="center"/>
            </w:pPr>
            <w:r>
              <w:rPr>
                <w:sz w:val="21"/>
              </w:rPr>
              <w:t>公园综合管理服务</w:t>
            </w:r>
          </w:p>
        </w:tc>
        <w:tc>
          <w:tcPr>
            <w:tcW w:type="dxa" w:w="793"/>
            <w:tcBorders>
              <w:top w:val="none" w:color="000000" w:sz="4"/>
              <w:left w:val="none" w:color="000000" w:sz="4"/>
              <w:bottom w:val="single" w:color="000000" w:sz="4"/>
              <w:right w:val="single" w:color="000000" w:sz="4"/>
            </w:tcBorders>
            <w:vAlign w:val="top"/>
          </w:tcPr>
          <w:p>
            <w:pPr>
              <w:jc w:val="center"/>
            </w:pPr>
            <w:r>
              <w:rPr>
                <w:sz w:val="21"/>
              </w:rPr>
              <w:t>25000</w:t>
            </w:r>
          </w:p>
        </w:tc>
        <w:tc>
          <w:tcPr>
            <w:tcW w:type="dxa" w:w="1574"/>
            <w:tcBorders>
              <w:top w:val="none" w:color="000000" w:sz="4"/>
              <w:left w:val="none" w:color="000000" w:sz="4"/>
              <w:bottom w:val="single" w:color="000000" w:sz="4"/>
              <w:right w:val="single" w:color="000000" w:sz="4"/>
            </w:tcBorders>
            <w:vAlign w:val="top"/>
          </w:tcPr>
          <w:p>
            <w:pPr>
              <w:jc w:val="center"/>
            </w:pPr>
            <w:r>
              <w:rPr>
                <w:sz w:val="21"/>
              </w:rPr>
              <w:t>15</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31250</w:t>
            </w:r>
          </w:p>
        </w:tc>
        <w:tc>
          <w:tcPr>
            <w:tcW w:type="dxa" w:w="1195"/>
            <w:tcBorders>
              <w:top w:val="none" w:color="000000" w:sz="4"/>
              <w:left w:val="none" w:color="000000" w:sz="4"/>
              <w:bottom w:val="single" w:color="000000" w:sz="4"/>
              <w:right w:val="single" w:color="000000" w:sz="4"/>
            </w:tcBorders>
            <w:vAlign w:val="top"/>
          </w:tcPr>
          <w:p>
            <w:pPr>
              <w:jc w:val="center"/>
            </w:pPr>
            <w:r>
              <w:rPr>
                <w:sz w:val="21"/>
              </w:rPr>
              <w:t>375000</w:t>
            </w:r>
          </w:p>
        </w:tc>
      </w:tr>
      <w:tr>
        <w:tc>
          <w:tcPr>
            <w:tcW w:type="dxa" w:w="39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10"/>
            <w:tcBorders>
              <w:top w:val="none" w:color="000000" w:sz="4"/>
              <w:left w:val="none" w:color="000000" w:sz="4"/>
              <w:bottom w:val="single" w:color="000000" w:sz="4"/>
              <w:right w:val="single" w:color="000000" w:sz="4"/>
            </w:tcBorders>
            <w:vAlign w:val="top"/>
          </w:tcPr>
          <w:p>
            <w:pPr>
              <w:jc w:val="center"/>
            </w:pPr>
            <w:r>
              <w:rPr>
                <w:sz w:val="21"/>
              </w:rPr>
              <w:t>万科城小公园</w:t>
            </w:r>
          </w:p>
        </w:tc>
        <w:tc>
          <w:tcPr>
            <w:tcW w:type="dxa" w:w="1702"/>
            <w:tcBorders>
              <w:top w:val="none" w:color="000000" w:sz="4"/>
              <w:left w:val="none" w:color="000000" w:sz="4"/>
              <w:bottom w:val="single" w:color="000000" w:sz="4"/>
              <w:right w:val="single" w:color="000000" w:sz="4"/>
            </w:tcBorders>
            <w:vAlign w:val="top"/>
          </w:tcPr>
          <w:p>
            <w:pPr>
              <w:jc w:val="center"/>
            </w:pPr>
            <w:r>
              <w:rPr>
                <w:sz w:val="21"/>
              </w:rPr>
              <w:t>公园综合管理服务</w:t>
            </w:r>
          </w:p>
        </w:tc>
        <w:tc>
          <w:tcPr>
            <w:tcW w:type="dxa" w:w="793"/>
            <w:tcBorders>
              <w:top w:val="none" w:color="000000" w:sz="4"/>
              <w:left w:val="none" w:color="000000" w:sz="4"/>
              <w:bottom w:val="single" w:color="000000" w:sz="4"/>
              <w:right w:val="single" w:color="000000" w:sz="4"/>
            </w:tcBorders>
            <w:vAlign w:val="top"/>
          </w:tcPr>
          <w:p>
            <w:pPr>
              <w:jc w:val="center"/>
            </w:pPr>
            <w:r>
              <w:rPr>
                <w:sz w:val="21"/>
              </w:rPr>
              <w:t>9000</w:t>
            </w:r>
          </w:p>
        </w:tc>
        <w:tc>
          <w:tcPr>
            <w:tcW w:type="dxa" w:w="1574"/>
            <w:tcBorders>
              <w:top w:val="none" w:color="000000" w:sz="4"/>
              <w:left w:val="none" w:color="000000" w:sz="4"/>
              <w:bottom w:val="single" w:color="000000" w:sz="4"/>
              <w:right w:val="single" w:color="000000" w:sz="4"/>
            </w:tcBorders>
            <w:vAlign w:val="top"/>
          </w:tcPr>
          <w:p>
            <w:pPr>
              <w:jc w:val="center"/>
            </w:pPr>
            <w:r>
              <w:rPr>
                <w:sz w:val="21"/>
              </w:rPr>
              <w:t>15</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11250</w:t>
            </w:r>
          </w:p>
        </w:tc>
        <w:tc>
          <w:tcPr>
            <w:tcW w:type="dxa" w:w="1195"/>
            <w:tcBorders>
              <w:top w:val="none" w:color="000000" w:sz="4"/>
              <w:left w:val="none" w:color="000000" w:sz="4"/>
              <w:bottom w:val="single" w:color="000000" w:sz="4"/>
              <w:right w:val="single" w:color="000000" w:sz="4"/>
            </w:tcBorders>
            <w:vAlign w:val="top"/>
          </w:tcPr>
          <w:p>
            <w:pPr>
              <w:jc w:val="center"/>
            </w:pPr>
            <w:r>
              <w:rPr>
                <w:sz w:val="21"/>
              </w:rPr>
              <w:t>135000</w:t>
            </w:r>
          </w:p>
        </w:tc>
      </w:tr>
      <w:tr>
        <w:tc>
          <w:tcPr>
            <w:tcW w:type="dxa" w:w="39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10"/>
            <w:tcBorders>
              <w:top w:val="none" w:color="000000" w:sz="4"/>
              <w:left w:val="none" w:color="000000" w:sz="4"/>
              <w:bottom w:val="single" w:color="000000" w:sz="4"/>
              <w:right w:val="single" w:color="000000" w:sz="4"/>
            </w:tcBorders>
            <w:vAlign w:val="top"/>
          </w:tcPr>
          <w:p>
            <w:pPr>
              <w:jc w:val="center"/>
            </w:pPr>
            <w:r>
              <w:rPr>
                <w:sz w:val="21"/>
              </w:rPr>
              <w:t>万科花园公园</w:t>
            </w:r>
          </w:p>
        </w:tc>
        <w:tc>
          <w:tcPr>
            <w:tcW w:type="dxa" w:w="1702"/>
            <w:tcBorders>
              <w:top w:val="none" w:color="000000" w:sz="4"/>
              <w:left w:val="none" w:color="000000" w:sz="4"/>
              <w:bottom w:val="single" w:color="000000" w:sz="4"/>
              <w:right w:val="single" w:color="000000" w:sz="4"/>
            </w:tcBorders>
            <w:vAlign w:val="top"/>
          </w:tcPr>
          <w:p>
            <w:pPr>
              <w:jc w:val="center"/>
            </w:pPr>
            <w:r>
              <w:rPr>
                <w:sz w:val="21"/>
              </w:rPr>
              <w:t>公园综合管理服务</w:t>
            </w:r>
          </w:p>
        </w:tc>
        <w:tc>
          <w:tcPr>
            <w:tcW w:type="dxa" w:w="793"/>
            <w:tcBorders>
              <w:top w:val="none" w:color="000000" w:sz="4"/>
              <w:left w:val="none" w:color="000000" w:sz="4"/>
              <w:bottom w:val="single" w:color="000000" w:sz="4"/>
              <w:right w:val="single" w:color="000000" w:sz="4"/>
            </w:tcBorders>
            <w:vAlign w:val="top"/>
          </w:tcPr>
          <w:p>
            <w:pPr>
              <w:jc w:val="center"/>
            </w:pPr>
            <w:r>
              <w:rPr>
                <w:sz w:val="21"/>
              </w:rPr>
              <w:t>15000</w:t>
            </w:r>
          </w:p>
        </w:tc>
        <w:tc>
          <w:tcPr>
            <w:tcW w:type="dxa" w:w="1574"/>
            <w:tcBorders>
              <w:top w:val="none" w:color="000000" w:sz="4"/>
              <w:left w:val="none" w:color="000000" w:sz="4"/>
              <w:bottom w:val="single" w:color="000000" w:sz="4"/>
              <w:right w:val="single" w:color="000000" w:sz="4"/>
            </w:tcBorders>
            <w:vAlign w:val="top"/>
          </w:tcPr>
          <w:p>
            <w:pPr>
              <w:jc w:val="center"/>
            </w:pPr>
            <w:r>
              <w:rPr>
                <w:sz w:val="21"/>
              </w:rPr>
              <w:t>15</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18750</w:t>
            </w:r>
          </w:p>
        </w:tc>
        <w:tc>
          <w:tcPr>
            <w:tcW w:type="dxa" w:w="1195"/>
            <w:tcBorders>
              <w:top w:val="none" w:color="000000" w:sz="4"/>
              <w:left w:val="none" w:color="000000" w:sz="4"/>
              <w:bottom w:val="single" w:color="000000" w:sz="4"/>
              <w:right w:val="single" w:color="000000" w:sz="4"/>
            </w:tcBorders>
            <w:vAlign w:val="top"/>
          </w:tcPr>
          <w:p>
            <w:pPr>
              <w:jc w:val="center"/>
            </w:pPr>
            <w:r>
              <w:rPr>
                <w:sz w:val="21"/>
              </w:rPr>
              <w:t>225000</w:t>
            </w:r>
          </w:p>
        </w:tc>
      </w:tr>
      <w:tr>
        <w:tc>
          <w:tcPr>
            <w:tcW w:type="dxa" w:w="3305"/>
            <w:gridSpan w:val="3"/>
            <w:tcBorders>
              <w:top w:val="none" w:color="000000" w:sz="4"/>
              <w:left w:val="single" w:color="000000" w:sz="4"/>
              <w:bottom w:val="single" w:color="000000" w:sz="4"/>
              <w:right w:val="single" w:color="000000" w:sz="4"/>
            </w:tcBorders>
            <w:vAlign w:val="top"/>
          </w:tcPr>
          <w:p>
            <w:pPr>
              <w:jc w:val="center"/>
            </w:pPr>
            <w:r>
              <w:rPr>
                <w:sz w:val="21"/>
              </w:rPr>
              <w:t>小</w:t>
            </w:r>
            <w:r>
              <w:rPr>
                <w:sz w:val="21"/>
              </w:rPr>
              <w:t>计</w:t>
            </w:r>
          </w:p>
        </w:tc>
        <w:tc>
          <w:tcPr>
            <w:tcW w:type="dxa" w:w="793"/>
            <w:tcBorders>
              <w:top w:val="none" w:color="000000" w:sz="4"/>
              <w:left w:val="none" w:color="000000" w:sz="4"/>
              <w:bottom w:val="single" w:color="000000" w:sz="4"/>
              <w:right w:val="single" w:color="000000" w:sz="4"/>
            </w:tcBorders>
            <w:vAlign w:val="top"/>
          </w:tcPr>
          <w:p>
            <w:pPr>
              <w:jc w:val="center"/>
            </w:pPr>
            <w:r>
              <w:rPr>
                <w:sz w:val="21"/>
              </w:rPr>
              <w:t>49000</w:t>
            </w:r>
          </w:p>
        </w:tc>
        <w:tc>
          <w:tcPr>
            <w:tcW w:type="dxa" w:w="1574"/>
            <w:tcBorders>
              <w:top w:val="none" w:color="000000" w:sz="4"/>
              <w:left w:val="none" w:color="000000" w:sz="4"/>
              <w:bottom w:val="single" w:color="000000" w:sz="4"/>
              <w:right w:val="single" w:color="000000" w:sz="4"/>
            </w:tcBorders>
            <w:vAlign w:val="top"/>
          </w:tcPr>
          <w:p>
            <w:pPr>
              <w:jc w:val="center"/>
            </w:pPr>
            <w:r>
              <w:rPr>
                <w:sz w:val="21"/>
              </w:rPr>
              <w:t>15</w:t>
            </w:r>
          </w:p>
        </w:tc>
        <w:tc>
          <w:tcPr>
            <w:tcW w:type="dxa" w:w="1384"/>
            <w:tcBorders>
              <w:top w:val="none" w:color="000000" w:sz="4"/>
              <w:left w:val="none" w:color="000000" w:sz="4"/>
              <w:bottom w:val="single" w:color="000000" w:sz="4"/>
              <w:right w:val="single" w:color="000000" w:sz="4"/>
            </w:tcBorders>
            <w:vAlign w:val="top"/>
          </w:tcPr>
          <w:p>
            <w:pPr>
              <w:jc w:val="center"/>
            </w:pPr>
            <w:r>
              <w:rPr>
                <w:sz w:val="21"/>
              </w:rPr>
              <w:t>61250</w:t>
            </w:r>
          </w:p>
        </w:tc>
        <w:tc>
          <w:tcPr>
            <w:tcW w:type="dxa" w:w="1195"/>
            <w:tcBorders>
              <w:top w:val="none" w:color="000000" w:sz="4"/>
              <w:left w:val="none" w:color="000000" w:sz="4"/>
              <w:bottom w:val="single" w:color="000000" w:sz="4"/>
              <w:right w:val="single" w:color="000000" w:sz="4"/>
            </w:tcBorders>
            <w:vAlign w:val="top"/>
          </w:tcPr>
          <w:p>
            <w:pPr>
              <w:jc w:val="center"/>
            </w:pPr>
            <w:r>
              <w:rPr>
                <w:sz w:val="21"/>
              </w:rPr>
              <w:t>735000</w:t>
            </w:r>
          </w:p>
        </w:tc>
      </w:tr>
      <w:tr>
        <w:tc>
          <w:tcPr>
            <w:tcW w:type="dxa" w:w="3305"/>
            <w:gridSpan w:val="3"/>
            <w:tcBorders>
              <w:top w:val="none" w:color="000000" w:sz="4"/>
              <w:left w:val="single" w:color="000000" w:sz="4"/>
              <w:bottom w:val="single" w:color="000000" w:sz="4"/>
              <w:right w:val="single" w:color="000000" w:sz="4"/>
            </w:tcBorders>
            <w:vAlign w:val="top"/>
          </w:tcPr>
          <w:p>
            <w:pPr>
              <w:jc w:val="center"/>
            </w:pPr>
            <w:r>
              <w:rPr>
                <w:sz w:val="21"/>
              </w:rPr>
              <w:t>三年总预算（元）</w:t>
            </w:r>
          </w:p>
        </w:tc>
        <w:tc>
          <w:tcPr>
            <w:tcW w:type="dxa" w:w="4946"/>
            <w:gridSpan w:val="4"/>
            <w:tcBorders>
              <w:top w:val="none" w:color="000000" w:sz="4"/>
              <w:left w:val="none" w:color="000000" w:sz="4"/>
              <w:bottom w:val="single" w:color="000000" w:sz="4"/>
              <w:right w:val="single" w:color="000000" w:sz="4"/>
            </w:tcBorders>
            <w:vAlign w:val="top"/>
          </w:tcPr>
          <w:p>
            <w:pPr>
              <w:jc w:val="center"/>
            </w:pPr>
            <w:r>
              <w:rPr>
                <w:sz w:val="21"/>
              </w:rPr>
              <w:t>2205000</w:t>
            </w:r>
          </w:p>
        </w:tc>
      </w:tr>
    </w:tbl>
    <w:p>
      <w:pPr>
        <w:ind w:firstLine="420"/>
        <w:jc w:val="both"/>
      </w:pPr>
      <w:r>
        <w:rPr>
          <w:sz w:val="21"/>
        </w:rPr>
        <w:t>（三）服务要求</w:t>
      </w:r>
    </w:p>
    <w:p>
      <w:pPr>
        <w:ind w:firstLine="420"/>
        <w:jc w:val="both"/>
      </w:pPr>
      <w:r>
        <w:rPr>
          <w:sz w:val="21"/>
        </w:rPr>
        <w:t>（</w:t>
      </w:r>
      <w:r>
        <w:rPr>
          <w:sz w:val="21"/>
        </w:rPr>
        <w:t>1）绿化养护服务要求</w:t>
      </w:r>
    </w:p>
    <w:p>
      <w:pPr>
        <w:ind w:firstLine="420"/>
        <w:jc w:val="both"/>
      </w:pPr>
      <w:r>
        <w:rPr>
          <w:sz w:val="21"/>
        </w:rPr>
        <w:t>1、机械设备要求具有足够的剪草机、疏草机、修边机、打孔机、打药机、绿篱机、新型手推密闭垃圾收集车及铲、扫把、除“四害”工具等管理机械设备。</w:t>
      </w:r>
    </w:p>
    <w:p>
      <w:pPr>
        <w:ind w:firstLine="420"/>
        <w:jc w:val="both"/>
      </w:pPr>
      <w:r>
        <w:rPr>
          <w:sz w:val="21"/>
        </w:rPr>
        <w:t>2、人员要求</w:t>
      </w:r>
    </w:p>
    <w:p>
      <w:pPr>
        <w:ind w:firstLine="420"/>
        <w:jc w:val="both"/>
      </w:pPr>
      <w:r>
        <w:rPr>
          <w:sz w:val="21"/>
        </w:rPr>
        <w:t>绿化养护工人不少于</w:t>
      </w:r>
      <w:r>
        <w:rPr>
          <w:sz w:val="21"/>
        </w:rPr>
        <w:t>4人。</w:t>
      </w:r>
    </w:p>
    <w:p>
      <w:pPr>
        <w:ind w:firstLine="420"/>
        <w:jc w:val="both"/>
      </w:pPr>
      <w:r>
        <w:rPr>
          <w:sz w:val="21"/>
        </w:rPr>
        <w:t>3、其他要求</w:t>
      </w:r>
    </w:p>
    <w:p>
      <w:pPr>
        <w:ind w:firstLine="420"/>
        <w:jc w:val="both"/>
      </w:pPr>
      <w:r>
        <w:rPr>
          <w:sz w:val="21"/>
        </w:rPr>
        <w:t>①乙方须每月提交书面当月的管理记录，保证记录符合真实情况。</w:t>
      </w:r>
    </w:p>
    <w:p>
      <w:pPr>
        <w:ind w:firstLine="420"/>
        <w:jc w:val="both"/>
      </w:pPr>
      <w:r>
        <w:rPr>
          <w:sz w:val="21"/>
        </w:rPr>
        <w:t>②不管何种原因，一经发现绿化有缺损情况，乙方必须于三天内更换行道树及绿地。</w:t>
      </w:r>
    </w:p>
    <w:p>
      <w:pPr>
        <w:ind w:firstLine="420"/>
        <w:jc w:val="both"/>
      </w:pPr>
      <w:r>
        <w:rPr>
          <w:sz w:val="21"/>
        </w:rPr>
        <w:t>③乙方进行施肥、喷药前，应通知甲方现场验收肥料、农药。</w:t>
      </w:r>
    </w:p>
    <w:p>
      <w:pPr>
        <w:ind w:firstLine="420"/>
        <w:jc w:val="both"/>
      </w:pPr>
      <w:r>
        <w:rPr>
          <w:sz w:val="21"/>
        </w:rPr>
        <w:t>④乙方每年不少于两次刷树干白灰。</w:t>
      </w:r>
    </w:p>
    <w:p>
      <w:pPr>
        <w:ind w:firstLine="420"/>
        <w:jc w:val="both"/>
      </w:pPr>
      <w:r>
        <w:rPr>
          <w:sz w:val="21"/>
        </w:rPr>
        <w:t>⑤树撑：树撑要及时检修，根据实际情况进行调整、修复或拆除。</w:t>
      </w:r>
    </w:p>
    <w:p>
      <w:pPr>
        <w:ind w:firstLine="420"/>
        <w:jc w:val="both"/>
      </w:pPr>
      <w:r>
        <w:rPr>
          <w:sz w:val="21"/>
        </w:rPr>
        <w:t>（</w:t>
      </w:r>
      <w:r>
        <w:rPr>
          <w:sz w:val="21"/>
        </w:rPr>
        <w:t>2）环卫保洁服务要求</w:t>
      </w:r>
    </w:p>
    <w:p>
      <w:pPr>
        <w:ind w:firstLine="420"/>
        <w:jc w:val="both"/>
      </w:pPr>
      <w:r>
        <w:rPr>
          <w:sz w:val="21"/>
        </w:rPr>
        <w:t>1、园区环卫清扫保洁要求</w:t>
      </w:r>
    </w:p>
    <w:p>
      <w:pPr>
        <w:ind w:firstLine="420"/>
        <w:jc w:val="both"/>
      </w:pPr>
      <w:r>
        <w:rPr>
          <w:sz w:val="21"/>
        </w:rPr>
        <w:t>①突击清洁任务，根据要求，一个小时内调动人手完成临时的清洁任务。</w:t>
      </w:r>
    </w:p>
    <w:p>
      <w:pPr>
        <w:ind w:firstLine="420"/>
        <w:jc w:val="both"/>
      </w:pPr>
      <w:r>
        <w:rPr>
          <w:sz w:val="21"/>
        </w:rPr>
        <w:t>②对果皮箱每天按时清掏，保持外观清洁；损坏在2个工作日内及时维修。</w:t>
      </w:r>
    </w:p>
    <w:p>
      <w:pPr>
        <w:ind w:firstLine="420"/>
        <w:jc w:val="both"/>
      </w:pPr>
      <w:r>
        <w:rPr>
          <w:sz w:val="21"/>
        </w:rPr>
        <w:t>2、机械设备及作业要求</w:t>
      </w:r>
    </w:p>
    <w:p>
      <w:pPr>
        <w:ind w:firstLine="420"/>
        <w:jc w:val="both"/>
      </w:pPr>
      <w:r>
        <w:rPr>
          <w:sz w:val="21"/>
        </w:rPr>
        <w:t>垃圾收集车配备</w:t>
      </w:r>
      <w:r>
        <w:rPr>
          <w:sz w:val="21"/>
        </w:rPr>
        <w:t>1台,清理牛皮癣机4台以上、清扫工程用车电动化比率合上级部门要求。密封手推车、铲，扫把，除“四害”工具批（5-11月，每月消毒、杀菌二次,12-4月,每月消毒、杀菌一次)等。</w:t>
      </w:r>
    </w:p>
    <w:p>
      <w:pPr>
        <w:ind w:firstLine="420"/>
        <w:jc w:val="both"/>
      </w:pPr>
      <w:r>
        <w:rPr>
          <w:sz w:val="21"/>
        </w:rPr>
        <w:t>3.人员要求</w:t>
      </w:r>
    </w:p>
    <w:p>
      <w:pPr>
        <w:ind w:firstLine="420"/>
        <w:jc w:val="both"/>
      </w:pPr>
      <w:r>
        <w:rPr>
          <w:sz w:val="21"/>
        </w:rPr>
        <w:t>环卫保洁工人不少于</w:t>
      </w:r>
      <w:r>
        <w:rPr>
          <w:sz w:val="21"/>
        </w:rPr>
        <w:t>6人，</w:t>
      </w:r>
    </w:p>
    <w:p>
      <w:pPr>
        <w:ind w:firstLine="420"/>
        <w:jc w:val="both"/>
      </w:pPr>
      <w:r>
        <w:rPr>
          <w:sz w:val="21"/>
        </w:rPr>
        <w:t>4.其他要求</w:t>
      </w:r>
    </w:p>
    <w:p>
      <w:pPr>
        <w:ind w:firstLine="420"/>
        <w:jc w:val="both"/>
      </w:pPr>
      <w:r>
        <w:rPr>
          <w:sz w:val="21"/>
        </w:rPr>
        <w:t>①中标后，乙方在合同签订后7天须按上述要求备好相关的人员和设备，交甲方检查确认。</w:t>
      </w:r>
    </w:p>
    <w:p>
      <w:pPr>
        <w:ind w:firstLine="420"/>
        <w:jc w:val="both"/>
      </w:pPr>
      <w:r>
        <w:rPr>
          <w:sz w:val="21"/>
        </w:rPr>
        <w:t>②乙方在每月10日前必须发放上个月员工工资。</w:t>
      </w:r>
    </w:p>
    <w:p>
      <w:pPr>
        <w:ind w:firstLine="420"/>
        <w:jc w:val="both"/>
      </w:pPr>
      <w:r>
        <w:rPr>
          <w:sz w:val="21"/>
        </w:rPr>
        <w:t>③乙方必须按规定为员工购买相关险种。</w:t>
      </w:r>
    </w:p>
    <w:p>
      <w:pPr>
        <w:ind w:firstLine="420"/>
        <w:jc w:val="both"/>
      </w:pPr>
      <w:r>
        <w:rPr>
          <w:sz w:val="21"/>
        </w:rPr>
        <w:t>④乙方需无条件协助甲方进行园区内的应急处理工作。</w:t>
      </w:r>
    </w:p>
    <w:p>
      <w:pPr>
        <w:ind w:firstLine="420"/>
        <w:jc w:val="both"/>
      </w:pPr>
      <w:r>
        <w:rPr>
          <w:sz w:val="21"/>
        </w:rPr>
        <w:t>⑤投标人在投标文件中所作的承诺均具有法律效力，若其中标需按其承诺的内容实施环卫保洁，投标人在报价时应充分考虑其承诺内容所产生的费用。</w:t>
      </w:r>
    </w:p>
    <w:p>
      <w:pPr>
        <w:ind w:firstLine="420"/>
        <w:jc w:val="both"/>
      </w:pPr>
      <w:r>
        <w:rPr>
          <w:sz w:val="21"/>
        </w:rPr>
        <w:t>（</w:t>
      </w:r>
      <w:r>
        <w:rPr>
          <w:sz w:val="21"/>
        </w:rPr>
        <w:t>3）市政设施维护服务要求</w:t>
      </w:r>
    </w:p>
    <w:p>
      <w:pPr>
        <w:ind w:firstLine="420"/>
        <w:jc w:val="both"/>
      </w:pPr>
      <w:r>
        <w:rPr>
          <w:sz w:val="21"/>
        </w:rPr>
        <w:t>1、人员要求</w:t>
      </w:r>
    </w:p>
    <w:p>
      <w:pPr>
        <w:ind w:firstLine="420"/>
        <w:jc w:val="both"/>
      </w:pPr>
      <w:r>
        <w:rPr>
          <w:sz w:val="21"/>
        </w:rPr>
        <w:t>持证水电工不少于</w:t>
      </w:r>
      <w:r>
        <w:rPr>
          <w:sz w:val="21"/>
        </w:rPr>
        <w:t>2名，</w:t>
      </w:r>
    </w:p>
    <w:p>
      <w:pPr>
        <w:ind w:firstLine="420"/>
        <w:jc w:val="both"/>
      </w:pPr>
      <w:r>
        <w:rPr>
          <w:sz w:val="21"/>
        </w:rPr>
        <w:t>2、应急项目（如：突击任务抢修、领导交办、网络问政、恶劣天气、市政危险源等需短时间内完成的紧急项目)，乙方必须在接到维护通知1.5小时内到达现场，对应急事件做出回应并马上进行妥善处理。</w:t>
      </w:r>
    </w:p>
    <w:p>
      <w:pPr>
        <w:ind w:firstLine="420"/>
        <w:jc w:val="both"/>
      </w:pPr>
      <w:r>
        <w:rPr>
          <w:sz w:val="21"/>
        </w:rPr>
        <w:t>3、乙方每天对维护范围内的所有设施进行巡查；如发现问题，负责按规范要求设置安全警示，并进行拍照丈量，向甲方提交照片及相关资料，待甲方确认并同意施工后，方能对现场进行施工。</w:t>
      </w:r>
    </w:p>
    <w:p>
      <w:pPr>
        <w:ind w:firstLine="420"/>
        <w:jc w:val="both"/>
      </w:pPr>
      <w:r>
        <w:rPr>
          <w:sz w:val="21"/>
        </w:rPr>
        <w:t>4、乙方应设立每日巡查制度和群众投诉电话，发现问题要及时记录并上报甲方。所有市政设施发现被损坏或被盗，存在安全隐患的，必须立刻上报甲方，甲方同意施工的，必须在12小时内修复，特殊原因不能立即修复的必须在2小时内做好安全警示。</w:t>
      </w:r>
    </w:p>
    <w:p>
      <w:pPr>
        <w:ind w:firstLine="420"/>
        <w:jc w:val="both"/>
      </w:pPr>
      <w:r>
        <w:rPr>
          <w:sz w:val="21"/>
        </w:rPr>
        <w:t>5、在协议服务期限内，如有紧急或重要任务的，乙方必须无条件承接和服从甲方的工作安排，包括跨区域的工作任务。</w:t>
      </w:r>
    </w:p>
    <w:p>
      <w:pPr>
        <w:ind w:firstLine="420"/>
        <w:jc w:val="both"/>
      </w:pPr>
      <w:r>
        <w:rPr>
          <w:sz w:val="21"/>
        </w:rPr>
        <w:t>6、如因乙方未能按要求及时到达现场并做好安全警示工作，或未按时间要求完成修复工作，而造成恶劣影响的，需赔偿甲方全部损失，并向甲方支付5000-10000元违约金，情节严重的，甲方有权单方面解除合同。</w:t>
      </w:r>
    </w:p>
    <w:p>
      <w:pPr>
        <w:ind w:firstLine="420"/>
        <w:jc w:val="both"/>
      </w:pPr>
      <w:r>
        <w:rPr>
          <w:sz w:val="21"/>
        </w:rPr>
        <w:t>（</w:t>
      </w:r>
      <w:r>
        <w:rPr>
          <w:sz w:val="21"/>
        </w:rPr>
        <w:t>4）保安服务要求</w:t>
      </w:r>
    </w:p>
    <w:p>
      <w:pPr>
        <w:ind w:firstLine="420"/>
        <w:jc w:val="both"/>
      </w:pPr>
      <w:r>
        <w:rPr>
          <w:sz w:val="21"/>
        </w:rPr>
        <w:t>1、服务内容：主要承担对园区各乱摆卖摊贩的驱赶和劝离、对违规“乱拉挂”行为的制止和清理、对违规倾倒生活、建筑及工业垃圾行为的巡查和制止对未经审批施工及施工过程中随意破坏市政设施行为的监管和制止、对烧垃圾的行为的巡查和制止、对乱堆放建筑材料行为的监管和制止、对园区内各公园公共安全秩序的管理和维护，并协助执法人员对园区内违章搭建、乱张贴广告、乱填土、路面污染、噪音污染、野泳、钓鱼、网鱼等违法行为进行查处；日常工作中亦需服从甲方的安排，完成甲方交待的其它工作。</w:t>
      </w:r>
    </w:p>
    <w:p>
      <w:pPr>
        <w:ind w:firstLine="420"/>
        <w:jc w:val="both"/>
      </w:pPr>
      <w:r>
        <w:rPr>
          <w:sz w:val="21"/>
        </w:rPr>
        <w:t>2、服务时间、地点：具体的排班由乙方安排，甲方可根据实际情况要求对排班情况进行调整，根据实际工作需要机动调整保安员的工作时间和工作地点，若临时安排整治行动，乙方需保证在接到通知后二十分钟内安排人员到位。</w:t>
      </w:r>
    </w:p>
    <w:p>
      <w:pPr>
        <w:ind w:firstLine="420"/>
        <w:jc w:val="both"/>
      </w:pPr>
      <w:r>
        <w:rPr>
          <w:sz w:val="21"/>
        </w:rPr>
        <w:t>（</w:t>
      </w:r>
      <w:r>
        <w:rPr>
          <w:sz w:val="21"/>
        </w:rPr>
        <w:t>5）其他服务要求</w:t>
      </w:r>
    </w:p>
    <w:p>
      <w:pPr>
        <w:ind w:firstLine="420"/>
        <w:jc w:val="both"/>
      </w:pPr>
      <w:r>
        <w:rPr>
          <w:sz w:val="21"/>
        </w:rPr>
        <w:t>1、以上人员和机械数是最低要求，如未能达到相应的作业效果，乙方应增加人员和机械的投入。</w:t>
      </w:r>
    </w:p>
    <w:p>
      <w:pPr>
        <w:ind w:firstLine="420"/>
        <w:jc w:val="both"/>
      </w:pPr>
      <w:r>
        <w:rPr>
          <w:sz w:val="21"/>
        </w:rPr>
        <w:t>2、未尽事宜，按照东莞市地方和行业相关的要求来执行。</w:t>
      </w:r>
    </w:p>
    <w:p>
      <w:pPr>
        <w:ind w:firstLine="420"/>
        <w:jc w:val="both"/>
      </w:pPr>
      <w:r>
        <w:rPr>
          <w:sz w:val="21"/>
        </w:rPr>
        <w:t>（四）质量标准</w:t>
      </w:r>
    </w:p>
    <w:p>
      <w:pPr>
        <w:ind w:firstLine="420"/>
        <w:jc w:val="both"/>
      </w:pPr>
      <w:r>
        <w:rPr>
          <w:sz w:val="21"/>
        </w:rPr>
        <w:t>（</w:t>
      </w:r>
      <w:r>
        <w:rPr>
          <w:sz w:val="21"/>
        </w:rPr>
        <w:t>1）绿化养护质量标准</w:t>
      </w:r>
    </w:p>
    <w:p>
      <w:pPr>
        <w:ind w:firstLine="420"/>
        <w:jc w:val="both"/>
      </w:pPr>
      <w:r>
        <w:rPr>
          <w:sz w:val="21"/>
        </w:rPr>
        <w:t>绿化养护参照广东省《城市绿地养护技术规范》</w:t>
      </w:r>
      <w:r>
        <w:rPr>
          <w:sz w:val="21"/>
        </w:rPr>
        <w:t>(DB44/T268-2005)一级标准进行养护。基本标准为：</w:t>
      </w:r>
    </w:p>
    <w:p>
      <w:pPr>
        <w:ind w:firstLine="420"/>
        <w:jc w:val="both"/>
      </w:pPr>
      <w:r>
        <w:rPr>
          <w:sz w:val="21"/>
        </w:rPr>
        <w:t>1、严格按照DB44/T 268-2005的规定对绿地进行养护。制定完善的养护技术方案，建有工种齐全和固定的养护队伍，养护到位、得当，达到黄土不露天，绿地总体景观好。</w:t>
      </w:r>
    </w:p>
    <w:p>
      <w:pPr>
        <w:ind w:firstLine="420"/>
        <w:jc w:val="both"/>
      </w:pPr>
      <w:r>
        <w:rPr>
          <w:sz w:val="21"/>
        </w:rPr>
        <w:t>2、园林植物</w:t>
      </w:r>
    </w:p>
    <w:p>
      <w:pPr>
        <w:ind w:firstLine="420"/>
        <w:jc w:val="both"/>
      </w:pPr>
      <w:r>
        <w:rPr>
          <w:sz w:val="21"/>
        </w:rPr>
        <w:t>2.1 草坪植物叶片健壮、色泽纯正，无枯黄叶；其他植物的新梢粗壮、叶片健壮、叶色纯正，无枯枝败叶。新建植草坪的绿色期和覆盖率在一年内、其他新物种的生长状况在两年内达到一级养护标准。</w:t>
      </w:r>
    </w:p>
    <w:p>
      <w:pPr>
        <w:ind w:firstLine="420"/>
        <w:jc w:val="both"/>
      </w:pPr>
      <w:r>
        <w:rPr>
          <w:sz w:val="21"/>
        </w:rPr>
        <w:t>2.2 乔木树冠完整、美观，生长旺盛，开花结果正常；主侧枝分布均匀，分枝点高度与树种特性相适应，分枝不影响游览和观景。无死株、缺株。行道树的体量、高度基本保持一致，下缘线和分枝点的高度控制符合DB44/T268-2005的规定，倾斜率小于3%。</w:t>
      </w:r>
    </w:p>
    <w:p>
      <w:pPr>
        <w:ind w:firstLine="420"/>
        <w:jc w:val="both"/>
      </w:pPr>
      <w:r>
        <w:rPr>
          <w:sz w:val="21"/>
        </w:rPr>
        <w:t>2.3 花灌木生长旺盛，株型完整、丰满，开花适时，花繁枝茂，花后修剪合理、及时。木本地被植物生长旺盛，覆盖率达到99%以上，无杂草，无死株、缺株。</w:t>
      </w:r>
    </w:p>
    <w:p>
      <w:pPr>
        <w:ind w:firstLine="420"/>
        <w:jc w:val="both"/>
      </w:pPr>
      <w:r>
        <w:rPr>
          <w:sz w:val="21"/>
        </w:rPr>
        <w:t>2.4 花坛、花带及绿篱轮廓清晰、层次分明，整齐美观，无残缺，无杂草，修剪及时、得当。</w:t>
      </w:r>
    </w:p>
    <w:p>
      <w:pPr>
        <w:ind w:firstLine="420"/>
        <w:jc w:val="both"/>
      </w:pPr>
      <w:r>
        <w:rPr>
          <w:sz w:val="21"/>
        </w:rPr>
        <w:t>2.5 造型植物修剪及时、得当，线条齐整、圆滑、流畅。规则式种植的造型植物，形状或体量保持一致；自然式种植的，形状和体量大小符合设计和景观的要求。</w:t>
      </w:r>
    </w:p>
    <w:p>
      <w:pPr>
        <w:ind w:firstLine="420"/>
        <w:jc w:val="both"/>
      </w:pPr>
      <w:r>
        <w:rPr>
          <w:sz w:val="21"/>
        </w:rPr>
        <w:t>2.6 藤本植物生长旺盛，开花适时，牵引得当、及时，覆盖率不低于90%。</w:t>
      </w:r>
    </w:p>
    <w:p>
      <w:pPr>
        <w:ind w:firstLine="420"/>
        <w:jc w:val="both"/>
      </w:pPr>
      <w:r>
        <w:rPr>
          <w:sz w:val="21"/>
        </w:rPr>
        <w:t>2.7 草本花卉生长旺盛，株型匀称、完整美观，开花适时、花繁、色正，开花时覆盖率达到95%，无杂草；花后需修剪的，修剪合理、及时。</w:t>
      </w:r>
    </w:p>
    <w:p>
      <w:pPr>
        <w:ind w:firstLine="420"/>
        <w:jc w:val="both"/>
      </w:pPr>
      <w:r>
        <w:rPr>
          <w:sz w:val="21"/>
        </w:rPr>
        <w:t>2.8 草坪的绿色期不少于280天，覆盖率不小于99%，杂草的覆盖率不超过1%，无积水、修剪及时、合理。</w:t>
      </w:r>
    </w:p>
    <w:p>
      <w:pPr>
        <w:ind w:firstLine="420"/>
        <w:jc w:val="both"/>
      </w:pPr>
      <w:r>
        <w:rPr>
          <w:sz w:val="21"/>
        </w:rPr>
        <w:t>2.9 水生植物生长旺盛，开花适时，生长范围符合景观要求。</w:t>
      </w:r>
    </w:p>
    <w:p>
      <w:pPr>
        <w:ind w:firstLine="420"/>
        <w:jc w:val="both"/>
      </w:pPr>
      <w:r>
        <w:rPr>
          <w:sz w:val="21"/>
        </w:rPr>
        <w:t>2.10 补植、改植于3天内完成。草坪补植或改植后一个月内覆盖率达到98%以上，其他植物补植或改植的成活率达到100%。</w:t>
      </w:r>
    </w:p>
    <w:p>
      <w:pPr>
        <w:ind w:firstLine="420"/>
        <w:jc w:val="both"/>
      </w:pPr>
      <w:r>
        <w:rPr>
          <w:sz w:val="21"/>
        </w:rPr>
        <w:t>2.11 病虫害控制及时、有效，被害植株不超过3%，被害叶片不超过植株叶片总量的1%，有害植物的危害得到及时治理，基本无鼠害。</w:t>
      </w:r>
    </w:p>
    <w:p>
      <w:pPr>
        <w:ind w:firstLine="420"/>
        <w:jc w:val="both"/>
      </w:pPr>
      <w:r>
        <w:rPr>
          <w:sz w:val="21"/>
        </w:rPr>
        <w:t>3、绿地内园林建筑小品及园路、铺装场地等设施的维护符合DB44/T268-2005的规定。</w:t>
      </w:r>
    </w:p>
    <w:p>
      <w:pPr>
        <w:ind w:firstLine="420"/>
        <w:jc w:val="both"/>
      </w:pPr>
      <w:r>
        <w:rPr>
          <w:sz w:val="21"/>
        </w:rPr>
        <w:t>4、有科学合理古树名木养护技术方案，严格按照DB44/T268-2005的规定进行养护。</w:t>
      </w:r>
    </w:p>
    <w:p>
      <w:pPr>
        <w:ind w:firstLine="420"/>
        <w:jc w:val="both"/>
      </w:pPr>
      <w:r>
        <w:rPr>
          <w:sz w:val="21"/>
        </w:rPr>
        <w:t>5、喷淋系统：喷淋系统要及时检修，喷头正常喷水，未发生管道漏水。</w:t>
      </w:r>
    </w:p>
    <w:p>
      <w:pPr>
        <w:ind w:firstLine="420"/>
        <w:jc w:val="both"/>
      </w:pPr>
      <w:r>
        <w:rPr>
          <w:sz w:val="21"/>
        </w:rPr>
        <w:t>6、施肥</w:t>
      </w:r>
    </w:p>
    <w:p>
      <w:pPr>
        <w:ind w:firstLine="420"/>
        <w:jc w:val="both"/>
      </w:pPr>
      <w:r>
        <w:rPr>
          <w:sz w:val="21"/>
        </w:rPr>
        <w:t>6.1 提倡平衡施肥技术，肥料的种类及数量应根据植物种类（品种）、生长发育阶段及观赏性不同而确定。生长期应施氮肥为主的完全肥，发育期应增施磷、钾肥。每次施肥量应考虑施肥方法。施肥应以有机肥料为主，无机肥料为辅；不应长期在同一地块施用同一种无机肥料，以免破坏土壤的理化性状。</w:t>
      </w:r>
    </w:p>
    <w:p>
      <w:pPr>
        <w:ind w:firstLine="420"/>
        <w:jc w:val="both"/>
      </w:pPr>
      <w:r>
        <w:rPr>
          <w:sz w:val="21"/>
        </w:rPr>
        <w:t>6.2 施肥要求：乔灌木每年不少于2次，2-3月和9-10月重点进行施肥，复合肥和基肥结合，每次2-3千克/株，对角埋施、新种、补种、生长势弱树木可适时适量多施；观花灌木每年不少于3次，每次0.5千克/单株；成片花卉每月撒施复合肥1次，每次0.15千克/平方米，每年根据其长势和覆盖率情况适当施基肥1-2次，每次0.5千克/平方米；绿篱每年撒施复合肥不少于2次，每次0.15千克/平方米，每年根据其长势和覆盖率情况适当施基肥1-2次，每次0.5千克/平方米；草地、地被每年不少于2次，每次施尿素0.1千克/平方米。</w:t>
      </w:r>
    </w:p>
    <w:p>
      <w:pPr>
        <w:ind w:firstLine="420"/>
        <w:jc w:val="both"/>
      </w:pPr>
      <w:r>
        <w:rPr>
          <w:sz w:val="21"/>
        </w:rPr>
        <w:t>6.3 施肥应避免在雨天进行。其中，根外追肥宜在清晨或傍晚进行，浓度一般不宜大于1.5%。除根外追肥外，肥料不得触及目的植物的叶片。</w:t>
      </w:r>
    </w:p>
    <w:p>
      <w:pPr>
        <w:ind w:firstLine="420"/>
        <w:jc w:val="both"/>
      </w:pPr>
      <w:r>
        <w:rPr>
          <w:sz w:val="21"/>
        </w:rPr>
        <w:t>乙方施肥前应提早三天通知甲方到场监督，该次施肥的购肥发票应交给甲方备案，购肥发票反映的肥料用量作为评定乙方有否按约定履行施肥义务的根据，如乙方拒交相关购肥发票的，甲方有权拒付当期管理费用。</w:t>
      </w:r>
    </w:p>
    <w:p>
      <w:pPr>
        <w:ind w:firstLine="420"/>
        <w:jc w:val="both"/>
      </w:pPr>
      <w:r>
        <w:rPr>
          <w:sz w:val="21"/>
        </w:rPr>
        <w:t>7、淋水要求：旱季一般乔木3-5天淋水1次，新补植乔木，淋好定根水后，一周内每天淋水1次；单丛灌木、成片花卉、绿篱一般2-3天淋水1次，补植后一周内每天淋水1次，施肥和补植需加强淋水；草地、地被一般每天淋水1次。雨季根据天气情况适当调节。</w:t>
      </w:r>
    </w:p>
    <w:p>
      <w:pPr>
        <w:ind w:firstLine="420"/>
        <w:jc w:val="both"/>
      </w:pPr>
      <w:r>
        <w:rPr>
          <w:sz w:val="21"/>
        </w:rPr>
        <w:t>8、苗木修剪</w:t>
      </w:r>
    </w:p>
    <w:p>
      <w:pPr>
        <w:ind w:firstLine="420"/>
        <w:jc w:val="both"/>
      </w:pPr>
      <w:r>
        <w:rPr>
          <w:sz w:val="21"/>
        </w:rPr>
        <w:t>8.1 自然形乔木每年不少于1次，造型乔木每年不少于4次。主要修剪内膛枝、徒长枝、病虫枝、交叉枝、下垂枝、扭伤枝及枯枝烂头等。庭荫树的分枝点应随着树木生长逐步提高，树冠与树干高度的比例应在7:3至6:4之间。行道树在同一路段的分枝点高低、树高、冠幅大小应基本一致。</w:t>
      </w:r>
    </w:p>
    <w:p>
      <w:pPr>
        <w:ind w:firstLine="420"/>
        <w:jc w:val="both"/>
      </w:pPr>
      <w:r>
        <w:rPr>
          <w:sz w:val="21"/>
        </w:rPr>
        <w:t>8.2 自然形成灌木每年不少于2次，造型灌木每年不少于4次。灌木修剪应促进枝繁叶茂、分布均匀。花灌木修剪要有利于短枝和花芽的形成，遵循“自上而下、先内后外、去弱留强、去老留新”的原则进行修剪。</w:t>
      </w:r>
    </w:p>
    <w:p>
      <w:pPr>
        <w:ind w:firstLine="420"/>
        <w:jc w:val="both"/>
      </w:pPr>
      <w:r>
        <w:rPr>
          <w:sz w:val="21"/>
        </w:rPr>
        <w:t>8.3 绿篱修剪一般按造型修剪的方法进行，按照规定的形状和高度修剪。每次修剪应保持形状轮廓线条清晰、表面平整、圆滑。修剪后新梢生长超过10厘米时，应进行第二次修剪。</w:t>
      </w:r>
    </w:p>
    <w:p>
      <w:pPr>
        <w:ind w:firstLine="420"/>
        <w:jc w:val="both"/>
      </w:pPr>
      <w:r>
        <w:rPr>
          <w:sz w:val="21"/>
        </w:rPr>
        <w:t>8.4 草坪修剪要促进分枝，加速覆盖功能，修剪高度应保持在6-8厘米，当草高超过12厘米时必须进行修剪。</w:t>
      </w:r>
    </w:p>
    <w:p>
      <w:pPr>
        <w:ind w:firstLine="420"/>
        <w:jc w:val="both"/>
      </w:pPr>
      <w:r>
        <w:rPr>
          <w:sz w:val="21"/>
        </w:rPr>
        <w:t>8.5 休眠期修剪以整形为主，可稍重剪，生长期修剪以调整树势为主，宜轻剪。修剪要避开树木伤流盛期。绿化修剪后的枯枝干叶等，在修剪当天及时清理运走，并及时清除灌木丛上的修剪枝，苗木落叶当天及时清扫保洁。</w:t>
      </w:r>
    </w:p>
    <w:p>
      <w:pPr>
        <w:ind w:firstLine="420"/>
        <w:jc w:val="both"/>
      </w:pPr>
      <w:r>
        <w:rPr>
          <w:sz w:val="21"/>
        </w:rPr>
        <w:t>9、节假日、全民义务植树活动活突击性的植树绿化任务，能按时、按标准、按要求完成分配的工作。每逢节假日，如春节、元旦、五一、国庆节等或某些特殊日子，能按上级要求完成特别安排的工作。</w:t>
      </w:r>
    </w:p>
    <w:p>
      <w:pPr>
        <w:ind w:firstLine="420"/>
        <w:jc w:val="both"/>
      </w:pPr>
      <w:r>
        <w:rPr>
          <w:sz w:val="21"/>
        </w:rPr>
        <w:t>10、防止意外及修复工作包括防台风、防汛、防寒等以及防止其它因素对绿地造成的损坏等并定期巡视挡土墙及边坡，防止滑坡。台风吹袭期间在确保安全的情况下迅速清理倒树断枝，疏通道路。台风后及时进行扶树、护树、补好残缺、清理断枝、落叶和垃圾，使绿化景观尽快恢复。遇雷电风雨、人畜危害而使树木歪斜或倒枝断枝，要立即处理，疏通交通。未能按要求及时完成清理、恢复原状工作的，当月考核评分档次为差；在甲方根据实际情况设定的恢复原状时间内，受损害部分的绿化景观将不列入考核评分范围内。</w:t>
      </w:r>
    </w:p>
    <w:p>
      <w:pPr>
        <w:ind w:firstLine="420"/>
        <w:jc w:val="both"/>
      </w:pPr>
      <w:r>
        <w:rPr>
          <w:sz w:val="21"/>
        </w:rPr>
        <w:t>11、绿地维护、保护及监管</w:t>
      </w:r>
    </w:p>
    <w:p>
      <w:pPr>
        <w:ind w:firstLine="420"/>
        <w:jc w:val="both"/>
      </w:pPr>
      <w:r>
        <w:rPr>
          <w:sz w:val="21"/>
        </w:rPr>
        <w:t>11.1 管理单位有义务保护绿地红线范围内不被侵占，绿地版图完整，花草树木不受破坏，无乱摆乱卖、乱停乱放现象。确保绿地外2米的空置地没有垃圾、杂物堆放，没有影响绿地美观的杂草丛生。</w:t>
      </w:r>
    </w:p>
    <w:p>
      <w:pPr>
        <w:ind w:firstLine="420"/>
        <w:jc w:val="both"/>
      </w:pPr>
      <w:r>
        <w:rPr>
          <w:sz w:val="21"/>
        </w:rPr>
        <w:t>11.2 要求保护绿地红线和红线内的花草树木，对任何侵占和破坏行为要加以制止并及时报告管理部门。经上级批准临时占用的绿地，应监督期限内恢复原状，如有超过审批面积或数量，要去立即上报。</w:t>
      </w:r>
    </w:p>
    <w:p>
      <w:pPr>
        <w:ind w:firstLine="420"/>
        <w:jc w:val="both"/>
      </w:pPr>
      <w:r>
        <w:rPr>
          <w:sz w:val="21"/>
        </w:rPr>
        <w:t>11.3 乙方要加强监管，使绿地内没有堆放东西和停放自行车、机动车，没有行人穿越绿地，没有人力车和机动车驶进草地，没有设摊摆摊，没有在绿地内玩耍、乘凉、攀折树木花草、采摘花果、损坏或窃取树木花草或绿化设施及其它损害花草树木的活动或行为，没有在树上挂标语、晾衣服等现象。</w:t>
      </w:r>
    </w:p>
    <w:p>
      <w:pPr>
        <w:ind w:firstLine="420"/>
        <w:jc w:val="both"/>
      </w:pPr>
      <w:r>
        <w:rPr>
          <w:sz w:val="21"/>
        </w:rPr>
        <w:t>12、安全作业</w:t>
      </w:r>
    </w:p>
    <w:p>
      <w:pPr>
        <w:ind w:firstLine="420"/>
        <w:jc w:val="both"/>
      </w:pPr>
      <w:r>
        <w:rPr>
          <w:sz w:val="21"/>
        </w:rPr>
        <w:t>12.1 园林机械的操作人员，应在上岗前接受必要的岗前培训。凡持证上岗的，必须取得相应的上岗证并报送甲方备案，并应严格按照操作规程作业。园林机械作业前，应对施工现场进行围合及标示。</w:t>
      </w:r>
    </w:p>
    <w:p>
      <w:pPr>
        <w:ind w:firstLine="420"/>
        <w:jc w:val="both"/>
      </w:pPr>
      <w:r>
        <w:rPr>
          <w:sz w:val="21"/>
        </w:rPr>
        <w:t>12.2 在城市主、次干道，快速路或高速公路上作业时，宜选择在非交通繁忙时段进行。作业人员必须披戴具有反光标志的背心，并在距离作业点正、反方向分别不少于80m和150m的地方设置反光警示牌及其他警示标志。</w:t>
      </w:r>
    </w:p>
    <w:p>
      <w:pPr>
        <w:ind w:firstLine="420"/>
        <w:jc w:val="both"/>
      </w:pPr>
      <w:r>
        <w:rPr>
          <w:sz w:val="21"/>
        </w:rPr>
        <w:t>12.3 截除较大的树枝、藤蔓或砍伐清除枯死的树枝时，应预先制定施工方案和应急预案，采取必要的安全措施。</w:t>
      </w:r>
    </w:p>
    <w:p>
      <w:pPr>
        <w:ind w:firstLine="420"/>
        <w:jc w:val="both"/>
      </w:pPr>
      <w:r>
        <w:rPr>
          <w:sz w:val="21"/>
        </w:rPr>
        <w:t>13、乙方要按照每月的工作计划内容及进度，正确填写《日常管理作业记录表》。</w:t>
      </w:r>
    </w:p>
    <w:p>
      <w:pPr>
        <w:ind w:firstLine="420"/>
        <w:jc w:val="both"/>
      </w:pPr>
      <w:r>
        <w:rPr>
          <w:sz w:val="21"/>
        </w:rPr>
        <w:t>（</w:t>
      </w:r>
      <w:r>
        <w:rPr>
          <w:sz w:val="21"/>
        </w:rPr>
        <w:t>2）环卫质量标准</w:t>
      </w:r>
    </w:p>
    <w:p>
      <w:pPr>
        <w:ind w:firstLine="420"/>
        <w:jc w:val="both"/>
      </w:pPr>
      <w:r>
        <w:rPr>
          <w:sz w:val="21"/>
        </w:rPr>
        <w:t>环卫保洁参照《城市环境卫生质量标准》一级标准和《东莞市市区道路环卫保洁标准及检查考核办法》进行管理。基本标准为：</w:t>
      </w:r>
    </w:p>
    <w:p>
      <w:pPr>
        <w:ind w:firstLine="420"/>
        <w:jc w:val="both"/>
      </w:pPr>
      <w:r>
        <w:rPr>
          <w:sz w:val="21"/>
        </w:rPr>
        <w:t>1、严格按照《城市环境卫生质量标准》和《东莞市市区道路环卫保洁标准及检查考核办法》的规定对道路和环卫设施进行清扫及保洁。</w:t>
      </w:r>
    </w:p>
    <w:p>
      <w:pPr>
        <w:ind w:firstLine="420"/>
        <w:jc w:val="both"/>
      </w:pPr>
      <w:r>
        <w:rPr>
          <w:sz w:val="21"/>
        </w:rPr>
        <w:t>2、卫生质量标准以“九无”(无果皮、无纸屑、无塑膜、无痰迹、无污水、无暴露垃圾、无人畜粪便、无乱张贴、路牙无泥沙)；“四净”(路面净、果皮箱净、树穴绿化带净、地下通道净)“一通”(下水道口通)为标准。</w:t>
      </w:r>
    </w:p>
    <w:p>
      <w:pPr>
        <w:ind w:firstLine="420"/>
        <w:jc w:val="both"/>
      </w:pPr>
      <w:r>
        <w:rPr>
          <w:sz w:val="21"/>
        </w:rPr>
        <w:t>3、清扫作业，机动车道为机械清扫，人行单车混合道为人扫，保证每天上午7点、下午2：30分之前完成大扫作业，并采取全路段，全天候保洁，即7点—23点为保洁和检查时间。</w:t>
      </w:r>
    </w:p>
    <w:p>
      <w:pPr>
        <w:ind w:firstLine="420"/>
        <w:jc w:val="both"/>
      </w:pPr>
      <w:r>
        <w:rPr>
          <w:sz w:val="21"/>
        </w:rPr>
        <w:t>4、在保洁时间内，路面废弃物应符合下列规定，候车亭、地下通道的保洁质量与机动车道、人行道的保洁质量相同。</w:t>
      </w:r>
    </w:p>
    <w:tbl>
      <w:tblPr>
        <w:tblW w:w="0" w:type="auto"/>
        <w:tblBorders>
          <w:top w:val="none" w:color="000000" w:sz="4"/>
          <w:left w:val="none" w:color="000000" w:sz="4"/>
          <w:bottom w:val="none" w:color="000000" w:sz="4"/>
          <w:right w:val="none" w:color="000000" w:sz="4"/>
          <w:insideH w:val="none"/>
          <w:insideV w:val="none"/>
        </w:tblBorders>
      </w:tblPr>
      <w:tblGrid>
        <w:gridCol w:w="1299"/>
        <w:gridCol w:w="1299"/>
        <w:gridCol w:w="1299"/>
        <w:gridCol w:w="1299"/>
        <w:gridCol w:w="1129"/>
        <w:gridCol w:w="679"/>
        <w:gridCol w:w="1299"/>
      </w:tblGrid>
      <w:tr>
        <w:tc>
          <w:tcPr>
            <w:tcW w:type="dxa" w:w="1299"/>
            <w:tcBorders>
              <w:top w:val="single" w:color="000000" w:sz="4"/>
              <w:left w:val="single" w:color="000000" w:sz="4"/>
              <w:bottom w:val="single" w:color="000000" w:sz="4"/>
              <w:right w:val="single" w:color="000000" w:sz="4"/>
            </w:tcBorders>
            <w:vAlign w:val="top"/>
          </w:tcPr>
          <w:p>
            <w:pPr>
              <w:jc w:val="center"/>
            </w:pPr>
            <w:r>
              <w:rPr>
                <w:sz w:val="21"/>
              </w:rPr>
              <w:t>果皮</w:t>
            </w:r>
          </w:p>
        </w:tc>
        <w:tc>
          <w:tcPr>
            <w:tcW w:type="dxa" w:w="1299"/>
            <w:tcBorders>
              <w:top w:val="single" w:color="000000" w:sz="4"/>
              <w:left w:val="none" w:color="000000" w:sz="4"/>
              <w:bottom w:val="single" w:color="000000" w:sz="4"/>
              <w:right w:val="single" w:color="000000" w:sz="4"/>
            </w:tcBorders>
            <w:vAlign w:val="top"/>
          </w:tcPr>
          <w:p>
            <w:pPr>
              <w:jc w:val="center"/>
            </w:pPr>
            <w:r>
              <w:rPr>
                <w:sz w:val="21"/>
              </w:rPr>
              <w:t>纸屑塑膜</w:t>
            </w:r>
          </w:p>
        </w:tc>
        <w:tc>
          <w:tcPr>
            <w:tcW w:type="dxa" w:w="1299"/>
            <w:tcBorders>
              <w:top w:val="single" w:color="000000" w:sz="4"/>
              <w:left w:val="none" w:color="000000" w:sz="4"/>
              <w:bottom w:val="single" w:color="000000" w:sz="4"/>
              <w:right w:val="single" w:color="000000" w:sz="4"/>
            </w:tcBorders>
            <w:vAlign w:val="top"/>
          </w:tcPr>
          <w:p>
            <w:pPr>
              <w:jc w:val="center"/>
            </w:pPr>
            <w:r>
              <w:rPr>
                <w:sz w:val="21"/>
              </w:rPr>
              <w:t>烟蒂</w:t>
            </w:r>
          </w:p>
        </w:tc>
        <w:tc>
          <w:tcPr>
            <w:tcW w:type="dxa" w:w="1299"/>
            <w:tcBorders>
              <w:top w:val="single" w:color="000000" w:sz="4"/>
              <w:left w:val="none" w:color="000000" w:sz="4"/>
              <w:bottom w:val="single" w:color="000000" w:sz="4"/>
              <w:right w:val="single" w:color="000000" w:sz="4"/>
            </w:tcBorders>
            <w:vAlign w:val="top"/>
          </w:tcPr>
          <w:p>
            <w:pPr>
              <w:jc w:val="center"/>
            </w:pPr>
            <w:r>
              <w:rPr>
                <w:sz w:val="21"/>
              </w:rPr>
              <w:t>痰迹</w:t>
            </w:r>
          </w:p>
        </w:tc>
        <w:tc>
          <w:tcPr>
            <w:tcW w:type="dxa" w:w="1129"/>
            <w:tcBorders>
              <w:top w:val="single" w:color="000000" w:sz="4"/>
              <w:left w:val="none" w:color="000000" w:sz="4"/>
              <w:bottom w:val="single" w:color="000000" w:sz="4"/>
              <w:right w:val="single" w:color="000000" w:sz="4"/>
            </w:tcBorders>
            <w:vAlign w:val="top"/>
          </w:tcPr>
          <w:p>
            <w:pPr>
              <w:jc w:val="center"/>
            </w:pPr>
            <w:r>
              <w:rPr>
                <w:sz w:val="21"/>
              </w:rPr>
              <w:t>乱张贴画</w:t>
            </w:r>
          </w:p>
        </w:tc>
        <w:tc>
          <w:tcPr>
            <w:tcW w:type="dxa" w:w="679"/>
            <w:tcBorders>
              <w:top w:val="single" w:color="000000" w:sz="4"/>
              <w:left w:val="none" w:color="000000" w:sz="4"/>
              <w:bottom w:val="single" w:color="000000" w:sz="4"/>
              <w:right w:val="single" w:color="000000" w:sz="4"/>
            </w:tcBorders>
            <w:vAlign w:val="top"/>
          </w:tcPr>
          <w:p>
            <w:pPr>
              <w:jc w:val="center"/>
            </w:pPr>
            <w:r>
              <w:rPr>
                <w:sz w:val="21"/>
              </w:rPr>
              <w:t>污水</w:t>
            </w:r>
          </w:p>
        </w:tc>
        <w:tc>
          <w:tcPr>
            <w:tcW w:type="dxa" w:w="1299"/>
            <w:tcBorders>
              <w:top w:val="single" w:color="000000" w:sz="4"/>
              <w:left w:val="none" w:color="000000" w:sz="4"/>
              <w:bottom w:val="single" w:color="000000" w:sz="4"/>
              <w:right w:val="single" w:color="000000" w:sz="4"/>
            </w:tcBorders>
            <w:vAlign w:val="top"/>
          </w:tcPr>
          <w:p>
            <w:pPr>
              <w:jc w:val="center"/>
            </w:pPr>
            <w:r>
              <w:rPr>
                <w:sz w:val="21"/>
              </w:rPr>
              <w:t>其他</w:t>
            </w:r>
          </w:p>
        </w:tc>
      </w:tr>
      <w:tr>
        <w:tc>
          <w:tcPr>
            <w:tcW w:type="dxa" w:w="1299"/>
            <w:tcBorders>
              <w:top w:val="none" w:color="000000" w:sz="4"/>
              <w:left w:val="single" w:color="000000" w:sz="4"/>
              <w:bottom w:val="single" w:color="000000" w:sz="4"/>
              <w:right w:val="single" w:color="000000" w:sz="4"/>
            </w:tcBorders>
            <w:vAlign w:val="top"/>
          </w:tcPr>
          <w:p>
            <w:pPr>
              <w:jc w:val="center"/>
            </w:pPr>
            <w:r>
              <w:rPr>
                <w:sz w:val="21"/>
              </w:rPr>
              <w:t>片</w:t>
            </w:r>
            <w:r>
              <w:rPr>
                <w:sz w:val="21"/>
              </w:rPr>
              <w:t>/1000㎡</w:t>
            </w:r>
          </w:p>
        </w:tc>
        <w:tc>
          <w:tcPr>
            <w:tcW w:type="dxa" w:w="1299"/>
            <w:tcBorders>
              <w:top w:val="none" w:color="000000" w:sz="4"/>
              <w:left w:val="none" w:color="000000" w:sz="4"/>
              <w:bottom w:val="single" w:color="000000" w:sz="4"/>
              <w:right w:val="single" w:color="000000" w:sz="4"/>
            </w:tcBorders>
            <w:vAlign w:val="top"/>
          </w:tcPr>
          <w:p>
            <w:pPr>
              <w:jc w:val="center"/>
            </w:pPr>
            <w:r>
              <w:rPr>
                <w:sz w:val="21"/>
              </w:rPr>
              <w:t>片</w:t>
            </w:r>
            <w:r>
              <w:rPr>
                <w:sz w:val="21"/>
              </w:rPr>
              <w:t>/1000㎡</w:t>
            </w:r>
          </w:p>
        </w:tc>
        <w:tc>
          <w:tcPr>
            <w:tcW w:type="dxa" w:w="1299"/>
            <w:tcBorders>
              <w:top w:val="none" w:color="000000" w:sz="4"/>
              <w:left w:val="none" w:color="000000" w:sz="4"/>
              <w:bottom w:val="single" w:color="000000" w:sz="4"/>
              <w:right w:val="single" w:color="000000" w:sz="4"/>
            </w:tcBorders>
            <w:vAlign w:val="top"/>
          </w:tcPr>
          <w:p>
            <w:pPr>
              <w:jc w:val="center"/>
            </w:pPr>
            <w:r>
              <w:rPr>
                <w:sz w:val="21"/>
              </w:rPr>
              <w:t>个</w:t>
            </w:r>
            <w:r>
              <w:rPr>
                <w:sz w:val="21"/>
              </w:rPr>
              <w:t>/1000㎡</w:t>
            </w:r>
          </w:p>
        </w:tc>
        <w:tc>
          <w:tcPr>
            <w:tcW w:type="dxa" w:w="1299"/>
            <w:tcBorders>
              <w:top w:val="none" w:color="000000" w:sz="4"/>
              <w:left w:val="none" w:color="000000" w:sz="4"/>
              <w:bottom w:val="single" w:color="000000" w:sz="4"/>
              <w:right w:val="single" w:color="000000" w:sz="4"/>
            </w:tcBorders>
            <w:vAlign w:val="top"/>
          </w:tcPr>
          <w:p>
            <w:pPr>
              <w:jc w:val="center"/>
            </w:pPr>
            <w:r>
              <w:rPr>
                <w:sz w:val="21"/>
              </w:rPr>
              <w:t>处</w:t>
            </w:r>
            <w:r>
              <w:rPr>
                <w:sz w:val="21"/>
              </w:rPr>
              <w:t>/1000㎡</w:t>
            </w:r>
          </w:p>
        </w:tc>
        <w:tc>
          <w:tcPr>
            <w:tcW w:type="dxa" w:w="1129"/>
            <w:tcBorders>
              <w:top w:val="none" w:color="000000" w:sz="4"/>
              <w:left w:val="none" w:color="000000" w:sz="4"/>
              <w:bottom w:val="single" w:color="000000" w:sz="4"/>
              <w:right w:val="single" w:color="000000" w:sz="4"/>
            </w:tcBorders>
            <w:vAlign w:val="top"/>
          </w:tcPr>
          <w:p>
            <w:pPr>
              <w:jc w:val="center"/>
            </w:pPr>
          </w:p>
        </w:tc>
        <w:tc>
          <w:tcPr>
            <w:tcW w:type="dxa" w:w="679"/>
            <w:tcBorders>
              <w:top w:val="none" w:color="000000" w:sz="4"/>
              <w:left w:val="none" w:color="000000" w:sz="4"/>
              <w:bottom w:val="single" w:color="000000" w:sz="4"/>
              <w:right w:val="single" w:color="000000" w:sz="4"/>
            </w:tcBorders>
            <w:vAlign w:val="top"/>
          </w:tcPr>
          <w:p>
            <w:pPr>
              <w:jc w:val="center"/>
            </w:pPr>
          </w:p>
        </w:tc>
        <w:tc>
          <w:tcPr>
            <w:tcW w:type="dxa" w:w="1299"/>
            <w:tcBorders>
              <w:top w:val="none" w:color="000000" w:sz="4"/>
              <w:left w:val="none" w:color="000000" w:sz="4"/>
              <w:bottom w:val="single" w:color="000000" w:sz="4"/>
              <w:right w:val="single" w:color="000000" w:sz="4"/>
            </w:tcBorders>
            <w:vAlign w:val="top"/>
          </w:tcPr>
          <w:p>
            <w:pPr>
              <w:jc w:val="center"/>
            </w:pPr>
            <w:r>
              <w:rPr>
                <w:sz w:val="21"/>
              </w:rPr>
              <w:t>处</w:t>
            </w:r>
            <w:r>
              <w:rPr>
                <w:sz w:val="21"/>
              </w:rPr>
              <w:t>/1000㎡</w:t>
            </w:r>
          </w:p>
        </w:tc>
      </w:tr>
      <w:tr>
        <w:tc>
          <w:tcPr>
            <w:tcW w:type="dxa" w:w="129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99"/>
            <w:tcBorders>
              <w:top w:val="none" w:color="000000" w:sz="4"/>
              <w:left w:val="none" w:color="000000" w:sz="4"/>
              <w:bottom w:val="single" w:color="000000" w:sz="4"/>
              <w:right w:val="single" w:color="000000" w:sz="4"/>
            </w:tcBorders>
            <w:vAlign w:val="top"/>
          </w:tcPr>
          <w:p>
            <w:pPr>
              <w:jc w:val="center"/>
            </w:pPr>
            <w:r>
              <w:rPr>
                <w:sz w:val="21"/>
              </w:rPr>
              <w:t>≤4</w:t>
            </w:r>
          </w:p>
        </w:tc>
        <w:tc>
          <w:tcPr>
            <w:tcW w:type="dxa" w:w="1299"/>
            <w:tcBorders>
              <w:top w:val="none" w:color="000000" w:sz="4"/>
              <w:left w:val="none" w:color="000000" w:sz="4"/>
              <w:bottom w:val="single" w:color="000000" w:sz="4"/>
              <w:right w:val="single" w:color="000000" w:sz="4"/>
            </w:tcBorders>
            <w:vAlign w:val="top"/>
          </w:tcPr>
          <w:p>
            <w:pPr>
              <w:jc w:val="center"/>
            </w:pPr>
            <w:r>
              <w:rPr>
                <w:sz w:val="21"/>
              </w:rPr>
              <w:t>≤4</w:t>
            </w:r>
          </w:p>
        </w:tc>
        <w:tc>
          <w:tcPr>
            <w:tcW w:type="dxa" w:w="1299"/>
            <w:tcBorders>
              <w:top w:val="none" w:color="000000" w:sz="4"/>
              <w:left w:val="none" w:color="000000" w:sz="4"/>
              <w:bottom w:val="single" w:color="000000" w:sz="4"/>
              <w:right w:val="single" w:color="000000" w:sz="4"/>
            </w:tcBorders>
            <w:vAlign w:val="top"/>
          </w:tcPr>
          <w:p>
            <w:pPr>
              <w:jc w:val="center"/>
            </w:pPr>
            <w:r>
              <w:rPr>
                <w:sz w:val="21"/>
              </w:rPr>
              <w:t>无</w:t>
            </w:r>
          </w:p>
        </w:tc>
        <w:tc>
          <w:tcPr>
            <w:tcW w:type="dxa" w:w="1129"/>
            <w:tcBorders>
              <w:top w:val="none" w:color="000000" w:sz="4"/>
              <w:left w:val="none" w:color="000000" w:sz="4"/>
              <w:bottom w:val="single" w:color="000000" w:sz="4"/>
              <w:right w:val="single" w:color="000000" w:sz="4"/>
            </w:tcBorders>
            <w:vAlign w:val="top"/>
          </w:tcPr>
          <w:p>
            <w:pPr>
              <w:jc w:val="center"/>
            </w:pPr>
            <w:r>
              <w:rPr>
                <w:sz w:val="21"/>
              </w:rPr>
              <w:t>无</w:t>
            </w:r>
          </w:p>
        </w:tc>
        <w:tc>
          <w:tcPr>
            <w:tcW w:type="dxa" w:w="679"/>
            <w:tcBorders>
              <w:top w:val="none" w:color="000000" w:sz="4"/>
              <w:left w:val="none" w:color="000000" w:sz="4"/>
              <w:bottom w:val="single" w:color="000000" w:sz="4"/>
              <w:right w:val="single" w:color="000000" w:sz="4"/>
            </w:tcBorders>
            <w:vAlign w:val="top"/>
          </w:tcPr>
          <w:p>
            <w:pPr>
              <w:jc w:val="center"/>
            </w:pPr>
            <w:r>
              <w:rPr>
                <w:sz w:val="21"/>
              </w:rPr>
              <w:t>无</w:t>
            </w:r>
          </w:p>
        </w:tc>
        <w:tc>
          <w:tcPr>
            <w:tcW w:type="dxa" w:w="1299"/>
            <w:tcBorders>
              <w:top w:val="none" w:color="000000" w:sz="4"/>
              <w:left w:val="none" w:color="000000" w:sz="4"/>
              <w:bottom w:val="single" w:color="000000" w:sz="4"/>
              <w:right w:val="single" w:color="000000" w:sz="4"/>
            </w:tcBorders>
            <w:vAlign w:val="top"/>
          </w:tcPr>
          <w:p>
            <w:pPr>
              <w:jc w:val="center"/>
            </w:pPr>
            <w:r>
              <w:rPr>
                <w:sz w:val="21"/>
              </w:rPr>
              <w:t>≤4</w:t>
            </w:r>
          </w:p>
        </w:tc>
      </w:tr>
    </w:tbl>
    <w:p>
      <w:pPr>
        <w:ind w:firstLine="420"/>
        <w:jc w:val="both"/>
      </w:pPr>
      <w:r>
        <w:rPr>
          <w:sz w:val="21"/>
        </w:rPr>
        <w:t>注：果皮、纸屑、塑膜的面积以火柴盒大小为标准。</w:t>
      </w:r>
    </w:p>
    <w:p>
      <w:pPr>
        <w:ind w:firstLine="420"/>
        <w:jc w:val="both"/>
      </w:pPr>
      <w:r>
        <w:rPr>
          <w:sz w:val="21"/>
        </w:rPr>
        <w:t>5、路牙、人行道花基不得有明显的泥沙(长0．5米以上)，洒落在主车道上的余泥沙石，在发现后2小时内要及时清理干净；树池上的石粒不得扫在人行道上。</w:t>
      </w:r>
    </w:p>
    <w:p>
      <w:pPr>
        <w:ind w:firstLine="420"/>
        <w:jc w:val="both"/>
      </w:pPr>
      <w:r>
        <w:rPr>
          <w:sz w:val="21"/>
        </w:rPr>
        <w:t>6、要保证雨水口不堵塞，雨水井底无废弃物，每月至少完成全面清理雨水井设施1次，每日保洁室应注意雨水井口的垃圾清理，使可视范围内设施干净、无垃圾杂物、无淤泥，特别是雨季时期必须重点清理雨水井口垃圾。</w:t>
      </w:r>
    </w:p>
    <w:p>
      <w:pPr>
        <w:ind w:firstLine="420"/>
        <w:jc w:val="both"/>
      </w:pPr>
      <w:r>
        <w:rPr>
          <w:sz w:val="21"/>
        </w:rPr>
        <w:t>7、道路路面、花岗岩路牙石要保持原色。</w:t>
      </w:r>
    </w:p>
    <w:p>
      <w:pPr>
        <w:ind w:firstLine="420"/>
        <w:jc w:val="both"/>
      </w:pPr>
      <w:r>
        <w:rPr>
          <w:sz w:val="21"/>
        </w:rPr>
        <w:t>8、地下通道的顶棚、栏杆、候车亭，每个星期要进行两次的清洗，做到外表清洁、通透、无积尘、无乱张贴 (乱张贴时间不得超过12小时)。</w:t>
      </w:r>
    </w:p>
    <w:p>
      <w:pPr>
        <w:ind w:firstLine="420"/>
        <w:jc w:val="both"/>
      </w:pPr>
      <w:r>
        <w:rPr>
          <w:sz w:val="21"/>
        </w:rPr>
        <w:t>9、果皮箱的管理要做到摆放正确；清洁时间按清扫作业时间完成，并做好箱内垃圾的日清，保证无臭，外表清洁、无积尘、无乱涂、乱画、乱张贴；果皮箱完好率应不低于98%。</w:t>
      </w:r>
    </w:p>
    <w:p>
      <w:pPr>
        <w:ind w:firstLine="420"/>
        <w:jc w:val="both"/>
      </w:pPr>
      <w:r>
        <w:rPr>
          <w:sz w:val="21"/>
        </w:rPr>
        <w:t>10、要定时进行路面冲洗，道路冲洗应在每日23时至次日5时进行；洒水要求冬季每天不得少于1次，其它季节每天不得少于2次的洒水(雨天除外)，并做到洒水记录齐全。</w:t>
      </w:r>
    </w:p>
    <w:p>
      <w:pPr>
        <w:ind w:firstLine="420"/>
        <w:jc w:val="both"/>
      </w:pPr>
      <w:r>
        <w:rPr>
          <w:sz w:val="21"/>
        </w:rPr>
        <w:t>（</w:t>
      </w:r>
      <w:r>
        <w:rPr>
          <w:sz w:val="21"/>
        </w:rPr>
        <w:t>3）市政设施维护质量标准</w:t>
      </w:r>
    </w:p>
    <w:p>
      <w:pPr>
        <w:ind w:firstLine="420"/>
        <w:jc w:val="both"/>
      </w:pPr>
      <w:r>
        <w:rPr>
          <w:sz w:val="21"/>
        </w:rPr>
        <w:t>1、管理期间监督照明设施管养单位，确保路灯照明设施完好和达到路灯明设计要求，使城市照明正常运行和亮灯率在99%以上。</w:t>
      </w:r>
    </w:p>
    <w:p>
      <w:pPr>
        <w:ind w:firstLine="420"/>
        <w:jc w:val="both"/>
      </w:pPr>
      <w:r>
        <w:rPr>
          <w:sz w:val="21"/>
        </w:rPr>
        <w:t>2、照明设施亮灯情况出现故障必须在0.5小时内上报业主，并及时抢修。</w:t>
      </w:r>
    </w:p>
    <w:p>
      <w:pPr>
        <w:ind w:firstLine="420"/>
        <w:jc w:val="both"/>
      </w:pPr>
      <w:r>
        <w:rPr>
          <w:sz w:val="21"/>
        </w:rPr>
        <w:t>3、清除管养范围内的路灯箱变、分接箱、高压电气设备等的牛皮癣，确保其干净整洁</w:t>
      </w:r>
    </w:p>
    <w:p>
      <w:pPr>
        <w:ind w:firstLine="420"/>
        <w:jc w:val="both"/>
      </w:pPr>
      <w:r>
        <w:rPr>
          <w:sz w:val="21"/>
        </w:rPr>
        <w:t>4、及时反馈电力、电信、燃气管道及广告牌现场受损情况。</w:t>
      </w:r>
    </w:p>
    <w:p>
      <w:pPr>
        <w:ind w:firstLine="420"/>
        <w:jc w:val="both"/>
      </w:pPr>
      <w:r>
        <w:rPr>
          <w:sz w:val="21"/>
        </w:rPr>
        <w:t>5、监管辖区范围内市政公共设施的运行情况，制止车辆停放人行道（绿道）和未经批准擅自挖掘、占用市政道路等擅自施工的行为。</w:t>
      </w:r>
    </w:p>
    <w:p>
      <w:pPr>
        <w:ind w:firstLine="420"/>
        <w:jc w:val="both"/>
      </w:pPr>
      <w:r>
        <w:rPr>
          <w:sz w:val="21"/>
        </w:rPr>
        <w:t>6、监督辖区范围内市政工程文明施工情况，督促施工单位严格按照文明施工要求，认真落实文明施工措施，确保施工范围市政设施安全运行，环卫环境整洁，行人行车安全有序。</w:t>
      </w:r>
    </w:p>
    <w:p>
      <w:pPr>
        <w:ind w:firstLine="420"/>
        <w:jc w:val="both"/>
      </w:pPr>
      <w:r>
        <w:rPr>
          <w:sz w:val="21"/>
        </w:rPr>
        <w:t>7、监管辖区范围内的排水设施日常运行情况，发现排水井溢水、管道塌陷、管道堵塞等情况，应及时处理并通知甲方。</w:t>
      </w:r>
    </w:p>
    <w:p>
      <w:pPr>
        <w:ind w:firstLine="420"/>
        <w:jc w:val="both"/>
      </w:pPr>
      <w:r>
        <w:rPr>
          <w:sz w:val="21"/>
        </w:rPr>
        <w:t>8、落实辖区范围内暴雨期间的内涝巡查工作，发现内涝点，应做好安全警示、围闭。交通疏导等相关工作，同时负责排查内涝原因，如因管道堵塞引起，应马上处理并通知甲方。</w:t>
      </w:r>
    </w:p>
    <w:p>
      <w:pPr>
        <w:ind w:firstLine="420"/>
        <w:jc w:val="both"/>
      </w:pPr>
      <w:r>
        <w:rPr>
          <w:sz w:val="21"/>
        </w:rPr>
        <w:t>9、公园内市政设施损坏应及时修复，按原设施规格。</w:t>
      </w:r>
    </w:p>
    <w:p>
      <w:pPr>
        <w:ind w:firstLine="420"/>
        <w:jc w:val="both"/>
      </w:pPr>
      <w:r>
        <w:rPr>
          <w:sz w:val="21"/>
        </w:rPr>
        <w:t>（</w:t>
      </w:r>
      <w:r>
        <w:rPr>
          <w:sz w:val="21"/>
        </w:rPr>
        <w:t>4）保安、秩序质量要求</w:t>
      </w:r>
    </w:p>
    <w:p>
      <w:pPr>
        <w:ind w:firstLine="420"/>
        <w:jc w:val="both"/>
      </w:pPr>
      <w:r>
        <w:rPr>
          <w:sz w:val="21"/>
        </w:rPr>
        <w:t>1、乙方应成立应急领导小组办公室，制定公园公共突发事件应急预案，定期组织演练，并报甲方备案。</w:t>
      </w:r>
    </w:p>
    <w:p>
      <w:pPr>
        <w:ind w:firstLine="420"/>
        <w:jc w:val="both"/>
      </w:pPr>
      <w:r>
        <w:rPr>
          <w:sz w:val="21"/>
        </w:rPr>
        <w:t>2、公园管理机构应当按照公园游客容量接待游客，入园人数超出游客容量时，应做好控制入园人流及游园分流措施。</w:t>
      </w:r>
    </w:p>
    <w:p>
      <w:pPr>
        <w:ind w:firstLine="420"/>
        <w:jc w:val="both"/>
      </w:pPr>
      <w:r>
        <w:rPr>
          <w:sz w:val="21"/>
        </w:rPr>
        <w:t>3、【大型群众性活动管理】在公园内组织群众性活动的，应经甲方批准，并按照有关规定落实防范和应急措施，保障游客安全。</w:t>
      </w:r>
    </w:p>
    <w:p>
      <w:pPr>
        <w:ind w:firstLine="420"/>
        <w:jc w:val="both"/>
      </w:pPr>
      <w:r>
        <w:rPr>
          <w:sz w:val="21"/>
        </w:rPr>
        <w:t>4、公园开放期间，如遇台风暴雨黄色及以上预警等紧急情况或者突发事件，应当按照应急预案采取疏散游客、关闭园门等保证游客安全的措施，并及时向</w:t>
      </w:r>
      <w:r>
        <w:rPr>
          <w:sz w:val="21"/>
        </w:rPr>
        <w:t>甲</w:t>
      </w:r>
      <w:r>
        <w:rPr>
          <w:sz w:val="21"/>
        </w:rPr>
        <w:t>方和有关部门报告。发生地震等重大灾害需要进入公园避灾避险的，公园管理机构应及时开放已经划定的避难场所。</w:t>
      </w:r>
    </w:p>
    <w:p>
      <w:pPr>
        <w:ind w:firstLine="420"/>
        <w:jc w:val="both"/>
      </w:pPr>
      <w:r>
        <w:rPr>
          <w:sz w:val="21"/>
        </w:rPr>
        <w:t>5、公园管理机构应当建立安全管理制度，加强对水上活动、大型展览、节假日游园活动和游乐、康乐等设施的安全管理，按规定设置游客须知、警示标志、安全保障和环境卫生设施等等。如落实防火、防汛、防山体滑坡安全措施；合理设置消防水源、消防设施，保证消防通道畅通；在水体边缘设置警示标志，禁止游水等危险活动。</w:t>
      </w:r>
    </w:p>
    <w:p>
      <w:pPr>
        <w:ind w:firstLine="420"/>
        <w:jc w:val="both"/>
      </w:pPr>
      <w:r>
        <w:rPr>
          <w:sz w:val="21"/>
        </w:rPr>
        <w:t>6、公园内涉及人身安全的照明、游乐、康乐项目安装竣工后，应按规定经有关部门检验合格方可使用，并应定期检测和维修保养。公园设备、设施的操作人员经业务培训合格后，按有关规定持证上岗。</w:t>
      </w:r>
    </w:p>
    <w:p>
      <w:pPr>
        <w:ind w:firstLine="420"/>
        <w:jc w:val="both"/>
      </w:pPr>
      <w:r>
        <w:rPr>
          <w:sz w:val="21"/>
        </w:rPr>
        <w:t>7、除老、幼、残障者专用的非机动车外，其他车辆未经同意不得进入公园。</w:t>
      </w:r>
    </w:p>
    <w:p>
      <w:pPr>
        <w:ind w:firstLine="420"/>
        <w:jc w:val="both"/>
      </w:pPr>
      <w:r>
        <w:rPr>
          <w:sz w:val="21"/>
        </w:rPr>
        <w:t>8、加强乞讨和流浪人员的管理，做好治安防范，保障游园秩序和市民的人身安全。</w:t>
      </w:r>
    </w:p>
    <w:p>
      <w:pPr>
        <w:ind w:firstLine="420"/>
        <w:jc w:val="both"/>
      </w:pPr>
      <w:r>
        <w:rPr>
          <w:sz w:val="21"/>
        </w:rPr>
        <w:t>五、考核办法</w:t>
      </w:r>
    </w:p>
    <w:p>
      <w:pPr>
        <w:ind w:firstLine="420"/>
        <w:jc w:val="both"/>
      </w:pPr>
      <w:r>
        <w:rPr>
          <w:sz w:val="21"/>
        </w:rPr>
        <w:t>月度检查考核工作由甲方负责组织实施。</w:t>
      </w:r>
    </w:p>
    <w:p>
      <w:pPr>
        <w:ind w:firstLine="420"/>
        <w:jc w:val="both"/>
      </w:pPr>
      <w:r>
        <w:rPr>
          <w:sz w:val="21"/>
        </w:rPr>
        <w:t>1、月度检查考核办法</w:t>
      </w:r>
    </w:p>
    <w:p>
      <w:pPr>
        <w:ind w:firstLine="420"/>
        <w:jc w:val="both"/>
      </w:pPr>
      <w:r>
        <w:rPr>
          <w:sz w:val="21"/>
        </w:rPr>
        <w:t>月度检查考核工作由甲方负责组织实施，通过明检、暗检、日常检查，并按照《虎门镇城区小公园综合管理服务项目管理标准及考评办法》（详见附件</w:t>
      </w:r>
      <w:r>
        <w:rPr>
          <w:sz w:val="21"/>
        </w:rPr>
        <w:t>1）进行考核评分。</w:t>
      </w:r>
    </w:p>
    <w:p>
      <w:pPr>
        <w:ind w:firstLine="420"/>
        <w:jc w:val="left"/>
      </w:pPr>
      <w:r>
        <w:rPr>
          <w:sz w:val="21"/>
        </w:rPr>
        <w:t>中标认根据扣分情况，各个分数能够得到的月承包款如下：</w:t>
      </w:r>
    </w:p>
    <w:tbl>
      <w:tblPr>
        <w:tblW w:w="0" w:type="auto"/>
        <w:tblBorders>
          <w:top w:val="none" w:color="000000" w:sz="4"/>
          <w:left w:val="none" w:color="000000" w:sz="4"/>
          <w:bottom w:val="none" w:color="000000" w:sz="4"/>
          <w:right w:val="none" w:color="000000" w:sz="4"/>
          <w:insideH w:val="none"/>
          <w:insideV w:val="none"/>
        </w:tblBorders>
      </w:tblPr>
      <w:tblGrid>
        <w:gridCol w:w="1302"/>
        <w:gridCol w:w="1733"/>
        <w:gridCol w:w="746"/>
        <w:gridCol w:w="1733"/>
        <w:gridCol w:w="1055"/>
        <w:gridCol w:w="1733"/>
      </w:tblGrid>
      <w:tr>
        <w:tc>
          <w:tcPr>
            <w:tcW w:type="dxa" w:w="1302"/>
            <w:tcBorders>
              <w:top w:val="single" w:color="000000" w:sz="4"/>
              <w:left w:val="single" w:color="000000" w:sz="4"/>
              <w:bottom w:val="single" w:color="000000" w:sz="4"/>
              <w:right w:val="single" w:color="000000" w:sz="4"/>
            </w:tcBorders>
            <w:vAlign w:val="top"/>
          </w:tcPr>
          <w:p>
            <w:pPr>
              <w:jc w:val="center"/>
            </w:pPr>
            <w:r>
              <w:rPr>
                <w:sz w:val="21"/>
              </w:rPr>
              <w:t>分数</w:t>
            </w:r>
          </w:p>
        </w:tc>
        <w:tc>
          <w:tcPr>
            <w:tcW w:type="dxa" w:w="1733"/>
            <w:tcBorders>
              <w:top w:val="single" w:color="000000" w:sz="4"/>
              <w:left w:val="none" w:color="000000" w:sz="4"/>
              <w:bottom w:val="single" w:color="000000" w:sz="4"/>
              <w:right w:val="single" w:color="000000" w:sz="4"/>
            </w:tcBorders>
            <w:vAlign w:val="top"/>
          </w:tcPr>
          <w:p>
            <w:pPr>
              <w:jc w:val="center"/>
            </w:pPr>
            <w:r>
              <w:rPr>
                <w:sz w:val="21"/>
              </w:rPr>
              <w:t>月管理费比例</w:t>
            </w:r>
          </w:p>
        </w:tc>
        <w:tc>
          <w:tcPr>
            <w:tcW w:type="dxa" w:w="746"/>
            <w:tcBorders>
              <w:top w:val="single" w:color="000000" w:sz="4"/>
              <w:left w:val="none" w:color="000000" w:sz="4"/>
              <w:bottom w:val="single" w:color="000000" w:sz="4"/>
              <w:right w:val="single" w:color="000000" w:sz="4"/>
            </w:tcBorders>
            <w:vAlign w:val="top"/>
          </w:tcPr>
          <w:p>
            <w:pPr>
              <w:jc w:val="center"/>
            </w:pPr>
            <w:r>
              <w:rPr>
                <w:sz w:val="21"/>
              </w:rPr>
              <w:t>分数</w:t>
            </w:r>
          </w:p>
        </w:tc>
        <w:tc>
          <w:tcPr>
            <w:tcW w:type="dxa" w:w="1733"/>
            <w:tcBorders>
              <w:top w:val="single" w:color="000000" w:sz="4"/>
              <w:left w:val="none" w:color="000000" w:sz="4"/>
              <w:bottom w:val="single" w:color="000000" w:sz="4"/>
              <w:right w:val="single" w:color="000000" w:sz="4"/>
            </w:tcBorders>
            <w:vAlign w:val="top"/>
          </w:tcPr>
          <w:p>
            <w:pPr>
              <w:jc w:val="center"/>
            </w:pPr>
            <w:r>
              <w:rPr>
                <w:sz w:val="21"/>
              </w:rPr>
              <w:t>月管理费比例</w:t>
            </w:r>
          </w:p>
        </w:tc>
        <w:tc>
          <w:tcPr>
            <w:tcW w:type="dxa" w:w="1055"/>
            <w:tcBorders>
              <w:top w:val="single" w:color="000000" w:sz="4"/>
              <w:left w:val="none" w:color="000000" w:sz="4"/>
              <w:bottom w:val="single" w:color="000000" w:sz="4"/>
              <w:right w:val="single" w:color="000000" w:sz="4"/>
            </w:tcBorders>
            <w:vAlign w:val="top"/>
          </w:tcPr>
          <w:p>
            <w:pPr>
              <w:jc w:val="center"/>
            </w:pPr>
            <w:r>
              <w:rPr>
                <w:sz w:val="21"/>
              </w:rPr>
              <w:t>分数</w:t>
            </w:r>
          </w:p>
        </w:tc>
        <w:tc>
          <w:tcPr>
            <w:tcW w:type="dxa" w:w="1733"/>
            <w:tcBorders>
              <w:top w:val="single" w:color="000000" w:sz="4"/>
              <w:left w:val="none" w:color="000000" w:sz="4"/>
              <w:bottom w:val="single" w:color="000000" w:sz="4"/>
              <w:right w:val="single" w:color="000000" w:sz="4"/>
            </w:tcBorders>
            <w:vAlign w:val="top"/>
          </w:tcPr>
          <w:p>
            <w:pPr>
              <w:jc w:val="center"/>
            </w:pPr>
            <w:r>
              <w:rPr>
                <w:sz w:val="21"/>
              </w:rPr>
              <w:t>月管理费比例</w:t>
            </w:r>
          </w:p>
        </w:tc>
      </w:tr>
      <w:tr>
        <w:tc>
          <w:tcPr>
            <w:tcW w:type="dxa" w:w="1302"/>
            <w:tcBorders>
              <w:top w:val="none" w:color="000000" w:sz="4"/>
              <w:left w:val="single" w:color="000000" w:sz="4"/>
              <w:bottom w:val="single" w:color="000000" w:sz="4"/>
              <w:right w:val="single" w:color="000000" w:sz="4"/>
            </w:tcBorders>
            <w:vAlign w:val="top"/>
          </w:tcPr>
          <w:p>
            <w:pPr>
              <w:jc w:val="center"/>
            </w:pPr>
            <w:r>
              <w:rPr>
                <w:sz w:val="21"/>
              </w:rPr>
              <w:t>90及以上</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100%</w:t>
            </w:r>
          </w:p>
        </w:tc>
        <w:tc>
          <w:tcPr>
            <w:tcW w:type="dxa" w:w="746"/>
            <w:tcBorders>
              <w:top w:val="none" w:color="000000" w:sz="4"/>
              <w:left w:val="none" w:color="000000" w:sz="4"/>
              <w:bottom w:val="single" w:color="000000" w:sz="4"/>
              <w:right w:val="single" w:color="000000" w:sz="4"/>
            </w:tcBorders>
            <w:vAlign w:val="top"/>
          </w:tcPr>
          <w:p>
            <w:pPr>
              <w:jc w:val="center"/>
            </w:pPr>
            <w:r>
              <w:rPr>
                <w:sz w:val="21"/>
              </w:rPr>
              <w:t>79</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88.5%</w:t>
            </w:r>
          </w:p>
        </w:tc>
        <w:tc>
          <w:tcPr>
            <w:tcW w:type="dxa" w:w="1055"/>
            <w:tcBorders>
              <w:top w:val="none" w:color="000000" w:sz="4"/>
              <w:left w:val="none" w:color="000000" w:sz="4"/>
              <w:bottom w:val="single" w:color="000000" w:sz="4"/>
              <w:right w:val="single" w:color="000000" w:sz="4"/>
            </w:tcBorders>
            <w:vAlign w:val="top"/>
          </w:tcPr>
          <w:p>
            <w:pPr>
              <w:jc w:val="center"/>
            </w:pPr>
            <w:r>
              <w:rPr>
                <w:sz w:val="21"/>
              </w:rPr>
              <w:t>68</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71%</w:t>
            </w:r>
          </w:p>
        </w:tc>
      </w:tr>
      <w:tr>
        <w:tc>
          <w:tcPr>
            <w:tcW w:type="dxa" w:w="1302"/>
            <w:tcBorders>
              <w:top w:val="none" w:color="000000" w:sz="4"/>
              <w:left w:val="single" w:color="000000" w:sz="4"/>
              <w:bottom w:val="single" w:color="000000" w:sz="4"/>
              <w:right w:val="single" w:color="000000" w:sz="4"/>
            </w:tcBorders>
            <w:vAlign w:val="top"/>
          </w:tcPr>
          <w:p>
            <w:pPr>
              <w:jc w:val="center"/>
            </w:pPr>
            <w:r>
              <w:rPr>
                <w:sz w:val="21"/>
              </w:rPr>
              <w:t>89</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99%</w:t>
            </w:r>
          </w:p>
        </w:tc>
        <w:tc>
          <w:tcPr>
            <w:tcW w:type="dxa" w:w="746"/>
            <w:tcBorders>
              <w:top w:val="none" w:color="000000" w:sz="4"/>
              <w:left w:val="none" w:color="000000" w:sz="4"/>
              <w:bottom w:val="single" w:color="000000" w:sz="4"/>
              <w:right w:val="single" w:color="000000" w:sz="4"/>
            </w:tcBorders>
            <w:vAlign w:val="top"/>
          </w:tcPr>
          <w:p>
            <w:pPr>
              <w:jc w:val="center"/>
            </w:pPr>
            <w:r>
              <w:rPr>
                <w:sz w:val="21"/>
              </w:rPr>
              <w:t>78</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87%</w:t>
            </w:r>
          </w:p>
        </w:tc>
        <w:tc>
          <w:tcPr>
            <w:tcW w:type="dxa" w:w="1055"/>
            <w:tcBorders>
              <w:top w:val="none" w:color="000000" w:sz="4"/>
              <w:left w:val="none" w:color="000000" w:sz="4"/>
              <w:bottom w:val="single" w:color="000000" w:sz="4"/>
              <w:right w:val="single" w:color="000000" w:sz="4"/>
            </w:tcBorders>
            <w:vAlign w:val="top"/>
          </w:tcPr>
          <w:p>
            <w:pPr>
              <w:jc w:val="center"/>
            </w:pPr>
            <w:r>
              <w:rPr>
                <w:sz w:val="21"/>
              </w:rPr>
              <w:t>67</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69%</w:t>
            </w:r>
          </w:p>
        </w:tc>
      </w:tr>
      <w:tr>
        <w:tc>
          <w:tcPr>
            <w:tcW w:type="dxa" w:w="1302"/>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98%</w:t>
            </w:r>
          </w:p>
        </w:tc>
        <w:tc>
          <w:tcPr>
            <w:tcW w:type="dxa" w:w="746"/>
            <w:tcBorders>
              <w:top w:val="none" w:color="000000" w:sz="4"/>
              <w:left w:val="none" w:color="000000" w:sz="4"/>
              <w:bottom w:val="single" w:color="000000" w:sz="4"/>
              <w:right w:val="single" w:color="000000" w:sz="4"/>
            </w:tcBorders>
            <w:vAlign w:val="top"/>
          </w:tcPr>
          <w:p>
            <w:pPr>
              <w:jc w:val="center"/>
            </w:pPr>
            <w:r>
              <w:rPr>
                <w:sz w:val="21"/>
              </w:rPr>
              <w:t>77</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85.5%</w:t>
            </w:r>
          </w:p>
        </w:tc>
        <w:tc>
          <w:tcPr>
            <w:tcW w:type="dxa" w:w="1055"/>
            <w:tcBorders>
              <w:top w:val="none" w:color="000000" w:sz="4"/>
              <w:left w:val="none" w:color="000000" w:sz="4"/>
              <w:bottom w:val="single" w:color="000000" w:sz="4"/>
              <w:right w:val="single" w:color="000000" w:sz="4"/>
            </w:tcBorders>
            <w:vAlign w:val="top"/>
          </w:tcPr>
          <w:p>
            <w:pPr>
              <w:jc w:val="center"/>
            </w:pPr>
            <w:r>
              <w:rPr>
                <w:sz w:val="21"/>
              </w:rPr>
              <w:t>66</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67%</w:t>
            </w:r>
          </w:p>
        </w:tc>
      </w:tr>
      <w:tr>
        <w:tc>
          <w:tcPr>
            <w:tcW w:type="dxa" w:w="1302"/>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97%</w:t>
            </w:r>
          </w:p>
        </w:tc>
        <w:tc>
          <w:tcPr>
            <w:tcW w:type="dxa" w:w="746"/>
            <w:tcBorders>
              <w:top w:val="none" w:color="000000" w:sz="4"/>
              <w:left w:val="none" w:color="000000" w:sz="4"/>
              <w:bottom w:val="single" w:color="000000" w:sz="4"/>
              <w:right w:val="single" w:color="000000" w:sz="4"/>
            </w:tcBorders>
            <w:vAlign w:val="top"/>
          </w:tcPr>
          <w:p>
            <w:pPr>
              <w:jc w:val="center"/>
            </w:pPr>
            <w:r>
              <w:rPr>
                <w:sz w:val="21"/>
              </w:rPr>
              <w:t>76</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84</w:t>
            </w:r>
          </w:p>
        </w:tc>
        <w:tc>
          <w:tcPr>
            <w:tcW w:type="dxa" w:w="1055"/>
            <w:tcBorders>
              <w:top w:val="none" w:color="000000" w:sz="4"/>
              <w:left w:val="none" w:color="000000" w:sz="4"/>
              <w:bottom w:val="single" w:color="000000" w:sz="4"/>
              <w:right w:val="single" w:color="000000" w:sz="4"/>
            </w:tcBorders>
            <w:vAlign w:val="top"/>
          </w:tcPr>
          <w:p>
            <w:pPr>
              <w:jc w:val="center"/>
            </w:pPr>
            <w:r>
              <w:rPr>
                <w:sz w:val="21"/>
              </w:rPr>
              <w:t>65</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65%</w:t>
            </w:r>
          </w:p>
        </w:tc>
      </w:tr>
      <w:tr>
        <w:tc>
          <w:tcPr>
            <w:tcW w:type="dxa" w:w="1302"/>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96%</w:t>
            </w:r>
          </w:p>
        </w:tc>
        <w:tc>
          <w:tcPr>
            <w:tcW w:type="dxa" w:w="746"/>
            <w:tcBorders>
              <w:top w:val="none" w:color="000000" w:sz="4"/>
              <w:left w:val="none" w:color="000000" w:sz="4"/>
              <w:bottom w:val="single" w:color="000000" w:sz="4"/>
              <w:right w:val="single" w:color="000000" w:sz="4"/>
            </w:tcBorders>
            <w:vAlign w:val="top"/>
          </w:tcPr>
          <w:p>
            <w:pPr>
              <w:jc w:val="center"/>
            </w:pPr>
            <w:r>
              <w:rPr>
                <w:sz w:val="21"/>
              </w:rPr>
              <w:t>75</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82.5%</w:t>
            </w:r>
          </w:p>
        </w:tc>
        <w:tc>
          <w:tcPr>
            <w:tcW w:type="dxa" w:w="1055"/>
            <w:tcBorders>
              <w:top w:val="none" w:color="000000" w:sz="4"/>
              <w:left w:val="none" w:color="000000" w:sz="4"/>
              <w:bottom w:val="single" w:color="000000" w:sz="4"/>
              <w:right w:val="single" w:color="000000" w:sz="4"/>
            </w:tcBorders>
            <w:vAlign w:val="top"/>
          </w:tcPr>
          <w:p>
            <w:pPr>
              <w:jc w:val="center"/>
            </w:pPr>
            <w:r>
              <w:rPr>
                <w:sz w:val="21"/>
              </w:rPr>
              <w:t>64</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63%</w:t>
            </w:r>
          </w:p>
        </w:tc>
      </w:tr>
      <w:tr>
        <w:tc>
          <w:tcPr>
            <w:tcW w:type="dxa" w:w="1302"/>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95%</w:t>
            </w:r>
          </w:p>
        </w:tc>
        <w:tc>
          <w:tcPr>
            <w:tcW w:type="dxa" w:w="746"/>
            <w:tcBorders>
              <w:top w:val="none" w:color="000000" w:sz="4"/>
              <w:left w:val="none" w:color="000000" w:sz="4"/>
              <w:bottom w:val="single" w:color="000000" w:sz="4"/>
              <w:right w:val="single" w:color="000000" w:sz="4"/>
            </w:tcBorders>
            <w:vAlign w:val="top"/>
          </w:tcPr>
          <w:p>
            <w:pPr>
              <w:jc w:val="center"/>
            </w:pPr>
            <w:r>
              <w:rPr>
                <w:sz w:val="21"/>
              </w:rPr>
              <w:t>74</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81%</w:t>
            </w:r>
          </w:p>
        </w:tc>
        <w:tc>
          <w:tcPr>
            <w:tcW w:type="dxa" w:w="1055"/>
            <w:tcBorders>
              <w:top w:val="none" w:color="000000" w:sz="4"/>
              <w:left w:val="none" w:color="000000" w:sz="4"/>
              <w:bottom w:val="single" w:color="000000" w:sz="4"/>
              <w:right w:val="single" w:color="000000" w:sz="4"/>
            </w:tcBorders>
            <w:vAlign w:val="top"/>
          </w:tcPr>
          <w:p>
            <w:pPr>
              <w:jc w:val="center"/>
            </w:pPr>
            <w:r>
              <w:rPr>
                <w:sz w:val="21"/>
              </w:rPr>
              <w:t>63</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61%</w:t>
            </w:r>
          </w:p>
        </w:tc>
      </w:tr>
      <w:tr>
        <w:tc>
          <w:tcPr>
            <w:tcW w:type="dxa" w:w="1302"/>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94%</w:t>
            </w:r>
          </w:p>
        </w:tc>
        <w:tc>
          <w:tcPr>
            <w:tcW w:type="dxa" w:w="746"/>
            <w:tcBorders>
              <w:top w:val="none" w:color="000000" w:sz="4"/>
              <w:left w:val="none" w:color="000000" w:sz="4"/>
              <w:bottom w:val="single" w:color="000000" w:sz="4"/>
              <w:right w:val="single" w:color="000000" w:sz="4"/>
            </w:tcBorders>
            <w:vAlign w:val="top"/>
          </w:tcPr>
          <w:p>
            <w:pPr>
              <w:jc w:val="center"/>
            </w:pPr>
            <w:r>
              <w:rPr>
                <w:sz w:val="21"/>
              </w:rPr>
              <w:t>73</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79.5%</w:t>
            </w:r>
          </w:p>
        </w:tc>
        <w:tc>
          <w:tcPr>
            <w:tcW w:type="dxa" w:w="1055"/>
            <w:tcBorders>
              <w:top w:val="none" w:color="000000" w:sz="4"/>
              <w:left w:val="none" w:color="000000" w:sz="4"/>
              <w:bottom w:val="single" w:color="000000" w:sz="4"/>
              <w:right w:val="single" w:color="000000" w:sz="4"/>
            </w:tcBorders>
            <w:vAlign w:val="top"/>
          </w:tcPr>
          <w:p>
            <w:pPr>
              <w:jc w:val="center"/>
            </w:pPr>
            <w:r>
              <w:rPr>
                <w:sz w:val="21"/>
              </w:rPr>
              <w:t>62</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59%</w:t>
            </w:r>
          </w:p>
        </w:tc>
      </w:tr>
      <w:tr>
        <w:tc>
          <w:tcPr>
            <w:tcW w:type="dxa" w:w="1302"/>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93%</w:t>
            </w:r>
          </w:p>
        </w:tc>
        <w:tc>
          <w:tcPr>
            <w:tcW w:type="dxa" w:w="746"/>
            <w:tcBorders>
              <w:top w:val="none" w:color="000000" w:sz="4"/>
              <w:left w:val="none" w:color="000000" w:sz="4"/>
              <w:bottom w:val="single" w:color="000000" w:sz="4"/>
              <w:right w:val="single" w:color="000000" w:sz="4"/>
            </w:tcBorders>
            <w:vAlign w:val="top"/>
          </w:tcPr>
          <w:p>
            <w:pPr>
              <w:jc w:val="center"/>
            </w:pPr>
            <w:r>
              <w:rPr>
                <w:sz w:val="21"/>
              </w:rPr>
              <w:t>72</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78%</w:t>
            </w:r>
          </w:p>
        </w:tc>
        <w:tc>
          <w:tcPr>
            <w:tcW w:type="dxa" w:w="1055"/>
            <w:tcBorders>
              <w:top w:val="none" w:color="000000" w:sz="4"/>
              <w:left w:val="none" w:color="000000" w:sz="4"/>
              <w:bottom w:val="single" w:color="000000" w:sz="4"/>
              <w:right w:val="single" w:color="000000" w:sz="4"/>
            </w:tcBorders>
            <w:vAlign w:val="top"/>
          </w:tcPr>
          <w:p>
            <w:pPr>
              <w:jc w:val="center"/>
            </w:pPr>
            <w:r>
              <w:rPr>
                <w:sz w:val="21"/>
              </w:rPr>
              <w:t>61</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57%</w:t>
            </w:r>
          </w:p>
        </w:tc>
      </w:tr>
      <w:tr>
        <w:tc>
          <w:tcPr>
            <w:tcW w:type="dxa" w:w="1302"/>
            <w:tcBorders>
              <w:top w:val="none" w:color="000000" w:sz="4"/>
              <w:left w:val="single" w:color="000000" w:sz="4"/>
              <w:bottom w:val="single" w:color="000000" w:sz="4"/>
              <w:right w:val="single" w:color="000000" w:sz="4"/>
            </w:tcBorders>
            <w:vAlign w:val="top"/>
          </w:tcPr>
          <w:p>
            <w:pPr>
              <w:jc w:val="center"/>
            </w:pPr>
            <w:r>
              <w:rPr>
                <w:sz w:val="21"/>
              </w:rPr>
              <w:t>82</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92%</w:t>
            </w:r>
          </w:p>
        </w:tc>
        <w:tc>
          <w:tcPr>
            <w:tcW w:type="dxa" w:w="746"/>
            <w:tcBorders>
              <w:top w:val="none" w:color="000000" w:sz="4"/>
              <w:left w:val="none" w:color="000000" w:sz="4"/>
              <w:bottom w:val="single" w:color="000000" w:sz="4"/>
              <w:right w:val="single" w:color="000000" w:sz="4"/>
            </w:tcBorders>
            <w:vAlign w:val="top"/>
          </w:tcPr>
          <w:p>
            <w:pPr>
              <w:jc w:val="center"/>
            </w:pPr>
            <w:r>
              <w:rPr>
                <w:sz w:val="21"/>
              </w:rPr>
              <w:t>71</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76.5%</w:t>
            </w:r>
          </w:p>
        </w:tc>
        <w:tc>
          <w:tcPr>
            <w:tcW w:type="dxa" w:w="1055"/>
            <w:tcBorders>
              <w:top w:val="none" w:color="000000" w:sz="4"/>
              <w:left w:val="none" w:color="000000" w:sz="4"/>
              <w:bottom w:val="single" w:color="000000" w:sz="4"/>
              <w:right w:val="single" w:color="000000" w:sz="4"/>
            </w:tcBorders>
            <w:vAlign w:val="top"/>
          </w:tcPr>
          <w:p>
            <w:pPr>
              <w:jc w:val="center"/>
            </w:pPr>
            <w:r>
              <w:rPr>
                <w:sz w:val="21"/>
              </w:rPr>
              <w:t>60</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55%</w:t>
            </w:r>
          </w:p>
        </w:tc>
      </w:tr>
      <w:tr>
        <w:tc>
          <w:tcPr>
            <w:tcW w:type="dxa" w:w="1302"/>
            <w:tcBorders>
              <w:top w:val="none" w:color="000000" w:sz="4"/>
              <w:left w:val="single" w:color="000000" w:sz="4"/>
              <w:bottom w:val="single" w:color="000000" w:sz="4"/>
              <w:right w:val="single" w:color="000000" w:sz="4"/>
            </w:tcBorders>
            <w:vAlign w:val="top"/>
          </w:tcPr>
          <w:p>
            <w:pPr>
              <w:jc w:val="center"/>
            </w:pPr>
            <w:r>
              <w:rPr>
                <w:sz w:val="21"/>
              </w:rPr>
              <w:t>81</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91%</w:t>
            </w:r>
          </w:p>
        </w:tc>
        <w:tc>
          <w:tcPr>
            <w:tcW w:type="dxa" w:w="746"/>
            <w:tcBorders>
              <w:top w:val="none" w:color="000000" w:sz="4"/>
              <w:left w:val="none" w:color="000000" w:sz="4"/>
              <w:bottom w:val="single" w:color="000000" w:sz="4"/>
              <w:right w:val="single" w:color="000000" w:sz="4"/>
            </w:tcBorders>
            <w:vAlign w:val="top"/>
          </w:tcPr>
          <w:p>
            <w:pPr>
              <w:jc w:val="center"/>
            </w:pPr>
            <w:r>
              <w:rPr>
                <w:sz w:val="21"/>
              </w:rPr>
              <w:t>70</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75%</w:t>
            </w:r>
          </w:p>
        </w:tc>
        <w:tc>
          <w:tcPr>
            <w:tcW w:type="dxa" w:w="1055"/>
            <w:tcBorders>
              <w:top w:val="none" w:color="000000" w:sz="4"/>
              <w:left w:val="none" w:color="000000" w:sz="4"/>
              <w:bottom w:val="single" w:color="000000" w:sz="4"/>
              <w:right w:val="single" w:color="000000" w:sz="4"/>
            </w:tcBorders>
            <w:vAlign w:val="top"/>
          </w:tcPr>
          <w:p>
            <w:pPr>
              <w:jc w:val="center"/>
            </w:pPr>
            <w:r>
              <w:rPr>
                <w:sz w:val="21"/>
              </w:rPr>
              <w:t>60以下</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50%</w:t>
            </w:r>
          </w:p>
        </w:tc>
      </w:tr>
      <w:tr>
        <w:tc>
          <w:tcPr>
            <w:tcW w:type="dxa" w:w="1302"/>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90%</w:t>
            </w:r>
          </w:p>
        </w:tc>
        <w:tc>
          <w:tcPr>
            <w:tcW w:type="dxa" w:w="746"/>
            <w:tcBorders>
              <w:top w:val="none" w:color="000000" w:sz="4"/>
              <w:left w:val="none" w:color="000000" w:sz="4"/>
              <w:bottom w:val="single" w:color="000000" w:sz="4"/>
              <w:right w:val="single" w:color="000000" w:sz="4"/>
            </w:tcBorders>
            <w:vAlign w:val="top"/>
          </w:tcPr>
          <w:p>
            <w:pPr>
              <w:jc w:val="center"/>
            </w:pPr>
            <w:r>
              <w:rPr>
                <w:sz w:val="21"/>
              </w:rPr>
              <w:t>69</w:t>
            </w:r>
          </w:p>
        </w:tc>
        <w:tc>
          <w:tcPr>
            <w:tcW w:type="dxa" w:w="1733"/>
            <w:tcBorders>
              <w:top w:val="none" w:color="000000" w:sz="4"/>
              <w:left w:val="none" w:color="000000" w:sz="4"/>
              <w:bottom w:val="single" w:color="000000" w:sz="4"/>
              <w:right w:val="single" w:color="000000" w:sz="4"/>
            </w:tcBorders>
            <w:vAlign w:val="top"/>
          </w:tcPr>
          <w:p>
            <w:pPr>
              <w:jc w:val="center"/>
            </w:pPr>
            <w:r>
              <w:rPr>
                <w:sz w:val="21"/>
              </w:rPr>
              <w:t>73%</w:t>
            </w:r>
          </w:p>
        </w:tc>
        <w:tc>
          <w:tcPr>
            <w:tcW w:type="dxa" w:w="1055"/>
            <w:tcBorders>
              <w:top w:val="none" w:color="000000" w:sz="4"/>
              <w:left w:val="none" w:color="000000" w:sz="4"/>
              <w:bottom w:val="single" w:color="000000" w:sz="4"/>
              <w:right w:val="single" w:color="000000" w:sz="4"/>
            </w:tcBorders>
            <w:vAlign w:val="top"/>
          </w:tcPr>
          <w:p>
            <w:pPr>
              <w:jc w:val="center"/>
            </w:pPr>
          </w:p>
        </w:tc>
        <w:tc>
          <w:tcPr>
            <w:tcW w:type="dxa" w:w="1733"/>
            <w:tcBorders>
              <w:top w:val="none" w:color="000000" w:sz="4"/>
              <w:left w:val="none" w:color="000000" w:sz="4"/>
              <w:bottom w:val="single" w:color="000000" w:sz="4"/>
              <w:right w:val="single" w:color="000000" w:sz="4"/>
            </w:tcBorders>
            <w:vAlign w:val="top"/>
          </w:tcPr>
          <w:p>
            <w:pPr>
              <w:jc w:val="center"/>
            </w:pPr>
          </w:p>
        </w:tc>
      </w:tr>
    </w:tbl>
    <w:p>
      <w:pPr>
        <w:ind w:firstLine="420"/>
        <w:jc w:val="left"/>
      </w:pPr>
      <w:r>
        <w:rPr>
          <w:sz w:val="21"/>
        </w:rPr>
        <w:t>若乙方分值为非整数，则按插值法计算其月承包款比例：</w:t>
      </w:r>
    </w:p>
    <w:p>
      <w:pPr>
        <w:ind w:firstLine="420"/>
        <w:jc w:val="left"/>
      </w:pPr>
      <w:r>
        <w:rPr>
          <w:sz w:val="21"/>
        </w:rPr>
        <w:t>备注：</w:t>
      </w:r>
      <w:r>
        <w:rPr>
          <w:sz w:val="21"/>
        </w:rPr>
        <w:t>90分及以上全额支付该月服务费；60分以下为不及格扣除当月承包款的50%，不适合于以下公式。</w:t>
      </w:r>
    </w:p>
    <w:p>
      <w:pPr>
        <w:ind w:firstLine="420"/>
        <w:jc w:val="left"/>
      </w:pPr>
      <w:r>
        <w:rPr>
          <w:sz w:val="21"/>
        </w:rPr>
        <w:t>例如：若乙方该月得分为</w:t>
      </w:r>
      <w:r>
        <w:rPr>
          <w:sz w:val="21"/>
        </w:rPr>
        <w:t>83.5分，则计算方式如下：</w:t>
      </w:r>
    </w:p>
    <w:p>
      <w:pPr>
        <w:ind w:firstLine="420"/>
        <w:jc w:val="left"/>
      </w:pPr>
      <w:r>
        <w:rPr>
          <w:sz w:val="21"/>
        </w:rPr>
        <w:t>对应月服务款比例</w:t>
      </w:r>
      <w:r>
        <w:rPr>
          <w:sz w:val="21"/>
        </w:rPr>
        <w:t>=93%+[(94%-93%)/(84-83)]×（83.5-83）=93.5%</w:t>
      </w:r>
    </w:p>
    <w:p>
      <w:pPr>
        <w:ind w:firstLine="420"/>
        <w:jc w:val="left"/>
      </w:pPr>
      <w:r>
        <w:rPr>
          <w:sz w:val="21"/>
        </w:rPr>
        <w:t>2、若出现违约扣减情况，根据招标文件（合同）约定的条例进行扣减，详见《万科体育路公园、万科城小公园及万科花园公园综合管理服务项目扣减通知书》（附件2）</w:t>
      </w:r>
    </w:p>
    <w:p>
      <w:pPr>
        <w:ind w:firstLine="420"/>
        <w:jc w:val="left"/>
      </w:pPr>
      <w:r>
        <w:rPr>
          <w:sz w:val="21"/>
        </w:rPr>
        <w:t>3、最终月度服务费=当月实际服务面积×月度服务单价×月考核评分对应管理费比例-扣减金额。</w:t>
      </w:r>
    </w:p>
    <w:p>
      <w:pPr>
        <w:ind w:firstLine="420"/>
        <w:jc w:val="both"/>
      </w:pPr>
      <w:r>
        <w:rPr>
          <w:sz w:val="21"/>
        </w:rPr>
        <w:t>六、其他</w:t>
      </w:r>
    </w:p>
    <w:p>
      <w:pPr>
        <w:ind w:firstLine="420"/>
        <w:jc w:val="both"/>
      </w:pPr>
      <w:r>
        <w:rPr>
          <w:sz w:val="21"/>
        </w:rPr>
        <w:t>1、乙方在管理期间自觉接受甲方、群众以及有关部门的监督管理。</w:t>
      </w:r>
    </w:p>
    <w:p>
      <w:pPr>
        <w:ind w:firstLine="420"/>
        <w:jc w:val="both"/>
      </w:pPr>
      <w:r>
        <w:rPr>
          <w:sz w:val="21"/>
        </w:rPr>
        <w:t>1.1乙方必须无条件服从甲方组织的一下突击性任务及迎检活动，按时、按标准、按要求完成所分配的工作。如在迎检活动中，由于工作不到位造成迎检项目不合格，扣减一个月管理经费，连续二次迎检工作因管理不到位造成迎检工作不合格的，甲方有权单方面解除合同，并有权按合同总价5%金额扣乙方违约金。</w:t>
      </w:r>
    </w:p>
    <w:p>
      <w:pPr>
        <w:ind w:firstLine="420"/>
        <w:jc w:val="both"/>
      </w:pPr>
      <w:r>
        <w:rPr>
          <w:sz w:val="21"/>
        </w:rPr>
        <w:t>1.2乙方必须随时、随地接受广大市民、新闻工作者的监督，若工作或安全生产工作受到市民投诉，经核实是管理不当的情况，每次扣取1000元；媒体负面投诉的，每次扣取5000元，经调查认定情况属实后未按要求按时整改的，每次扣取不少于2000元人民币服务款，造成恶劣影响的，当月评定不合格，甲方有权单方面解除合同并依职权对乙方通报批评。</w:t>
      </w:r>
    </w:p>
    <w:p>
      <w:pPr>
        <w:ind w:firstLine="420"/>
        <w:jc w:val="both"/>
      </w:pPr>
      <w:r>
        <w:rPr>
          <w:sz w:val="21"/>
        </w:rPr>
        <w:t>2、乙方根据本合同所承担的服务内容、按实际上岗人数自行到有关部门申办用工手续、员工劳动保险手续和办理居住证手续。安排好属下人员的住宿和教育管理工作</w:t>
      </w:r>
    </w:p>
    <w:p>
      <w:r>
        <w:rPr>
          <w:sz w:val="21"/>
        </w:rPr>
        <w:t>3、招聘人员时，鼓励优先考虑本区域范围内的下岗工人、农居民、具有工作能力的残疾人和低保人员。</w:t>
      </w:r>
    </w:p>
    <w:p>
      <w:r>
        <w:rPr>
          <w:sz w:val="21"/>
        </w:rPr>
        <w:t>4、乙方须落实安全生产和安全防火措施，乙方应按甲方要求，为上岗工人购买统一的工作服或反光袖套，自行解决公路安全作业问题。在进行管理作业时，须认真负责，注意安全操作。如因乙方操作不当、管理疏漏等各种原因造成乙方职工、雇员或任何其他人人身或财产损害的，乙方应承担全部责任。如甲方在前述情形中实际承担了责任的，乙方同意无条件赔偿甲方的一切损失（包括但不限于相关的赔偿费用、诉讼费、保全费、鉴定费、公证费、律师费、差旅费等所有费用)。</w:t>
      </w:r>
    </w:p>
    <w:p>
      <w:pPr>
        <w:ind w:firstLine="420"/>
        <w:jc w:val="both"/>
      </w:pPr>
      <w:r>
        <w:rPr>
          <w:sz w:val="21"/>
        </w:rPr>
        <w:t>5、乙方应当按时支付工人工资，如产生工资纠纷，甲方有权终止合同。</w:t>
      </w:r>
    </w:p>
    <w:p>
      <w:pPr>
        <w:ind w:firstLine="420"/>
        <w:jc w:val="both"/>
      </w:pPr>
      <w:r>
        <w:rPr>
          <w:sz w:val="21"/>
        </w:rPr>
        <w:t>6、在合同期内，因国家建设需要征用或甲方管理需要调整服务内容时，乙方无条件服从大局，相应减服务面积及费用。由此造成的经济损失，甲方不负赔偿责任。</w:t>
      </w:r>
    </w:p>
    <w:p>
      <w:pPr>
        <w:ind w:firstLine="420"/>
        <w:jc w:val="both"/>
      </w:pPr>
      <w:r>
        <w:rPr>
          <w:sz w:val="21"/>
        </w:rPr>
        <w:t>7、项目供水口地点:无:合同期内若供水不足,甲方可协助乙方实际需要办理专业给水口，但人工费，材料费由乙方支付。管理期内所需的水费（含污水处理费）由乙方承担，并由乙方直接向供水部门缴交，对于服务范围内现有完整自动灌淋浇喷系统的路段，乙方应优先使用并做好日常防盗。</w:t>
      </w:r>
    </w:p>
    <w:p>
      <w:pPr>
        <w:ind w:firstLine="420"/>
        <w:jc w:val="both"/>
      </w:pPr>
      <w:r>
        <w:rPr>
          <w:sz w:val="21"/>
        </w:rPr>
        <w:t>8、服务范围内的设施被盗、损坏、树木折断或倒毁,致人死伤或造成其他维护损失的，由乙方负责贴偿和承担其他一切责任。</w:t>
      </w:r>
    </w:p>
    <w:p>
      <w:pPr>
        <w:ind w:firstLine="420"/>
        <w:jc w:val="both"/>
      </w:pPr>
      <w:r>
        <w:rPr>
          <w:sz w:val="21"/>
        </w:rPr>
        <w:t>9、乙方必须积极配合做好管理项目移交工作。承包期满前半年，乙方必须完成补苗等移交前准备工作，到期满前3个月内仍未完成的,应按相当于3个月的管理费的标准向甲方支付违约金,并严禁再补苗,所缺苗木按《东莞市恢复绿化补偿费标准》赔偿给甲方。乙方要积极配合与下一服务单位移交,不得以任何方式阻碍、延误移交工作。</w:t>
      </w:r>
    </w:p>
    <w:p>
      <w:pPr>
        <w:ind w:firstLine="420"/>
        <w:jc w:val="both"/>
      </w:pPr>
      <w:r>
        <w:rPr>
          <w:sz w:val="21"/>
        </w:rPr>
        <w:t>10、乙方必须承担好服务范围内的绿地保护工作，严禁出现管理绿地被推自占用或破坏的现象，凡是属于乙方巡查，处理不及时导致绿地被擅自占用或破坏，且影响较大的，一经责任认定，当月考核评分档次为差，并按相关条款除当月管理费用。</w:t>
      </w:r>
    </w:p>
    <w:p>
      <w:pPr>
        <w:ind w:firstLine="420"/>
        <w:jc w:val="both"/>
      </w:pPr>
      <w:r>
        <w:rPr>
          <w:sz w:val="21"/>
        </w:rPr>
        <w:t>11、草坪应长期保持平整，凡是绿化草坪因人为破坏、交通事故或其他事件破坏的，必须于事后24小时内及时恢复。</w:t>
      </w:r>
    </w:p>
    <w:p>
      <w:pPr>
        <w:ind w:firstLine="420"/>
        <w:jc w:val="both"/>
      </w:pPr>
      <w:r>
        <w:rPr>
          <w:sz w:val="21"/>
        </w:rPr>
        <w:t>12、乙方堆放、处理枯枝、枯叶的方式及地点需符合行业要求，并报备甲方备案。</w:t>
      </w:r>
    </w:p>
    <w:p>
      <w:pPr>
        <w:ind w:firstLine="420"/>
        <w:jc w:val="both"/>
      </w:pPr>
      <w:r>
        <w:rPr>
          <w:sz w:val="21"/>
        </w:rPr>
        <w:t>13、乙方须在投标文件中以承诺函形式承诺：中标后，若乙方没有相关施工资质，经甲方同意后，可将本项目相关施工部分分包给有相应资质的公司实施，乙方须对该部分承担连带责任。（须提供承诺函）</w:t>
      </w:r>
    </w:p>
    <w:p>
      <w:pPr>
        <w:ind w:firstLine="420"/>
        <w:jc w:val="both"/>
      </w:pPr>
      <w:r>
        <w:rPr>
          <w:sz w:val="21"/>
        </w:rPr>
        <w:t>七、违约责任</w:t>
      </w:r>
    </w:p>
    <w:p>
      <w:pPr>
        <w:ind w:firstLine="420"/>
        <w:jc w:val="both"/>
      </w:pPr>
      <w:r>
        <w:rPr>
          <w:sz w:val="21"/>
        </w:rPr>
        <w:t>1、如乙方存在以下三种情形之一，甲方有权即时中止合同，并视乙方违约处理：一是在甲方每月检查考核中，合同期内三次不合格（低于60分）；二是承包范围内的管理问题被省级或以上媒体曝光，情况较为严重；三是发生重大违规违法现象。</w:t>
      </w:r>
    </w:p>
    <w:p>
      <w:pPr>
        <w:ind w:firstLine="420"/>
        <w:jc w:val="both"/>
      </w:pPr>
      <w:r>
        <w:rPr>
          <w:sz w:val="21"/>
        </w:rPr>
        <w:t>2、乙方与甲方签订承包合同时，必须提交金额为合同价5%的履约保证金。如乙方不能保质保量完成工程，未履行或未按照合同约定履行义务的，除承担相关责任外，甲方还将没收全部履约保证金。如乙方采用履约保函方式支付履约保证金，必须确保履约保函在合同期内有效，如保函失效，属乙方违约，由乙方按该保证金金额赔偿。</w:t>
      </w:r>
    </w:p>
    <w:p>
      <w:pPr>
        <w:ind w:firstLine="420"/>
        <w:jc w:val="both"/>
      </w:pPr>
      <w:r>
        <w:rPr>
          <w:sz w:val="21"/>
        </w:rPr>
        <w:t>3、乙方未征得甲方书面同意，擅自将本合同的服务项目部分或全部转包或分包给他人的</w:t>
      </w:r>
      <w:r>
        <w:rPr>
          <w:sz w:val="21"/>
        </w:rPr>
        <w:t>,</w:t>
      </w:r>
      <w:r>
        <w:rPr>
          <w:sz w:val="21"/>
        </w:rPr>
        <w:t>甲方有权单方面解除合同</w:t>
      </w:r>
      <w:r>
        <w:rPr>
          <w:sz w:val="21"/>
        </w:rPr>
        <w:t>,</w:t>
      </w:r>
      <w:r>
        <w:rPr>
          <w:sz w:val="21"/>
        </w:rPr>
        <w:t>没收履约保证金。</w:t>
      </w:r>
      <w:r>
        <w:rPr>
          <w:sz w:val="21"/>
        </w:rPr>
        <w:t xml:space="preserve"> </w:t>
      </w:r>
    </w:p>
    <w:p>
      <w:pPr>
        <w:ind w:firstLine="420"/>
        <w:jc w:val="both"/>
      </w:pPr>
      <w:r>
        <w:rPr>
          <w:sz w:val="21"/>
        </w:rPr>
        <w:t>4</w:t>
      </w:r>
      <w:r>
        <w:rPr>
          <w:sz w:val="21"/>
        </w:rPr>
        <w:t>、乙方无故停止工作，甲方有权按损失程度扣减服务款，并有权要求乙方支付相当于总合价款</w:t>
      </w:r>
      <w:r>
        <w:rPr>
          <w:sz w:val="21"/>
        </w:rPr>
        <w:t>5%</w:t>
      </w:r>
      <w:r>
        <w:rPr>
          <w:sz w:val="21"/>
        </w:rPr>
        <w:t>的违约金，若无故停工累达</w:t>
      </w:r>
      <w:r>
        <w:rPr>
          <w:sz w:val="21"/>
        </w:rPr>
        <w:t>7</w:t>
      </w:r>
      <w:r>
        <w:rPr>
          <w:sz w:val="21"/>
        </w:rPr>
        <w:t>天内，甲方有权单方面解除合同，</w:t>
      </w:r>
    </w:p>
    <w:p>
      <w:pPr>
        <w:ind w:firstLine="420"/>
        <w:jc w:val="both"/>
      </w:pPr>
      <w:r>
        <w:rPr>
          <w:sz w:val="21"/>
        </w:rPr>
        <w:t>5、合同期内，乙方必须根据承包合同中的各项条款履行各项职责，如发现由于乙方组织措施不当、计划不落实、管理不严，导致服务质量达不到规定标准的，书面责令整改告诫后仍未再限期内落实的，第一次将扣减5000元；对同一内容出第二次书面催告仍未在期限内落实的，将双倍扣减；对同一内容出第三次书面催告仍未落实的，甲方有权终止合同。</w:t>
      </w:r>
    </w:p>
    <w:p>
      <w:pPr>
        <w:numPr>
          <w:ilvl w:val="0"/>
          <w:numId w:val="1"/>
        </w:numPr>
        <w:jc w:val="both"/>
      </w:pPr>
      <w:r>
        <w:rPr>
          <w:sz w:val="21"/>
        </w:rPr>
        <w:t>合同期内评分不及格达三次的，甲方有权直接解约并追究违约责任。</w:t>
      </w:r>
    </w:p>
    <w:p/>
    <w:p/>
    <w:p>
      <w:pPr>
        <w:jc w:val="both"/>
      </w:pPr>
      <w:r>
        <w:rPr>
          <w:sz w:val="21"/>
        </w:rPr>
        <w:t>三、甲方乙方的权利和义务</w:t>
      </w:r>
    </w:p>
    <w:p>
      <w:pPr>
        <w:ind w:firstLine="420"/>
        <w:jc w:val="both"/>
      </w:pPr>
      <w:r>
        <w:rPr>
          <w:sz w:val="21"/>
        </w:rPr>
        <w:t>1.甲方的权利和义务</w:t>
      </w:r>
    </w:p>
    <w:p>
      <w:pPr>
        <w:ind w:firstLine="420"/>
        <w:jc w:val="both"/>
      </w:pPr>
      <w:r>
        <w:rPr>
          <w:sz w:val="21"/>
        </w:rPr>
        <w:t>（</w:t>
      </w:r>
      <w:r>
        <w:rPr>
          <w:sz w:val="21"/>
        </w:rPr>
        <w:t>1）甲方应协助乙方开展本项目的相关工作，并提供相关资料。</w:t>
      </w:r>
    </w:p>
    <w:p>
      <w:pPr>
        <w:ind w:firstLine="420"/>
        <w:jc w:val="both"/>
      </w:pPr>
      <w:r>
        <w:rPr>
          <w:sz w:val="21"/>
        </w:rPr>
        <w:t>（</w:t>
      </w:r>
      <w:r>
        <w:rPr>
          <w:sz w:val="21"/>
        </w:rPr>
        <w:t>2）甲方应按本合同有关规定及时支付相关费用。</w:t>
      </w:r>
    </w:p>
    <w:p>
      <w:pPr>
        <w:ind w:firstLine="420"/>
        <w:jc w:val="both"/>
      </w:pPr>
      <w:r>
        <w:rPr>
          <w:sz w:val="21"/>
        </w:rPr>
        <w:t>（</w:t>
      </w:r>
      <w:r>
        <w:rPr>
          <w:sz w:val="21"/>
        </w:rPr>
        <w:t>3）甲方有权对乙方履行本合同情况进行监督，就乙方工作不足之处，甲方有权提出整改意见，乙方应当按甲方要求完成整改。</w:t>
      </w:r>
    </w:p>
    <w:p>
      <w:pPr>
        <w:ind w:firstLine="420"/>
        <w:jc w:val="both"/>
      </w:pPr>
      <w:r>
        <w:rPr>
          <w:sz w:val="21"/>
        </w:rPr>
        <w:t>2.乙方的权利和义务</w:t>
      </w:r>
    </w:p>
    <w:p>
      <w:pPr>
        <w:ind w:firstLine="420"/>
        <w:jc w:val="both"/>
      </w:pPr>
      <w:r>
        <w:rPr>
          <w:sz w:val="21"/>
        </w:rPr>
        <w:t>（</w:t>
      </w:r>
      <w:r>
        <w:rPr>
          <w:sz w:val="21"/>
        </w:rPr>
        <w:t>1）乙方必须根据采购文件及有关的技术要求、国家现行有关设计标准、技术规范、规程、甲方要求完成合同约定范围内的全部任务，并按规定向甲方交付成果，确保质量与进度。</w:t>
      </w:r>
    </w:p>
    <w:p>
      <w:pPr>
        <w:ind w:firstLine="420"/>
        <w:jc w:val="both"/>
      </w:pPr>
      <w:r>
        <w:rPr>
          <w:sz w:val="21"/>
        </w:rPr>
        <w:t>（</w:t>
      </w:r>
      <w:r>
        <w:rPr>
          <w:sz w:val="21"/>
        </w:rPr>
        <w:t>2）乙方应按时召开内部沟通会议，跟进项目进度，并及时向甲方汇报项目进展情况，及时参加甲方召开的项目会议。</w:t>
      </w:r>
    </w:p>
    <w:p>
      <w:pPr>
        <w:ind w:firstLine="420"/>
        <w:jc w:val="both"/>
      </w:pPr>
      <w:r>
        <w:rPr>
          <w:sz w:val="21"/>
        </w:rPr>
        <w:t>（</w:t>
      </w:r>
      <w:r>
        <w:rPr>
          <w:sz w:val="21"/>
        </w:rPr>
        <w:t>3）乙方应保证服务质量，因乙方自身原因出现错误或遗漏或甲方不满意之处，必须按甲方意见进行修改完善。</w:t>
      </w:r>
    </w:p>
    <w:p>
      <w:pPr>
        <w:ind w:firstLine="420"/>
        <w:jc w:val="both"/>
      </w:pPr>
      <w:r>
        <w:rPr>
          <w:sz w:val="21"/>
        </w:rPr>
        <w:t>（</w:t>
      </w:r>
      <w:r>
        <w:rPr>
          <w:sz w:val="21"/>
        </w:rPr>
        <w:t>4）乙方人员在委托服务期间造成甲方、第三方人身损害或财产损失的，由乙方承担民事赔偿责任。</w:t>
      </w:r>
    </w:p>
    <w:p>
      <w:pPr>
        <w:ind w:firstLine="420"/>
        <w:jc w:val="both"/>
      </w:pPr>
      <w:r>
        <w:rPr>
          <w:sz w:val="21"/>
        </w:rPr>
        <w:t>（</w:t>
      </w:r>
      <w:r>
        <w:rPr>
          <w:sz w:val="21"/>
        </w:rPr>
        <w:t>5）乙方人员在委托服务期间发生工伤事故及其他一切事故造成的损害均由乙方全部承担，与甲方无关。</w:t>
      </w:r>
    </w:p>
    <w:p>
      <w:pPr>
        <w:ind w:firstLine="420"/>
        <w:jc w:val="both"/>
      </w:pPr>
      <w:r>
        <w:rPr>
          <w:sz w:val="21"/>
        </w:rPr>
        <w:t>（</w:t>
      </w:r>
      <w:r>
        <w:rPr>
          <w:sz w:val="21"/>
        </w:rPr>
        <w:t>6）乙方严禁转包，未经甲方书面同意不得分包。</w:t>
      </w:r>
    </w:p>
    <w:p>
      <w:pPr>
        <w:jc w:val="both"/>
      </w:pPr>
      <w:r>
        <w:rPr>
          <w:sz w:val="21"/>
        </w:rPr>
        <w:t>四、服务期间及服务地点（项目完成期限）</w:t>
      </w:r>
    </w:p>
    <w:p>
      <w:pPr>
        <w:ind w:firstLine="420"/>
        <w:jc w:val="both"/>
      </w:pPr>
      <w:r>
        <w:rPr>
          <w:sz w:val="21"/>
        </w:rPr>
        <w:t>1.服务期限：自合同签订生效之日起3年。</w:t>
      </w:r>
    </w:p>
    <w:p>
      <w:pPr>
        <w:ind w:firstLine="420"/>
        <w:jc w:val="both"/>
      </w:pPr>
      <w:r>
        <w:rPr>
          <w:sz w:val="21"/>
        </w:rPr>
        <w:t>2.服务地点：甲方指定地点。</w:t>
      </w:r>
    </w:p>
    <w:p>
      <w:pPr>
        <w:ind w:firstLine="420"/>
        <w:jc w:val="both"/>
      </w:pPr>
      <w:r>
        <w:rPr>
          <w:sz w:val="21"/>
        </w:rPr>
        <w:t>3.委托服务期间自______年______月______日至______年______月______日止。</w:t>
      </w:r>
    </w:p>
    <w:p>
      <w:pPr>
        <w:jc w:val="both"/>
      </w:pPr>
      <w:r>
        <w:rPr>
          <w:sz w:val="21"/>
        </w:rPr>
        <w:t>五、付款方式</w:t>
      </w:r>
    </w:p>
    <w:p>
      <w:pPr>
        <w:ind w:firstLine="420"/>
        <w:jc w:val="both"/>
      </w:pPr>
      <w:r>
        <w:rPr>
          <w:sz w:val="21"/>
        </w:rPr>
        <w:t>1.合同生效后从第二个月起每月20日前，甲方按实际考核结果向中标人支付上月的养护费（每月养护费根据月度综合考评得分确定实际应付款数额后支付；付款时乙方应出具与实际应付款数额相符的发票，如乙方迟延提交发票或者提交的发票不符合要求的，甲方顺延付款不视为违约，由此造成的损失由乙方自行承担）。最终月度服务费=当月实际服务面积×月度服务单价×月考核评分对应管理费比例-扣减金额。</w:t>
      </w:r>
    </w:p>
    <w:p>
      <w:pPr>
        <w:ind w:firstLine="420"/>
        <w:jc w:val="both"/>
      </w:pPr>
      <w:r>
        <w:rPr>
          <w:sz w:val="21"/>
        </w:rPr>
        <w:t>2.本承包合同的管养经费由政府财政拨款，如因政策的影响，拨款未能及时到位，乙方不得以此为由而不履行本合同规定的义务。否则，甲方按规定扣取违约金。</w:t>
      </w:r>
    </w:p>
    <w:p>
      <w:pPr>
        <w:jc w:val="both"/>
      </w:pPr>
      <w:r>
        <w:rPr>
          <w:sz w:val="21"/>
        </w:rPr>
        <w:t>六、</w:t>
      </w:r>
      <w:r>
        <w:rPr>
          <w:sz w:val="21"/>
        </w:rPr>
        <w:t>验收要求</w:t>
      </w:r>
    </w:p>
    <w:p>
      <w:pPr>
        <w:ind w:firstLine="420"/>
        <w:jc w:val="both"/>
      </w:pPr>
      <w:r>
        <w:rPr>
          <w:sz w:val="21"/>
        </w:rPr>
        <w:t>按国家及相关行业标准进行验收。</w:t>
      </w:r>
    </w:p>
    <w:p>
      <w:pPr>
        <w:jc w:val="both"/>
      </w:pPr>
      <w:r>
        <w:rPr>
          <w:sz w:val="21"/>
        </w:rPr>
        <w:t>七、</w:t>
      </w:r>
      <w:r>
        <w:rPr>
          <w:sz w:val="21"/>
        </w:rPr>
        <w:t>履约保证金</w:t>
      </w:r>
    </w:p>
    <w:p>
      <w:pPr>
        <w:ind w:firstLine="420"/>
        <w:jc w:val="both"/>
      </w:pPr>
      <w:r>
        <w:rPr>
          <w:sz w:val="21"/>
        </w:rPr>
        <w:t>1.</w:t>
      </w:r>
      <w:r>
        <w:rPr>
          <w:sz w:val="21"/>
        </w:rPr>
        <w:t>收取履约保证金，收取比例为：</w:t>
      </w:r>
      <w:r>
        <w:rPr>
          <w:sz w:val="21"/>
        </w:rPr>
        <w:t>5%。</w:t>
      </w:r>
    </w:p>
    <w:p>
      <w:pPr>
        <w:ind w:firstLine="420"/>
        <w:jc w:val="both"/>
      </w:pPr>
      <w:r>
        <w:rPr>
          <w:sz w:val="21"/>
        </w:rPr>
        <w:t>2.</w:t>
      </w:r>
      <w:r>
        <w:rPr>
          <w:sz w:val="21"/>
        </w:rPr>
        <w:t>乙方应在领取中标（成交）通知书之后签订合同之前递交履约保证金，履约保证金可采用保证金（银行转账、电汇）方式，或采用履约保函方式。</w:t>
      </w:r>
    </w:p>
    <w:p>
      <w:pPr>
        <w:ind w:firstLine="420"/>
        <w:jc w:val="both"/>
      </w:pPr>
      <w:r>
        <w:rPr>
          <w:sz w:val="21"/>
        </w:rPr>
        <w:t>3.</w:t>
      </w:r>
      <w:r>
        <w:rPr>
          <w:sz w:val="21"/>
        </w:rPr>
        <w:t>履约保证金在合同期满后或产品验收合格后，乙方向甲方提交退回履约保证金的申请、履约保证金汇款凭证复印件、采购合同、采购项目验收报告原件、中标（成交）通知书复印件，前往甲方办理履约保证金退还手续。</w:t>
      </w:r>
    </w:p>
    <w:p>
      <w:pPr>
        <w:ind w:firstLine="420"/>
        <w:jc w:val="both"/>
      </w:pPr>
      <w:r>
        <w:rPr>
          <w:sz w:val="21"/>
        </w:rPr>
        <w:t>九、保密</w:t>
      </w:r>
    </w:p>
    <w:p>
      <w:pPr>
        <w:ind w:firstLine="420"/>
        <w:jc w:val="both"/>
      </w:pPr>
      <w:r>
        <w:rPr>
          <w:sz w:val="21"/>
        </w:rPr>
        <w:t>未经甲方事先书面同意，乙方不得将在签订、履行本合同过程中所获悉的属于甲方及其关联方的且无法自公开渠道获得的文件及资料提供给与本合同无关的任何第三方，不得将其用于履行本合同之外的其它用途。即使向与履行本合同有关的人员提供，也应注意保密并限于履行合同所必需的范围。本合同终止后，乙方仍须履行该保密义务，并须将甲方提供的所有资料予以归还，不得自行复制、留存。</w:t>
      </w:r>
    </w:p>
    <w:p>
      <w:pPr>
        <w:jc w:val="both"/>
      </w:pPr>
      <w:r>
        <w:rPr>
          <w:sz w:val="21"/>
        </w:rPr>
        <w:t>十、违约责任与赔偿损失</w:t>
      </w:r>
    </w:p>
    <w:p>
      <w:pPr>
        <w:ind w:firstLine="420"/>
        <w:jc w:val="both"/>
      </w:pPr>
      <w:r>
        <w:rPr>
          <w:sz w:val="21"/>
        </w:rPr>
        <w:t>1.乙方提供的服务不符合本合同规定的，甲方有权拒收，并且乙方须向甲方方支付本合同总价5%的违约金。</w:t>
      </w:r>
    </w:p>
    <w:p>
      <w:pPr>
        <w:ind w:firstLine="420"/>
        <w:jc w:val="both"/>
      </w:pPr>
      <w:r>
        <w:rPr>
          <w:sz w:val="21"/>
        </w:rPr>
        <w:t>2.乙方未能按本合同规定或甲方要求的期限提供服务，从逾期之日起每日按本合同总价3‰的数额向甲方支付违约金；逾期半个月以上的，甲方有权终止合同，由此造成的甲方经济损失由乙方承担。</w:t>
      </w:r>
    </w:p>
    <w:p>
      <w:pPr>
        <w:ind w:firstLine="420"/>
        <w:jc w:val="both"/>
      </w:pPr>
      <w:r>
        <w:rPr>
          <w:sz w:val="21"/>
        </w:rPr>
        <w:t>3.乙方提供的服务不满足甲方要求，须按甲方要求限期返工整改，直至满足甲方要求，由此产生的费用由乙方自行承担。</w:t>
      </w:r>
    </w:p>
    <w:p>
      <w:pPr>
        <w:ind w:firstLine="420"/>
        <w:jc w:val="both"/>
      </w:pPr>
      <w:r>
        <w:rPr>
          <w:sz w:val="21"/>
        </w:rPr>
        <w:t>4.乙方违反本合同规定的，还应赔偿甲方为实现本合同项下权利而产生的律师费、保全费、公证费、担保费、鉴定费、专家论证费等一切费用。</w:t>
      </w:r>
    </w:p>
    <w:p>
      <w:pPr>
        <w:ind w:firstLine="420"/>
        <w:jc w:val="both"/>
      </w:pPr>
      <w:r>
        <w:rPr>
          <w:sz w:val="21"/>
        </w:rPr>
        <w:t>5.其它违约责任按《中华人民共和国民法典(合同编)》处理。</w:t>
      </w:r>
    </w:p>
    <w:p>
      <w:pPr>
        <w:jc w:val="both"/>
      </w:pPr>
      <w:r>
        <w:rPr>
          <w:sz w:val="21"/>
        </w:rPr>
        <w:t>十一、争议的解决</w:t>
      </w:r>
    </w:p>
    <w:p>
      <w:pPr>
        <w:ind w:firstLine="420"/>
        <w:jc w:val="both"/>
      </w:pPr>
      <w:r>
        <w:rPr>
          <w:sz w:val="21"/>
        </w:rPr>
        <w:t>合同执行过程中发生的任何争议，如双方不能通过友好协商解决，任何一方可以向甲方所在地人民法院提起诉讼。</w:t>
      </w:r>
    </w:p>
    <w:p>
      <w:pPr>
        <w:jc w:val="both"/>
      </w:pPr>
      <w:r>
        <w:rPr>
          <w:sz w:val="21"/>
        </w:rPr>
        <w:t>十二、不可抗力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sz w:val="21"/>
        </w:rPr>
        <w:t>十三、税费</w:t>
      </w:r>
    </w:p>
    <w:p>
      <w:pPr>
        <w:ind w:firstLine="420"/>
        <w:jc w:val="both"/>
      </w:pPr>
      <w:r>
        <w:rPr>
          <w:sz w:val="21"/>
        </w:rPr>
        <w:t>在中国境内、外发生的与本合同执行有关的一切税费均由乙方负担。</w:t>
      </w:r>
    </w:p>
    <w:p>
      <w:pPr>
        <w:jc w:val="both"/>
      </w:pPr>
      <w:r>
        <w:rPr>
          <w:sz w:val="21"/>
        </w:rPr>
        <w:t>十四、其它</w:t>
      </w:r>
    </w:p>
    <w:p>
      <w:pPr>
        <w:ind w:firstLine="420"/>
        <w:jc w:val="both"/>
      </w:pPr>
      <w:r>
        <w:rPr>
          <w:sz w:val="21"/>
        </w:rPr>
        <w:t>1.本合同所有附件、招标文件、投标文件、中标通知书均为合同的有效组成部分，与本合同具有同等法律效力。</w:t>
      </w:r>
    </w:p>
    <w:p>
      <w:pPr>
        <w:ind w:firstLine="420"/>
        <w:jc w:val="both"/>
      </w:pPr>
      <w:r>
        <w:rPr>
          <w:sz w:val="21"/>
        </w:rPr>
        <w:t>2.在执行本合同的过程中，所有经双方签署确认的文件（包括会议纪要、补充协议、往来信函）即成为本合同的有效组成部分。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4.除甲方事先书面同意外，乙方不得部分或全部转让其应履行的合同项下的义务。</w:t>
      </w:r>
    </w:p>
    <w:p>
      <w:pPr>
        <w:jc w:val="both"/>
      </w:pPr>
      <w:r>
        <w:rPr>
          <w:sz w:val="21"/>
        </w:rPr>
        <w:t>十五、合同生效</w:t>
      </w:r>
    </w:p>
    <w:p>
      <w:pPr>
        <w:ind w:firstLine="420"/>
        <w:jc w:val="both"/>
      </w:pPr>
      <w:r>
        <w:rPr>
          <w:sz w:val="21"/>
        </w:rPr>
        <w:t>1.本合同在甲乙双方法人代表或其授权代表签字盖章后生效。</w:t>
      </w:r>
    </w:p>
    <w:p>
      <w:pPr>
        <w:ind w:firstLine="420"/>
        <w:jc w:val="both"/>
      </w:pPr>
      <w:r>
        <w:rPr>
          <w:sz w:val="21"/>
        </w:rPr>
        <w:t>2.合同一式    份。</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left"/>
            </w:pPr>
            <w:r>
              <w:rPr>
                <w:sz w:val="21"/>
              </w:rPr>
              <w:t>甲方（盖章）：</w:t>
            </w:r>
          </w:p>
        </w:tc>
        <w:tc>
          <w:tcPr>
            <w:tcW w:type="dxa" w:w="4153"/>
            <w:tcBorders>
              <w:top w:val="none" w:color="000000" w:sz="4"/>
              <w:left w:val="none" w:color="000000" w:sz="4"/>
              <w:bottom w:val="none" w:color="000000" w:sz="4"/>
              <w:right w:val="none" w:color="000000" w:sz="4"/>
            </w:tcBorders>
            <w:vAlign w:val="top"/>
          </w:tcPr>
          <w:p>
            <w:pPr>
              <w:jc w:val="left"/>
            </w:pPr>
            <w:r>
              <w:rPr>
                <w:sz w:val="21"/>
              </w:rPr>
              <w:t>乙方（盖章）：</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代表：</w:t>
            </w:r>
          </w:p>
        </w:tc>
        <w:tc>
          <w:tcPr>
            <w:tcW w:type="dxa" w:w="4153"/>
            <w:tcBorders>
              <w:top w:val="none" w:color="000000" w:sz="4"/>
              <w:left w:val="none" w:color="000000" w:sz="4"/>
              <w:bottom w:val="none" w:color="000000" w:sz="4"/>
              <w:right w:val="none" w:color="000000" w:sz="4"/>
            </w:tcBorders>
            <w:vAlign w:val="top"/>
          </w:tcPr>
          <w:p>
            <w:pPr>
              <w:jc w:val="left"/>
            </w:pPr>
            <w:r>
              <w:rPr>
                <w:sz w:val="21"/>
              </w:rPr>
              <w:t>代表：</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签定地点：</w:t>
            </w:r>
          </w:p>
        </w:tc>
        <w:tc>
          <w:tcPr>
            <w:tcW w:type="dxa" w:w="4153"/>
            <w:tcBorders>
              <w:top w:val="none" w:color="000000" w:sz="4"/>
              <w:left w:val="none" w:color="000000" w:sz="4"/>
              <w:bottom w:val="none" w:color="000000" w:sz="4"/>
              <w:right w:val="none" w:color="000000" w:sz="4"/>
            </w:tcBorders>
            <w:vAlign w:val="top"/>
          </w:tcPr>
          <w:p>
            <w:pPr>
              <w:jc w:val="left"/>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签定日期：　　年　月　日</w:t>
            </w:r>
          </w:p>
        </w:tc>
        <w:tc>
          <w:tcPr>
            <w:tcW w:type="dxa" w:w="4153"/>
            <w:tcBorders>
              <w:top w:val="none" w:color="000000" w:sz="4"/>
              <w:left w:val="none" w:color="000000" w:sz="4"/>
              <w:bottom w:val="none" w:color="000000" w:sz="4"/>
              <w:right w:val="none" w:color="000000" w:sz="4"/>
            </w:tcBorders>
            <w:vAlign w:val="top"/>
          </w:tcPr>
          <w:p>
            <w:pPr>
              <w:jc w:val="left"/>
            </w:pPr>
            <w:r>
              <w:rPr>
                <w:sz w:val="21"/>
              </w:rPr>
              <w:t>签定日期：　　年　月　日</w:t>
            </w:r>
          </w:p>
        </w:tc>
      </w:tr>
      <w:tr>
        <w:tc>
          <w:tcPr>
            <w:tcW w:type="dxa" w:w="4153"/>
            <w:tcBorders>
              <w:top w:val="none" w:color="000000" w:sz="4"/>
              <w:left w:val="none" w:color="000000" w:sz="4"/>
              <w:bottom w:val="none" w:color="000000" w:sz="4"/>
              <w:right w:val="none" w:color="000000" w:sz="4"/>
            </w:tcBorders>
            <w:vAlign w:val="top"/>
          </w:tcPr>
          <w:p>
            <w:pPr>
              <w:jc w:val="left"/>
            </w:pPr>
            <w:r>
              <w:rPr>
                <w:sz w:val="21"/>
              </w:rPr>
              <w:t>开户名称：</w:t>
            </w:r>
          </w:p>
        </w:tc>
        <w:tc>
          <w:tcPr>
            <w:tcW w:type="dxa" w:w="4153"/>
            <w:tcBorders>
              <w:top w:val="none" w:color="000000" w:sz="4"/>
              <w:left w:val="none" w:color="000000" w:sz="4"/>
              <w:bottom w:val="none" w:color="000000" w:sz="4"/>
              <w:right w:val="none" w:color="000000" w:sz="4"/>
            </w:tcBorders>
            <w:vAlign w:val="top"/>
          </w:tcPr>
          <w:p>
            <w:pPr>
              <w:jc w:val="left"/>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银行帐号：</w:t>
            </w:r>
          </w:p>
        </w:tc>
        <w:tc>
          <w:tcPr>
            <w:tcW w:type="dxa" w:w="4153"/>
            <w:tcBorders>
              <w:top w:val="none" w:color="000000" w:sz="4"/>
              <w:left w:val="none" w:color="000000" w:sz="4"/>
              <w:bottom w:val="none" w:color="000000" w:sz="4"/>
              <w:right w:val="none" w:color="000000" w:sz="4"/>
            </w:tcBorders>
            <w:vAlign w:val="top"/>
          </w:tcPr>
          <w:p>
            <w:pPr>
              <w:jc w:val="left"/>
            </w:pPr>
          </w:p>
        </w:tc>
      </w:tr>
      <w:tr>
        <w:tc>
          <w:tcPr>
            <w:tcW w:type="dxa" w:w="4153"/>
            <w:tcBorders>
              <w:top w:val="none" w:color="000000" w:sz="4"/>
              <w:left w:val="none" w:color="000000" w:sz="4"/>
              <w:bottom w:val="none" w:color="000000" w:sz="4"/>
              <w:right w:val="none" w:color="000000" w:sz="4"/>
            </w:tcBorders>
            <w:vAlign w:val="top"/>
          </w:tcPr>
          <w:p>
            <w:pPr>
              <w:jc w:val="left"/>
            </w:pPr>
            <w:r>
              <w:rPr>
                <w:sz w:val="21"/>
              </w:rPr>
              <w:t>开户行：</w:t>
            </w:r>
          </w:p>
        </w:tc>
        <w:tc>
          <w:tcPr>
            <w:tcW w:type="dxa" w:w="4153"/>
            <w:tcBorders>
              <w:top w:val="none" w:color="000000" w:sz="4"/>
              <w:left w:val="none" w:color="000000" w:sz="4"/>
              <w:bottom w:val="none" w:color="000000" w:sz="4"/>
              <w:right w:val="none" w:color="000000" w:sz="4"/>
            </w:tcBorders>
            <w:vAlign w:val="top"/>
          </w:tcPr>
          <w:p>
            <w:pPr>
              <w:jc w:val="left"/>
            </w:pPr>
          </w:p>
        </w:tc>
      </w:tr>
    </w:tbl>
    <w:p>
      <w:pPr>
        <w:jc w:val="both"/>
      </w:pPr>
    </w:p>
    <w:p>
      <w:pPr>
        <w:jc w:val="both"/>
      </w:pPr>
    </w:p>
    <w:p>
      <w:pPr>
        <w:jc w:val="both"/>
      </w:pPr>
    </w:p>
    <w:p>
      <w:pPr>
        <w:jc w:val="both"/>
      </w:pPr>
    </w:p>
    <w:p>
      <w:pPr>
        <w:jc w:val="both"/>
      </w:pPr>
    </w:p>
    <w:p>
      <w:pPr>
        <w:jc w:val="both"/>
      </w:pPr>
    </w:p>
    <w:p>
      <w:pPr>
        <w:jc w:val="both"/>
      </w:pPr>
    </w:p>
    <w:p>
      <w:pPr>
        <w:jc w:val="both"/>
      </w:pPr>
    </w:p>
    <w:p>
      <w:pPr>
        <w:jc w:val="both"/>
      </w:pPr>
      <w:r>
        <w:rPr>
          <w:sz w:val="21"/>
        </w:rPr>
        <w:t>附件</w:t>
      </w:r>
      <w:r>
        <w:rPr>
          <w:sz w:val="21"/>
        </w:rPr>
        <w:t>1：</w:t>
      </w:r>
    </w:p>
    <w:p>
      <w:pPr>
        <w:ind w:firstLine="420"/>
        <w:jc w:val="center"/>
      </w:pPr>
      <w:r>
        <w:rPr>
          <w:sz w:val="21"/>
        </w:rPr>
        <w:t>《虎门镇万科三个小公园综合管理服务项目管理标准及考评办法》</w:t>
      </w:r>
    </w:p>
    <w:tbl>
      <w:tblPr>
        <w:tblW w:w="0" w:type="auto"/>
        <w:tblBorders>
          <w:top w:val="none" w:color="000000" w:sz="4"/>
          <w:left w:val="none" w:color="000000" w:sz="4"/>
          <w:bottom w:val="none" w:color="000000" w:sz="4"/>
          <w:right w:val="none" w:color="000000" w:sz="4"/>
          <w:insideH w:val="none"/>
          <w:insideV w:val="none"/>
        </w:tblBorders>
      </w:tblPr>
      <w:tblGrid>
        <w:gridCol w:w="439"/>
        <w:gridCol w:w="638"/>
        <w:gridCol w:w="4652"/>
        <w:gridCol w:w="2578"/>
      </w:tblGrid>
      <w:tr>
        <w:tc>
          <w:tcPr>
            <w:tcW w:type="dxa" w:w="43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638"/>
            <w:tcBorders>
              <w:top w:val="single" w:color="000000" w:sz="4"/>
              <w:left w:val="single" w:color="000000" w:sz="4"/>
              <w:bottom w:val="single" w:color="000000" w:sz="4"/>
              <w:right w:val="single" w:color="000000" w:sz="4"/>
            </w:tcBorders>
            <w:vAlign w:val="top"/>
          </w:tcPr>
          <w:p>
            <w:pPr>
              <w:jc w:val="center"/>
            </w:pPr>
            <w:r>
              <w:rPr>
                <w:sz w:val="21"/>
              </w:rPr>
              <w:t>考评</w:t>
            </w:r>
          </w:p>
          <w:p>
            <w:pPr>
              <w:jc w:val="center"/>
            </w:pPr>
            <w:r>
              <w:rPr>
                <w:sz w:val="21"/>
              </w:rPr>
              <w:t>项目</w:t>
            </w:r>
          </w:p>
        </w:tc>
        <w:tc>
          <w:tcPr>
            <w:tcW w:type="dxa" w:w="4652"/>
            <w:tcBorders>
              <w:top w:val="single" w:color="000000" w:sz="4"/>
              <w:left w:val="single" w:color="000000" w:sz="4"/>
              <w:bottom w:val="single" w:color="000000" w:sz="4"/>
              <w:right w:val="single" w:color="000000" w:sz="4"/>
            </w:tcBorders>
            <w:vAlign w:val="top"/>
          </w:tcPr>
          <w:p>
            <w:pPr>
              <w:jc w:val="center"/>
            </w:pPr>
            <w:r>
              <w:rPr>
                <w:sz w:val="21"/>
              </w:rPr>
              <w:t>考评内容</w:t>
            </w:r>
          </w:p>
        </w:tc>
        <w:tc>
          <w:tcPr>
            <w:tcW w:type="dxa" w:w="2578"/>
            <w:tcBorders>
              <w:top w:val="single" w:color="000000" w:sz="4"/>
              <w:left w:val="single" w:color="000000" w:sz="4"/>
              <w:bottom w:val="single" w:color="000000" w:sz="4"/>
              <w:right w:val="single" w:color="000000" w:sz="4"/>
            </w:tcBorders>
            <w:vAlign w:val="top"/>
          </w:tcPr>
          <w:p>
            <w:pPr>
              <w:jc w:val="center"/>
            </w:pPr>
            <w:r>
              <w:rPr>
                <w:sz w:val="21"/>
              </w:rPr>
              <w:t>扣分标准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38"/>
            <w:tcBorders>
              <w:top w:val="none" w:color="000000" w:sz="4"/>
              <w:left w:val="single" w:color="000000" w:sz="4"/>
              <w:bottom w:val="single" w:color="000000" w:sz="4"/>
              <w:right w:val="single" w:color="000000" w:sz="4"/>
            </w:tcBorders>
            <w:vAlign w:val="top"/>
          </w:tcPr>
          <w:p>
            <w:pPr>
              <w:jc w:val="center"/>
            </w:pPr>
            <w:r>
              <w:rPr>
                <w:sz w:val="21"/>
              </w:rPr>
              <w:t>人员</w:t>
            </w:r>
          </w:p>
          <w:p>
            <w:pPr>
              <w:jc w:val="center"/>
            </w:pPr>
            <w:r>
              <w:rPr>
                <w:sz w:val="21"/>
              </w:rPr>
              <w:t>配备</w:t>
            </w:r>
          </w:p>
        </w:tc>
        <w:tc>
          <w:tcPr>
            <w:tcW w:type="dxa" w:w="4652"/>
            <w:tcBorders>
              <w:top w:val="none" w:color="000000" w:sz="4"/>
              <w:left w:val="single" w:color="000000" w:sz="4"/>
              <w:bottom w:val="single" w:color="000000" w:sz="4"/>
              <w:right w:val="single" w:color="000000" w:sz="4"/>
            </w:tcBorders>
            <w:vAlign w:val="top"/>
          </w:tcPr>
          <w:p>
            <w:r>
              <w:rPr>
                <w:sz w:val="21"/>
              </w:rPr>
              <w:t>1、绿化养护：绿化工人按每7500㎡绿化养护面积配备1人。</w:t>
            </w:r>
          </w:p>
          <w:p>
            <w:r>
              <w:rPr>
                <w:sz w:val="21"/>
              </w:rPr>
              <w:t>2、环卫保洁：按每7000平方米环卫保洁面积配备1人。</w:t>
            </w:r>
          </w:p>
          <w:p>
            <w:r>
              <w:rPr>
                <w:sz w:val="21"/>
              </w:rPr>
              <w:t>3、保安人员，按合同规定配备</w:t>
            </w:r>
          </w:p>
          <w:p>
            <w:r>
              <w:rPr>
                <w:sz w:val="21"/>
              </w:rPr>
              <w:t>4、管理技术人员：必须按合同规定配备专职的管理人员，管理人员不得在他处兼职，配备园林、市政等相关专业人员，有3年以上工作经验、技术，其中至少一人具有中级或以上职称。</w:t>
            </w:r>
          </w:p>
        </w:tc>
        <w:tc>
          <w:tcPr>
            <w:tcW w:type="dxa" w:w="2578"/>
            <w:tcBorders>
              <w:top w:val="none" w:color="000000" w:sz="4"/>
              <w:left w:val="single" w:color="000000" w:sz="4"/>
              <w:bottom w:val="single" w:color="000000" w:sz="4"/>
              <w:right w:val="single" w:color="000000" w:sz="4"/>
            </w:tcBorders>
            <w:vAlign w:val="top"/>
          </w:tcPr>
          <w:p>
            <w:r>
              <w:rPr>
                <w:sz w:val="21"/>
              </w:rPr>
              <w:t>每月实施不定时核查，工人、保安人员每少一人扣</w:t>
            </w:r>
            <w:r>
              <w:rPr>
                <w:sz w:val="21"/>
              </w:rPr>
              <w:t>0.5分，技术人员每少一人扣3分，本项扣完为止。</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38"/>
            <w:vMerge w:val="restart"/>
            <w:tcBorders>
              <w:top w:val="none" w:color="000000" w:sz="4"/>
              <w:left w:val="single" w:color="000000" w:sz="4"/>
              <w:bottom w:val="single" w:color="000000" w:sz="4"/>
              <w:right w:val="single" w:color="000000" w:sz="4"/>
            </w:tcBorders>
            <w:vAlign w:val="top"/>
          </w:tcPr>
          <w:p>
            <w:pPr>
              <w:jc w:val="center"/>
            </w:pPr>
            <w:r>
              <w:rPr>
                <w:sz w:val="21"/>
              </w:rPr>
              <w:t>绿地保护</w:t>
            </w:r>
          </w:p>
        </w:tc>
        <w:tc>
          <w:tcPr>
            <w:tcW w:type="dxa" w:w="4652"/>
            <w:tcBorders>
              <w:top w:val="none" w:color="000000" w:sz="4"/>
              <w:left w:val="single" w:color="000000" w:sz="4"/>
              <w:bottom w:val="single" w:color="000000" w:sz="4"/>
              <w:right w:val="single" w:color="000000" w:sz="4"/>
            </w:tcBorders>
            <w:vAlign w:val="top"/>
          </w:tcPr>
          <w:p>
            <w:r>
              <w:rPr>
                <w:sz w:val="21"/>
              </w:rPr>
              <w:t>管理单位有义务保护绿地红线范围内不被侵占，绿地版图完整，及时制止相关违法行为、并及时报甲方执法部门。</w:t>
            </w:r>
          </w:p>
        </w:tc>
        <w:tc>
          <w:tcPr>
            <w:tcW w:type="dxa" w:w="2578"/>
            <w:tcBorders>
              <w:top w:val="none" w:color="000000" w:sz="4"/>
              <w:left w:val="single" w:color="000000" w:sz="4"/>
              <w:bottom w:val="single" w:color="000000" w:sz="4"/>
              <w:right w:val="single" w:color="000000" w:sz="4"/>
            </w:tcBorders>
            <w:vAlign w:val="top"/>
          </w:tcPr>
          <w:p>
            <w:r>
              <w:rPr>
                <w:sz w:val="21"/>
              </w:rPr>
              <w:t>每发现一处，扣</w:t>
            </w:r>
            <w:r>
              <w:rPr>
                <w:sz w:val="21"/>
              </w:rPr>
              <w:t>0.2分。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经城管分局批准临时占用的绿地，有责任查看其审批文件，监督其按审批要求做好文明施工措施。</w:t>
            </w:r>
          </w:p>
        </w:tc>
        <w:tc>
          <w:tcPr>
            <w:tcW w:type="dxa" w:w="2578"/>
            <w:tcBorders>
              <w:top w:val="none" w:color="000000" w:sz="4"/>
              <w:left w:val="single" w:color="000000" w:sz="4"/>
              <w:bottom w:val="single" w:color="000000" w:sz="4"/>
              <w:right w:val="single" w:color="000000" w:sz="4"/>
            </w:tcBorders>
            <w:vAlign w:val="top"/>
          </w:tcPr>
          <w:p>
            <w:r>
              <w:rPr>
                <w:sz w:val="21"/>
              </w:rPr>
              <w:t>每发现一处未达文明施工要求，未及时报告，扣</w:t>
            </w:r>
            <w:r>
              <w:rPr>
                <w:sz w:val="21"/>
              </w:rPr>
              <w:t>0.1分。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管理单位有义务采取措施制止以下行为：</w:t>
            </w:r>
            <w:r>
              <w:rPr>
                <w:sz w:val="21"/>
              </w:rPr>
              <w:t>1、绿地内乱堆乱放东西；2、停放自行车、机动车，3、行人踩踏绿地，4、人力车和机动车驶进草地；5、设摊摆卖；6、攀折树木花草、采摘花果、损坏、盗窃树木花草或绿化设施，7树上挂标语、晾衣服；8、开垦菜地。放养放牧、烧烤野炊。</w:t>
            </w:r>
          </w:p>
        </w:tc>
        <w:tc>
          <w:tcPr>
            <w:tcW w:type="dxa" w:w="2578"/>
            <w:tcBorders>
              <w:top w:val="none" w:color="000000" w:sz="4"/>
              <w:left w:val="single" w:color="000000" w:sz="4"/>
              <w:bottom w:val="single" w:color="000000" w:sz="4"/>
              <w:right w:val="single" w:color="000000" w:sz="4"/>
            </w:tcBorders>
            <w:vAlign w:val="top"/>
          </w:tcPr>
          <w:p>
            <w:r>
              <w:rPr>
                <w:sz w:val="21"/>
              </w:rPr>
              <w:t>每发现一处未及时采取措施制止及报告，扣</w:t>
            </w:r>
            <w:r>
              <w:rPr>
                <w:sz w:val="21"/>
              </w:rPr>
              <w:t>0.5分。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保护绿化供水、照明供电、园林小品等设施，防止被破坏或盗窃。</w:t>
            </w:r>
          </w:p>
        </w:tc>
        <w:tc>
          <w:tcPr>
            <w:tcW w:type="dxa" w:w="2578"/>
            <w:tcBorders>
              <w:top w:val="none" w:color="000000" w:sz="4"/>
              <w:left w:val="single" w:color="000000" w:sz="4"/>
              <w:bottom w:val="single" w:color="000000" w:sz="4"/>
              <w:right w:val="single" w:color="000000" w:sz="4"/>
            </w:tcBorders>
            <w:vAlign w:val="top"/>
          </w:tcPr>
          <w:p>
            <w:r>
              <w:rPr>
                <w:sz w:val="21"/>
              </w:rPr>
              <w:t>由于乙方责任不到位而造成园林设施被盗被损，视严重程度每次扣</w:t>
            </w:r>
            <w:r>
              <w:rPr>
                <w:sz w:val="21"/>
              </w:rPr>
              <w:t>0.3分。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路基、花基上要保持清洁、美观，完好无损。对其上的乱涂、乱画、乱张贴要及时清理干净。</w:t>
            </w:r>
          </w:p>
        </w:tc>
        <w:tc>
          <w:tcPr>
            <w:tcW w:type="dxa" w:w="2578"/>
            <w:tcBorders>
              <w:top w:val="none" w:color="000000" w:sz="4"/>
              <w:left w:val="single" w:color="000000" w:sz="4"/>
              <w:bottom w:val="single" w:color="000000" w:sz="4"/>
              <w:right w:val="single" w:color="000000" w:sz="4"/>
            </w:tcBorders>
            <w:vAlign w:val="top"/>
          </w:tcPr>
          <w:p>
            <w:r>
              <w:rPr>
                <w:sz w:val="21"/>
              </w:rPr>
              <w:t>每发现一处，扣</w:t>
            </w:r>
            <w:r>
              <w:rPr>
                <w:sz w:val="21"/>
              </w:rPr>
              <w:t>0.1分。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做好园林雕塑、园林小品、景观灯具等设施的表面和结构的看护，要保持整洁、美观，完好无损。</w:t>
            </w:r>
          </w:p>
        </w:tc>
        <w:tc>
          <w:tcPr>
            <w:tcW w:type="dxa" w:w="2578"/>
            <w:tcBorders>
              <w:top w:val="none" w:color="000000" w:sz="4"/>
              <w:left w:val="single" w:color="000000" w:sz="4"/>
              <w:bottom w:val="single" w:color="000000" w:sz="4"/>
              <w:right w:val="single" w:color="000000" w:sz="4"/>
            </w:tcBorders>
            <w:vAlign w:val="top"/>
          </w:tcPr>
          <w:p>
            <w:r>
              <w:rPr>
                <w:sz w:val="21"/>
              </w:rPr>
              <w:t>每发现一处被人为破坏，扣</w:t>
            </w:r>
            <w:r>
              <w:rPr>
                <w:sz w:val="21"/>
              </w:rPr>
              <w:t>0.1分。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638"/>
            <w:vMerge w:val="restart"/>
            <w:tcBorders>
              <w:top w:val="none" w:color="000000" w:sz="4"/>
              <w:left w:val="single" w:color="000000" w:sz="4"/>
              <w:bottom w:val="single" w:color="000000" w:sz="4"/>
              <w:right w:val="single" w:color="000000" w:sz="4"/>
            </w:tcBorders>
            <w:vAlign w:val="top"/>
          </w:tcPr>
          <w:p>
            <w:pPr>
              <w:jc w:val="center"/>
            </w:pPr>
            <w:r>
              <w:rPr>
                <w:sz w:val="21"/>
              </w:rPr>
              <w:t>乔木</w:t>
            </w:r>
          </w:p>
          <w:p>
            <w:pPr>
              <w:jc w:val="center"/>
            </w:pPr>
            <w:r>
              <w:rPr>
                <w:sz w:val="21"/>
              </w:rPr>
              <w:t>养护</w:t>
            </w:r>
          </w:p>
        </w:tc>
        <w:tc>
          <w:tcPr>
            <w:tcW w:type="dxa" w:w="4652"/>
            <w:tcBorders>
              <w:top w:val="none" w:color="000000" w:sz="4"/>
              <w:left w:val="single" w:color="000000" w:sz="4"/>
              <w:bottom w:val="single" w:color="000000" w:sz="4"/>
              <w:right w:val="single" w:color="000000" w:sz="4"/>
            </w:tcBorders>
            <w:vAlign w:val="top"/>
          </w:tcPr>
          <w:p>
            <w:r>
              <w:rPr>
                <w:sz w:val="21"/>
              </w:rPr>
              <w:t>观感生长旺盛，枝叶健壮，树形美观。行道树下缘线整齐，修剪适度，干直冠美，无死树缺枝，无枯枝残叶，景观效果优良。</w:t>
            </w:r>
          </w:p>
        </w:tc>
        <w:tc>
          <w:tcPr>
            <w:tcW w:type="dxa" w:w="2578"/>
            <w:tcBorders>
              <w:top w:val="none" w:color="000000" w:sz="4"/>
              <w:left w:val="single" w:color="000000" w:sz="4"/>
              <w:bottom w:val="single" w:color="000000" w:sz="4"/>
              <w:right w:val="single" w:color="000000" w:sz="4"/>
            </w:tcBorders>
            <w:vAlign w:val="top"/>
          </w:tcPr>
          <w:p>
            <w:r>
              <w:rPr>
                <w:sz w:val="21"/>
              </w:rPr>
              <w:t>观感优，不扣分；良，扣</w:t>
            </w:r>
            <w:r>
              <w:rPr>
                <w:sz w:val="21"/>
              </w:rPr>
              <w:t>0.5分；中，扣1分；差；不得分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(一)生长势要求乔木生长旺盛，枝叶健壮，无枯枝残叶、适时开花。</w:t>
            </w:r>
          </w:p>
        </w:tc>
        <w:tc>
          <w:tcPr>
            <w:tcW w:type="dxa" w:w="2578"/>
            <w:tcBorders>
              <w:top w:val="none" w:color="000000" w:sz="4"/>
              <w:left w:val="single" w:color="000000" w:sz="4"/>
              <w:bottom w:val="single" w:color="000000" w:sz="4"/>
              <w:right w:val="single" w:color="000000" w:sz="4"/>
            </w:tcBorders>
            <w:vAlign w:val="top"/>
          </w:tcPr>
          <w:p>
            <w:r>
              <w:rPr>
                <w:sz w:val="21"/>
              </w:rPr>
              <w:t>乔木叶色明显不正常，叶片稀疏、调零、萎靡、长势明显弱，开花季节应开花不开花，生长明显缺陷的植株占抽查数量超过总量的</w:t>
            </w:r>
            <w:r>
              <w:rPr>
                <w:sz w:val="21"/>
              </w:rPr>
              <w:t>5%，扣0.5分。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二)修剪1、根据树种的生长特点修剪，行道树修剪要保持树冠完整美观，主侧枝分布匀称和数量适宜，内膛通风透光，少荫枝、乱枝，2、不影响安全通行、高压线、路灯和交通指示牌；3、修剪截口要平滑不得劈裂，大伤口要涂保护剂，4、下缘线下的萌蘖枝及干枯枝叶要及时剪除。3、及时维护树木支护装置，适时时将原有护树带或铁箍放松，以免嵌入树皮内。</w:t>
            </w:r>
          </w:p>
        </w:tc>
        <w:tc>
          <w:tcPr>
            <w:tcW w:type="dxa" w:w="2578"/>
            <w:tcBorders>
              <w:top w:val="none" w:color="000000" w:sz="4"/>
              <w:left w:val="single" w:color="000000" w:sz="4"/>
              <w:bottom w:val="single" w:color="000000" w:sz="4"/>
              <w:right w:val="single" w:color="000000" w:sz="4"/>
            </w:tcBorders>
            <w:vAlign w:val="top"/>
          </w:tcPr>
          <w:p>
            <w:r>
              <w:rPr>
                <w:sz w:val="21"/>
              </w:rPr>
              <w:t>1、没有及时修剪，荫枝、乱枝过多影响生长的，甲方指出后没有整改的，每10株扣0.1分。</w:t>
            </w:r>
          </w:p>
          <w:p>
            <w:r>
              <w:rPr>
                <w:sz w:val="21"/>
              </w:rPr>
              <w:t>2、影响安全通行、高压线、路灯和交通指示牌没有及时修剪的，每处扣0.1分。</w:t>
            </w:r>
          </w:p>
          <w:p>
            <w:r>
              <w:rPr>
                <w:sz w:val="21"/>
              </w:rPr>
              <w:t>3、直径8厘米以上修剪截口劈裂不修平滑的，直径10厘米以上大伤口没有涂保护剂的，每处扣0.1分。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(三)补植、改植</w:t>
            </w:r>
          </w:p>
          <w:p>
            <w:r>
              <w:rPr>
                <w:sz w:val="21"/>
              </w:rPr>
              <w:t>发现非不可抗力和甲方责任因素造成的死亡或损毁树木，应及时通知甲方，做好登记、及时清理。要求在两周内补植回原来的树种，规格与原来树木接近。保证成活，如要改植品种，要事先征得绿化主管部门的批准。</w:t>
            </w:r>
          </w:p>
        </w:tc>
        <w:tc>
          <w:tcPr>
            <w:tcW w:type="dxa" w:w="2578"/>
            <w:tcBorders>
              <w:top w:val="none" w:color="000000" w:sz="4"/>
              <w:left w:val="single" w:color="000000" w:sz="4"/>
              <w:bottom w:val="single" w:color="000000" w:sz="4"/>
              <w:right w:val="single" w:color="000000" w:sz="4"/>
            </w:tcBorders>
            <w:vAlign w:val="top"/>
          </w:tcPr>
          <w:p>
            <w:pPr>
              <w:jc w:val="both"/>
            </w:pPr>
            <w:r>
              <w:rPr>
                <w:sz w:val="21"/>
              </w:rPr>
              <w:t>未及时补种，每株扣</w:t>
            </w:r>
            <w:r>
              <w:rPr>
                <w:sz w:val="21"/>
              </w:rPr>
              <w:t>0.2分。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(四)病虫害防治</w:t>
            </w:r>
          </w:p>
          <w:p>
            <w:r>
              <w:rPr>
                <w:sz w:val="21"/>
              </w:rPr>
              <w:t>1、树木无明显受蛀干、蛀梢、吃叶、地下害虫、刺吸害虫、螨类、的危害症象，无染病的植株或枝叶。发生存在病虫害的植株在5％以下。</w:t>
            </w:r>
          </w:p>
        </w:tc>
        <w:tc>
          <w:tcPr>
            <w:tcW w:type="dxa" w:w="2578"/>
            <w:tcBorders>
              <w:top w:val="none" w:color="000000" w:sz="4"/>
              <w:left w:val="single" w:color="000000" w:sz="4"/>
              <w:bottom w:val="single" w:color="000000" w:sz="4"/>
              <w:right w:val="single" w:color="000000" w:sz="4"/>
            </w:tcBorders>
            <w:vAlign w:val="top"/>
          </w:tcPr>
          <w:p>
            <w:r>
              <w:rPr>
                <w:sz w:val="21"/>
              </w:rPr>
              <w:t>随机抽查，发生存在病虫害的植株在</w:t>
            </w:r>
            <w:r>
              <w:rPr>
                <w:sz w:val="21"/>
              </w:rPr>
              <w:t>5％以上，每超1%，扣0.1分。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2、树木树身保持清洁干净，无菌丝、虫丝、虫瘿、虫洞、虫卵、蚁道。树皮无松动龟裂剥落现象。所有树干基部1.3米应用树木涂白剂涂白。</w:t>
            </w:r>
          </w:p>
        </w:tc>
        <w:tc>
          <w:tcPr>
            <w:tcW w:type="dxa" w:w="2578"/>
            <w:tcBorders>
              <w:top w:val="none" w:color="000000" w:sz="4"/>
              <w:left w:val="single" w:color="000000" w:sz="4"/>
              <w:bottom w:val="single" w:color="000000" w:sz="4"/>
              <w:right w:val="single" w:color="000000" w:sz="4"/>
            </w:tcBorders>
            <w:vAlign w:val="top"/>
          </w:tcPr>
          <w:p>
            <w:r>
              <w:rPr>
                <w:sz w:val="21"/>
              </w:rPr>
              <w:t>树木树身保持有菌丝、虫丝、虫瘿、虫洞、虫卵、蚁道，树皮松动龟裂剥落现象。树木没有涂白剂涂白，每株扣</w:t>
            </w:r>
            <w:r>
              <w:rPr>
                <w:sz w:val="21"/>
              </w:rPr>
              <w:t>0.1分。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638"/>
            <w:vMerge w:val="restart"/>
            <w:tcBorders>
              <w:top w:val="none" w:color="000000" w:sz="4"/>
              <w:left w:val="single" w:color="000000" w:sz="4"/>
              <w:bottom w:val="single" w:color="000000" w:sz="4"/>
              <w:right w:val="single" w:color="000000" w:sz="4"/>
            </w:tcBorders>
            <w:vAlign w:val="top"/>
          </w:tcPr>
          <w:p>
            <w:pPr>
              <w:jc w:val="center"/>
            </w:pPr>
            <w:r>
              <w:rPr>
                <w:sz w:val="21"/>
              </w:rPr>
              <w:t>灌木和花卉</w:t>
            </w:r>
          </w:p>
        </w:tc>
        <w:tc>
          <w:tcPr>
            <w:tcW w:type="dxa" w:w="4652"/>
            <w:tcBorders>
              <w:top w:val="none" w:color="000000" w:sz="4"/>
              <w:left w:val="single" w:color="000000" w:sz="4"/>
              <w:bottom w:val="single" w:color="000000" w:sz="4"/>
              <w:right w:val="single" w:color="000000" w:sz="4"/>
            </w:tcBorders>
            <w:vAlign w:val="top"/>
          </w:tcPr>
          <w:p>
            <w:r>
              <w:rPr>
                <w:sz w:val="21"/>
              </w:rPr>
              <w:t>生长旺盛，花繁叶茂，适时开花、造型美观，造型花坛、灌木要适时修剪，修剪工艺精细。灌木和花卉长势良好，枝叶健壮，枝多叶茂，叶色鲜艳，下部不光秃，无枯枝残叶，花卉适时开花，花多色艳。花坛轮廓清晰，无残缺，绿篱无断层。</w:t>
            </w:r>
          </w:p>
        </w:tc>
        <w:tc>
          <w:tcPr>
            <w:tcW w:type="dxa" w:w="2578"/>
            <w:tcBorders>
              <w:top w:val="none" w:color="000000" w:sz="4"/>
              <w:left w:val="single" w:color="000000" w:sz="4"/>
              <w:bottom w:val="single" w:color="000000" w:sz="4"/>
              <w:right w:val="single" w:color="000000" w:sz="4"/>
            </w:tcBorders>
            <w:vAlign w:val="top"/>
          </w:tcPr>
          <w:p>
            <w:r>
              <w:rPr>
                <w:sz w:val="21"/>
              </w:rPr>
              <w:t>1、观感优，不扣分；</w:t>
            </w:r>
          </w:p>
          <w:p>
            <w:r>
              <w:rPr>
                <w:sz w:val="21"/>
              </w:rPr>
              <w:t>2、良，扣0.5分；</w:t>
            </w:r>
          </w:p>
          <w:p>
            <w:r>
              <w:rPr>
                <w:sz w:val="21"/>
              </w:rPr>
              <w:t>3、中，扣1分；</w:t>
            </w:r>
          </w:p>
          <w:p>
            <w:r>
              <w:rPr>
                <w:sz w:val="21"/>
              </w:rPr>
              <w:t>4、差；不得分。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灌木和花坛丛中无垃圾、烟蒂、无病枝枯枝堆积。</w:t>
            </w:r>
          </w:p>
        </w:tc>
        <w:tc>
          <w:tcPr>
            <w:tcW w:type="dxa" w:w="2578"/>
            <w:tcBorders>
              <w:top w:val="none" w:color="000000" w:sz="4"/>
              <w:left w:val="single" w:color="000000" w:sz="4"/>
              <w:bottom w:val="single" w:color="000000" w:sz="4"/>
              <w:right w:val="single" w:color="000000" w:sz="4"/>
            </w:tcBorders>
            <w:vAlign w:val="top"/>
          </w:tcPr>
          <w:p>
            <w:r>
              <w:rPr>
                <w:sz w:val="21"/>
              </w:rPr>
              <w:t>抽查灌木和花坛丛，每</w:t>
            </w:r>
            <w:r>
              <w:rPr>
                <w:sz w:val="21"/>
              </w:rPr>
              <w:t>100平方米，（大于火柴盒）垃圾、（长于20厘米的）病枝枯枝、烟头分别不得超过3片、5根、10个，每超1片（根、个）扣0.1分。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灌木养护要适时修剪，灌木和花卉做到造型美观、适时开花，花多色艳。花灌木和草本花卉在花芽分化前进行修剪，避免把花芽剪掉，花谢后及时将残花残枝剪去，常年开花植物要有目的地培养花枝，使四季有花。对于影响行人安全的，要及时修剪。</w:t>
            </w:r>
          </w:p>
        </w:tc>
        <w:tc>
          <w:tcPr>
            <w:tcW w:type="dxa" w:w="2578"/>
            <w:tcBorders>
              <w:top w:val="none" w:color="000000" w:sz="4"/>
              <w:left w:val="single" w:color="000000" w:sz="4"/>
              <w:bottom w:val="single" w:color="000000" w:sz="4"/>
              <w:right w:val="single" w:color="000000" w:sz="4"/>
            </w:tcBorders>
            <w:vAlign w:val="top"/>
          </w:tcPr>
          <w:p>
            <w:r>
              <w:rPr>
                <w:sz w:val="21"/>
              </w:rPr>
              <w:t>1、灌木修剪不及时，或不规范修剪，影响植物正常生长、开花的，或影响景观效果、行人安全的的，甲方指出后仍未改正的，每次扣0.2分。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灌溉、施肥要根据植物的生长及开花特性进行合理灌溉和施肥。发现灌木土壤板结时应实施除草松土作业。</w:t>
            </w:r>
          </w:p>
        </w:tc>
        <w:tc>
          <w:tcPr>
            <w:tcW w:type="dxa" w:w="2578"/>
            <w:tcBorders>
              <w:top w:val="none" w:color="000000" w:sz="4"/>
              <w:left w:val="single" w:color="000000" w:sz="4"/>
              <w:bottom w:val="single" w:color="000000" w:sz="4"/>
              <w:right w:val="single" w:color="000000" w:sz="4"/>
            </w:tcBorders>
            <w:vAlign w:val="top"/>
          </w:tcPr>
          <w:p>
            <w:r>
              <w:rPr>
                <w:sz w:val="21"/>
              </w:rPr>
              <w:t>发现灌木缺水、缺肥、或土壤板结，甲方要求整改，未及时整改，每次扣</w:t>
            </w:r>
            <w:r>
              <w:rPr>
                <w:sz w:val="21"/>
              </w:rPr>
              <w:t>0.2分。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发现非不可抗力和甲方责任因素造成的死亡或损毁灌木、花卉，应及时通知甲方，做好登记、及时清理。要求及时清理死苗，一周内补植回原来的种类并力求规格与原来植株接近，以保证优良的景观效果。补植按照种植规范进行，施足基肥并加强淋水等保养措施，保证成活率达</w:t>
            </w:r>
            <w:r>
              <w:rPr>
                <w:sz w:val="21"/>
              </w:rPr>
              <w:t>95％以上。对已呈老化或明显与周围环境不协调的灌木和花卉应及时进行改植，改植品种要事先征得绿化主管部门批准。</w:t>
            </w:r>
          </w:p>
        </w:tc>
        <w:tc>
          <w:tcPr>
            <w:tcW w:type="dxa" w:w="2578"/>
            <w:tcBorders>
              <w:top w:val="none" w:color="000000" w:sz="4"/>
              <w:left w:val="single" w:color="000000" w:sz="4"/>
              <w:bottom w:val="single" w:color="000000" w:sz="4"/>
              <w:right w:val="single" w:color="000000" w:sz="4"/>
            </w:tcBorders>
            <w:vAlign w:val="top"/>
          </w:tcPr>
          <w:p>
            <w:r>
              <w:rPr>
                <w:sz w:val="21"/>
              </w:rPr>
              <w:t>未及时补种，每平方米扣</w:t>
            </w:r>
            <w:r>
              <w:rPr>
                <w:sz w:val="21"/>
              </w:rPr>
              <w:t>0.2分。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要求及时做好病虫害的防治工作，发生病虫为害，最严重的危害率在</w:t>
            </w:r>
            <w:r>
              <w:rPr>
                <w:sz w:val="21"/>
              </w:rPr>
              <w:t>5％以下。</w:t>
            </w:r>
          </w:p>
        </w:tc>
        <w:tc>
          <w:tcPr>
            <w:tcW w:type="dxa" w:w="2578"/>
            <w:tcBorders>
              <w:top w:val="none" w:color="000000" w:sz="4"/>
              <w:left w:val="single" w:color="000000" w:sz="4"/>
              <w:bottom w:val="single" w:color="000000" w:sz="4"/>
              <w:right w:val="single" w:color="000000" w:sz="4"/>
            </w:tcBorders>
            <w:vAlign w:val="top"/>
          </w:tcPr>
          <w:p>
            <w:r>
              <w:rPr>
                <w:sz w:val="21"/>
              </w:rPr>
              <w:t>随机抽查，连片</w:t>
            </w:r>
            <w:r>
              <w:rPr>
                <w:sz w:val="21"/>
              </w:rPr>
              <w:t>20株发生存在病虫害的植株在5％以上，每发现1株，扣0.2分。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638"/>
            <w:vMerge w:val="restart"/>
            <w:tcBorders>
              <w:top w:val="none" w:color="000000" w:sz="4"/>
              <w:left w:val="single" w:color="000000" w:sz="4"/>
              <w:bottom w:val="single" w:color="000000" w:sz="4"/>
              <w:right w:val="single" w:color="000000" w:sz="4"/>
            </w:tcBorders>
            <w:vAlign w:val="top"/>
          </w:tcPr>
          <w:p>
            <w:pPr>
              <w:jc w:val="center"/>
            </w:pPr>
            <w:r>
              <w:rPr>
                <w:sz w:val="21"/>
              </w:rPr>
              <w:t>草坪地被</w:t>
            </w:r>
          </w:p>
        </w:tc>
        <w:tc>
          <w:tcPr>
            <w:tcW w:type="dxa" w:w="4652"/>
            <w:tcBorders>
              <w:top w:val="none" w:color="000000" w:sz="4"/>
              <w:left w:val="single" w:color="000000" w:sz="4"/>
              <w:bottom w:val="single" w:color="000000" w:sz="4"/>
              <w:right w:val="single" w:color="000000" w:sz="4"/>
            </w:tcBorders>
            <w:vAlign w:val="top"/>
          </w:tcPr>
          <w:p>
            <w:r>
              <w:rPr>
                <w:sz w:val="21"/>
              </w:rPr>
              <w:t>（一）生长旺盛，草坪修剪整齐，四季常绿，非目的草种率低于</w:t>
            </w:r>
            <w:r>
              <w:rPr>
                <w:sz w:val="21"/>
              </w:rPr>
              <w:t>3％，无坑洼积水，无裸露地。叶色浓绿均匀，无枯黄叶、无裸露黄土。</w:t>
            </w:r>
          </w:p>
        </w:tc>
        <w:tc>
          <w:tcPr>
            <w:tcW w:type="dxa" w:w="2578"/>
            <w:tcBorders>
              <w:top w:val="none" w:color="000000" w:sz="4"/>
              <w:left w:val="single" w:color="000000" w:sz="4"/>
              <w:bottom w:val="single" w:color="000000" w:sz="4"/>
              <w:right w:val="single" w:color="000000" w:sz="4"/>
            </w:tcBorders>
            <w:vAlign w:val="top"/>
          </w:tcPr>
          <w:p>
            <w:r>
              <w:rPr>
                <w:sz w:val="21"/>
              </w:rPr>
              <w:t>1、优：生长旺盛，叶色浓绿均匀，无枯黄斑，无裸露黄土，，不扣分；</w:t>
            </w:r>
          </w:p>
          <w:p>
            <w:r>
              <w:rPr>
                <w:sz w:val="21"/>
              </w:rPr>
              <w:t>2、良：叶色浓绿，每年3-11月，偶有枯黄现象，枯黄面积不到5%，全年无裸露黄土扣0.2分；</w:t>
            </w:r>
          </w:p>
          <w:p>
            <w:r>
              <w:rPr>
                <w:sz w:val="21"/>
              </w:rPr>
              <w:t>3、中：每年3-11月，有枯黄现象，枯黄面积不到25%，全年期间无明显裸露黄土扣0.5分；</w:t>
            </w:r>
          </w:p>
          <w:p>
            <w:r>
              <w:rPr>
                <w:sz w:val="21"/>
              </w:rPr>
              <w:t>4、差；枯黄面积超过25%，或有大面积裸露黄土，超过3%不得分。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（二）修剪草高一致，边缘整齐、无坑洼不平。高度控制在：一级养护，结缕草类</w:t>
            </w:r>
            <w:r>
              <w:rPr>
                <w:sz w:val="21"/>
              </w:rPr>
              <w:t>5厘米以下，大叶油草、其它目的草种8厘米以下，二级养护，结缕草类8厘米以下，大叶油草、其它目的草种10厘米以下。其他地被生长要平整密实，枯黄叶片要及时清理。草地与路(花)基、色块的分界宽度不超过8厘米；分车绿化带的草坪植物要修剪整齐，不得超出路基外缘。</w:t>
            </w:r>
          </w:p>
        </w:tc>
        <w:tc>
          <w:tcPr>
            <w:tcW w:type="dxa" w:w="2578"/>
            <w:tcBorders>
              <w:top w:val="none" w:color="000000" w:sz="4"/>
              <w:left w:val="single" w:color="000000" w:sz="4"/>
              <w:bottom w:val="single" w:color="000000" w:sz="4"/>
              <w:right w:val="single" w:color="000000" w:sz="4"/>
            </w:tcBorders>
            <w:vAlign w:val="top"/>
          </w:tcPr>
          <w:p>
            <w:r>
              <w:rPr>
                <w:sz w:val="21"/>
              </w:rPr>
              <w:t>1、草坪高度在控制标准以上，每高1厘米，扣0.1分。</w:t>
            </w:r>
          </w:p>
          <w:p>
            <w:r>
              <w:rPr>
                <w:sz w:val="21"/>
              </w:rPr>
              <w:t>2、绿化带边缘的草坪植物要修剪整齐，不得超出路牙石外缘、或有路牙石缝长草现象。每发现一处扣0.1分。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(三)灌溉、施肥</w:t>
            </w:r>
          </w:p>
          <w:p>
            <w:r>
              <w:rPr>
                <w:sz w:val="21"/>
              </w:rPr>
              <w:t>要根据草坪植物的生长需要加强淋水和施肥，保证肥水充足，肥料的施用方法和用量科学。在雨水缺少的季节，每天的淋水量不低于</w:t>
            </w:r>
            <w:r>
              <w:rPr>
                <w:sz w:val="21"/>
              </w:rPr>
              <w:t>0.5千克/平方米。</w:t>
            </w:r>
          </w:p>
        </w:tc>
        <w:tc>
          <w:tcPr>
            <w:tcW w:type="dxa" w:w="2578"/>
            <w:tcBorders>
              <w:top w:val="none" w:color="000000" w:sz="4"/>
              <w:left w:val="single" w:color="000000" w:sz="4"/>
              <w:bottom w:val="single" w:color="000000" w:sz="4"/>
              <w:right w:val="single" w:color="000000" w:sz="4"/>
            </w:tcBorders>
            <w:vAlign w:val="top"/>
          </w:tcPr>
          <w:p>
            <w:r>
              <w:rPr>
                <w:sz w:val="21"/>
              </w:rPr>
              <w:t>现场检查或查阅养护记录，发现草坪灌溉、施肥不足，甲方指出问题后仍未及时整改到位，每次扣</w:t>
            </w:r>
            <w:r>
              <w:rPr>
                <w:sz w:val="21"/>
              </w:rPr>
              <w:t>0.2分。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（四）及时清除杂草，草坪不得发现阔叶杂草和其他非目的草种恶性杂草。</w:t>
            </w:r>
          </w:p>
        </w:tc>
        <w:tc>
          <w:tcPr>
            <w:tcW w:type="dxa" w:w="2578"/>
            <w:tcBorders>
              <w:top w:val="none" w:color="000000" w:sz="4"/>
              <w:left w:val="single" w:color="000000" w:sz="4"/>
              <w:bottom w:val="single" w:color="000000" w:sz="4"/>
              <w:right w:val="single" w:color="000000" w:sz="4"/>
            </w:tcBorders>
            <w:vAlign w:val="top"/>
          </w:tcPr>
          <w:p>
            <w:r>
              <w:rPr>
                <w:sz w:val="21"/>
              </w:rPr>
              <w:t>随机检查草坪，每</w:t>
            </w:r>
            <w:r>
              <w:rPr>
                <w:sz w:val="21"/>
              </w:rPr>
              <w:t>10平方米草坪阔叶杂草超过3株，每超一株扣0.1分。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(五)草坪内无坑洼积水，平整雅观。</w:t>
            </w:r>
          </w:p>
        </w:tc>
        <w:tc>
          <w:tcPr>
            <w:tcW w:type="dxa" w:w="2578"/>
            <w:tcBorders>
              <w:top w:val="none" w:color="000000" w:sz="4"/>
              <w:left w:val="single" w:color="000000" w:sz="4"/>
              <w:bottom w:val="single" w:color="000000" w:sz="4"/>
              <w:right w:val="single" w:color="000000" w:sz="4"/>
            </w:tcBorders>
            <w:vAlign w:val="top"/>
          </w:tcPr>
          <w:p>
            <w:r>
              <w:rPr>
                <w:sz w:val="21"/>
              </w:rPr>
              <w:t>随机检查草坪，发现有一处扣</w:t>
            </w:r>
            <w:r>
              <w:rPr>
                <w:sz w:val="21"/>
              </w:rPr>
              <w:t>0.1分。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(六)无露土地面，无露土踩踏小路（老鼠路），对被破坏或死亡的草坪植物应及时补植，使草坪保持完整，无裸露地。</w:t>
            </w:r>
          </w:p>
        </w:tc>
        <w:tc>
          <w:tcPr>
            <w:tcW w:type="dxa" w:w="2578"/>
            <w:tcBorders>
              <w:top w:val="none" w:color="000000" w:sz="4"/>
              <w:left w:val="single" w:color="000000" w:sz="4"/>
              <w:bottom w:val="single" w:color="000000" w:sz="4"/>
              <w:right w:val="single" w:color="000000" w:sz="4"/>
            </w:tcBorders>
            <w:vAlign w:val="top"/>
          </w:tcPr>
          <w:p>
            <w:r>
              <w:rPr>
                <w:sz w:val="21"/>
              </w:rPr>
              <w:t>检查草坪，发现裸露黄土现象，未及时修复的，每平方米扣</w:t>
            </w:r>
            <w:r>
              <w:rPr>
                <w:sz w:val="21"/>
              </w:rPr>
              <w:t>0.1分。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(七)病虫害、有害生物防治及时做好病虫害的防治工作，草坪无因地吃根害虫形成的斑秃现象，无蚁巢堆、蝼蛄孔、老鼠洞。经常检查，早发现早处理。发生病虫为害。</w:t>
            </w:r>
          </w:p>
        </w:tc>
        <w:tc>
          <w:tcPr>
            <w:tcW w:type="dxa" w:w="2578"/>
            <w:tcBorders>
              <w:top w:val="none" w:color="000000" w:sz="4"/>
              <w:left w:val="single" w:color="000000" w:sz="4"/>
              <w:bottom w:val="single" w:color="000000" w:sz="4"/>
              <w:right w:val="single" w:color="000000" w:sz="4"/>
            </w:tcBorders>
            <w:vAlign w:val="top"/>
          </w:tcPr>
          <w:p>
            <w:r>
              <w:rPr>
                <w:sz w:val="21"/>
              </w:rPr>
              <w:t>检查草坪，发现有斑秃现象，蚁巢堆、蝼蛄孔、老鼠洞，未处理的，每处扣</w:t>
            </w:r>
            <w:r>
              <w:rPr>
                <w:sz w:val="21"/>
              </w:rPr>
              <w:t>0.1分。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638"/>
            <w:tcBorders>
              <w:top w:val="none" w:color="000000" w:sz="4"/>
              <w:left w:val="single" w:color="000000" w:sz="4"/>
              <w:bottom w:val="single" w:color="000000" w:sz="4"/>
              <w:right w:val="single" w:color="000000" w:sz="4"/>
            </w:tcBorders>
            <w:vAlign w:val="top"/>
          </w:tcPr>
          <w:p>
            <w:pPr>
              <w:jc w:val="center"/>
            </w:pPr>
            <w:r>
              <w:rPr>
                <w:sz w:val="21"/>
              </w:rPr>
              <w:t>绿化</w:t>
            </w:r>
          </w:p>
          <w:p>
            <w:pPr>
              <w:jc w:val="center"/>
            </w:pPr>
            <w:r>
              <w:rPr>
                <w:sz w:val="21"/>
              </w:rPr>
              <w:t>灌溉</w:t>
            </w:r>
          </w:p>
        </w:tc>
        <w:tc>
          <w:tcPr>
            <w:tcW w:type="dxa" w:w="4652"/>
            <w:tcBorders>
              <w:top w:val="none" w:color="000000" w:sz="4"/>
              <w:left w:val="single" w:color="000000" w:sz="4"/>
              <w:bottom w:val="single" w:color="000000" w:sz="4"/>
              <w:right w:val="single" w:color="000000" w:sz="4"/>
            </w:tcBorders>
            <w:vAlign w:val="top"/>
          </w:tcPr>
          <w:p>
            <w:r>
              <w:rPr>
                <w:sz w:val="21"/>
              </w:rPr>
              <w:t>根据实际情况，适时适当进行浇水。喷灌应定时开关。无雨天气，应对每株乔木每十天灌一次水；每天所有绿地应普浇一次，每公顷不少于</w:t>
            </w:r>
            <w:r>
              <w:rPr>
                <w:sz w:val="21"/>
              </w:rPr>
              <w:t>5吨。炎热干燥天气期间，应对树木喷水降温，每天至少一次。树冠积聚灰尘较多时，应及时清洗。</w:t>
            </w:r>
          </w:p>
          <w:p>
            <w:pPr>
              <w:jc w:val="both"/>
            </w:pPr>
            <w:r>
              <w:rPr>
                <w:sz w:val="21"/>
              </w:rPr>
              <w:t>雨季期，对低洼树木应及时开沟，打孔排水、绿地或树池内积水不得超过</w:t>
            </w:r>
            <w:r>
              <w:rPr>
                <w:sz w:val="21"/>
              </w:rPr>
              <w:t>24小时。</w:t>
            </w:r>
          </w:p>
        </w:tc>
        <w:tc>
          <w:tcPr>
            <w:tcW w:type="dxa" w:w="2578"/>
            <w:tcBorders>
              <w:top w:val="none" w:color="000000" w:sz="4"/>
              <w:left w:val="single" w:color="000000" w:sz="4"/>
              <w:bottom w:val="single" w:color="000000" w:sz="4"/>
              <w:right w:val="single" w:color="000000" w:sz="4"/>
            </w:tcBorders>
            <w:vAlign w:val="top"/>
          </w:tcPr>
          <w:p>
            <w:r>
              <w:rPr>
                <w:sz w:val="21"/>
              </w:rPr>
              <w:t>乙方应每天按规范灌溉，浇足水量，如未能达到，甲方指出后，仍未能达到要求，每一天，扣</w:t>
            </w:r>
            <w:r>
              <w:rPr>
                <w:sz w:val="21"/>
              </w:rPr>
              <w:t>0.2分。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638"/>
            <w:tcBorders>
              <w:top w:val="none" w:color="000000" w:sz="4"/>
              <w:left w:val="single" w:color="000000" w:sz="4"/>
              <w:bottom w:val="single" w:color="000000" w:sz="4"/>
              <w:right w:val="single" w:color="000000" w:sz="4"/>
            </w:tcBorders>
            <w:vAlign w:val="top"/>
          </w:tcPr>
          <w:p>
            <w:pPr>
              <w:jc w:val="center"/>
            </w:pPr>
            <w:r>
              <w:rPr>
                <w:sz w:val="21"/>
              </w:rPr>
              <w:t>防风防寒防涝</w:t>
            </w:r>
          </w:p>
          <w:p>
            <w:pPr>
              <w:jc w:val="center"/>
            </w:pPr>
            <w:r>
              <w:rPr>
                <w:sz w:val="21"/>
              </w:rPr>
              <w:t>灾害处置</w:t>
            </w:r>
          </w:p>
        </w:tc>
        <w:tc>
          <w:tcPr>
            <w:tcW w:type="dxa" w:w="4652"/>
            <w:tcBorders>
              <w:top w:val="none" w:color="000000" w:sz="4"/>
              <w:left w:val="single" w:color="000000" w:sz="4"/>
              <w:bottom w:val="single" w:color="000000" w:sz="4"/>
              <w:right w:val="single" w:color="000000" w:sz="4"/>
            </w:tcBorders>
            <w:vAlign w:val="top"/>
          </w:tcPr>
          <w:p>
            <w:r>
              <w:rPr>
                <w:sz w:val="21"/>
              </w:rPr>
              <w:t>1、防台风暴雨台风、暴雨、寒潮前，应加强防御措施，合理修剪，用直杆或绳索固定易倒树木，包裹抗寒能力弱的树木，加固护树设施。</w:t>
            </w:r>
          </w:p>
          <w:p>
            <w:r>
              <w:rPr>
                <w:sz w:val="21"/>
              </w:rPr>
              <w:t>2台风吹袭期间在确保安全的情况下迅速清理倒树断枝，疏通道路。</w:t>
            </w:r>
          </w:p>
          <w:p>
            <w:r>
              <w:rPr>
                <w:sz w:val="21"/>
              </w:rPr>
              <w:t>3、台风后及时进行受损树木的处理，修剪、扶正，重植、标记登记受损树木。清理断枝、落叶和垃圾，使绿化景观尽快恢复。遇雷电风雨、人畜危害而使树木歪斜或倒枝断枝，要立即处理、疏通道路。有明显主干的树种主干应保持竖直不倾斜。台风、暴雨后形成积水要及时排除。</w:t>
            </w:r>
          </w:p>
        </w:tc>
        <w:tc>
          <w:tcPr>
            <w:tcW w:type="dxa" w:w="2578"/>
            <w:tcBorders>
              <w:top w:val="none" w:color="000000" w:sz="4"/>
              <w:left w:val="single" w:color="000000" w:sz="4"/>
              <w:bottom w:val="single" w:color="000000" w:sz="4"/>
              <w:right w:val="single" w:color="000000" w:sz="4"/>
            </w:tcBorders>
            <w:vAlign w:val="top"/>
          </w:tcPr>
          <w:p>
            <w:pPr>
              <w:jc w:val="both"/>
            </w:pPr>
            <w:r>
              <w:rPr>
                <w:sz w:val="21"/>
              </w:rPr>
              <w:t>1、未及时采取防御措施，每扣0.1分。</w:t>
            </w:r>
          </w:p>
          <w:p>
            <w:pPr>
              <w:jc w:val="both"/>
            </w:pPr>
            <w:r>
              <w:rPr>
                <w:sz w:val="21"/>
              </w:rPr>
              <w:t>2、未能及时疏通道路，扣0.1分。</w:t>
            </w:r>
          </w:p>
          <w:p>
            <w:r>
              <w:rPr>
                <w:sz w:val="21"/>
              </w:rPr>
              <w:t>3、违反本项第3条，台风后未及时、规范对受损树木进行处理，扣0.1分。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638"/>
            <w:vMerge w:val="restart"/>
            <w:tcBorders>
              <w:top w:val="none" w:color="000000" w:sz="4"/>
              <w:left w:val="single" w:color="000000" w:sz="4"/>
              <w:bottom w:val="single" w:color="000000" w:sz="4"/>
              <w:right w:val="single" w:color="000000" w:sz="4"/>
            </w:tcBorders>
            <w:vAlign w:val="top"/>
          </w:tcPr>
          <w:p>
            <w:pPr>
              <w:jc w:val="center"/>
            </w:pPr>
            <w:r>
              <w:rPr>
                <w:sz w:val="21"/>
              </w:rPr>
              <w:t>绿地绿道</w:t>
            </w:r>
          </w:p>
          <w:p>
            <w:pPr>
              <w:jc w:val="center"/>
            </w:pPr>
            <w:r>
              <w:rPr>
                <w:sz w:val="21"/>
              </w:rPr>
              <w:t>卫生</w:t>
            </w:r>
          </w:p>
        </w:tc>
        <w:tc>
          <w:tcPr>
            <w:tcW w:type="dxa" w:w="4652"/>
            <w:tcBorders>
              <w:top w:val="none" w:color="000000" w:sz="4"/>
              <w:left w:val="single" w:color="000000" w:sz="4"/>
              <w:bottom w:val="single" w:color="000000" w:sz="4"/>
              <w:right w:val="single" w:color="000000" w:sz="4"/>
            </w:tcBorders>
            <w:vAlign w:val="top"/>
          </w:tcPr>
          <w:p>
            <w:r>
              <w:rPr>
                <w:sz w:val="21"/>
              </w:rPr>
              <w:t>要求每天</w:t>
            </w:r>
            <w:r>
              <w:rPr>
                <w:sz w:val="21"/>
              </w:rPr>
              <w:t>6：30—21：30保持绿地范围内无垃圾杂物，包括各类垃圾、石砾砖块、干枯枝叶、粪便烟头，</w:t>
            </w:r>
          </w:p>
          <w:p>
            <w:r>
              <w:rPr>
                <w:sz w:val="21"/>
              </w:rPr>
              <w:t>清除垃圾杂物后要注意保洁，绿地一有垃圾，要求及日寸捡拾干净。</w:t>
            </w:r>
          </w:p>
        </w:tc>
        <w:tc>
          <w:tcPr>
            <w:tcW w:type="dxa" w:w="2578"/>
            <w:tcBorders>
              <w:top w:val="none" w:color="000000" w:sz="4"/>
              <w:left w:val="single" w:color="000000" w:sz="4"/>
              <w:bottom w:val="single" w:color="000000" w:sz="4"/>
              <w:right w:val="single" w:color="000000" w:sz="4"/>
            </w:tcBorders>
            <w:vAlign w:val="top"/>
          </w:tcPr>
          <w:p>
            <w:r>
              <w:rPr>
                <w:sz w:val="21"/>
              </w:rPr>
              <w:t>未安要求落实。发现一次扣</w:t>
            </w:r>
            <w:r>
              <w:rPr>
                <w:sz w:val="21"/>
              </w:rPr>
              <w:t>0.1分。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无红火蚁穴、无鼠洞和蚊蝇滋生地等，发现无红火蚁穴、鼠洞要随时清除。</w:t>
            </w:r>
          </w:p>
        </w:tc>
        <w:tc>
          <w:tcPr>
            <w:tcW w:type="dxa" w:w="2578"/>
            <w:tcBorders>
              <w:top w:val="none" w:color="000000" w:sz="4"/>
              <w:left w:val="single" w:color="000000" w:sz="4"/>
              <w:bottom w:val="single" w:color="000000" w:sz="4"/>
              <w:right w:val="single" w:color="000000" w:sz="4"/>
            </w:tcBorders>
            <w:vAlign w:val="top"/>
          </w:tcPr>
          <w:p>
            <w:r>
              <w:rPr>
                <w:sz w:val="21"/>
              </w:rPr>
              <w:t>未安要求落实。发现一次扣</w:t>
            </w:r>
            <w:r>
              <w:rPr>
                <w:sz w:val="21"/>
              </w:rPr>
              <w:t>0.2分。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绿地园林小品、设施、雕塑、果皮箱、桌椅、应每天清洗干净，无无乱张贴、牛皮癣。</w:t>
            </w:r>
          </w:p>
        </w:tc>
        <w:tc>
          <w:tcPr>
            <w:tcW w:type="dxa" w:w="2578"/>
            <w:tcBorders>
              <w:top w:val="none" w:color="000000" w:sz="4"/>
              <w:left w:val="single" w:color="000000" w:sz="4"/>
              <w:bottom w:val="single" w:color="000000" w:sz="4"/>
              <w:right w:val="single" w:color="000000" w:sz="4"/>
            </w:tcBorders>
            <w:vAlign w:val="top"/>
          </w:tcPr>
          <w:p>
            <w:r>
              <w:rPr>
                <w:sz w:val="21"/>
              </w:rPr>
              <w:t>未安要求落实。发现一次扣</w:t>
            </w:r>
            <w:r>
              <w:rPr>
                <w:sz w:val="21"/>
              </w:rPr>
              <w:t>0.1分。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绿道、硬化铺装，每周至少全面冲洗一次，绿道、铺装地面应显现地面铺装材料的原色。</w:t>
            </w:r>
          </w:p>
        </w:tc>
        <w:tc>
          <w:tcPr>
            <w:tcW w:type="dxa" w:w="2578"/>
            <w:tcBorders>
              <w:top w:val="none" w:color="000000" w:sz="4"/>
              <w:left w:val="single" w:color="000000" w:sz="4"/>
              <w:bottom w:val="single" w:color="000000" w:sz="4"/>
              <w:right w:val="single" w:color="000000" w:sz="4"/>
            </w:tcBorders>
            <w:vAlign w:val="top"/>
          </w:tcPr>
          <w:p>
            <w:r>
              <w:rPr>
                <w:sz w:val="21"/>
              </w:rPr>
              <w:t>未安要求落实。发现一次扣</w:t>
            </w:r>
            <w:r>
              <w:rPr>
                <w:sz w:val="21"/>
              </w:rPr>
              <w:t>0.2分。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收集装袋后的的垃圾杂物和清洁器具摆放在隐蔽的地方。</w:t>
            </w:r>
          </w:p>
        </w:tc>
        <w:tc>
          <w:tcPr>
            <w:tcW w:type="dxa" w:w="2578"/>
            <w:tcBorders>
              <w:top w:val="none" w:color="000000" w:sz="4"/>
              <w:left w:val="single" w:color="000000" w:sz="4"/>
              <w:bottom w:val="single" w:color="000000" w:sz="4"/>
              <w:right w:val="single" w:color="000000" w:sz="4"/>
            </w:tcBorders>
            <w:vAlign w:val="top"/>
          </w:tcPr>
          <w:p>
            <w:r>
              <w:rPr>
                <w:sz w:val="21"/>
              </w:rPr>
              <w:t>未安要求落实。发现一次扣</w:t>
            </w:r>
            <w:r>
              <w:rPr>
                <w:sz w:val="21"/>
              </w:rPr>
              <w:t>0.2分。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绿地内果皮箱用环卫垃圾袋收集垃圾清走，随满随清。垃圾做到日产日清，不准过夜。</w:t>
            </w:r>
          </w:p>
        </w:tc>
        <w:tc>
          <w:tcPr>
            <w:tcW w:type="dxa" w:w="2578"/>
            <w:tcBorders>
              <w:top w:val="none" w:color="000000" w:sz="4"/>
              <w:left w:val="single" w:color="000000" w:sz="4"/>
              <w:bottom w:val="single" w:color="000000" w:sz="4"/>
              <w:right w:val="single" w:color="000000" w:sz="4"/>
            </w:tcBorders>
            <w:vAlign w:val="top"/>
          </w:tcPr>
          <w:p>
            <w:r>
              <w:rPr>
                <w:sz w:val="21"/>
              </w:rPr>
              <w:t>未安要求落实。发现一次扣</w:t>
            </w:r>
            <w:r>
              <w:rPr>
                <w:sz w:val="21"/>
              </w:rPr>
              <w:t>0.2分。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不准焚烧枯枝落叶和各类垃圾。</w:t>
            </w:r>
          </w:p>
        </w:tc>
        <w:tc>
          <w:tcPr>
            <w:tcW w:type="dxa" w:w="2578"/>
            <w:tcBorders>
              <w:top w:val="none" w:color="000000" w:sz="4"/>
              <w:left w:val="single" w:color="000000" w:sz="4"/>
              <w:bottom w:val="single" w:color="000000" w:sz="4"/>
              <w:right w:val="single" w:color="000000" w:sz="4"/>
            </w:tcBorders>
            <w:vAlign w:val="top"/>
          </w:tcPr>
          <w:p>
            <w:r>
              <w:rPr>
                <w:sz w:val="21"/>
              </w:rPr>
              <w:t>未安要求落实。发现一次扣</w:t>
            </w:r>
            <w:r>
              <w:rPr>
                <w:sz w:val="21"/>
              </w:rPr>
              <w:t>0.5分。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确保绿地外</w:t>
            </w:r>
            <w:r>
              <w:rPr>
                <w:sz w:val="21"/>
              </w:rPr>
              <w:t>10米范围内的空置地没有垃圾、杂物堆放，没有影响绿地美观的杂草丛生。负责绿地与水体岸线外两米水域垃圾的清理。</w:t>
            </w:r>
          </w:p>
        </w:tc>
        <w:tc>
          <w:tcPr>
            <w:tcW w:type="dxa" w:w="2578"/>
            <w:tcBorders>
              <w:top w:val="none" w:color="000000" w:sz="4"/>
              <w:left w:val="single" w:color="000000" w:sz="4"/>
              <w:bottom w:val="single" w:color="000000" w:sz="4"/>
              <w:right w:val="single" w:color="000000" w:sz="4"/>
            </w:tcBorders>
            <w:vAlign w:val="top"/>
          </w:tcPr>
          <w:p>
            <w:r>
              <w:rPr>
                <w:sz w:val="21"/>
              </w:rPr>
              <w:t>未安要求落实。发现一次扣</w:t>
            </w:r>
            <w:r>
              <w:rPr>
                <w:sz w:val="21"/>
              </w:rPr>
              <w:t>0.2分。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638"/>
            <w:tcBorders>
              <w:top w:val="none" w:color="000000" w:sz="4"/>
              <w:left w:val="single" w:color="000000" w:sz="4"/>
              <w:bottom w:val="single" w:color="000000" w:sz="4"/>
              <w:right w:val="single" w:color="000000" w:sz="4"/>
            </w:tcBorders>
            <w:vAlign w:val="top"/>
          </w:tcPr>
          <w:p>
            <w:pPr>
              <w:jc w:val="center"/>
            </w:pPr>
            <w:r>
              <w:rPr>
                <w:sz w:val="21"/>
              </w:rPr>
              <w:t>道路</w:t>
            </w:r>
          </w:p>
          <w:p>
            <w:pPr>
              <w:jc w:val="center"/>
            </w:pPr>
            <w:r>
              <w:rPr>
                <w:sz w:val="21"/>
              </w:rPr>
              <w:t>保洁整体</w:t>
            </w:r>
          </w:p>
          <w:p>
            <w:pPr>
              <w:jc w:val="center"/>
            </w:pPr>
            <w:r>
              <w:rPr>
                <w:sz w:val="21"/>
              </w:rPr>
              <w:t>观感</w:t>
            </w:r>
          </w:p>
        </w:tc>
        <w:tc>
          <w:tcPr>
            <w:tcW w:type="dxa" w:w="4652"/>
            <w:tcBorders>
              <w:top w:val="none" w:color="000000" w:sz="4"/>
              <w:left w:val="single" w:color="000000" w:sz="4"/>
              <w:bottom w:val="single" w:color="000000" w:sz="4"/>
              <w:right w:val="single" w:color="000000" w:sz="4"/>
            </w:tcBorders>
            <w:vAlign w:val="top"/>
          </w:tcPr>
          <w:p>
            <w:r>
              <w:rPr>
                <w:sz w:val="21"/>
              </w:rPr>
              <w:t>道路等公共地域整洁无尘，无果皮、无纸屑、无塑膜、无痰迹、无污水、无暴露垃圾、无人畜粪便、无乱张贴、路牙无泥沙。</w:t>
            </w:r>
          </w:p>
          <w:p>
            <w:r>
              <w:rPr>
                <w:sz w:val="21"/>
              </w:rPr>
              <w:t>路面净、果皮箱净、树穴绿化带净、地下通道净、无残留污水，排水口清洁、无沙土残积。路沿石、废物箱、等公共设施无明显污迹。</w:t>
            </w:r>
          </w:p>
        </w:tc>
        <w:tc>
          <w:tcPr>
            <w:tcW w:type="dxa" w:w="2578"/>
            <w:tcBorders>
              <w:top w:val="none" w:color="000000" w:sz="4"/>
              <w:left w:val="single" w:color="000000" w:sz="4"/>
              <w:bottom w:val="single" w:color="000000" w:sz="4"/>
              <w:right w:val="single" w:color="000000" w:sz="4"/>
            </w:tcBorders>
            <w:vAlign w:val="top"/>
          </w:tcPr>
          <w:p>
            <w:r>
              <w:rPr>
                <w:sz w:val="21"/>
              </w:rPr>
              <w:t>观感好，不扣分；中，扣</w:t>
            </w:r>
            <w:r>
              <w:rPr>
                <w:sz w:val="21"/>
              </w:rPr>
              <w:t>2分；差，扣4分；极差，不得分。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638"/>
            <w:tcBorders>
              <w:top w:val="none" w:color="000000" w:sz="4"/>
              <w:left w:val="single" w:color="000000" w:sz="4"/>
              <w:bottom w:val="single" w:color="000000" w:sz="4"/>
              <w:right w:val="single" w:color="000000" w:sz="4"/>
            </w:tcBorders>
            <w:vAlign w:val="top"/>
          </w:tcPr>
          <w:p>
            <w:pPr>
              <w:jc w:val="center"/>
            </w:pPr>
            <w:r>
              <w:rPr>
                <w:sz w:val="21"/>
              </w:rPr>
              <w:t>保洁</w:t>
            </w:r>
          </w:p>
          <w:p>
            <w:pPr>
              <w:jc w:val="center"/>
            </w:pPr>
            <w:r>
              <w:rPr>
                <w:sz w:val="21"/>
              </w:rPr>
              <w:t>要求</w:t>
            </w:r>
            <w:r>
              <w:rPr>
                <w:sz w:val="21"/>
              </w:rPr>
              <w:t>1</w:t>
            </w:r>
          </w:p>
        </w:tc>
        <w:tc>
          <w:tcPr>
            <w:tcW w:type="dxa" w:w="4652"/>
            <w:tcBorders>
              <w:top w:val="none" w:color="000000" w:sz="4"/>
              <w:left w:val="single" w:color="000000" w:sz="4"/>
              <w:bottom w:val="single" w:color="000000" w:sz="4"/>
              <w:right w:val="single" w:color="000000" w:sz="4"/>
            </w:tcBorders>
            <w:vAlign w:val="top"/>
          </w:tcPr>
          <w:p>
            <w:r>
              <w:rPr>
                <w:sz w:val="21"/>
              </w:rPr>
              <w:t>在保洁时间内，责任区域废弃物应符合下列规定：每</w:t>
            </w:r>
            <w:r>
              <w:rPr>
                <w:sz w:val="21"/>
              </w:rPr>
              <w:t>1000平方米地面果皮、烟蒂、塑料、纸屑、石块分别不得超过5片。注：果皮、纸屑、塑膜的面积以火柴盒大小为标准。</w:t>
            </w:r>
          </w:p>
        </w:tc>
        <w:tc>
          <w:tcPr>
            <w:tcW w:type="dxa" w:w="2578"/>
            <w:tcBorders>
              <w:top w:val="none" w:color="000000" w:sz="4"/>
              <w:left w:val="single" w:color="000000" w:sz="4"/>
              <w:bottom w:val="single" w:color="000000" w:sz="4"/>
              <w:right w:val="single" w:color="000000" w:sz="4"/>
            </w:tcBorders>
            <w:vAlign w:val="top"/>
          </w:tcPr>
          <w:p>
            <w:pPr>
              <w:jc w:val="both"/>
            </w:pPr>
            <w:r>
              <w:rPr>
                <w:sz w:val="21"/>
              </w:rPr>
              <w:t>每超</w:t>
            </w:r>
            <w:r>
              <w:rPr>
                <w:sz w:val="21"/>
              </w:rPr>
              <w:t>1片，扣0.2分。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638"/>
            <w:tcBorders>
              <w:top w:val="none" w:color="000000" w:sz="4"/>
              <w:left w:val="single" w:color="000000" w:sz="4"/>
              <w:bottom w:val="single" w:color="000000" w:sz="4"/>
              <w:right w:val="single" w:color="000000" w:sz="4"/>
            </w:tcBorders>
            <w:vAlign w:val="top"/>
          </w:tcPr>
          <w:p>
            <w:pPr>
              <w:jc w:val="center"/>
            </w:pPr>
            <w:r>
              <w:rPr>
                <w:sz w:val="21"/>
              </w:rPr>
              <w:t>保洁</w:t>
            </w:r>
          </w:p>
          <w:p>
            <w:pPr>
              <w:jc w:val="center"/>
            </w:pPr>
            <w:r>
              <w:rPr>
                <w:sz w:val="21"/>
              </w:rPr>
              <w:t>要求</w:t>
            </w:r>
            <w:r>
              <w:rPr>
                <w:sz w:val="21"/>
              </w:rPr>
              <w:t>2</w:t>
            </w:r>
          </w:p>
        </w:tc>
        <w:tc>
          <w:tcPr>
            <w:tcW w:type="dxa" w:w="4652"/>
            <w:tcBorders>
              <w:top w:val="none" w:color="000000" w:sz="4"/>
              <w:left w:val="single" w:color="000000" w:sz="4"/>
              <w:bottom w:val="single" w:color="000000" w:sz="4"/>
              <w:right w:val="single" w:color="000000" w:sz="4"/>
            </w:tcBorders>
            <w:vAlign w:val="top"/>
          </w:tcPr>
          <w:p>
            <w:pPr>
              <w:jc w:val="both"/>
            </w:pPr>
            <w:r>
              <w:rPr>
                <w:sz w:val="21"/>
              </w:rPr>
              <w:t>路牙、人行道、花基基部不得得有明显的泥沙或泥渍</w:t>
            </w:r>
            <w:r>
              <w:rPr>
                <w:sz w:val="21"/>
              </w:rPr>
              <w:t>(长0．5米以上)，洒落在主车道上的余泥沙石，在发现后2小时内要及时清理干净；树池上的石粒不得扫在人行道上。</w:t>
            </w:r>
          </w:p>
        </w:tc>
        <w:tc>
          <w:tcPr>
            <w:tcW w:type="dxa" w:w="2578"/>
            <w:tcBorders>
              <w:top w:val="none" w:color="000000" w:sz="4"/>
              <w:left w:val="single" w:color="000000" w:sz="4"/>
              <w:bottom w:val="single" w:color="000000" w:sz="4"/>
              <w:right w:val="single" w:color="000000" w:sz="4"/>
            </w:tcBorders>
            <w:vAlign w:val="top"/>
          </w:tcPr>
          <w:p>
            <w:pPr>
              <w:jc w:val="both"/>
            </w:pPr>
            <w:r>
              <w:rPr>
                <w:sz w:val="21"/>
              </w:rPr>
              <w:t>道路、广场有泥砂或泥渍、水泥渍、油渍，没及时清理干净，每处扣</w:t>
            </w:r>
            <w:r>
              <w:rPr>
                <w:sz w:val="21"/>
              </w:rPr>
              <w:t>0.2分。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638"/>
            <w:tcBorders>
              <w:top w:val="none" w:color="000000" w:sz="4"/>
              <w:left w:val="single" w:color="000000" w:sz="4"/>
              <w:bottom w:val="single" w:color="000000" w:sz="4"/>
              <w:right w:val="single" w:color="000000" w:sz="4"/>
            </w:tcBorders>
            <w:vAlign w:val="top"/>
          </w:tcPr>
          <w:p>
            <w:pPr>
              <w:jc w:val="center"/>
            </w:pPr>
            <w:r>
              <w:rPr>
                <w:sz w:val="21"/>
              </w:rPr>
              <w:t>保洁</w:t>
            </w:r>
          </w:p>
          <w:p>
            <w:pPr>
              <w:jc w:val="center"/>
            </w:pPr>
            <w:r>
              <w:rPr>
                <w:sz w:val="21"/>
              </w:rPr>
              <w:t>要求</w:t>
            </w:r>
            <w:r>
              <w:rPr>
                <w:sz w:val="21"/>
              </w:rPr>
              <w:t>3</w:t>
            </w:r>
          </w:p>
        </w:tc>
        <w:tc>
          <w:tcPr>
            <w:tcW w:type="dxa" w:w="4652"/>
            <w:tcBorders>
              <w:top w:val="none" w:color="000000" w:sz="4"/>
              <w:left w:val="single" w:color="000000" w:sz="4"/>
              <w:bottom w:val="single" w:color="000000" w:sz="4"/>
              <w:right w:val="single" w:color="000000" w:sz="4"/>
            </w:tcBorders>
            <w:vAlign w:val="top"/>
          </w:tcPr>
          <w:p>
            <w:r>
              <w:rPr>
                <w:sz w:val="21"/>
              </w:rPr>
              <w:t>要保证雨水口不堵塞，雨水井底无废弃物，即每个雨水口底部的废弃物，不得超过</w:t>
            </w:r>
            <w:r>
              <w:rPr>
                <w:sz w:val="21"/>
              </w:rPr>
              <w:t>8件／口。</w:t>
            </w:r>
          </w:p>
        </w:tc>
        <w:tc>
          <w:tcPr>
            <w:tcW w:type="dxa" w:w="2578"/>
            <w:tcBorders>
              <w:top w:val="none" w:color="000000" w:sz="4"/>
              <w:left w:val="single" w:color="000000" w:sz="4"/>
              <w:bottom w:val="single" w:color="000000" w:sz="4"/>
              <w:right w:val="single" w:color="000000" w:sz="4"/>
            </w:tcBorders>
            <w:vAlign w:val="top"/>
          </w:tcPr>
          <w:p>
            <w:r>
              <w:rPr>
                <w:sz w:val="21"/>
              </w:rPr>
              <w:t>抽查</w:t>
            </w:r>
            <w:r>
              <w:rPr>
                <w:sz w:val="21"/>
              </w:rPr>
              <w:t>10口雨水口，每发现雨水口底部未清理，每口扣0.2分。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638"/>
            <w:tcBorders>
              <w:top w:val="none" w:color="000000" w:sz="4"/>
              <w:left w:val="single" w:color="000000" w:sz="4"/>
              <w:bottom w:val="single" w:color="000000" w:sz="4"/>
              <w:right w:val="single" w:color="000000" w:sz="4"/>
            </w:tcBorders>
            <w:vAlign w:val="top"/>
          </w:tcPr>
          <w:p>
            <w:pPr>
              <w:jc w:val="center"/>
            </w:pPr>
            <w:r>
              <w:rPr>
                <w:sz w:val="21"/>
              </w:rPr>
              <w:t>保洁</w:t>
            </w:r>
          </w:p>
          <w:p>
            <w:pPr>
              <w:jc w:val="center"/>
            </w:pPr>
            <w:r>
              <w:rPr>
                <w:sz w:val="21"/>
              </w:rPr>
              <w:t>要求</w:t>
            </w:r>
            <w:r>
              <w:rPr>
                <w:sz w:val="21"/>
              </w:rPr>
              <w:t>4</w:t>
            </w:r>
          </w:p>
        </w:tc>
        <w:tc>
          <w:tcPr>
            <w:tcW w:type="dxa" w:w="4652"/>
            <w:tcBorders>
              <w:top w:val="none" w:color="000000" w:sz="4"/>
              <w:left w:val="single" w:color="000000" w:sz="4"/>
              <w:bottom w:val="single" w:color="000000" w:sz="4"/>
              <w:right w:val="single" w:color="000000" w:sz="4"/>
            </w:tcBorders>
            <w:vAlign w:val="top"/>
          </w:tcPr>
          <w:p>
            <w:r>
              <w:rPr>
                <w:sz w:val="21"/>
              </w:rPr>
              <w:t>慢行道、人行道路面、花岗岩路牙石每周至少水洗一次，要保持原色。</w:t>
            </w:r>
          </w:p>
        </w:tc>
        <w:tc>
          <w:tcPr>
            <w:tcW w:type="dxa" w:w="2578"/>
            <w:tcBorders>
              <w:top w:val="none" w:color="000000" w:sz="4"/>
              <w:left w:val="single" w:color="000000" w:sz="4"/>
              <w:bottom w:val="single" w:color="000000" w:sz="4"/>
              <w:right w:val="single" w:color="000000" w:sz="4"/>
            </w:tcBorders>
            <w:vAlign w:val="top"/>
          </w:tcPr>
          <w:p>
            <w:r>
              <w:rPr>
                <w:sz w:val="21"/>
              </w:rPr>
              <w:t>未能执行本款，扣</w:t>
            </w:r>
            <w:r>
              <w:rPr>
                <w:sz w:val="21"/>
              </w:rPr>
              <w:t>0.5分。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638"/>
            <w:tcBorders>
              <w:top w:val="none" w:color="000000" w:sz="4"/>
              <w:left w:val="single" w:color="000000" w:sz="4"/>
              <w:bottom w:val="single" w:color="000000" w:sz="4"/>
              <w:right w:val="single" w:color="000000" w:sz="4"/>
            </w:tcBorders>
            <w:vAlign w:val="top"/>
          </w:tcPr>
          <w:p>
            <w:pPr>
              <w:jc w:val="center"/>
            </w:pPr>
            <w:r>
              <w:rPr>
                <w:sz w:val="21"/>
              </w:rPr>
              <w:t>保洁</w:t>
            </w:r>
          </w:p>
          <w:p>
            <w:pPr>
              <w:jc w:val="center"/>
            </w:pPr>
            <w:r>
              <w:rPr>
                <w:sz w:val="21"/>
              </w:rPr>
              <w:t>要求</w:t>
            </w:r>
            <w:r>
              <w:rPr>
                <w:sz w:val="21"/>
              </w:rPr>
              <w:t>5</w:t>
            </w:r>
          </w:p>
        </w:tc>
        <w:tc>
          <w:tcPr>
            <w:tcW w:type="dxa" w:w="4652"/>
            <w:tcBorders>
              <w:top w:val="none" w:color="000000" w:sz="4"/>
              <w:left w:val="single" w:color="000000" w:sz="4"/>
              <w:bottom w:val="single" w:color="000000" w:sz="4"/>
              <w:right w:val="single" w:color="000000" w:sz="4"/>
            </w:tcBorders>
            <w:vAlign w:val="top"/>
          </w:tcPr>
          <w:p>
            <w:r>
              <w:rPr>
                <w:sz w:val="21"/>
              </w:rPr>
              <w:t>责任区域内，栏杆、阶梯、扶手、墙面、地面、座椅、路面、雕塑等应整洁、无乱张贴、乱画、垃圾和积存污水。</w:t>
            </w:r>
          </w:p>
        </w:tc>
        <w:tc>
          <w:tcPr>
            <w:tcW w:type="dxa" w:w="2578"/>
            <w:tcBorders>
              <w:top w:val="none" w:color="000000" w:sz="4"/>
              <w:left w:val="single" w:color="000000" w:sz="4"/>
              <w:bottom w:val="single" w:color="000000" w:sz="4"/>
              <w:right w:val="single" w:color="000000" w:sz="4"/>
            </w:tcBorders>
            <w:vAlign w:val="top"/>
          </w:tcPr>
          <w:p>
            <w:r>
              <w:rPr>
                <w:sz w:val="21"/>
              </w:rPr>
              <w:t>每发现一处、乱张贴、乱画、垃圾堆和积存污水，扣</w:t>
            </w:r>
            <w:r>
              <w:rPr>
                <w:sz w:val="21"/>
              </w:rPr>
              <w:t>0.1分。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638"/>
            <w:tcBorders>
              <w:top w:val="none" w:color="000000" w:sz="4"/>
              <w:left w:val="single" w:color="000000" w:sz="4"/>
              <w:bottom w:val="single" w:color="000000" w:sz="4"/>
              <w:right w:val="single" w:color="000000" w:sz="4"/>
            </w:tcBorders>
            <w:vAlign w:val="top"/>
          </w:tcPr>
          <w:p>
            <w:pPr>
              <w:jc w:val="center"/>
            </w:pPr>
            <w:r>
              <w:rPr>
                <w:sz w:val="21"/>
              </w:rPr>
              <w:t>保洁</w:t>
            </w:r>
          </w:p>
          <w:p>
            <w:pPr>
              <w:jc w:val="center"/>
            </w:pPr>
            <w:r>
              <w:rPr>
                <w:sz w:val="21"/>
              </w:rPr>
              <w:t>要求</w:t>
            </w:r>
            <w:r>
              <w:rPr>
                <w:sz w:val="21"/>
              </w:rPr>
              <w:t>6</w:t>
            </w:r>
          </w:p>
        </w:tc>
        <w:tc>
          <w:tcPr>
            <w:tcW w:type="dxa" w:w="4652"/>
            <w:tcBorders>
              <w:top w:val="none" w:color="000000" w:sz="4"/>
              <w:left w:val="single" w:color="000000" w:sz="4"/>
              <w:bottom w:val="single" w:color="000000" w:sz="4"/>
              <w:right w:val="single" w:color="000000" w:sz="4"/>
            </w:tcBorders>
            <w:vAlign w:val="top"/>
          </w:tcPr>
          <w:p>
            <w:r>
              <w:rPr>
                <w:sz w:val="21"/>
              </w:rPr>
              <w:t>高架下穿通道的顶棚、栏杆、果皮箱、绿道指引牌、道路路名牌、挡车柱每个星期至少要进行两次的清洗，做到外表清洁、通透、无积尘、无乱张贴</w:t>
            </w:r>
            <w:r>
              <w:rPr>
                <w:sz w:val="21"/>
              </w:rPr>
              <w:t>(乱张贴时间不得超过12小时)。公共区域角落应没有不雅异味。</w:t>
            </w:r>
          </w:p>
        </w:tc>
        <w:tc>
          <w:tcPr>
            <w:tcW w:type="dxa" w:w="2578"/>
            <w:tcBorders>
              <w:top w:val="none" w:color="000000" w:sz="4"/>
              <w:left w:val="single" w:color="000000" w:sz="4"/>
              <w:bottom w:val="single" w:color="000000" w:sz="4"/>
              <w:right w:val="single" w:color="000000" w:sz="4"/>
            </w:tcBorders>
            <w:vAlign w:val="top"/>
          </w:tcPr>
          <w:p>
            <w:r>
              <w:rPr>
                <w:sz w:val="21"/>
              </w:rPr>
              <w:t>每发现一处、乱张贴、乱画、垃圾堆、粪便和积存灰尘、不雅味道，扣</w:t>
            </w:r>
            <w:r>
              <w:rPr>
                <w:sz w:val="21"/>
              </w:rPr>
              <w:t>0.1分。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638"/>
            <w:tcBorders>
              <w:top w:val="none" w:color="000000" w:sz="4"/>
              <w:left w:val="single" w:color="000000" w:sz="4"/>
              <w:bottom w:val="single" w:color="000000" w:sz="4"/>
              <w:right w:val="single" w:color="000000" w:sz="4"/>
            </w:tcBorders>
            <w:vAlign w:val="top"/>
          </w:tcPr>
          <w:p>
            <w:pPr>
              <w:jc w:val="center"/>
            </w:pPr>
            <w:r>
              <w:rPr>
                <w:sz w:val="21"/>
              </w:rPr>
              <w:t>保洁</w:t>
            </w:r>
          </w:p>
          <w:p>
            <w:pPr>
              <w:jc w:val="center"/>
            </w:pPr>
            <w:r>
              <w:rPr>
                <w:sz w:val="21"/>
              </w:rPr>
              <w:t>要求</w:t>
            </w:r>
            <w:r>
              <w:rPr>
                <w:sz w:val="21"/>
              </w:rPr>
              <w:t>7</w:t>
            </w:r>
          </w:p>
        </w:tc>
        <w:tc>
          <w:tcPr>
            <w:tcW w:type="dxa" w:w="4652"/>
            <w:tcBorders>
              <w:top w:val="none" w:color="000000" w:sz="4"/>
              <w:left w:val="single" w:color="000000" w:sz="4"/>
              <w:bottom w:val="single" w:color="000000" w:sz="4"/>
              <w:right w:val="single" w:color="000000" w:sz="4"/>
            </w:tcBorders>
            <w:vAlign w:val="top"/>
          </w:tcPr>
          <w:p>
            <w:r>
              <w:rPr>
                <w:sz w:val="21"/>
              </w:rPr>
              <w:t>果皮箱的管理要做到摆放正确，内胆敷放垃圾袋；收集、清洁时间按清扫作业时间完成，并做好箱内垃圾的日清，保证无臭，外表清洁、无积尘、无撒漏、无乱涂、乱画、乱张贴。</w:t>
            </w:r>
          </w:p>
        </w:tc>
        <w:tc>
          <w:tcPr>
            <w:tcW w:type="dxa" w:w="2578"/>
            <w:tcBorders>
              <w:top w:val="none" w:color="000000" w:sz="4"/>
              <w:left w:val="single" w:color="000000" w:sz="4"/>
              <w:bottom w:val="single" w:color="000000" w:sz="4"/>
              <w:right w:val="single" w:color="000000" w:sz="4"/>
            </w:tcBorders>
            <w:vAlign w:val="top"/>
          </w:tcPr>
          <w:p>
            <w:r>
              <w:rPr>
                <w:sz w:val="21"/>
              </w:rPr>
              <w:t>发现果皮箱未按规定保洁和清理，每一处扣</w:t>
            </w:r>
            <w:r>
              <w:rPr>
                <w:sz w:val="21"/>
              </w:rPr>
              <w:t>0.2分。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638"/>
            <w:tcBorders>
              <w:top w:val="none" w:color="000000" w:sz="4"/>
              <w:left w:val="single" w:color="000000" w:sz="4"/>
              <w:bottom w:val="single" w:color="000000" w:sz="4"/>
              <w:right w:val="single" w:color="000000" w:sz="4"/>
            </w:tcBorders>
            <w:vAlign w:val="top"/>
          </w:tcPr>
          <w:p>
            <w:pPr>
              <w:jc w:val="center"/>
            </w:pPr>
            <w:r>
              <w:rPr>
                <w:sz w:val="21"/>
              </w:rPr>
              <w:t>保洁要求</w:t>
            </w:r>
            <w:r>
              <w:rPr>
                <w:sz w:val="21"/>
              </w:rPr>
              <w:t>8</w:t>
            </w:r>
          </w:p>
        </w:tc>
        <w:tc>
          <w:tcPr>
            <w:tcW w:type="dxa" w:w="4652"/>
            <w:tcBorders>
              <w:top w:val="none" w:color="000000" w:sz="4"/>
              <w:left w:val="single" w:color="000000" w:sz="4"/>
              <w:bottom w:val="single" w:color="000000" w:sz="4"/>
              <w:right w:val="single" w:color="000000" w:sz="4"/>
            </w:tcBorders>
            <w:vAlign w:val="top"/>
          </w:tcPr>
          <w:p>
            <w:r>
              <w:rPr>
                <w:sz w:val="21"/>
              </w:rPr>
              <w:t>要定时进行路面冲洗，洒水要求所有机动车道每天不得少于</w:t>
            </w:r>
            <w:r>
              <w:rPr>
                <w:sz w:val="21"/>
              </w:rPr>
              <w:t>1次，一级保洁路面每天至少两次，雨天除外)，并做到洒水记录齐全。</w:t>
            </w:r>
          </w:p>
        </w:tc>
        <w:tc>
          <w:tcPr>
            <w:tcW w:type="dxa" w:w="2578"/>
            <w:tcBorders>
              <w:top w:val="none" w:color="000000" w:sz="4"/>
              <w:left w:val="single" w:color="000000" w:sz="4"/>
              <w:bottom w:val="single" w:color="000000" w:sz="4"/>
              <w:right w:val="single" w:color="000000" w:sz="4"/>
            </w:tcBorders>
            <w:vAlign w:val="top"/>
          </w:tcPr>
          <w:p>
            <w:r>
              <w:rPr>
                <w:sz w:val="21"/>
              </w:rPr>
              <w:t>未按规定执行，每发现一次，扣</w:t>
            </w:r>
            <w:r>
              <w:rPr>
                <w:sz w:val="21"/>
              </w:rPr>
              <w:t>0.5分。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638"/>
            <w:vMerge w:val="restart"/>
            <w:tcBorders>
              <w:top w:val="none" w:color="000000" w:sz="4"/>
              <w:left w:val="single" w:color="000000" w:sz="4"/>
              <w:bottom w:val="single" w:color="000000" w:sz="4"/>
              <w:right w:val="single" w:color="000000" w:sz="4"/>
            </w:tcBorders>
            <w:vAlign w:val="top"/>
          </w:tcPr>
          <w:p>
            <w:pPr>
              <w:jc w:val="center"/>
            </w:pPr>
            <w:r>
              <w:rPr>
                <w:sz w:val="21"/>
              </w:rPr>
              <w:t>保洁</w:t>
            </w:r>
          </w:p>
          <w:p>
            <w:pPr>
              <w:jc w:val="center"/>
            </w:pPr>
            <w:r>
              <w:rPr>
                <w:sz w:val="21"/>
              </w:rPr>
              <w:t>要求</w:t>
            </w:r>
            <w:r>
              <w:rPr>
                <w:sz w:val="21"/>
              </w:rPr>
              <w:t>9</w:t>
            </w:r>
          </w:p>
        </w:tc>
        <w:tc>
          <w:tcPr>
            <w:tcW w:type="dxa" w:w="4652"/>
            <w:tcBorders>
              <w:top w:val="none" w:color="000000" w:sz="4"/>
              <w:left w:val="single" w:color="000000" w:sz="4"/>
              <w:bottom w:val="single" w:color="000000" w:sz="4"/>
              <w:right w:val="single" w:color="000000" w:sz="4"/>
            </w:tcBorders>
            <w:vAlign w:val="top"/>
          </w:tcPr>
          <w:p>
            <w:r>
              <w:rPr>
                <w:sz w:val="21"/>
              </w:rPr>
              <w:t>遇到运输车辆撒落渣土、废料、泥浆、油料等物质污染路面时，及时清理清洗，不得拖延。</w:t>
            </w:r>
          </w:p>
        </w:tc>
        <w:tc>
          <w:tcPr>
            <w:tcW w:type="dxa" w:w="2578"/>
            <w:tcBorders>
              <w:top w:val="none" w:color="000000" w:sz="4"/>
              <w:left w:val="single" w:color="000000" w:sz="4"/>
              <w:bottom w:val="single" w:color="000000" w:sz="4"/>
              <w:right w:val="single" w:color="000000" w:sz="4"/>
            </w:tcBorders>
            <w:vAlign w:val="top"/>
          </w:tcPr>
          <w:p>
            <w:r>
              <w:rPr>
                <w:sz w:val="21"/>
              </w:rPr>
              <w:t>未按规定执行，每发现一次，扣</w:t>
            </w:r>
            <w:r>
              <w:rPr>
                <w:sz w:val="21"/>
              </w:rPr>
              <w:t>0.2分。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负责区域范围的所有公共地域及闲置地的巡查和保洁，合约时间内范围的新增垃圾由乙方及时负责清理，清理费用自行负责解决，乙方抓到偷倒垃圾的，可以由乙方的偷倒方案处理。</w:t>
            </w:r>
          </w:p>
        </w:tc>
        <w:tc>
          <w:tcPr>
            <w:tcW w:type="dxa" w:w="2578"/>
            <w:tcBorders>
              <w:top w:val="none" w:color="000000" w:sz="4"/>
              <w:left w:val="single" w:color="000000" w:sz="4"/>
              <w:bottom w:val="single" w:color="000000" w:sz="4"/>
              <w:right w:val="single" w:color="000000" w:sz="4"/>
            </w:tcBorders>
            <w:vAlign w:val="top"/>
          </w:tcPr>
          <w:p>
            <w:r>
              <w:rPr>
                <w:sz w:val="21"/>
              </w:rPr>
              <w:t>未按规定执行，每发现一次，扣</w:t>
            </w:r>
            <w:r>
              <w:rPr>
                <w:sz w:val="21"/>
              </w:rPr>
              <w:t>0.5分。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闲置地，无成堆垃圾，无卫生死角、无乱贴、乱挂的</w:t>
            </w:r>
            <w:r>
              <w:rPr>
                <w:sz w:val="21"/>
              </w:rPr>
              <w:t>“六乱现象”。合同期新增偷到垃圾由乙方负责清理。</w:t>
            </w:r>
          </w:p>
        </w:tc>
        <w:tc>
          <w:tcPr>
            <w:tcW w:type="dxa" w:w="2578"/>
            <w:tcBorders>
              <w:top w:val="none" w:color="000000" w:sz="4"/>
              <w:left w:val="single" w:color="000000" w:sz="4"/>
              <w:bottom w:val="single" w:color="000000" w:sz="4"/>
              <w:right w:val="single" w:color="000000" w:sz="4"/>
            </w:tcBorders>
            <w:vAlign w:val="top"/>
          </w:tcPr>
          <w:p>
            <w:r>
              <w:rPr>
                <w:sz w:val="21"/>
              </w:rPr>
              <w:t>闲置地有新增垃圾，卫生死角、乱张贴、乱挂的</w:t>
            </w:r>
            <w:r>
              <w:rPr>
                <w:sz w:val="21"/>
              </w:rPr>
              <w:t>“六乱现象”，未有及时处置，扣0.5分。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638"/>
            <w:tcBorders>
              <w:top w:val="none" w:color="000000" w:sz="4"/>
              <w:left w:val="single" w:color="000000" w:sz="4"/>
              <w:bottom w:val="single" w:color="000000" w:sz="4"/>
              <w:right w:val="single" w:color="000000" w:sz="4"/>
            </w:tcBorders>
            <w:vAlign w:val="top"/>
          </w:tcPr>
          <w:p>
            <w:pPr>
              <w:jc w:val="center"/>
            </w:pPr>
            <w:r>
              <w:rPr>
                <w:sz w:val="21"/>
              </w:rPr>
              <w:t>文明作业</w:t>
            </w:r>
          </w:p>
          <w:p>
            <w:pPr>
              <w:jc w:val="center"/>
            </w:pPr>
            <w:r>
              <w:rPr>
                <w:sz w:val="21"/>
              </w:rPr>
              <w:t>要求</w:t>
            </w:r>
          </w:p>
        </w:tc>
        <w:tc>
          <w:tcPr>
            <w:tcW w:type="dxa" w:w="4652"/>
            <w:tcBorders>
              <w:top w:val="none" w:color="000000" w:sz="4"/>
              <w:left w:val="single" w:color="000000" w:sz="4"/>
              <w:bottom w:val="single" w:color="000000" w:sz="4"/>
              <w:right w:val="single" w:color="000000" w:sz="4"/>
            </w:tcBorders>
            <w:vAlign w:val="top"/>
          </w:tcPr>
          <w:p>
            <w:r>
              <w:rPr>
                <w:sz w:val="21"/>
              </w:rPr>
              <w:t>清扫保洁人员应小心执扫，控制扬尘，避免妨碍行人。</w:t>
            </w:r>
          </w:p>
          <w:p>
            <w:r>
              <w:rPr>
                <w:sz w:val="21"/>
              </w:rPr>
              <w:t>非普扫时间不使用大扫把。</w:t>
            </w:r>
          </w:p>
          <w:p>
            <w:r>
              <w:rPr>
                <w:sz w:val="21"/>
              </w:rPr>
              <w:t>清扫保洁工具应摆放整齐，保洁范围内有工具房的应存放在工具房内，保洁垃圾车、手推车等不得横向占道。</w:t>
            </w:r>
          </w:p>
          <w:p>
            <w:r>
              <w:rPr>
                <w:sz w:val="21"/>
              </w:rPr>
              <w:t>保洁垃圾车、手推车装载垃圾时，应覆盖密闭。</w:t>
            </w:r>
          </w:p>
          <w:p>
            <w:r>
              <w:rPr>
                <w:sz w:val="21"/>
              </w:rPr>
              <w:t>清扫保洁人员应穿着统一制作的行业工作服，保持衣冠整齐、整洁，有明显所属单位标志，作业佩带反光安全标志。机动车道上作业应放置警示桩、警示灯等安全标识标志。</w:t>
            </w:r>
          </w:p>
          <w:p>
            <w:r>
              <w:rPr>
                <w:sz w:val="21"/>
              </w:rPr>
              <w:t>洒水车、扫路车作业时应发送警示声光信号，并应控制适当的水压和行速，避免妨碍路人。扫路车应有洒水降尘配置。</w:t>
            </w:r>
          </w:p>
        </w:tc>
        <w:tc>
          <w:tcPr>
            <w:tcW w:type="dxa" w:w="2578"/>
            <w:tcBorders>
              <w:top w:val="none" w:color="000000" w:sz="4"/>
              <w:left w:val="single" w:color="000000" w:sz="4"/>
              <w:bottom w:val="single" w:color="000000" w:sz="4"/>
              <w:right w:val="single" w:color="000000" w:sz="4"/>
            </w:tcBorders>
            <w:vAlign w:val="top"/>
          </w:tcPr>
          <w:p>
            <w:r>
              <w:rPr>
                <w:sz w:val="21"/>
              </w:rPr>
              <w:t>未按规定执行，每发现一起，扣</w:t>
            </w:r>
            <w:r>
              <w:rPr>
                <w:sz w:val="21"/>
              </w:rPr>
              <w:t>0.2分。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638"/>
            <w:tcBorders>
              <w:top w:val="none" w:color="000000" w:sz="4"/>
              <w:left w:val="single" w:color="000000" w:sz="4"/>
              <w:bottom w:val="single" w:color="000000" w:sz="4"/>
              <w:right w:val="single" w:color="000000" w:sz="4"/>
            </w:tcBorders>
            <w:vAlign w:val="top"/>
          </w:tcPr>
          <w:p>
            <w:pPr>
              <w:jc w:val="center"/>
            </w:pPr>
            <w:r>
              <w:rPr>
                <w:sz w:val="21"/>
              </w:rPr>
              <w:t>城市</w:t>
            </w:r>
          </w:p>
          <w:p>
            <w:pPr>
              <w:jc w:val="center"/>
            </w:pPr>
            <w:r>
              <w:rPr>
                <w:sz w:val="21"/>
              </w:rPr>
              <w:t>照明</w:t>
            </w:r>
          </w:p>
        </w:tc>
        <w:tc>
          <w:tcPr>
            <w:tcW w:type="dxa" w:w="4652"/>
            <w:tcBorders>
              <w:top w:val="none" w:color="000000" w:sz="4"/>
              <w:left w:val="single" w:color="000000" w:sz="4"/>
              <w:bottom w:val="single" w:color="000000" w:sz="4"/>
              <w:right w:val="single" w:color="000000" w:sz="4"/>
            </w:tcBorders>
            <w:vAlign w:val="top"/>
          </w:tcPr>
          <w:p>
            <w:r>
              <w:rPr>
                <w:sz w:val="21"/>
              </w:rPr>
              <w:t>检查有关灯杆、灯罩、设备表面情况，做好设备的清洁、翻新，同时及时清除灯杆、箱式变压器、分接箱、高压电气设备等的牛皮癣。</w:t>
            </w:r>
          </w:p>
          <w:p>
            <w:r>
              <w:rPr>
                <w:sz w:val="21"/>
              </w:rPr>
              <w:t>巡查辖区内各公共电力设备设施，发现损坏及时更换及修复。每日检查区内电缆沟井盖、电箱门的闭合情况，发现可疑情况或可疑人员、车辆，采取报告、监视、驱离措施。监督照明设施管养单位对其它用电设施（如：广告、灯饰及其它非用于路灯照明设施）的用电需经经业主同意后，管养单位才能接驳线路；监督照明设施管养单位按合同规定时间恢复损坏的照明设施并上报业主；及时反馈电力、电信、燃气管道及广告牌现场受损情况。</w:t>
            </w:r>
            <w:r>
              <w:br/>
            </w:r>
            <w:r>
              <w:rPr>
                <w:sz w:val="21"/>
              </w:rPr>
              <w:t>对绿地上的园林照明设施，定期进行巡查，发现灯泡烧毁、灯罩破损、构件生锈的要及时处理，确保园林灯光的正常运作。</w:t>
            </w:r>
          </w:p>
        </w:tc>
        <w:tc>
          <w:tcPr>
            <w:tcW w:type="dxa" w:w="2578"/>
            <w:tcBorders>
              <w:top w:val="none" w:color="000000" w:sz="4"/>
              <w:left w:val="single" w:color="000000" w:sz="4"/>
              <w:bottom w:val="single" w:color="000000" w:sz="4"/>
              <w:right w:val="single" w:color="000000" w:sz="4"/>
            </w:tcBorders>
            <w:vAlign w:val="top"/>
          </w:tcPr>
          <w:p>
            <w:r>
              <w:rPr>
                <w:sz w:val="21"/>
              </w:rPr>
              <w:t>未按规定执行，每次扣</w:t>
            </w:r>
            <w:r>
              <w:rPr>
                <w:sz w:val="21"/>
              </w:rPr>
              <w:t>1分，扣完本项得分为止。</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638"/>
            <w:tcBorders>
              <w:top w:val="none" w:color="000000" w:sz="4"/>
              <w:left w:val="single" w:color="000000" w:sz="4"/>
              <w:bottom w:val="single" w:color="000000" w:sz="4"/>
              <w:right w:val="single" w:color="000000" w:sz="4"/>
            </w:tcBorders>
            <w:vAlign w:val="top"/>
          </w:tcPr>
          <w:p>
            <w:pPr>
              <w:jc w:val="center"/>
            </w:pPr>
            <w:r>
              <w:rPr>
                <w:sz w:val="21"/>
              </w:rPr>
              <w:t>户外广告燃气管道监管</w:t>
            </w:r>
          </w:p>
        </w:tc>
        <w:tc>
          <w:tcPr>
            <w:tcW w:type="dxa" w:w="4652"/>
            <w:tcBorders>
              <w:top w:val="none" w:color="000000" w:sz="4"/>
              <w:left w:val="single" w:color="000000" w:sz="4"/>
              <w:bottom w:val="single" w:color="000000" w:sz="4"/>
              <w:right w:val="single" w:color="000000" w:sz="4"/>
            </w:tcBorders>
            <w:vAlign w:val="top"/>
          </w:tcPr>
          <w:p>
            <w:r>
              <w:rPr>
                <w:sz w:val="21"/>
              </w:rPr>
              <w:t>及时发现户外广告破损、显示不全、字体残缺、陈旧褪色等现象，及时反馈燃气管道及其标志桩的破损情况，同时报甲方代表处理。</w:t>
            </w:r>
          </w:p>
        </w:tc>
        <w:tc>
          <w:tcPr>
            <w:tcW w:type="dxa" w:w="2578"/>
            <w:tcBorders>
              <w:top w:val="none" w:color="000000" w:sz="4"/>
              <w:left w:val="single" w:color="000000" w:sz="4"/>
              <w:bottom w:val="single" w:color="000000" w:sz="4"/>
              <w:right w:val="single" w:color="000000" w:sz="4"/>
            </w:tcBorders>
            <w:vAlign w:val="top"/>
          </w:tcPr>
          <w:p>
            <w:r>
              <w:rPr>
                <w:sz w:val="21"/>
              </w:rPr>
              <w:t>应发现未及时发现问题，每次扣</w:t>
            </w:r>
            <w:r>
              <w:rPr>
                <w:sz w:val="21"/>
              </w:rPr>
              <w:t>1分，扣完本项得分为止。</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638"/>
            <w:vMerge w:val="restart"/>
            <w:tcBorders>
              <w:top w:val="none" w:color="000000" w:sz="4"/>
              <w:left w:val="single" w:color="000000" w:sz="4"/>
              <w:bottom w:val="single" w:color="000000" w:sz="4"/>
              <w:right w:val="single" w:color="000000" w:sz="4"/>
            </w:tcBorders>
            <w:vAlign w:val="top"/>
          </w:tcPr>
          <w:p>
            <w:pPr>
              <w:jc w:val="center"/>
            </w:pPr>
            <w:r>
              <w:rPr>
                <w:sz w:val="21"/>
              </w:rPr>
              <w:t>市政道路</w:t>
            </w:r>
          </w:p>
          <w:p>
            <w:pPr>
              <w:jc w:val="center"/>
            </w:pPr>
            <w:r>
              <w:rPr>
                <w:sz w:val="21"/>
              </w:rPr>
              <w:t>设施巡查</w:t>
            </w:r>
          </w:p>
          <w:p>
            <w:pPr>
              <w:jc w:val="center"/>
            </w:pPr>
            <w:r>
              <w:rPr>
                <w:sz w:val="21"/>
              </w:rPr>
              <w:t>监管</w:t>
            </w:r>
          </w:p>
        </w:tc>
        <w:tc>
          <w:tcPr>
            <w:tcW w:type="dxa" w:w="4652"/>
            <w:tcBorders>
              <w:top w:val="none" w:color="000000" w:sz="4"/>
              <w:left w:val="single" w:color="000000" w:sz="4"/>
              <w:bottom w:val="single" w:color="000000" w:sz="4"/>
              <w:right w:val="single" w:color="000000" w:sz="4"/>
            </w:tcBorders>
            <w:vAlign w:val="top"/>
          </w:tcPr>
          <w:p>
            <w:r>
              <w:rPr>
                <w:sz w:val="21"/>
              </w:rPr>
              <w:t>对市政道路、广场、市政设施设备进行巡查，及时发现问题，及时处理。</w:t>
            </w:r>
          </w:p>
          <w:p>
            <w:r>
              <w:rPr>
                <w:sz w:val="21"/>
              </w:rPr>
              <w:t>通过巡查及时发现道路各部位及其附属设施部件的损坏、塌陷、洼坑、缺失等影响市容景观或有安全隐患的情况，及时发现市政井盖、消火栓、指引牌缺失、失效、破损、老化、褪色、锈蚀等情况；及时发现：公共广场、停车场、绿道存在的破损、老化、沉降等情况，及时发现排水井溢水、道路周边积水等问题；同时及时做好现场安全围护工作，第一时间完成整改。</w:t>
            </w:r>
          </w:p>
        </w:tc>
        <w:tc>
          <w:tcPr>
            <w:tcW w:type="dxa" w:w="2578"/>
            <w:tcBorders>
              <w:top w:val="none" w:color="000000" w:sz="4"/>
              <w:left w:val="single" w:color="000000" w:sz="4"/>
              <w:bottom w:val="single" w:color="000000" w:sz="4"/>
              <w:right w:val="single" w:color="000000" w:sz="4"/>
            </w:tcBorders>
            <w:vAlign w:val="top"/>
          </w:tcPr>
          <w:p>
            <w:pPr>
              <w:jc w:val="both"/>
            </w:pPr>
            <w:r>
              <w:rPr>
                <w:sz w:val="21"/>
              </w:rPr>
              <w:t>未按规定执行，对市政道路、广场、市政设施设备进行巡查，及时发现问题，报甲方通知维护单位处置，每次扣</w:t>
            </w:r>
            <w:r>
              <w:rPr>
                <w:sz w:val="21"/>
              </w:rPr>
              <w:t>1分，扣完本项得分为止。</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53</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1乙方有义务维护绿化设施，包括喷灌系统、甲方移交的喷灌系统要完好，能正常使用。</w:t>
            </w:r>
          </w:p>
          <w:p>
            <w:r>
              <w:rPr>
                <w:sz w:val="21"/>
              </w:rPr>
              <w:t>2、维护树木的支柱、斜撑、横条、绑扎等设施。树木的护桩、横条、绑扎完好率保持95％以上，横条、胶带要根据树木生长情况及时松绑：保护好护树设施，护桩、横条、胶带因霉烂、松脱、断裂，要及时更换，使其达到护树的效果；不需要扶护树木的设施要及时拆除、清理。对破坏行为要加以制止并及时报告绿化管理部及执法部门。</w:t>
            </w:r>
          </w:p>
        </w:tc>
        <w:tc>
          <w:tcPr>
            <w:tcW w:type="dxa" w:w="2578"/>
            <w:tcBorders>
              <w:top w:val="none" w:color="000000" w:sz="4"/>
              <w:left w:val="single" w:color="000000" w:sz="4"/>
              <w:bottom w:val="single" w:color="000000" w:sz="4"/>
              <w:right w:val="single" w:color="000000" w:sz="4"/>
            </w:tcBorders>
            <w:vAlign w:val="top"/>
          </w:tcPr>
          <w:p>
            <w:r>
              <w:rPr>
                <w:sz w:val="21"/>
              </w:rPr>
              <w:t>每发现一处，扣</w:t>
            </w:r>
            <w:r>
              <w:rPr>
                <w:sz w:val="21"/>
              </w:rPr>
              <w:t>0.2分。</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甲方要求由乙方实行维修工程，乙方必须接受并按时按质完成，并及时提交工程资料予甲方审核结算。</w:t>
            </w:r>
          </w:p>
          <w:p>
            <w:r>
              <w:rPr>
                <w:sz w:val="21"/>
              </w:rPr>
              <w:t>1、路面修复5个工作日完成，路基恢复30个工作日完成，确保路面处于完好状态。出现路面（边坡）塌陷、下沉等安全隐患，12小时完成现场围护。沥青路面的维护及修复质量按《城镇道路养护技术规范》等现行相关规范、标准及要求执行。</w:t>
            </w:r>
          </w:p>
          <w:p>
            <w:r>
              <w:rPr>
                <w:sz w:val="21"/>
              </w:rPr>
              <w:t>2、井盖：井盖位移于6小时完成恢复；井盖缺失于1个工作日完成更换，5个工作日完成修复；井盖凸起、沉降、开裂、破损、弹跳产生声响于5个工作日完成修复；井盖基础沉降、塌陷或隆起，有安全隐患的于15个工作日完成修复。</w:t>
            </w:r>
          </w:p>
          <w:p>
            <w:r>
              <w:rPr>
                <w:sz w:val="21"/>
              </w:rPr>
              <w:t>3、消火栓：10个工作日完成涂漆，15个工作日完成修复、更换或拆除。</w:t>
            </w:r>
          </w:p>
          <w:p>
            <w:r>
              <w:rPr>
                <w:sz w:val="21"/>
              </w:rPr>
              <w:t>4、指引牌（包括路名牌）：10个工作日完成涂漆，15个工作日完成修复、更换或拆除。</w:t>
            </w:r>
          </w:p>
        </w:tc>
        <w:tc>
          <w:tcPr>
            <w:tcW w:type="dxa" w:w="2578"/>
            <w:tcBorders>
              <w:top w:val="none" w:color="000000" w:sz="4"/>
              <w:left w:val="single" w:color="000000" w:sz="4"/>
              <w:bottom w:val="single" w:color="000000" w:sz="4"/>
              <w:right w:val="single" w:color="000000" w:sz="4"/>
            </w:tcBorders>
            <w:vAlign w:val="top"/>
          </w:tcPr>
          <w:p>
            <w:pPr>
              <w:jc w:val="both"/>
            </w:pPr>
            <w:r>
              <w:rPr>
                <w:sz w:val="21"/>
              </w:rPr>
              <w:t>未按规定，并按时按质完成，并及时提交工程资料予甲方审核结算。每项扣</w:t>
            </w:r>
            <w:r>
              <w:rPr>
                <w:sz w:val="21"/>
              </w:rPr>
              <w:t>2分，扣完本项得分为止。</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638"/>
            <w:vMerge w:val="restart"/>
            <w:tcBorders>
              <w:top w:val="none" w:color="000000" w:sz="4"/>
              <w:left w:val="single" w:color="000000" w:sz="4"/>
              <w:bottom w:val="single" w:color="000000" w:sz="4"/>
              <w:right w:val="single" w:color="000000" w:sz="4"/>
            </w:tcBorders>
            <w:vAlign w:val="top"/>
          </w:tcPr>
          <w:p>
            <w:pPr>
              <w:jc w:val="center"/>
            </w:pPr>
            <w:r>
              <w:rPr>
                <w:sz w:val="21"/>
              </w:rPr>
              <w:t>城市管理保安</w:t>
            </w:r>
          </w:p>
        </w:tc>
        <w:tc>
          <w:tcPr>
            <w:tcW w:type="dxa" w:w="4652"/>
            <w:tcBorders>
              <w:top w:val="none" w:color="000000" w:sz="4"/>
              <w:left w:val="single" w:color="000000" w:sz="4"/>
              <w:bottom w:val="single" w:color="000000" w:sz="4"/>
              <w:right w:val="single" w:color="000000" w:sz="4"/>
            </w:tcBorders>
            <w:vAlign w:val="top"/>
          </w:tcPr>
          <w:p>
            <w:r>
              <w:rPr>
                <w:sz w:val="21"/>
              </w:rPr>
              <w:t>及时制止和杜绝所管理区域范围内乱摆卖行为。</w:t>
            </w:r>
          </w:p>
        </w:tc>
        <w:tc>
          <w:tcPr>
            <w:tcW w:type="dxa" w:w="2578"/>
            <w:tcBorders>
              <w:top w:val="none" w:color="000000" w:sz="4"/>
              <w:left w:val="single" w:color="000000" w:sz="4"/>
              <w:bottom w:val="single" w:color="000000" w:sz="4"/>
              <w:right w:val="single" w:color="000000" w:sz="4"/>
            </w:tcBorders>
            <w:vAlign w:val="top"/>
          </w:tcPr>
          <w:p>
            <w:r>
              <w:rPr>
                <w:sz w:val="21"/>
              </w:rPr>
              <w:t>在巡查过程中违法违规行为视而不见，没有及时进行制止、教育、劝导</w:t>
            </w:r>
            <w:r>
              <w:rPr>
                <w:sz w:val="21"/>
              </w:rPr>
              <w:t>,发现问题未及时上报处理。导致相关违法行为未能及时制止，每次扣1分，扣完本项得分为止。</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及时制止、清除管理区域范围内一切</w:t>
            </w:r>
            <w:r>
              <w:rPr>
                <w:sz w:val="21"/>
              </w:rPr>
              <w:t>“乱拉挂”、乱张贴行为和现象。</w:t>
            </w:r>
          </w:p>
        </w:tc>
        <w:tc>
          <w:tcPr>
            <w:tcW w:type="dxa" w:w="2578"/>
            <w:tcBorders>
              <w:top w:val="none" w:color="000000" w:sz="4"/>
              <w:left w:val="single" w:color="000000" w:sz="4"/>
              <w:bottom w:val="single" w:color="000000" w:sz="4"/>
              <w:right w:val="single" w:color="000000" w:sz="4"/>
            </w:tcBorders>
            <w:vAlign w:val="top"/>
          </w:tcPr>
          <w:p>
            <w:r>
              <w:rPr>
                <w:sz w:val="21"/>
              </w:rPr>
              <w:t>在巡查过程中违法违规行为视而不见，没有及时进行制止、教育、劝导</w:t>
            </w:r>
            <w:r>
              <w:rPr>
                <w:sz w:val="21"/>
              </w:rPr>
              <w:t>,发现问题未及时上报处理。导致本项情况的发生，每次扣0.3分，扣完本项分为止。</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57</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对所管理区域内在市政道路、绿化带及人行道上的各类施工工程，要通过严格巡查监管，确保符合各项文明施工管理规定。</w:t>
            </w:r>
          </w:p>
        </w:tc>
        <w:tc>
          <w:tcPr>
            <w:tcW w:type="dxa" w:w="2578"/>
            <w:tcBorders>
              <w:top w:val="none" w:color="000000" w:sz="4"/>
              <w:left w:val="single" w:color="000000" w:sz="4"/>
              <w:bottom w:val="single" w:color="000000" w:sz="4"/>
              <w:right w:val="single" w:color="000000" w:sz="4"/>
            </w:tcBorders>
            <w:vAlign w:val="top"/>
          </w:tcPr>
          <w:p>
            <w:r>
              <w:rPr>
                <w:sz w:val="21"/>
              </w:rPr>
              <w:t>在巡查过程中违法违规行为视而不见，没有及时进行制止、教育、劝导</w:t>
            </w:r>
            <w:r>
              <w:rPr>
                <w:sz w:val="21"/>
              </w:rPr>
              <w:t>,发现问题未及时上报处理。导致本项时间的发生，每次扣1分，扣完本项得分为止。</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杜绝和制止管理区域内焚烧垃圾。</w:t>
            </w:r>
          </w:p>
        </w:tc>
        <w:tc>
          <w:tcPr>
            <w:tcW w:type="dxa" w:w="2578"/>
            <w:tcBorders>
              <w:top w:val="none" w:color="000000" w:sz="4"/>
              <w:left w:val="single" w:color="000000" w:sz="4"/>
              <w:bottom w:val="single" w:color="000000" w:sz="4"/>
              <w:right w:val="single" w:color="000000" w:sz="4"/>
            </w:tcBorders>
            <w:vAlign w:val="top"/>
          </w:tcPr>
          <w:p>
            <w:r>
              <w:rPr>
                <w:sz w:val="21"/>
              </w:rPr>
              <w:t>在巡查过程中违法违规行为视而不见，没有及时进行制止、教育、劝导</w:t>
            </w:r>
            <w:r>
              <w:rPr>
                <w:sz w:val="21"/>
              </w:rPr>
              <w:t>,发现问题未及时上报处理。导致本项的发生，每次扣1分，扣完本项得分为止。</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制止域内建筑施工项目占用道路、绿化施工或堆放建筑材料的现象。</w:t>
            </w:r>
          </w:p>
        </w:tc>
        <w:tc>
          <w:tcPr>
            <w:tcW w:type="dxa" w:w="2578"/>
            <w:tcBorders>
              <w:top w:val="none" w:color="000000" w:sz="4"/>
              <w:left w:val="single" w:color="000000" w:sz="4"/>
              <w:bottom w:val="single" w:color="000000" w:sz="4"/>
              <w:right w:val="single" w:color="000000" w:sz="4"/>
            </w:tcBorders>
            <w:vAlign w:val="top"/>
          </w:tcPr>
          <w:p>
            <w:r>
              <w:rPr>
                <w:sz w:val="21"/>
              </w:rPr>
              <w:t>在巡查过程中违法违规行为视而不见，没有及时进行制止、教育、劝导</w:t>
            </w:r>
            <w:r>
              <w:rPr>
                <w:sz w:val="21"/>
              </w:rPr>
              <w:t>,发现问题未及时上报处理。导致本项的发生，每次扣1分，扣完本项得分为止。</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制止建筑施工项目施工运输车辆随地撒漏污染、施工围蔽不善等现象。</w:t>
            </w:r>
          </w:p>
        </w:tc>
        <w:tc>
          <w:tcPr>
            <w:tcW w:type="dxa" w:w="2578"/>
            <w:tcBorders>
              <w:top w:val="none" w:color="000000" w:sz="4"/>
              <w:left w:val="single" w:color="000000" w:sz="4"/>
              <w:bottom w:val="single" w:color="000000" w:sz="4"/>
              <w:right w:val="single" w:color="000000" w:sz="4"/>
            </w:tcBorders>
            <w:vAlign w:val="top"/>
          </w:tcPr>
          <w:p>
            <w:r>
              <w:rPr>
                <w:sz w:val="21"/>
              </w:rPr>
              <w:t>巡查过程中违法违规行为视而不见，没有及时进行制止、教育、劝导</w:t>
            </w:r>
            <w:r>
              <w:rPr>
                <w:sz w:val="21"/>
              </w:rPr>
              <w:t>,发现问题未及时上报处理。导致本项时间的发生，每次扣1分，扣完本项得分为止。</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及时制止车辆停放人行道（绿道）和未经审批擅自挖掘、占用市政道路等擅自施工的行为。</w:t>
            </w:r>
          </w:p>
        </w:tc>
        <w:tc>
          <w:tcPr>
            <w:tcW w:type="dxa" w:w="2578"/>
            <w:tcBorders>
              <w:top w:val="none" w:color="000000" w:sz="4"/>
              <w:left w:val="single" w:color="000000" w:sz="4"/>
              <w:bottom w:val="single" w:color="000000" w:sz="4"/>
              <w:right w:val="single" w:color="000000" w:sz="4"/>
            </w:tcBorders>
            <w:vAlign w:val="top"/>
          </w:tcPr>
          <w:p>
            <w:r>
              <w:rPr>
                <w:sz w:val="21"/>
              </w:rPr>
              <w:t>在巡查过程中违法违规行为视而不见，没有及时进行制止、教育、劝导</w:t>
            </w:r>
            <w:r>
              <w:rPr>
                <w:sz w:val="21"/>
              </w:rPr>
              <w:t>,发现问题未及时上报处理。导致本项的发生，每次扣1分，扣完本项得分为止。</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负责制定保安机制，维持景区、公园、道路的安全秩序、保障市民安全。</w:t>
            </w:r>
          </w:p>
        </w:tc>
        <w:tc>
          <w:tcPr>
            <w:tcW w:type="dxa" w:w="2578"/>
            <w:tcBorders>
              <w:top w:val="none" w:color="000000" w:sz="4"/>
              <w:left w:val="single" w:color="000000" w:sz="4"/>
              <w:bottom w:val="single" w:color="000000" w:sz="4"/>
              <w:right w:val="single" w:color="000000" w:sz="4"/>
            </w:tcBorders>
            <w:vAlign w:val="top"/>
          </w:tcPr>
          <w:p>
            <w:r>
              <w:rPr>
                <w:sz w:val="21"/>
              </w:rPr>
              <w:t>未制定相关健全工作机制的，每项扣</w:t>
            </w:r>
            <w:r>
              <w:rPr>
                <w:sz w:val="21"/>
              </w:rPr>
              <w:t>1分，扣完本项得分为止。</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建立巡查机制，保护、看管好市政设施设备不被偷盗、破坏。</w:t>
            </w:r>
          </w:p>
        </w:tc>
        <w:tc>
          <w:tcPr>
            <w:tcW w:type="dxa" w:w="2578"/>
            <w:tcBorders>
              <w:top w:val="none" w:color="000000" w:sz="4"/>
              <w:left w:val="single" w:color="000000" w:sz="4"/>
              <w:bottom w:val="single" w:color="000000" w:sz="4"/>
              <w:right w:val="single" w:color="000000" w:sz="4"/>
            </w:tcBorders>
            <w:vAlign w:val="top"/>
          </w:tcPr>
          <w:p>
            <w:r>
              <w:rPr>
                <w:sz w:val="21"/>
              </w:rPr>
              <w:t>在巡查过程中违法违规行为视而不见，没有及时进行制止、教育、劝导</w:t>
            </w:r>
            <w:r>
              <w:rPr>
                <w:sz w:val="21"/>
              </w:rPr>
              <w:t>,发现问题未及时上报处理。导致本项时间的发生，每次扣1分，扣完本项得分为止。</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及时制止市民如攀爬树木、雕像、在禁区游泳、钓鱼等危险的行为。</w:t>
            </w:r>
          </w:p>
        </w:tc>
        <w:tc>
          <w:tcPr>
            <w:tcW w:type="dxa" w:w="2578"/>
            <w:tcBorders>
              <w:top w:val="none" w:color="000000" w:sz="4"/>
              <w:left w:val="single" w:color="000000" w:sz="4"/>
              <w:bottom w:val="single" w:color="000000" w:sz="4"/>
              <w:right w:val="single" w:color="000000" w:sz="4"/>
            </w:tcBorders>
            <w:vAlign w:val="top"/>
          </w:tcPr>
          <w:p>
            <w:r>
              <w:rPr>
                <w:sz w:val="21"/>
              </w:rPr>
              <w:t>在巡查过程中违法违规行为视而不见，没有及时进行制止、教育、劝导</w:t>
            </w:r>
            <w:r>
              <w:rPr>
                <w:sz w:val="21"/>
              </w:rPr>
              <w:t>,发现问题未及时上报处理。导致本项时间的发生，每次扣0.5分，扣完本项得分为止。</w:t>
            </w:r>
          </w:p>
        </w:tc>
      </w:tr>
      <w:tr>
        <w:tc>
          <w:tcPr>
            <w:tcW w:type="dxa" w:w="439"/>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638"/>
            <w:vMerge/>
            <w:tcBorders>
              <w:top w:val="none" w:color="000000" w:sz="4"/>
              <w:left w:val="single" w:color="000000" w:sz="4"/>
              <w:bottom w:val="single" w:color="000000" w:sz="4"/>
              <w:right w:val="single" w:color="000000" w:sz="4"/>
            </w:tcBorders>
          </w:tcPr>
          <w:p/>
        </w:tc>
        <w:tc>
          <w:tcPr>
            <w:tcW w:type="dxa" w:w="4652"/>
            <w:tcBorders>
              <w:top w:val="none" w:color="000000" w:sz="4"/>
              <w:left w:val="single" w:color="000000" w:sz="4"/>
              <w:bottom w:val="single" w:color="000000" w:sz="4"/>
              <w:right w:val="single" w:color="000000" w:sz="4"/>
            </w:tcBorders>
            <w:vAlign w:val="top"/>
          </w:tcPr>
          <w:p>
            <w:r>
              <w:rPr>
                <w:sz w:val="21"/>
              </w:rPr>
              <w:t>制止在绿地放养禽畜行为、和非法养殖行为。</w:t>
            </w:r>
          </w:p>
        </w:tc>
        <w:tc>
          <w:tcPr>
            <w:tcW w:type="dxa" w:w="2578"/>
            <w:tcBorders>
              <w:top w:val="none" w:color="000000" w:sz="4"/>
              <w:left w:val="single" w:color="000000" w:sz="4"/>
              <w:bottom w:val="single" w:color="000000" w:sz="4"/>
              <w:right w:val="single" w:color="000000" w:sz="4"/>
            </w:tcBorders>
            <w:vAlign w:val="top"/>
          </w:tcPr>
          <w:p>
            <w:r>
              <w:rPr>
                <w:sz w:val="21"/>
              </w:rPr>
              <w:t>1、在巡查过程中违法违规行为视而不见，没有及时进行制止、教育、劝导,发现问题未及时上报处理。导致本项时间的发生，每次扣1分，扣完本项得分为止。</w:t>
            </w:r>
          </w:p>
        </w:tc>
      </w:tr>
    </w:tbl>
    <w:p>
      <w:pPr>
        <w:jc w:val="both"/>
      </w:pPr>
      <w:r>
        <w:rPr>
          <w:sz w:val="21"/>
        </w:rPr>
        <w:t>注：经甲乙双方协商一致后，甲方有权根据实际情况对本管理标准及考核办法进行修改完善，并保留最终解释权。</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r>
        <w:rPr>
          <w:sz w:val="21"/>
        </w:rPr>
        <w:t>附件</w:t>
      </w:r>
      <w:r>
        <w:rPr>
          <w:sz w:val="21"/>
        </w:rPr>
        <w:t>2：</w:t>
      </w:r>
      <w:r>
        <w:rPr>
          <w:b/>
          <w:sz w:val="21"/>
        </w:rPr>
        <w:t>扣减通知书</w:t>
      </w:r>
    </w:p>
    <w:p>
      <w:pPr>
        <w:jc w:val="right"/>
      </w:pPr>
      <w:r>
        <w:rPr>
          <w:sz w:val="24"/>
        </w:rPr>
        <w:t>编号：</w:t>
      </w:r>
      <w:r>
        <w:rPr>
          <w:sz w:val="24"/>
        </w:rPr>
        <w:t>________________</w:t>
      </w:r>
    </w:p>
    <w:p>
      <w:pPr>
        <w:jc w:val="both"/>
      </w:pPr>
    </w:p>
    <w:p>
      <w:pPr>
        <w:jc w:val="both"/>
      </w:pPr>
    </w:p>
    <w:p>
      <w:pPr>
        <w:jc w:val="center"/>
      </w:pPr>
    </w:p>
    <w:p>
      <w:pPr>
        <w:jc w:val="center"/>
      </w:pPr>
      <w:r>
        <w:rPr>
          <w:b/>
          <w:sz w:val="24"/>
        </w:rPr>
        <w:t>万科体育路公园、万科城小公园及万科花园公园综合管理服务项目</w:t>
      </w:r>
      <w:r>
        <w:rPr>
          <w:b/>
          <w:sz w:val="24"/>
        </w:rPr>
        <w:t>扣减告知书</w:t>
      </w:r>
    </w:p>
    <w:p>
      <w:pPr>
        <w:jc w:val="both"/>
      </w:pPr>
    </w:p>
    <w:p>
      <w:pPr>
        <w:jc w:val="both"/>
      </w:pPr>
      <w:r>
        <w:rPr>
          <w:sz w:val="24"/>
        </w:rPr>
        <w:t>___________________________</w:t>
      </w:r>
      <w:r>
        <w:rPr>
          <w:sz w:val="24"/>
        </w:rPr>
        <w:t>：</w:t>
      </w:r>
    </w:p>
    <w:p>
      <w:pPr>
        <w:ind w:firstLine="480"/>
        <w:jc w:val="both"/>
      </w:pPr>
      <w:r>
        <w:rPr>
          <w:sz w:val="24"/>
        </w:rPr>
        <w:t>经采购人现场管理人员巡查发现你公司，在市政维护、绿化养护工作中违反招标文件（合同）第</w:t>
      </w:r>
      <w:r>
        <w:rPr>
          <w:sz w:val="24"/>
        </w:rPr>
        <w:t>___________________项，现按照招标文件（合同）的约定对你公司作出扣减告知，此告知书作为扣减依据，</w:t>
      </w:r>
      <w:r>
        <w:rPr>
          <w:sz w:val="24"/>
        </w:rPr>
        <w:t>在</w:t>
      </w:r>
      <w:r>
        <w:rPr>
          <w:sz w:val="24"/>
        </w:rPr>
        <w:t>你司</w:t>
      </w:r>
      <w:r>
        <w:rPr>
          <w:sz w:val="24"/>
        </w:rPr>
        <w:t>当期或往期结算款项中扣减。</w:t>
      </w:r>
    </w:p>
    <w:p>
      <w:pPr>
        <w:jc w:val="both"/>
      </w:pPr>
      <w:r>
        <w:rPr>
          <w:sz w:val="24"/>
        </w:rPr>
        <w:t>附现场照片</w:t>
      </w:r>
      <w:r>
        <w:rPr>
          <w:sz w:val="24"/>
        </w:rPr>
        <w:t>_______张。</w:t>
      </w:r>
    </w:p>
    <w:p>
      <w:pPr>
        <w:jc w:val="both"/>
      </w:pPr>
    </w:p>
    <w:p>
      <w:pPr>
        <w:jc w:val="right"/>
      </w:pPr>
    </w:p>
    <w:p>
      <w:pPr>
        <w:jc w:val="right"/>
      </w:pPr>
      <w:r>
        <w:rPr>
          <w:sz w:val="24"/>
        </w:rPr>
        <w:t>东莞市虎门镇公用事业服务中心</w:t>
      </w:r>
    </w:p>
    <w:p>
      <w:pPr>
        <w:ind w:firstLine="5866"/>
        <w:jc w:val="both"/>
      </w:pPr>
    </w:p>
    <w:p>
      <w:pPr>
        <w:ind w:firstLine="5866"/>
        <w:jc w:val="both"/>
      </w:pPr>
      <w:r>
        <w:rPr>
          <w:sz w:val="24"/>
        </w:rPr>
        <w:t>年</w:t>
      </w:r>
      <w:r>
        <w:rPr>
          <w:sz w:val="24"/>
        </w:rPr>
        <w:t xml:space="preserve">    </w:t>
      </w:r>
      <w:r>
        <w:rPr>
          <w:sz w:val="24"/>
        </w:rPr>
        <w:t>月</w:t>
      </w:r>
      <w:r>
        <w:rPr>
          <w:sz w:val="24"/>
        </w:rPr>
        <w:t xml:space="preserve">    </w:t>
      </w:r>
      <w:r>
        <w:rPr>
          <w:sz w:val="24"/>
        </w:rPr>
        <w:t>日</w:t>
      </w:r>
    </w:p>
    <w:p>
      <w:pPr>
        <w:jc w:val="both"/>
      </w:pPr>
    </w:p>
    <w:p>
      <w:pPr>
        <w:jc w:val="both"/>
      </w:pPr>
    </w:p>
    <w:p>
      <w:pPr>
        <w:jc w:val="both"/>
      </w:pPr>
      <w:r>
        <w:rPr>
          <w:sz w:val="24"/>
        </w:rPr>
        <w:t>招标人管理代表签字：</w:t>
      </w:r>
    </w:p>
    <w:p>
      <w:pPr>
        <w:jc w:val="both"/>
      </w:pPr>
    </w:p>
    <w:p>
      <w:pPr>
        <w:jc w:val="both"/>
      </w:pPr>
      <w:r>
        <w:rPr>
          <w:sz w:val="24"/>
        </w:rPr>
        <w:t>中标人代表（现场施工人员）签收：</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441900028-2023-01138</w:t>
      </w:r>
    </w:p>
    <w:p>
      <w:pPr>
        <w:jc w:val="center"/>
      </w:pPr>
      <w:r>
        <w:rPr>
          <w:b/>
          <w:sz w:val="24"/>
        </w:rPr>
        <w:t>采购项目编号：</w:t>
      </w:r>
      <w:r>
        <w:rPr>
          <w:b/>
          <w:sz w:val="24"/>
        </w:rPr>
        <w:t>441900028-2023-01138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万科体育路公园、万科城小公园及万科花园公园综合管理服务项目</w:t>
      </w:r>
      <w:r>
        <w:rPr>
          <w:u w:val="single"/>
        </w:rPr>
        <w:t>”</w:t>
      </w:r>
      <w:r>
        <w:rPr/>
        <w:t>项目的招标[采购项目编号为：</w:t>
      </w:r>
      <w:r>
        <w:rPr>
          <w:u w:val="single"/>
        </w:rPr>
        <w:t>441900028-2023-01138</w:t>
      </w:r>
      <w:r>
        <w:rPr/>
        <w:t>]，我方愿参与投标。</w:t>
      </w:r>
    </w:p>
    <w:p>
      <w:pPr>
        <w:ind w:firstLine="480"/>
      </w:pPr>
      <w:r>
        <w:rPr/>
        <w:t>我方确认收到贵方提供的</w:t>
      </w:r>
      <w:r>
        <w:rPr>
          <w:u w:val="single"/>
        </w:rPr>
        <w:t>“</w:t>
      </w:r>
      <w:r>
        <w:rPr>
          <w:u w:val="single"/>
        </w:rPr>
        <w:t>万科体育路公园、万科城小公园及万科花园公园综合管理服务项目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万科体育路公园、万科城小公园及万科花园公园综合管理服务项目</w:t>
      </w:r>
      <w:r>
        <w:rPr/>
        <w:t>”项目采购[采购项目编号为</w:t>
      </w:r>
      <w:r>
        <w:rPr/>
        <w:t>441900028-2023-01138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东莞市虎门镇公用事业服务中心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万科体育路公园、万科城小公园及万科花园公园综合管理服务项目</w:t>
      </w:r>
      <w:r>
        <w:rPr/>
        <w:t>招标中获中标（采购项目编号：</w:t>
      </w:r>
      <w:r>
        <w:rPr/>
        <w:t>441900028-2023-01138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万科体育路公园、万科城小公园及万科花园公园综合管理服务项目</w:t>
      </w:r>
      <w:r>
        <w:rPr/>
        <w:t>”项目（采购项目编号：</w:t>
      </w:r>
      <w:r>
        <w:rPr/>
        <w:t>441900028-2023-01138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