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441901-2023-07581</w:t>
      </w:r>
    </w:p>
    <w:p>
      <w:pPr>
        <w:jc w:val="center"/>
      </w:pPr>
      <w:r>
        <w:rPr>
          <w:b/>
          <w:sz w:val="24"/>
        </w:rPr>
        <w:t>采购项目编号：</w:t>
      </w:r>
      <w:r>
        <w:rPr>
          <w:b/>
          <w:sz w:val="24"/>
        </w:rPr>
        <w:t>441901-2023-07581</w:t>
      </w:r>
    </w:p>
    <w:p>
      <w:pPr>
        <w:jc w:val="center"/>
      </w:pPr>
      <w:r>
        <w:rPr>
          <w:b/>
          <w:sz w:val="24"/>
        </w:rPr>
        <w:t>项目名称：</w:t>
      </w:r>
      <w:r>
        <w:rPr>
          <w:b/>
          <w:sz w:val="24"/>
        </w:rPr>
        <w:t>2023年“民营企业家日”活动项目</w:t>
      </w:r>
    </w:p>
    <w:p>
      <w:pPr>
        <w:jc w:val="center"/>
      </w:pPr>
      <w:r>
        <w:rPr>
          <w:b/>
          <w:sz w:val="24"/>
        </w:rPr>
        <w:t>采购人：</w:t>
      </w:r>
      <w:r>
        <w:rPr>
          <w:b/>
          <w:sz w:val="24"/>
        </w:rPr>
        <w:t>东莞市工业和信息化局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东莞市工业和信息化局</w:t>
      </w:r>
      <w:r>
        <w:rPr/>
        <w:t>的委托，采用</w:t>
      </w:r>
      <w:r>
        <w:rPr/>
        <w:t>竞争性磋商</w:t>
      </w:r>
      <w:r>
        <w:rPr/>
        <w:t>方式组织采购</w:t>
      </w:r>
      <w:r>
        <w:rPr/>
        <w:t>2023年“民营企业家日”活动项目</w:t>
      </w:r>
      <w:r>
        <w:rPr/>
        <w:t>。欢迎符合资格条件的供应商参加。</w:t>
      </w:r>
    </w:p>
    <w:p>
      <w:r>
        <w:rPr>
          <w:b/>
          <w:sz w:val="28"/>
        </w:rPr>
        <w:t>一.项目概述</w:t>
      </w:r>
    </w:p>
    <w:p>
      <w:r>
        <w:rPr>
          <w:b/>
          <w:sz w:val="24"/>
        </w:rPr>
        <w:t>1.名称与编号</w:t>
      </w:r>
    </w:p>
    <w:p>
      <w:pPr>
        <w:ind w:firstLine="480"/>
      </w:pPr>
      <w:r>
        <w:rPr/>
        <w:t>采购项目名称：</w:t>
      </w:r>
      <w:r>
        <w:rPr/>
        <w:t>2023年“民营企业家日”活动项目</w:t>
      </w:r>
    </w:p>
    <w:p>
      <w:pPr>
        <w:ind w:firstLine="480"/>
      </w:pPr>
      <w:r>
        <w:rPr/>
        <w:t>采购计划编号：</w:t>
      </w:r>
      <w:r>
        <w:rPr/>
        <w:t>441901-2023-07581</w:t>
      </w:r>
    </w:p>
    <w:p>
      <w:pPr>
        <w:ind w:firstLine="480"/>
      </w:pPr>
      <w:r>
        <w:rPr/>
        <w:t>采购项目编号：</w:t>
      </w:r>
      <w:r>
        <w:rPr/>
        <w:t>441901-2023-07581</w:t>
      </w:r>
    </w:p>
    <w:p>
      <w:pPr>
        <w:ind w:firstLine="480"/>
      </w:pPr>
      <w:r>
        <w:rPr/>
        <w:t>采购方式：</w:t>
      </w:r>
      <w:r>
        <w:rPr/>
        <w:t>竞争性磋商</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采购包1(现场活动及其宣传活动服务):</w:t>
      </w:r>
    </w:p>
    <w:p>
      <w:r>
        <w:rPr/>
        <w:t>采购包预算金额：1,860,000.00元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现场活动及其宣传活动服务</w:t>
            </w:r>
          </w:p>
        </w:tc>
        <w:tc>
          <w:tcPr>
            <w:tcW w:type="dxa" w:w="977"/>
          </w:tcPr>
          <w:p>
            <w:r>
              <w:rPr/>
              <w:t>1.00(项)</w:t>
            </w:r>
          </w:p>
        </w:tc>
        <w:tc>
          <w:tcPr>
            <w:tcW w:type="dxa" w:w="977"/>
          </w:tcPr>
          <w:p>
            <w:r>
              <w:rPr/>
              <w:t>详见第二章</w:t>
            </w:r>
          </w:p>
        </w:tc>
        <w:tc>
          <w:tcPr>
            <w:tcW w:type="dxa" w:w="977"/>
          </w:tcPr>
          <w:p>
            <w:r>
              <w:rPr/>
              <w:t>1,860,000.00</w:t>
            </w:r>
          </w:p>
        </w:tc>
        <w:tc>
          <w:tcPr>
            <w:tcW w:type="dxa" w:w="977"/>
          </w:tcPr>
          <w:p>
            <w:r>
              <w:rPr/>
              <w:t>否</w:t>
            </w:r>
          </w:p>
        </w:tc>
      </w:tr>
    </w:tbl>
    <w:p/>
    <w:p>
      <w:r>
        <w:rPr/>
        <w:t>本采购包不接受联合体响应</w:t>
      </w:r>
    </w:p>
    <w:p/>
    <w:p>
      <w:r>
        <w:rPr/>
        <w:t>合同履行期限：合同签订之日起至2023年“民营企业家日”活动结束</w:t>
      </w:r>
    </w:p>
    <w:p/>
    <w:p>
      <w:r>
        <w:rPr/>
        <w:t>采购包2(宣传片及宣传栏目服务):</w:t>
      </w:r>
    </w:p>
    <w:p>
      <w:r>
        <w:rPr/>
        <w:t>采购包预算金额：300,000.00元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宣传片及宣传栏目服务</w:t>
            </w:r>
          </w:p>
        </w:tc>
        <w:tc>
          <w:tcPr>
            <w:tcW w:type="dxa" w:w="977"/>
          </w:tcPr>
          <w:p>
            <w:r>
              <w:rPr/>
              <w:t>1.00(项)</w:t>
            </w:r>
          </w:p>
        </w:tc>
        <w:tc>
          <w:tcPr>
            <w:tcW w:type="dxa" w:w="977"/>
          </w:tcPr>
          <w:p>
            <w:r>
              <w:rPr/>
              <w:t>详见第二章</w:t>
            </w:r>
          </w:p>
        </w:tc>
        <w:tc>
          <w:tcPr>
            <w:tcW w:type="dxa" w:w="977"/>
          </w:tcPr>
          <w:p>
            <w:r>
              <w:rPr/>
              <w:t>300,000.00</w:t>
            </w:r>
          </w:p>
        </w:tc>
        <w:tc>
          <w:tcPr>
            <w:tcW w:type="dxa" w:w="977"/>
          </w:tcPr>
          <w:p>
            <w:r>
              <w:rPr/>
              <w:t>否</w:t>
            </w:r>
          </w:p>
        </w:tc>
      </w:tr>
    </w:tbl>
    <w:p/>
    <w:p>
      <w:r>
        <w:rPr/>
        <w:t>本采购包不接受联合体响应</w:t>
      </w:r>
    </w:p>
    <w:p/>
    <w:p>
      <w:r>
        <w:rPr/>
        <w:t>合同履行期限：合同签订之日起至2023年“民营企业家日”宣传活动和宣传栏目结束</w:t>
      </w:r>
    </w:p>
    <w:p/>
    <w:p>
      <w:r>
        <w:rPr/>
        <w:t>采购包3(文艺晚会服务):</w:t>
      </w:r>
    </w:p>
    <w:p>
      <w:r>
        <w:rPr/>
        <w:t>采购包预算金额：840,000.00元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艺术创作、表演和交流服务</w:t>
            </w:r>
          </w:p>
        </w:tc>
        <w:tc>
          <w:tcPr>
            <w:tcW w:type="dxa" w:w="2052"/>
          </w:tcPr>
          <w:p>
            <w:r>
              <w:rPr/>
              <w:t>文艺晚会服务</w:t>
            </w:r>
          </w:p>
        </w:tc>
        <w:tc>
          <w:tcPr>
            <w:tcW w:type="dxa" w:w="977"/>
          </w:tcPr>
          <w:p>
            <w:r>
              <w:rPr/>
              <w:t>1.00(项)</w:t>
            </w:r>
          </w:p>
        </w:tc>
        <w:tc>
          <w:tcPr>
            <w:tcW w:type="dxa" w:w="977"/>
          </w:tcPr>
          <w:p>
            <w:r>
              <w:rPr/>
              <w:t>详见第二章</w:t>
            </w:r>
          </w:p>
        </w:tc>
        <w:tc>
          <w:tcPr>
            <w:tcW w:type="dxa" w:w="977"/>
          </w:tcPr>
          <w:p>
            <w:r>
              <w:rPr/>
              <w:t>840,000.00</w:t>
            </w:r>
          </w:p>
        </w:tc>
        <w:tc>
          <w:tcPr>
            <w:tcW w:type="dxa" w:w="977"/>
          </w:tcPr>
          <w:p>
            <w:r>
              <w:rPr/>
              <w:t>否</w:t>
            </w:r>
          </w:p>
        </w:tc>
      </w:tr>
    </w:tbl>
    <w:p/>
    <w:p>
      <w:r>
        <w:rPr/>
        <w:t>本采购包不接受联合体响应</w:t>
      </w:r>
    </w:p>
    <w:p/>
    <w:p>
      <w:r>
        <w:rPr/>
        <w:t>合同履行期限：合同签订之日起至2023年“民营企业家日”文艺晚会现场结束</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采购包1（现场活动及其宣传活动服务）：</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采购包2（宣传片及宣传栏目服务）：</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采购包3（文艺晚会服务）：</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采购包1（现场活动及其宣传活动服务）：</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采购包2（宣传片及宣传栏目服务）：</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采购包3（文艺晚会服务）：</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东莞市工业和信息化局</w:t>
      </w:r>
    </w:p>
    <w:p>
      <w:pPr>
        <w:ind w:firstLine="480"/>
      </w:pPr>
      <w:r>
        <w:rPr/>
        <w:t>地址：</w:t>
      </w:r>
      <w:r>
        <w:rPr/>
        <w:t>广东省东莞市南城区鸿福西路68号</w:t>
      </w:r>
    </w:p>
    <w:p>
      <w:pPr>
        <w:ind w:firstLine="480"/>
      </w:pPr>
      <w:r>
        <w:rPr/>
        <w:t>联系方式：</w:t>
      </w:r>
      <w:r>
        <w:rPr/>
        <w:t>0769-22220125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市委市政府</w:t>
      </w:r>
      <w:r>
        <w:rPr>
          <w:sz w:val="21"/>
        </w:rPr>
        <w:t>高度</w:t>
      </w:r>
      <w:r>
        <w:rPr>
          <w:sz w:val="21"/>
        </w:rPr>
        <w:t>重视</w:t>
      </w:r>
      <w:r>
        <w:rPr>
          <w:sz w:val="21"/>
        </w:rPr>
        <w:t>和关心</w:t>
      </w:r>
      <w:r>
        <w:rPr>
          <w:sz w:val="21"/>
        </w:rPr>
        <w:t>民营经济发展，制定出台了支持民营经济高质量发展的若干措施，</w:t>
      </w:r>
      <w:r>
        <w:rPr>
          <w:sz w:val="21"/>
        </w:rPr>
        <w:t>为</w:t>
      </w:r>
      <w:r>
        <w:rPr>
          <w:sz w:val="21"/>
        </w:rPr>
        <w:t>增强民营企业家社会责任感、荣誉感，弘扬企业家精神</w:t>
      </w:r>
      <w:r>
        <w:rPr>
          <w:sz w:val="21"/>
        </w:rPr>
        <w:t>，</w:t>
      </w:r>
      <w:r>
        <w:rPr>
          <w:sz w:val="21"/>
        </w:rPr>
        <w:t>拟定于</w:t>
      </w:r>
      <w:r>
        <w:rPr>
          <w:sz w:val="21"/>
        </w:rPr>
        <w:t>2023年</w:t>
      </w:r>
      <w:r>
        <w:rPr>
          <w:sz w:val="21"/>
        </w:rPr>
        <w:t>11</w:t>
      </w:r>
      <w:r>
        <w:rPr>
          <w:sz w:val="21"/>
        </w:rPr>
        <w:t>月</w:t>
      </w:r>
      <w:r>
        <w:rPr>
          <w:sz w:val="21"/>
        </w:rPr>
        <w:t>1</w:t>
      </w:r>
      <w:r>
        <w:rPr>
          <w:sz w:val="21"/>
        </w:rPr>
        <w:t>日</w:t>
      </w:r>
      <w:r>
        <w:rPr>
          <w:sz w:val="21"/>
        </w:rPr>
        <w:t>举办</w:t>
      </w:r>
      <w:r>
        <w:rPr>
          <w:sz w:val="21"/>
        </w:rPr>
        <w:t>2023年“民营企业家日”活动</w:t>
      </w:r>
      <w:r>
        <w:rPr>
          <w:sz w:val="21"/>
        </w:rPr>
        <w:t>，具体方案如下：</w:t>
      </w:r>
    </w:p>
    <w:p>
      <w:r>
        <w:rPr>
          <w:b/>
          <w:sz w:val="21"/>
        </w:rPr>
        <w:t>1</w:t>
      </w:r>
      <w:r>
        <w:rPr>
          <w:b/>
          <w:sz w:val="21"/>
        </w:rPr>
        <w:t>、</w:t>
      </w:r>
      <w:r>
        <w:rPr>
          <w:b/>
          <w:sz w:val="21"/>
        </w:rPr>
        <w:t>活动</w:t>
      </w:r>
      <w:r>
        <w:rPr>
          <w:b/>
          <w:sz w:val="21"/>
        </w:rPr>
        <w:t>概况</w:t>
      </w:r>
    </w:p>
    <w:p>
      <w:r>
        <w:rPr>
          <w:sz w:val="21"/>
        </w:rPr>
        <w:t xml:space="preserve">    </w:t>
      </w:r>
      <w:r>
        <w:rPr>
          <w:sz w:val="21"/>
        </w:rPr>
        <w:t>（一）名称：</w:t>
      </w:r>
      <w:r>
        <w:rPr>
          <w:sz w:val="21"/>
        </w:rPr>
        <w:t>2023年“民营企业家日”</w:t>
      </w:r>
    </w:p>
    <w:p>
      <w:pPr>
        <w:ind w:firstLine="420"/>
      </w:pPr>
      <w:r>
        <w:rPr>
          <w:sz w:val="21"/>
        </w:rPr>
        <w:t>（二）时间：</w:t>
      </w:r>
      <w:r>
        <w:rPr>
          <w:sz w:val="21"/>
        </w:rPr>
        <w:t>主要活动安排在</w:t>
      </w:r>
      <w:r>
        <w:rPr>
          <w:sz w:val="21"/>
        </w:rPr>
        <w:t>2023年</w:t>
      </w:r>
      <w:r>
        <w:rPr>
          <w:sz w:val="21"/>
        </w:rPr>
        <w:t>11</w:t>
      </w:r>
      <w:r>
        <w:rPr>
          <w:sz w:val="21"/>
        </w:rPr>
        <w:t>月</w:t>
      </w:r>
      <w:r>
        <w:rPr>
          <w:sz w:val="21"/>
        </w:rPr>
        <w:t>1日</w:t>
      </w:r>
      <w:r>
        <w:rPr>
          <w:sz w:val="21"/>
        </w:rPr>
        <w:t>（星期</w:t>
      </w:r>
      <w:r>
        <w:rPr>
          <w:sz w:val="21"/>
        </w:rPr>
        <w:t>三</w:t>
      </w:r>
      <w:r>
        <w:rPr>
          <w:sz w:val="21"/>
        </w:rPr>
        <w:t>）</w:t>
      </w:r>
      <w:r>
        <w:rPr>
          <w:sz w:val="21"/>
        </w:rPr>
        <w:t>，</w:t>
      </w:r>
      <w:r>
        <w:rPr>
          <w:sz w:val="21"/>
        </w:rPr>
        <w:t>该日期前后安排相关宣传预热和配套系列活动。</w:t>
      </w:r>
    </w:p>
    <w:p>
      <w:r>
        <w:rPr>
          <w:sz w:val="21"/>
        </w:rPr>
        <w:t xml:space="preserve">    </w:t>
      </w:r>
      <w:r>
        <w:rPr>
          <w:sz w:val="21"/>
        </w:rPr>
        <w:t>（三）地点：</w:t>
      </w:r>
      <w:r>
        <w:rPr>
          <w:sz w:val="21"/>
        </w:rPr>
        <w:t>东莞迎宾馆（拟）</w:t>
      </w:r>
    </w:p>
    <w:p>
      <w:pPr>
        <w:ind w:firstLine="420"/>
      </w:pPr>
      <w:r>
        <w:rPr>
          <w:sz w:val="21"/>
        </w:rPr>
        <w:t>（四）</w:t>
      </w:r>
      <w:r>
        <w:rPr>
          <w:sz w:val="21"/>
        </w:rPr>
        <w:t>主题</w:t>
      </w:r>
      <w:r>
        <w:rPr>
          <w:sz w:val="21"/>
        </w:rPr>
        <w:t>：</w:t>
      </w:r>
      <w:r>
        <w:rPr>
          <w:sz w:val="21"/>
        </w:rPr>
        <w:t>“</w:t>
      </w:r>
      <w:r>
        <w:rPr>
          <w:sz w:val="21"/>
        </w:rPr>
        <w:t>大海星辰</w:t>
      </w:r>
      <w:r>
        <w:rPr>
          <w:sz w:val="21"/>
        </w:rPr>
        <w:t>莞企新程</w:t>
      </w:r>
      <w:r>
        <w:rPr>
          <w:sz w:val="21"/>
        </w:rPr>
        <w:t>”（</w:t>
      </w:r>
      <w:r>
        <w:rPr>
          <w:sz w:val="21"/>
        </w:rPr>
        <w:t>拟</w:t>
      </w:r>
      <w:r>
        <w:rPr>
          <w:sz w:val="21"/>
        </w:rPr>
        <w:t>）</w:t>
      </w:r>
    </w:p>
    <w:p>
      <w:pPr>
        <w:ind w:firstLine="420"/>
      </w:pPr>
      <w:r>
        <w:rPr>
          <w:sz w:val="21"/>
        </w:rPr>
        <w:t>（</w:t>
      </w:r>
      <w:r>
        <w:rPr>
          <w:sz w:val="21"/>
        </w:rPr>
        <w:t>五</w:t>
      </w:r>
      <w:r>
        <w:rPr>
          <w:sz w:val="21"/>
        </w:rPr>
        <w:t>）规模：</w:t>
      </w:r>
      <w:r>
        <w:rPr>
          <w:sz w:val="21"/>
        </w:rPr>
        <w:t>省、市各级领导，优秀企业家代表，专家学者和新闻媒体等，合计约</w:t>
      </w:r>
      <w:r>
        <w:rPr>
          <w:sz w:val="21"/>
        </w:rPr>
        <w:t>500人</w:t>
      </w:r>
      <w:r>
        <w:rPr>
          <w:sz w:val="21"/>
        </w:rPr>
        <w:t>。</w:t>
      </w:r>
    </w:p>
    <w:p>
      <w:r>
        <w:rPr>
          <w:b/>
          <w:sz w:val="21"/>
        </w:rPr>
        <w:t>2</w:t>
      </w:r>
      <w:r>
        <w:rPr>
          <w:b/>
          <w:sz w:val="21"/>
        </w:rPr>
        <w:t>、组织架构</w:t>
      </w:r>
    </w:p>
    <w:p>
      <w:pPr>
        <w:ind w:firstLine="420"/>
      </w:pPr>
      <w:r>
        <w:rPr>
          <w:sz w:val="21"/>
        </w:rPr>
        <w:t>（一）主办单位：东莞市人民政府</w:t>
      </w:r>
    </w:p>
    <w:p>
      <w:pPr>
        <w:ind w:firstLine="420"/>
      </w:pPr>
      <w:r>
        <w:rPr>
          <w:sz w:val="21"/>
        </w:rPr>
        <w:t>（二）承办单位：东莞市工业和信息化局</w:t>
      </w:r>
    </w:p>
    <w:p>
      <w:pPr>
        <w:ind w:firstLine="420"/>
      </w:pPr>
      <w:r>
        <w:rPr>
          <w:sz w:val="21"/>
        </w:rPr>
        <w:t>（</w:t>
      </w:r>
      <w:r>
        <w:rPr>
          <w:sz w:val="21"/>
        </w:rPr>
        <w:t>三</w:t>
      </w:r>
      <w:r>
        <w:rPr>
          <w:sz w:val="21"/>
        </w:rPr>
        <w:t>）</w:t>
      </w:r>
      <w:r>
        <w:rPr>
          <w:sz w:val="21"/>
        </w:rPr>
        <w:t>协办</w:t>
      </w:r>
      <w:r>
        <w:rPr>
          <w:sz w:val="21"/>
        </w:rPr>
        <w:t>单位：</w:t>
      </w:r>
      <w:r>
        <w:rPr>
          <w:sz w:val="21"/>
        </w:rPr>
        <w:t>执行单位</w:t>
      </w:r>
    </w:p>
    <w:p>
      <w:r>
        <w:rPr>
          <w:b/>
          <w:sz w:val="21"/>
        </w:rPr>
        <w:t>3</w:t>
      </w:r>
      <w:r>
        <w:rPr>
          <w:b/>
          <w:sz w:val="21"/>
        </w:rPr>
        <w:t>、活动安排</w:t>
      </w:r>
    </w:p>
    <w:p>
      <w:pPr>
        <w:ind w:firstLine="420"/>
      </w:pPr>
      <w:r>
        <w:rPr>
          <w:sz w:val="21"/>
        </w:rPr>
        <w:t>（</w:t>
      </w:r>
      <w:r>
        <w:rPr>
          <w:sz w:val="21"/>
        </w:rPr>
        <w:t>一</w:t>
      </w:r>
      <w:r>
        <w:rPr>
          <w:sz w:val="21"/>
        </w:rPr>
        <w:t>）</w:t>
      </w:r>
      <w:r>
        <w:rPr>
          <w:sz w:val="21"/>
        </w:rPr>
        <w:t>宣传预热</w:t>
      </w:r>
    </w:p>
    <w:p>
      <w:pPr>
        <w:ind w:firstLine="420"/>
      </w:pPr>
      <w:r>
        <w:rPr>
          <w:sz w:val="21"/>
        </w:rPr>
        <w:t>1.制作时间：10月下旬之前；</w:t>
      </w:r>
    </w:p>
    <w:p>
      <w:pPr>
        <w:ind w:firstLine="420"/>
      </w:pPr>
      <w:r>
        <w:rPr>
          <w:sz w:val="21"/>
        </w:rPr>
        <w:t>2.内容：包括设立专门宣传民营经济和民营企业家的宣传栏目，通过多种渠道对本次活动进行宣传等。（详见附件1宣传工作要求）</w:t>
      </w:r>
    </w:p>
    <w:p>
      <w:pPr>
        <w:ind w:firstLine="420"/>
      </w:pPr>
      <w:r>
        <w:rPr>
          <w:sz w:val="21"/>
        </w:rPr>
        <w:t>（</w:t>
      </w:r>
      <w:r>
        <w:rPr>
          <w:sz w:val="21"/>
        </w:rPr>
        <w:t>二</w:t>
      </w:r>
      <w:r>
        <w:rPr>
          <w:sz w:val="21"/>
        </w:rPr>
        <w:t>）</w:t>
      </w:r>
      <w:r>
        <w:rPr>
          <w:sz w:val="21"/>
        </w:rPr>
        <w:t>民营企业家年会</w:t>
      </w:r>
    </w:p>
    <w:p>
      <w:pPr>
        <w:ind w:firstLine="420"/>
      </w:pPr>
      <w:r>
        <w:rPr>
          <w:sz w:val="21"/>
        </w:rPr>
        <w:t>1.时间：2023年11月1日上午</w:t>
      </w:r>
    </w:p>
    <w:p>
      <w:pPr>
        <w:ind w:firstLine="420"/>
      </w:pPr>
      <w:r>
        <w:rPr>
          <w:sz w:val="21"/>
        </w:rPr>
        <w:t>2.地点：东莞迎宾馆国际会议中心</w:t>
      </w:r>
    </w:p>
    <w:p>
      <w:pPr>
        <w:ind w:firstLine="420"/>
      </w:pPr>
      <w:r>
        <w:rPr>
          <w:sz w:val="21"/>
        </w:rPr>
        <w:t>3.参加人员：</w:t>
      </w:r>
      <w:r>
        <w:rPr>
          <w:sz w:val="21"/>
        </w:rPr>
        <w:t>省、市各级领导，优秀企业家代表，专家学者和新闻媒体等。</w:t>
      </w:r>
    </w:p>
    <w:p>
      <w:pPr>
        <w:ind w:firstLine="420"/>
      </w:pPr>
      <w:r>
        <w:rPr>
          <w:sz w:val="21"/>
        </w:rPr>
        <w:t>4.活动议程：</w:t>
      </w:r>
    </w:p>
    <w:p>
      <w:pPr>
        <w:ind w:firstLine="420"/>
      </w:pPr>
      <w:r>
        <w:rPr>
          <w:sz w:val="21"/>
        </w:rPr>
        <w:t>（</w:t>
      </w:r>
      <w:r>
        <w:rPr>
          <w:sz w:val="21"/>
        </w:rPr>
        <w:t>1）签到：来宾入场，播放暖场视频；</w:t>
      </w:r>
    </w:p>
    <w:p>
      <w:pPr>
        <w:ind w:firstLine="420"/>
      </w:pPr>
      <w:r>
        <w:rPr>
          <w:sz w:val="21"/>
        </w:rPr>
        <w:t>（</w:t>
      </w:r>
      <w:r>
        <w:rPr>
          <w:sz w:val="21"/>
        </w:rPr>
        <w:t>2）开场：主持人开场，介绍到场领导嘉宾；</w:t>
      </w:r>
    </w:p>
    <w:p>
      <w:pPr>
        <w:ind w:firstLine="420"/>
      </w:pPr>
      <w:r>
        <w:rPr>
          <w:sz w:val="21"/>
        </w:rPr>
        <w:t>（</w:t>
      </w:r>
      <w:r>
        <w:rPr>
          <w:sz w:val="21"/>
        </w:rPr>
        <w:t>3）播放宣传片：播放东莞民营经济发展宣传片；</w:t>
      </w:r>
    </w:p>
    <w:p>
      <w:pPr>
        <w:ind w:firstLine="420"/>
      </w:pPr>
      <w:r>
        <w:rPr>
          <w:sz w:val="21"/>
        </w:rPr>
        <w:t>（</w:t>
      </w:r>
      <w:r>
        <w:rPr>
          <w:sz w:val="21"/>
        </w:rPr>
        <w:t>4）领导致辞：市领导、嘉宾致辞，</w:t>
      </w:r>
    </w:p>
    <w:p>
      <w:pPr>
        <w:ind w:firstLine="420"/>
      </w:pPr>
      <w:r>
        <w:rPr>
          <w:sz w:val="21"/>
        </w:rPr>
        <w:t>（</w:t>
      </w:r>
      <w:r>
        <w:rPr>
          <w:sz w:val="21"/>
        </w:rPr>
        <w:t>5）授牌仪式：宣布东莞市高质量发展领军企业、东莞市优秀民营企业家、东莞市优秀青年民营企业家名单，并由市领导授牌；</w:t>
      </w:r>
    </w:p>
    <w:p>
      <w:pPr>
        <w:ind w:firstLine="420"/>
      </w:pPr>
      <w:r>
        <w:rPr>
          <w:sz w:val="21"/>
        </w:rPr>
        <w:t>（</w:t>
      </w:r>
      <w:r>
        <w:rPr>
          <w:sz w:val="21"/>
        </w:rPr>
        <w:t>6）公布榜单：发布“2023年东莞市民营企业100强”“2023年东莞市民营工业企业100强”榜单；</w:t>
      </w:r>
    </w:p>
    <w:p>
      <w:pPr>
        <w:ind w:firstLine="420"/>
      </w:pPr>
      <w:r>
        <w:rPr>
          <w:sz w:val="21"/>
        </w:rPr>
        <w:t>（</w:t>
      </w:r>
      <w:r>
        <w:rPr>
          <w:sz w:val="21"/>
        </w:rPr>
        <w:t>7）获奖代表发言：2-3名获奖企业家发言；</w:t>
      </w:r>
    </w:p>
    <w:p>
      <w:pPr>
        <w:ind w:firstLine="420"/>
      </w:pPr>
      <w:r>
        <w:rPr>
          <w:sz w:val="21"/>
        </w:rPr>
        <w:t>（</w:t>
      </w:r>
      <w:r>
        <w:rPr>
          <w:sz w:val="21"/>
        </w:rPr>
        <w:t>8）合影：与会领导和嘉宾合影留念。</w:t>
      </w:r>
    </w:p>
    <w:p>
      <w:pPr>
        <w:ind w:firstLine="420"/>
      </w:pPr>
      <w:r>
        <w:rPr>
          <w:sz w:val="21"/>
        </w:rPr>
        <w:t>（</w:t>
      </w:r>
      <w:r>
        <w:rPr>
          <w:sz w:val="21"/>
        </w:rPr>
        <w:t>三</w:t>
      </w:r>
      <w:r>
        <w:rPr>
          <w:sz w:val="21"/>
        </w:rPr>
        <w:t>）</w:t>
      </w:r>
      <w:r>
        <w:rPr>
          <w:sz w:val="21"/>
        </w:rPr>
        <w:t>民营企业家晚会</w:t>
      </w:r>
    </w:p>
    <w:p>
      <w:pPr>
        <w:ind w:firstLine="420"/>
      </w:pPr>
      <w:r>
        <w:rPr>
          <w:sz w:val="21"/>
        </w:rPr>
        <w:t>1.时间：2023年11月1日晚</w:t>
      </w:r>
    </w:p>
    <w:p>
      <w:pPr>
        <w:ind w:firstLine="420"/>
      </w:pPr>
      <w:r>
        <w:rPr>
          <w:sz w:val="21"/>
        </w:rPr>
        <w:t>2.地点：东莞玉兰大剧院</w:t>
      </w:r>
    </w:p>
    <w:p>
      <w:pPr>
        <w:ind w:firstLine="420"/>
      </w:pPr>
      <w:r>
        <w:rPr>
          <w:sz w:val="21"/>
        </w:rPr>
        <w:t>3.参加人员：</w:t>
      </w:r>
      <w:r>
        <w:rPr>
          <w:sz w:val="21"/>
        </w:rPr>
        <w:t>市、镇各级领导，优秀企业家代表及其家属。</w:t>
      </w:r>
    </w:p>
    <w:p>
      <w:pPr>
        <w:ind w:firstLine="420"/>
      </w:pPr>
      <w:r>
        <w:rPr>
          <w:sz w:val="21"/>
        </w:rPr>
        <w:t>4.总体安排：</w:t>
      </w:r>
    </w:p>
    <w:p>
      <w:pPr>
        <w:ind w:firstLine="540"/>
      </w:pPr>
      <w:r>
        <w:rPr>
          <w:sz w:val="21"/>
        </w:rPr>
        <w:t>充分挖掘我市不同领域民营企业家的创业故事，展现东莞民营企业家</w:t>
      </w:r>
      <w:r>
        <w:rPr>
          <w:sz w:val="21"/>
        </w:rPr>
        <w:t>“爱国情怀、勇于创新、诚信守法、责任担当”精神风貌，体现我市作为民营经济大市，为民营经济提供发展茁壮成长的良好环境。</w:t>
      </w:r>
    </w:p>
    <w:p>
      <w:pPr>
        <w:ind w:firstLine="420"/>
      </w:pPr>
      <w:r>
        <w:rPr>
          <w:sz w:val="21"/>
        </w:rPr>
        <w:t>5.节目设置：待定。</w:t>
      </w:r>
    </w:p>
    <w:p>
      <w:pPr>
        <w:ind w:firstLine="420"/>
      </w:pPr>
      <w:r>
        <w:rPr>
          <w:sz w:val="21"/>
        </w:rPr>
        <w:t>（四）其他配套活动</w:t>
      </w:r>
    </w:p>
    <w:p>
      <w:pPr>
        <w:ind w:firstLine="420"/>
      </w:pPr>
      <w:r>
        <w:rPr>
          <w:sz w:val="21"/>
        </w:rPr>
        <w:t>在</w:t>
      </w:r>
      <w:r>
        <w:rPr>
          <w:sz w:val="21"/>
        </w:rPr>
        <w:t>2023年11月1日前后，举办包括主旨演讲等系列活动。</w:t>
      </w:r>
    </w:p>
    <w:p>
      <w:r>
        <w:rPr>
          <w:b/>
          <w:sz w:val="21"/>
        </w:rPr>
        <w:t>4</w:t>
      </w:r>
      <w:r>
        <w:rPr>
          <w:b/>
          <w:sz w:val="21"/>
        </w:rPr>
        <w:t>、工作分工</w:t>
      </w:r>
    </w:p>
    <w:p>
      <w:pPr>
        <w:ind w:firstLine="540"/>
      </w:pPr>
      <w:r>
        <w:rPr>
          <w:sz w:val="21"/>
        </w:rPr>
        <w:t>（一）市工业和信息化局</w:t>
      </w:r>
    </w:p>
    <w:p>
      <w:pPr>
        <w:ind w:firstLine="540"/>
      </w:pPr>
      <w:r>
        <w:rPr>
          <w:sz w:val="21"/>
        </w:rPr>
        <w:t>牵头负责整体活动统筹和协调推进，做好文字、视频等内容的审核把关，做好活动场地的协调确认，邀请相关领导嘉宾以及获奖企业家出席。</w:t>
      </w:r>
    </w:p>
    <w:p>
      <w:pPr>
        <w:ind w:firstLine="540"/>
      </w:pPr>
      <w:r>
        <w:rPr>
          <w:sz w:val="21"/>
        </w:rPr>
        <w:t>（三）执行单位</w:t>
      </w:r>
    </w:p>
    <w:p>
      <w:pPr>
        <w:ind w:firstLine="540"/>
      </w:pPr>
      <w:r>
        <w:rPr>
          <w:sz w:val="21"/>
        </w:rPr>
        <w:t>负责整体活动相关环节的总体执行。包括宣传、现场调度安排、流程安排等；做好晚会节目的编排、调度和现场安排等。</w:t>
      </w:r>
    </w:p>
    <w:p/>
    <w:p/>
    <w:p/>
    <w:p/>
    <w:p/>
    <w:p/>
    <w:p/>
    <w:p/>
    <w:p>
      <w:r>
        <w:rPr>
          <w:sz w:val="21"/>
        </w:rPr>
        <w:t>附件</w:t>
      </w:r>
      <w:r>
        <w:rPr>
          <w:sz w:val="21"/>
        </w:rPr>
        <w:t>1</w:t>
      </w:r>
    </w:p>
    <w:p>
      <w:pPr>
        <w:jc w:val="center"/>
      </w:pPr>
      <w:r>
        <w:rPr>
          <w:b/>
          <w:sz w:val="24"/>
        </w:rPr>
        <w:t>2023年“民营企业家日”宣传工作要求</w:t>
      </w:r>
    </w:p>
    <w:p>
      <w:r>
        <w:rPr>
          <w:b/>
          <w:sz w:val="21"/>
        </w:rPr>
        <w:t>1</w:t>
      </w:r>
      <w:r>
        <w:rPr>
          <w:b/>
          <w:sz w:val="21"/>
        </w:rPr>
        <w:t>、总体安排</w:t>
      </w:r>
    </w:p>
    <w:p>
      <w:pPr>
        <w:ind w:firstLine="420"/>
      </w:pPr>
      <w:r>
        <w:rPr>
          <w:sz w:val="21"/>
        </w:rPr>
        <w:t>结合东莞城市特色和企业家精神等，传递尊重企业家、关心企业家、支持企业家发展成长和崇尚创业、鼓励创造、尊重创新等理念。</w:t>
      </w:r>
    </w:p>
    <w:p>
      <w:pPr>
        <w:ind w:firstLine="420"/>
        <w:jc w:val="both"/>
      </w:pPr>
      <w:r>
        <w:rPr>
          <w:sz w:val="21"/>
        </w:rPr>
        <w:t>活动期间拟邀请全国百家中央、省、市级重点新闻媒体对东莞民营企业家日进行全方位、多角度报道，全网发布，借助各大媒体的影响力，充分展现东莞企业家形象和东莞良好的城市营商环境。</w:t>
      </w:r>
    </w:p>
    <w:p>
      <w:pPr>
        <w:ind w:firstLine="420"/>
        <w:jc w:val="both"/>
      </w:pPr>
      <w:r>
        <w:rPr>
          <w:sz w:val="21"/>
        </w:rPr>
        <w:t>央媒、省媒主流平台传播：</w:t>
      </w:r>
      <w:r>
        <w:rPr>
          <w:sz w:val="21"/>
        </w:rPr>
        <w:t>拟</w:t>
      </w:r>
      <w:r>
        <w:rPr>
          <w:sz w:val="21"/>
        </w:rPr>
        <w:t>邀请新华社、人民日报、经济日报、央视频、新华网、人民网、南方日报、</w:t>
      </w:r>
      <w:r>
        <w:rPr>
          <w:sz w:val="21"/>
        </w:rPr>
        <w:t>广东电视台、</w:t>
      </w:r>
      <w:r>
        <w:rPr>
          <w:sz w:val="21"/>
        </w:rPr>
        <w:t>羊城晚报、广州日报、南方都市报、信息时报</w:t>
      </w:r>
      <w:r>
        <w:rPr>
          <w:sz w:val="21"/>
        </w:rPr>
        <w:t>、</w:t>
      </w:r>
      <w:r>
        <w:rPr>
          <w:sz w:val="21"/>
        </w:rPr>
        <w:t>凤凰网、紫荆网</w:t>
      </w:r>
      <w:r>
        <w:rPr>
          <w:sz w:val="21"/>
        </w:rPr>
        <w:t>等中央、省级媒体采访报道活动，同时协调市委宣传部引导各大媒体推送活动期间重点报道。</w:t>
      </w:r>
    </w:p>
    <w:p>
      <w:pPr>
        <w:ind w:firstLine="420"/>
        <w:jc w:val="both"/>
      </w:pPr>
      <w:r>
        <w:rPr>
          <w:sz w:val="21"/>
        </w:rPr>
        <w:t>市直媒体融媒矩阵传播：充分发挥电视、报纸、网站、客户端等自由平台，以及学习强国东莞平台、人民号、新华号、央视频、腾讯视频号、微信、微博、抖音、小红书等第三方平台的渠道优势，进行全方位传播。</w:t>
      </w:r>
    </w:p>
    <w:p>
      <w:pPr>
        <w:ind w:firstLine="420"/>
        <w:jc w:val="both"/>
      </w:pPr>
      <w:r>
        <w:rPr>
          <w:sz w:val="21"/>
        </w:rPr>
        <w:t xml:space="preserve"> </w:t>
      </w:r>
      <w:r>
        <w:rPr>
          <w:sz w:val="21"/>
        </w:rPr>
        <w:t>东莞融媒集群传播：协调市委宣传部，以</w:t>
      </w:r>
      <w:r>
        <w:rPr>
          <w:sz w:val="21"/>
        </w:rPr>
        <w:t>“东莞发布”为枢纽，统筹东莞融媒集群有节奏、有重点开展专题传播工作，发动市直媒体、各单位、各镇街通过各类微信社群进行广泛传播。</w:t>
      </w:r>
    </w:p>
    <w:p>
      <w:r>
        <w:rPr>
          <w:b/>
          <w:sz w:val="21"/>
        </w:rPr>
        <w:t>2</w:t>
      </w:r>
      <w:r>
        <w:rPr>
          <w:b/>
          <w:sz w:val="21"/>
        </w:rPr>
        <w:t>、宣传形式和时间安排</w:t>
      </w:r>
    </w:p>
    <w:p>
      <w:pPr>
        <w:ind w:firstLine="420"/>
      </w:pPr>
      <w:r>
        <w:rPr>
          <w:sz w:val="21"/>
        </w:rPr>
        <w:t>（一）预热阶段：</w:t>
      </w:r>
      <w:r>
        <w:rPr>
          <w:sz w:val="21"/>
        </w:rPr>
        <w:t>2023年</w:t>
      </w:r>
      <w:r>
        <w:rPr>
          <w:sz w:val="21"/>
        </w:rPr>
        <w:t>11月之前</w:t>
      </w:r>
    </w:p>
    <w:p>
      <w:pPr>
        <w:ind w:firstLine="420"/>
      </w:pPr>
      <w:r>
        <w:rPr>
          <w:sz w:val="21"/>
        </w:rPr>
        <w:t>1.设立专门宣传民营经济和民营企业家的宣传栏目</w:t>
      </w:r>
    </w:p>
    <w:p>
      <w:pPr>
        <w:ind w:firstLine="420"/>
      </w:pPr>
      <w:r>
        <w:rPr>
          <w:sz w:val="21"/>
        </w:rPr>
        <w:t>利用电视节目、广播或公众号、短视频平台等渠道，宣传</w:t>
      </w:r>
      <w:r>
        <w:rPr>
          <w:sz w:val="21"/>
        </w:rPr>
        <w:t>东莞市</w:t>
      </w:r>
      <w:r>
        <w:rPr>
          <w:sz w:val="21"/>
        </w:rPr>
        <w:t>对民营经济的政策支持等；企业品牌创立及人物成长故事、金融行业的服务产品、企业法律经济个案分析等；分享创业者的故事，并同步为</w:t>
      </w:r>
      <w:r>
        <w:rPr>
          <w:sz w:val="21"/>
        </w:rPr>
        <w:t>“民营企业家日”预热。</w:t>
      </w:r>
    </w:p>
    <w:p>
      <w:pPr>
        <w:ind w:firstLine="420"/>
      </w:pPr>
      <w:r>
        <w:rPr>
          <w:sz w:val="21"/>
        </w:rPr>
        <w:t>2.</w:t>
      </w:r>
      <w:r>
        <w:rPr>
          <w:sz w:val="21"/>
        </w:rPr>
        <w:t>多种宣传形式</w:t>
      </w:r>
    </w:p>
    <w:p>
      <w:pPr>
        <w:ind w:firstLine="420"/>
      </w:pPr>
      <w:r>
        <w:rPr>
          <w:sz w:val="21"/>
        </w:rPr>
        <w:t>推出包括海报、专门访谈、企业故事以及企业家日专属</w:t>
      </w:r>
      <w:r>
        <w:rPr>
          <w:sz w:val="21"/>
        </w:rPr>
        <w:t>LOGO等多种宣传手段，增强活动社交属性，</w:t>
      </w:r>
      <w:r>
        <w:rPr>
          <w:sz w:val="21"/>
        </w:rPr>
        <w:t>结合东莞改革开放、经济发展重要时间节点和事件，</w:t>
      </w:r>
      <w:r>
        <w:rPr>
          <w:sz w:val="21"/>
        </w:rPr>
        <w:t>集中展现东莞改革开放和民营企业共同发展的精神风貌。</w:t>
      </w:r>
      <w:r>
        <w:rPr>
          <w:sz w:val="21"/>
        </w:rPr>
        <w:t>一本《东莞民营企业家》画册</w:t>
      </w:r>
    </w:p>
    <w:p>
      <w:pPr>
        <w:ind w:firstLine="420"/>
      </w:pPr>
      <w:r>
        <w:rPr>
          <w:sz w:val="21"/>
        </w:rPr>
        <w:t>3.民营企业家日</w:t>
      </w:r>
      <w:r>
        <w:rPr>
          <w:sz w:val="21"/>
        </w:rPr>
        <w:t>前一周倒计时</w:t>
      </w:r>
    </w:p>
    <w:p>
      <w:pPr>
        <w:ind w:firstLine="420"/>
      </w:pPr>
      <w:r>
        <w:rPr>
          <w:sz w:val="21"/>
        </w:rPr>
        <w:t>内容：</w:t>
      </w:r>
      <w:r>
        <w:rPr>
          <w:sz w:val="21"/>
        </w:rPr>
        <w:t>倒计时前一周</w:t>
      </w:r>
      <w:r>
        <w:rPr>
          <w:sz w:val="21"/>
        </w:rPr>
        <w:t>，在</w:t>
      </w:r>
      <w:r>
        <w:rPr>
          <w:sz w:val="21"/>
        </w:rPr>
        <w:t>相关新闻媒体</w:t>
      </w:r>
      <w:r>
        <w:rPr>
          <w:sz w:val="21"/>
        </w:rPr>
        <w:t>头版、</w:t>
      </w:r>
      <w:r>
        <w:rPr>
          <w:sz w:val="21"/>
        </w:rPr>
        <w:t>各主要</w:t>
      </w:r>
      <w:r>
        <w:rPr>
          <w:sz w:val="21"/>
        </w:rPr>
        <w:t>APP首页头图连续七天刊发图文，为民营企业家日营造氛围。</w:t>
      </w:r>
    </w:p>
    <w:p>
      <w:pPr>
        <w:ind w:firstLine="420"/>
      </w:pPr>
      <w:r>
        <w:rPr>
          <w:sz w:val="21"/>
        </w:rPr>
        <w:t>7.户外媒体传播</w:t>
      </w:r>
    </w:p>
    <w:p>
      <w:pPr>
        <w:ind w:firstLine="420"/>
      </w:pPr>
      <w:r>
        <w:rPr>
          <w:sz w:val="21"/>
        </w:rPr>
        <w:t>充分利用楼宇广告、户外党报阅报栏、地铁广告、公交车广告等户外媒体资源进行宣传造势，在全市范围内营造全城知晓、全城关注、全城传播的良好范围。</w:t>
      </w:r>
    </w:p>
    <w:p>
      <w:pPr>
        <w:ind w:firstLine="420"/>
      </w:pPr>
      <w:r>
        <w:rPr>
          <w:sz w:val="21"/>
        </w:rPr>
        <w:t>（二）</w:t>
      </w:r>
      <w:r>
        <w:rPr>
          <w:sz w:val="21"/>
        </w:rPr>
        <w:t>“民营企业家日”活动当天：2023年11月1日</w:t>
      </w:r>
    </w:p>
    <w:p>
      <w:pPr>
        <w:ind w:firstLine="420"/>
      </w:pPr>
      <w:r>
        <w:rPr>
          <w:sz w:val="21"/>
        </w:rPr>
        <w:t>1.新闻专题、现场报道</w:t>
      </w:r>
    </w:p>
    <w:p>
      <w:pPr>
        <w:ind w:firstLine="420"/>
      </w:pPr>
      <w:r>
        <w:rPr>
          <w:sz w:val="21"/>
        </w:rPr>
        <w:t>专访有关领导、</w:t>
      </w:r>
      <w:r>
        <w:rPr>
          <w:sz w:val="21"/>
        </w:rPr>
        <w:t>企业家代表</w:t>
      </w:r>
      <w:r>
        <w:rPr>
          <w:sz w:val="21"/>
        </w:rPr>
        <w:t>，推出系列融媒体产品，多视角讲述</w:t>
      </w:r>
      <w:r>
        <w:rPr>
          <w:sz w:val="21"/>
        </w:rPr>
        <w:t>东莞</w:t>
      </w:r>
      <w:r>
        <w:rPr>
          <w:sz w:val="21"/>
        </w:rPr>
        <w:t>民营企业家奋力推动</w:t>
      </w:r>
      <w:r>
        <w:rPr>
          <w:sz w:val="21"/>
        </w:rPr>
        <w:t>全市</w:t>
      </w:r>
      <w:r>
        <w:rPr>
          <w:sz w:val="21"/>
        </w:rPr>
        <w:t>经济社会高质量发展的动人故事，全方位展现他们爱党爱国、坚守实业、改革创新、诚信经营、勇担责任的时代风采</w:t>
      </w:r>
      <w:r>
        <w:rPr>
          <w:sz w:val="21"/>
        </w:rPr>
        <w:t>。</w:t>
      </w:r>
    </w:p>
    <w:p>
      <w:pPr>
        <w:ind w:firstLine="420"/>
      </w:pPr>
      <w:r>
        <w:rPr>
          <w:sz w:val="21"/>
        </w:rPr>
        <w:t>对</w:t>
      </w:r>
      <w:r>
        <w:rPr>
          <w:sz w:val="21"/>
        </w:rPr>
        <w:t>系列活动</w:t>
      </w:r>
      <w:r>
        <w:rPr>
          <w:sz w:val="21"/>
        </w:rPr>
        <w:t>进行全程视频直播，同时，在</w:t>
      </w:r>
      <w:r>
        <w:rPr>
          <w:sz w:val="21"/>
        </w:rPr>
        <w:t>年会</w:t>
      </w:r>
      <w:r>
        <w:rPr>
          <w:sz w:val="21"/>
        </w:rPr>
        <w:t>周边设置临时新闻中心，大邀请</w:t>
      </w:r>
      <w:r>
        <w:rPr>
          <w:sz w:val="21"/>
        </w:rPr>
        <w:t>民企</w:t>
      </w:r>
      <w:r>
        <w:rPr>
          <w:sz w:val="21"/>
        </w:rPr>
        <w:t>代表作客会客厅接受采访，形成系列短视频快速传播。</w:t>
      </w:r>
    </w:p>
    <w:p>
      <w:pPr>
        <w:ind w:firstLine="420"/>
      </w:pPr>
      <w:r>
        <w:rPr>
          <w:sz w:val="21"/>
        </w:rPr>
        <w:t>2.活动</w:t>
      </w:r>
      <w:r>
        <w:rPr>
          <w:sz w:val="21"/>
        </w:rPr>
        <w:t>现场报道</w:t>
      </w:r>
    </w:p>
    <w:p>
      <w:pPr>
        <w:ind w:firstLine="420"/>
      </w:pPr>
      <w:r>
        <w:rPr>
          <w:sz w:val="21"/>
        </w:rPr>
        <w:t>挖掘宣传</w:t>
      </w:r>
      <w:r>
        <w:rPr>
          <w:sz w:val="21"/>
        </w:rPr>
        <w:t>企业日的</w:t>
      </w:r>
      <w:r>
        <w:rPr>
          <w:sz w:val="21"/>
        </w:rPr>
        <w:t>亮点、特色和成效。包括</w:t>
      </w:r>
      <w:r>
        <w:rPr>
          <w:sz w:val="21"/>
        </w:rPr>
        <w:t>企业家年会、文艺晚会、肖像摄影展、全程亮灯致敬等</w:t>
      </w:r>
      <w:r>
        <w:rPr>
          <w:sz w:val="21"/>
        </w:rPr>
        <w:t>内容。</w:t>
      </w:r>
    </w:p>
    <w:p>
      <w:pPr>
        <w:ind w:firstLine="420"/>
      </w:pPr>
      <w:r>
        <w:rPr>
          <w:sz w:val="21"/>
        </w:rPr>
        <w:t>3.氛围营造活动</w:t>
      </w:r>
    </w:p>
    <w:p>
      <w:pPr>
        <w:ind w:firstLine="420"/>
      </w:pPr>
      <w:r>
        <w:rPr>
          <w:sz w:val="21"/>
        </w:rPr>
        <w:t>企业家日当天，利用各类宣传手段向民营企业家致敬，向全社会宣传，表达一座城市对企业家的致敬。</w:t>
      </w:r>
    </w:p>
    <w:p>
      <w:pPr>
        <w:ind w:firstLine="420"/>
      </w:pPr>
      <w:r>
        <w:rPr>
          <w:sz w:val="21"/>
        </w:rPr>
        <w:t>4.“民营企业家晚会”宣传</w:t>
      </w:r>
    </w:p>
    <w:p>
      <w:pPr>
        <w:ind w:firstLine="420"/>
      </w:pPr>
      <w:r>
        <w:rPr>
          <w:sz w:val="21"/>
        </w:rPr>
        <w:t>通过报纸、广播、电视、网站等推出宣传，包括新闻报道、图文报道、海报、短视频等。</w:t>
      </w:r>
    </w:p>
    <w:p>
      <w:pPr>
        <w:ind w:firstLine="420"/>
      </w:pPr>
      <w:r>
        <w:rPr>
          <w:sz w:val="21"/>
        </w:rPr>
        <w:t>（三）后续跟踪：活动后</w:t>
      </w:r>
      <w:r>
        <w:rPr>
          <w:sz w:val="21"/>
        </w:rPr>
        <w:t>1-2周内。</w:t>
      </w:r>
    </w:p>
    <w:p>
      <w:pPr>
        <w:ind w:firstLine="420"/>
      </w:pPr>
      <w:r>
        <w:rPr>
          <w:sz w:val="21"/>
        </w:rPr>
        <w:t>总结回顾专题报道，邀请不少于三名重量级经济专家学者观察和评价首届东莞民营企业家日的意义及影响。</w:t>
      </w:r>
    </w:p>
    <w:p/>
    <w:p>
      <w:pPr>
        <w:ind w:firstLine="480"/>
      </w:pPr>
    </w:p>
    <w:p/>
    <w:p>
      <w:r>
        <w:rPr/>
        <w:t>采购包1（现场活动及其宣传活动服务）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合同签订之日起至2023年“民营企业家日”活动结束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1期：支付比例100%,分3期付款：（1）合同签定后支付合同总价的60%；（2）根据筹备情况中期支付合同总价的20%；（3）活动结束验收后支付剩余的尾款，即合同总价的20%</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报价要求，报价采取打包报价的方式，报价包括材料、工具、人工、管理费、利润、税金、风险、招标代理费用等一切因素所有应该和可能发生的费用因素。</w:t>
            </w:r>
          </w:p>
          <w:p/>
          <w:p>
            <w:r>
              <w:rPr/>
              <w:t>其他，供应商应充分结合本招标文件上下文了解项目招标需求、采购文件未尽事宜，将在合同签订或项目执行过程中双方协商确定，供应商须无条件满足采购单位的合理要求。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现场活动及其宣传活动服务</w:t>
            </w:r>
          </w:p>
        </w:tc>
        <w:tc>
          <w:tcPr>
            <w:tcW w:type="dxa" w:w="933"/>
          </w:tcPr>
          <w:p>
            <w:pPr>
              <w:jc w:val="left"/>
            </w:pPr>
            <w:r>
              <w:rPr/>
              <w:t>项</w:t>
            </w:r>
          </w:p>
        </w:tc>
        <w:tc>
          <w:tcPr>
            <w:tcW w:type="dxa" w:w="933"/>
          </w:tcPr>
          <w:p>
            <w:pPr>
              <w:jc w:val="right"/>
            </w:pPr>
            <w:r>
              <w:rPr/>
              <w:t>1.00</w:t>
            </w:r>
          </w:p>
        </w:tc>
        <w:tc>
          <w:tcPr>
            <w:tcW w:type="dxa" w:w="933"/>
          </w:tcPr>
          <w:p>
            <w:pPr>
              <w:jc w:val="right"/>
            </w:pPr>
            <w:r>
              <w:rPr/>
              <w:t>1,860,000.00</w:t>
            </w:r>
          </w:p>
        </w:tc>
        <w:tc>
          <w:tcPr>
            <w:tcW w:type="dxa" w:w="933"/>
          </w:tcPr>
          <w:p>
            <w:pPr>
              <w:jc w:val="right"/>
            </w:pPr>
            <w:r>
              <w:rPr/>
              <w:t>1,860,000.00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现场活动及其宣传活动服务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一、项目服务清单</w:t>
            </w:r>
          </w:p>
          <w:tbl>
            <w:tblPr>
              <w:tblBorders>
                <w:top w:val="none" w:color="000000" w:sz="4"/>
                <w:left w:val="none" w:color="000000" w:sz="4"/>
                <w:bottom w:val="none" w:color="000000" w:sz="4"/>
                <w:right w:val="none" w:color="000000" w:sz="4"/>
                <w:insideH w:val="none"/>
                <w:insideV w:val="none"/>
              </w:tblBorders>
            </w:tblPr>
            <w:tblGrid>
              <w:gridCol w:w="650"/>
              <w:gridCol w:w="414"/>
              <w:gridCol w:w="1583"/>
              <w:gridCol w:w="2921"/>
            </w:tblGrid>
            <w:tr>
              <w:tc>
                <w:tcPr>
                  <w:tcW w:type="dxa" w:w="650"/>
                  <w:tcBorders>
                    <w:top w:val="single" w:color="000000" w:sz="4"/>
                    <w:left w:val="single" w:color="000000" w:sz="4"/>
                    <w:bottom w:val="single" w:color="000000" w:sz="4"/>
                    <w:right w:val="single" w:color="000000" w:sz="4"/>
                  </w:tcBorders>
                  <w:vAlign w:val="top"/>
                </w:tcPr>
                <w:p>
                  <w:pPr>
                    <w:jc w:val="center"/>
                  </w:pPr>
                  <w:r>
                    <w:rPr>
                      <w:color w:val="000000"/>
                      <w:sz w:val="21"/>
                    </w:rPr>
                    <w:t>项目</w:t>
                  </w:r>
                </w:p>
              </w:tc>
              <w:tc>
                <w:tcPr>
                  <w:tcW w:type="dxa" w:w="414"/>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583"/>
                  <w:tcBorders>
                    <w:top w:val="single" w:color="000000" w:sz="4"/>
                    <w:left w:val="single" w:color="000000" w:sz="4"/>
                    <w:bottom w:val="single" w:color="000000" w:sz="4"/>
                    <w:right w:val="single" w:color="000000" w:sz="4"/>
                  </w:tcBorders>
                  <w:vAlign w:val="top"/>
                </w:tcPr>
                <w:p>
                  <w:pPr>
                    <w:jc w:val="center"/>
                  </w:pPr>
                  <w:r>
                    <w:rPr>
                      <w:color w:val="000000"/>
                      <w:sz w:val="21"/>
                    </w:rPr>
                    <w:t>服务内容</w:t>
                  </w:r>
                </w:p>
              </w:tc>
              <w:tc>
                <w:tcPr>
                  <w:tcW w:type="dxa" w:w="2921"/>
                  <w:tcBorders>
                    <w:top w:val="single" w:color="000000" w:sz="4"/>
                    <w:left w:val="single" w:color="000000" w:sz="4"/>
                    <w:bottom w:val="single" w:color="000000" w:sz="4"/>
                    <w:right w:val="single" w:color="000000" w:sz="4"/>
                  </w:tcBorders>
                  <w:vAlign w:val="top"/>
                </w:tcPr>
                <w:p>
                  <w:pPr>
                    <w:jc w:val="center"/>
                  </w:pPr>
                  <w:r>
                    <w:rPr>
                      <w:color w:val="000000"/>
                      <w:sz w:val="21"/>
                    </w:rPr>
                    <w:t>备注</w:t>
                  </w:r>
                </w:p>
              </w:tc>
            </w:tr>
            <w:tr>
              <w:tc>
                <w:tcPr>
                  <w:tcW w:type="dxa" w:w="650"/>
                  <w:vMerge w:val="restart"/>
                  <w:tcBorders>
                    <w:top w:val="none" w:color="000000" w:sz="4"/>
                    <w:left w:val="single" w:color="000000" w:sz="4"/>
                    <w:bottom w:val="single" w:color="000000" w:sz="4"/>
                    <w:right w:val="single" w:color="000000" w:sz="4"/>
                  </w:tcBorders>
                  <w:vAlign w:val="top"/>
                </w:tcPr>
                <w:p>
                  <w:pPr>
                    <w:jc w:val="center"/>
                  </w:pPr>
                  <w:r>
                    <w:rPr>
                      <w:color w:val="000000"/>
                      <w:sz w:val="21"/>
                    </w:rPr>
                    <w:t>现场活动及其宣传活动</w:t>
                  </w: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策划服务</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内容策划服务，包含方案、多方协调沟通执行等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年会现场物料</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现场氛围物料布置、</w:t>
                  </w:r>
                  <w:r>
                    <w:rPr>
                      <w:color w:val="000000"/>
                      <w:sz w:val="21"/>
                    </w:rPr>
                    <w:t>LED屏幕、签到墙、颁奖物料、茶歇等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年会场地租赁</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场地租赁举办活动、彩排等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年会音响设备</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音响控台、话筒等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现场执行团队</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主持人、礼仪、安保及工作人员</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氛围营造</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包括宣传标语、特色光影、各类特定地区图案造型等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媒体邀请</w:t>
                  </w:r>
                </w:p>
              </w:tc>
              <w:tc>
                <w:tcPr>
                  <w:tcW w:type="dxa" w:w="2921"/>
                  <w:tcBorders>
                    <w:top w:val="none" w:color="000000" w:sz="4"/>
                    <w:left w:val="none" w:color="000000" w:sz="4"/>
                    <w:bottom w:val="single" w:color="000000" w:sz="4"/>
                    <w:right w:val="single" w:color="000000" w:sz="4"/>
                  </w:tcBorders>
                  <w:vAlign w:val="top"/>
                </w:tcPr>
                <w:p>
                  <w:pPr>
                    <w:jc w:val="left"/>
                  </w:pPr>
                  <w:r>
                    <w:rPr>
                      <w:sz w:val="21"/>
                    </w:rPr>
                    <w:t>邀请中央媒体、财经媒体、区域媒体等现场采访，线上联动一批媒体进行报道</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民营企业家宣传物料</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包括文字、海报、视频、实体刊物、互动</w:t>
                  </w:r>
                  <w:r>
                    <w:rPr>
                      <w:color w:val="000000"/>
                      <w:sz w:val="21"/>
                    </w:rPr>
                    <w:t>H5、广告等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现场报道</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包括现场报道团队、设备等</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后续报道</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活动后续活动深度总结报道</w:t>
                  </w:r>
                </w:p>
              </w:tc>
            </w:tr>
            <w:tr>
              <w:tc>
                <w:tcPr>
                  <w:tcW w:type="dxa" w:w="650"/>
                  <w:vMerge/>
                  <w:tcBorders>
                    <w:top w:val="non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1583"/>
                  <w:tcBorders>
                    <w:top w:val="none" w:color="000000" w:sz="4"/>
                    <w:left w:val="none" w:color="000000" w:sz="4"/>
                    <w:bottom w:val="single" w:color="000000" w:sz="4"/>
                    <w:right w:val="single" w:color="000000" w:sz="4"/>
                  </w:tcBorders>
                  <w:vAlign w:val="top"/>
                </w:tcPr>
                <w:p>
                  <w:pPr>
                    <w:jc w:val="center"/>
                  </w:pPr>
                  <w:r>
                    <w:rPr>
                      <w:color w:val="000000"/>
                      <w:sz w:val="21"/>
                    </w:rPr>
                    <w:t>VI设计</w:t>
                  </w:r>
                </w:p>
              </w:tc>
              <w:tc>
                <w:tcPr>
                  <w:tcW w:type="dxa" w:w="2921"/>
                  <w:tcBorders>
                    <w:top w:val="none" w:color="000000" w:sz="4"/>
                    <w:left w:val="none" w:color="000000" w:sz="4"/>
                    <w:bottom w:val="single" w:color="000000" w:sz="4"/>
                    <w:right w:val="single" w:color="000000" w:sz="4"/>
                  </w:tcBorders>
                  <w:vAlign w:val="top"/>
                </w:tcPr>
                <w:p>
                  <w:pPr>
                    <w:jc w:val="left"/>
                  </w:pPr>
                  <w:r>
                    <w:rPr>
                      <w:color w:val="000000"/>
                      <w:sz w:val="21"/>
                    </w:rPr>
                    <w:t>民营企业家日视觉识别系统</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采购包2（宣传片及宣传栏目服务）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合同签订之日起至2023年“民营企业家日”宣传活动和宣传栏目结束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1期：支付比例100%,分2期付款：（1）合同签订后支付合同总价的60%；（2）活动结束验收后支付剩余的尾款，即合同总价的40%</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报价要求，报价采取打包报价的方式，报价包括材料、工具、人工、管理费、利润、税金、风险、招标代理费用等一切因素所有应该和可能发生的费用因素。</w:t>
            </w:r>
          </w:p>
          <w:p/>
          <w:p>
            <w:r>
              <w:rPr/>
              <w:t>其他，供应商应充分结合本招标文件上下文了解项目招标需求、采购文件未尽事宜，将在合同签订或项目执行过程中双方协商确定，供应商须无条件满足采购单位的合理要求。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宣传片及宣传栏目服务</w:t>
            </w:r>
          </w:p>
        </w:tc>
        <w:tc>
          <w:tcPr>
            <w:tcW w:type="dxa" w:w="933"/>
          </w:tcPr>
          <w:p>
            <w:pPr>
              <w:jc w:val="left"/>
            </w:pPr>
            <w:r>
              <w:rPr/>
              <w:t>项</w:t>
            </w:r>
          </w:p>
        </w:tc>
        <w:tc>
          <w:tcPr>
            <w:tcW w:type="dxa" w:w="933"/>
          </w:tcPr>
          <w:p>
            <w:pPr>
              <w:jc w:val="right"/>
            </w:pPr>
            <w:r>
              <w:rPr/>
              <w:t>1.00</w:t>
            </w:r>
          </w:p>
        </w:tc>
        <w:tc>
          <w:tcPr>
            <w:tcW w:type="dxa" w:w="933"/>
          </w:tcPr>
          <w:p>
            <w:pPr>
              <w:jc w:val="right"/>
            </w:pPr>
            <w:r>
              <w:rPr/>
              <w:t>300,000.00</w:t>
            </w:r>
          </w:p>
        </w:tc>
        <w:tc>
          <w:tcPr>
            <w:tcW w:type="dxa" w:w="933"/>
          </w:tcPr>
          <w:p>
            <w:pPr>
              <w:jc w:val="right"/>
            </w:pPr>
            <w:r>
              <w:rPr/>
              <w:t>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宣传片及宣传栏目服务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一、项目服务清单</w:t>
            </w:r>
          </w:p>
          <w:tbl>
            <w:tblPr>
              <w:tblBorders>
                <w:top w:val="none" w:color="000000" w:sz="4"/>
                <w:left w:val="none" w:color="000000" w:sz="4"/>
                <w:bottom w:val="none" w:color="000000" w:sz="4"/>
                <w:right w:val="none" w:color="000000" w:sz="4"/>
                <w:insideH w:val="none"/>
                <w:insideV w:val="none"/>
              </w:tblBorders>
            </w:tblPr>
            <w:tblGrid>
              <w:gridCol w:w="650"/>
              <w:gridCol w:w="405"/>
              <w:gridCol w:w="1592"/>
              <w:gridCol w:w="2921"/>
            </w:tblGrid>
            <w:tr>
              <w:tc>
                <w:tcPr>
                  <w:tcW w:type="dxa" w:w="650"/>
                  <w:tcBorders>
                    <w:top w:val="single" w:color="000000" w:sz="4"/>
                    <w:left w:val="single" w:color="000000" w:sz="4"/>
                    <w:bottom w:val="single" w:color="000000" w:sz="4"/>
                    <w:right w:val="single" w:color="000000" w:sz="4"/>
                  </w:tcBorders>
                  <w:vAlign w:val="top"/>
                </w:tcPr>
                <w:p>
                  <w:pPr>
                    <w:jc w:val="center"/>
                  </w:pPr>
                  <w:r>
                    <w:rPr>
                      <w:color w:val="000000"/>
                      <w:sz w:val="21"/>
                    </w:rPr>
                    <w:t>项目</w:t>
                  </w:r>
                </w:p>
              </w:tc>
              <w:tc>
                <w:tcPr>
                  <w:tcW w:type="dxa" w:w="405"/>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592"/>
                  <w:tcBorders>
                    <w:top w:val="single" w:color="000000" w:sz="4"/>
                    <w:left w:val="single" w:color="000000" w:sz="4"/>
                    <w:bottom w:val="single" w:color="000000" w:sz="4"/>
                    <w:right w:val="single" w:color="000000" w:sz="4"/>
                  </w:tcBorders>
                  <w:vAlign w:val="top"/>
                </w:tcPr>
                <w:p>
                  <w:pPr>
                    <w:jc w:val="center"/>
                  </w:pPr>
                  <w:r>
                    <w:rPr>
                      <w:color w:val="000000"/>
                      <w:sz w:val="21"/>
                    </w:rPr>
                    <w:t>服务内容</w:t>
                  </w:r>
                </w:p>
              </w:tc>
              <w:tc>
                <w:tcPr>
                  <w:tcW w:type="dxa" w:w="2921"/>
                  <w:tcBorders>
                    <w:top w:val="single" w:color="000000" w:sz="4"/>
                    <w:left w:val="single" w:color="000000" w:sz="4"/>
                    <w:bottom w:val="single" w:color="000000" w:sz="4"/>
                    <w:right w:val="single" w:color="000000" w:sz="4"/>
                  </w:tcBorders>
                  <w:vAlign w:val="top"/>
                </w:tcPr>
                <w:p>
                  <w:pPr>
                    <w:jc w:val="center"/>
                  </w:pPr>
                  <w:r>
                    <w:rPr>
                      <w:color w:val="000000"/>
                      <w:sz w:val="21"/>
                    </w:rPr>
                    <w:t>备注</w:t>
                  </w:r>
                </w:p>
              </w:tc>
            </w:tr>
            <w:tr>
              <w:tc>
                <w:tcPr>
                  <w:tcW w:type="dxa" w:w="650"/>
                  <w:vMerge w:val="restart"/>
                  <w:tcBorders>
                    <w:top w:val="none" w:color="000000" w:sz="4"/>
                    <w:left w:val="single" w:color="000000" w:sz="4"/>
                    <w:bottom w:val="single" w:color="000000" w:sz="4"/>
                    <w:right w:val="single" w:color="000000" w:sz="4"/>
                  </w:tcBorders>
                  <w:vAlign w:val="top"/>
                </w:tcPr>
                <w:p>
                  <w:pPr>
                    <w:jc w:val="center"/>
                  </w:pPr>
                  <w:r>
                    <w:rPr>
                      <w:color w:val="000000"/>
                      <w:sz w:val="21"/>
                    </w:rPr>
                    <w:t>宣传片及宣传栏目</w:t>
                  </w:r>
                </w:p>
              </w:tc>
              <w:tc>
                <w:tcPr>
                  <w:tcW w:type="dxa" w:w="4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92"/>
                  <w:tcBorders>
                    <w:top w:val="none" w:color="000000" w:sz="4"/>
                    <w:left w:val="single" w:color="000000" w:sz="4"/>
                    <w:bottom w:val="single" w:color="000000" w:sz="4"/>
                    <w:right w:val="single" w:color="000000" w:sz="4"/>
                  </w:tcBorders>
                  <w:vAlign w:val="top"/>
                </w:tcPr>
                <w:p>
                  <w:pPr>
                    <w:jc w:val="center"/>
                  </w:pPr>
                  <w:r>
                    <w:rPr>
                      <w:color w:val="000000"/>
                      <w:sz w:val="21"/>
                    </w:rPr>
                    <w:t>民营经济宣传片拍摄</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民营经济宣传片拍摄、制作、配音及合成等</w:t>
                  </w:r>
                </w:p>
              </w:tc>
            </w:tr>
            <w:tr>
              <w:tc>
                <w:tcPr>
                  <w:tcW w:type="dxa" w:w="650"/>
                  <w:vMerge/>
                  <w:tcBorders>
                    <w:top w:val="none" w:color="000000" w:sz="4"/>
                    <w:left w:val="single" w:color="000000" w:sz="4"/>
                    <w:bottom w:val="single" w:color="000000" w:sz="4"/>
                    <w:right w:val="single" w:color="000000" w:sz="4"/>
                  </w:tcBorders>
                </w:tcPr>
                <w:p/>
              </w:tc>
              <w:tc>
                <w:tcPr>
                  <w:tcW w:type="dxa" w:w="4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592"/>
                  <w:tcBorders>
                    <w:top w:val="none" w:color="000000" w:sz="4"/>
                    <w:left w:val="single" w:color="000000" w:sz="4"/>
                    <w:bottom w:val="single" w:color="000000" w:sz="4"/>
                    <w:right w:val="single" w:color="000000" w:sz="4"/>
                  </w:tcBorders>
                  <w:vAlign w:val="top"/>
                </w:tcPr>
                <w:p>
                  <w:pPr>
                    <w:jc w:val="center"/>
                  </w:pPr>
                  <w:r>
                    <w:rPr>
                      <w:color w:val="000000"/>
                      <w:sz w:val="21"/>
                    </w:rPr>
                    <w:t>设立专门宣传民营经济和民营企业家的宣传栏目</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包括栏目团队人员、设备、场地、人员邀请以及栏目宣传</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采购包3（文艺晚会服务）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合同签订之日起至2023年“民营企业家日”文艺晚会现场结束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1期：支付比例100%,分2期付款：（1）合同签订后支付合同总价的60%；（2）活动结束验收后支付剩余的尾款，即合同总价的40%</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报价要求，报价采取打包报价的方式，报价包括材料、工具、人工、管理费、利润、税金、风险、招标代理费用等一切因素所有应该和可能发生的费用因素。</w:t>
            </w:r>
          </w:p>
          <w:p/>
          <w:p>
            <w:r>
              <w:rPr/>
              <w:t>其他，供应商应充分结合本招标文件上下文了解项目招标需求、采购文件未尽事宜，将在合同签订或项目执行过程中双方协商确定，供应商须无条件满足采购单位的合理要求。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艺术创作、表演和交流服务</w:t>
            </w:r>
          </w:p>
        </w:tc>
        <w:tc>
          <w:tcPr>
            <w:tcW w:type="dxa" w:w="933"/>
          </w:tcPr>
          <w:p>
            <w:pPr>
              <w:jc w:val="left"/>
            </w:pPr>
            <w:r>
              <w:rPr/>
              <w:t>文艺晚会服务</w:t>
            </w:r>
          </w:p>
        </w:tc>
        <w:tc>
          <w:tcPr>
            <w:tcW w:type="dxa" w:w="933"/>
          </w:tcPr>
          <w:p>
            <w:pPr>
              <w:jc w:val="left"/>
            </w:pPr>
            <w:r>
              <w:rPr/>
              <w:t>项</w:t>
            </w:r>
          </w:p>
        </w:tc>
        <w:tc>
          <w:tcPr>
            <w:tcW w:type="dxa" w:w="933"/>
          </w:tcPr>
          <w:p>
            <w:pPr>
              <w:jc w:val="right"/>
            </w:pPr>
            <w:r>
              <w:rPr/>
              <w:t>1.00</w:t>
            </w:r>
          </w:p>
        </w:tc>
        <w:tc>
          <w:tcPr>
            <w:tcW w:type="dxa" w:w="933"/>
          </w:tcPr>
          <w:p>
            <w:pPr>
              <w:jc w:val="right"/>
            </w:pPr>
            <w:r>
              <w:rPr/>
              <w:t>840,000.00</w:t>
            </w:r>
          </w:p>
        </w:tc>
        <w:tc>
          <w:tcPr>
            <w:tcW w:type="dxa" w:w="933"/>
          </w:tcPr>
          <w:p>
            <w:pPr>
              <w:jc w:val="right"/>
            </w:pPr>
            <w:r>
              <w:rPr/>
              <w:t>840,000.00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文艺晚会服务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一、项目服务清单</w:t>
            </w:r>
          </w:p>
          <w:tbl>
            <w:tblPr>
              <w:tblBorders>
                <w:top w:val="none" w:color="000000" w:sz="4"/>
                <w:left w:val="none" w:color="000000" w:sz="4"/>
                <w:bottom w:val="none" w:color="000000" w:sz="4"/>
                <w:right w:val="none" w:color="000000" w:sz="4"/>
                <w:insideH w:val="none"/>
                <w:insideV w:val="none"/>
              </w:tblBorders>
            </w:tblPr>
            <w:tblGrid>
              <w:gridCol w:w="650"/>
              <w:gridCol w:w="471"/>
              <w:gridCol w:w="1526"/>
              <w:gridCol w:w="2921"/>
            </w:tblGrid>
            <w:tr>
              <w:tc>
                <w:tcPr>
                  <w:tcW w:type="dxa" w:w="650"/>
                  <w:tcBorders>
                    <w:top w:val="single" w:color="000000" w:sz="4"/>
                    <w:left w:val="single" w:color="000000" w:sz="4"/>
                    <w:bottom w:val="single" w:color="000000" w:sz="4"/>
                    <w:right w:val="single" w:color="000000" w:sz="4"/>
                  </w:tcBorders>
                  <w:vAlign w:val="top"/>
                </w:tcPr>
                <w:p>
                  <w:pPr>
                    <w:jc w:val="center"/>
                  </w:pPr>
                  <w:r>
                    <w:rPr>
                      <w:color w:val="000000"/>
                      <w:sz w:val="21"/>
                    </w:rPr>
                    <w:t>项目</w:t>
                  </w:r>
                </w:p>
              </w:tc>
              <w:tc>
                <w:tcPr>
                  <w:tcW w:type="dxa" w:w="47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526"/>
                  <w:tcBorders>
                    <w:top w:val="single" w:color="000000" w:sz="4"/>
                    <w:left w:val="single" w:color="000000" w:sz="4"/>
                    <w:bottom w:val="single" w:color="000000" w:sz="4"/>
                    <w:right w:val="single" w:color="000000" w:sz="4"/>
                  </w:tcBorders>
                  <w:vAlign w:val="top"/>
                </w:tcPr>
                <w:p>
                  <w:pPr>
                    <w:jc w:val="center"/>
                  </w:pPr>
                  <w:r>
                    <w:rPr>
                      <w:color w:val="000000"/>
                      <w:sz w:val="21"/>
                    </w:rPr>
                    <w:t>服务内容</w:t>
                  </w:r>
                </w:p>
              </w:tc>
              <w:tc>
                <w:tcPr>
                  <w:tcW w:type="dxa" w:w="2921"/>
                  <w:tcBorders>
                    <w:top w:val="single" w:color="000000" w:sz="4"/>
                    <w:left w:val="single" w:color="000000" w:sz="4"/>
                    <w:bottom w:val="single" w:color="000000" w:sz="4"/>
                    <w:right w:val="single" w:color="000000" w:sz="4"/>
                  </w:tcBorders>
                  <w:vAlign w:val="top"/>
                </w:tcPr>
                <w:p>
                  <w:pPr>
                    <w:jc w:val="center"/>
                  </w:pPr>
                  <w:r>
                    <w:rPr>
                      <w:color w:val="000000"/>
                      <w:sz w:val="21"/>
                    </w:rPr>
                    <w:t>备注</w:t>
                  </w:r>
                </w:p>
              </w:tc>
            </w:tr>
            <w:tr>
              <w:tc>
                <w:tcPr>
                  <w:tcW w:type="dxa" w:w="650"/>
                  <w:vMerge w:val="restart"/>
                  <w:tcBorders>
                    <w:top w:val="none" w:color="000000" w:sz="4"/>
                    <w:left w:val="single" w:color="000000" w:sz="4"/>
                    <w:bottom w:val="single" w:color="000000" w:sz="4"/>
                    <w:right w:val="single" w:color="000000" w:sz="4"/>
                  </w:tcBorders>
                  <w:vAlign w:val="top"/>
                </w:tcPr>
                <w:p>
                  <w:pPr>
                    <w:jc w:val="center"/>
                  </w:pPr>
                  <w:r>
                    <w:rPr>
                      <w:color w:val="000000"/>
                      <w:sz w:val="21"/>
                    </w:rPr>
                    <w:t>文艺晚会</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LED屏制作</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包括户外、室内主屏、侧屏等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全媒体服务器</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全媒体服务器一台并提供对应技术服务</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舞台布置</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布置舞台、楼梯及钢结构等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舞台物料</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包括麦克风、灯光、薄雾机、干冰机、舞台干冰、舞台雷亚架（含主屏、二道幕）、木质讲台等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场外展板、通道布置</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包括场外主题展板、合影背景板、采访区布置以及通道布置等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场外灯光布置</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包括切割灯、染色灯、照明灯和灯光架等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新闻报道宣传</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包括：报纸、广播、电视、网站、新媒体矩阵、轨道传媒；通过新闻播报、图文报道、海报宣传、短视频传播等方式宣传。</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文艺节目</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包括舞台团队、晚会节目演员团队、节目编排、语言节目撰稿等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服化道及印刷品</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演职人员服装、化妆、舞台道具和气氛道具以及晚会节目单、工作证等</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VI设计及各类设计</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晚会</w:t>
                  </w:r>
                  <w:r>
                    <w:rPr>
                      <w:color w:val="000000"/>
                      <w:sz w:val="21"/>
                    </w:rPr>
                    <w:t>VI设计；舞美、物料及行政议程部分定帧设计；场地效果图设计及渲染；证件设计等设计工作。</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执行团队</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包括前期项目统筹、项目对接、项目监督和现场执行导演团队技术团队、后勤保障团队。</w:t>
                  </w:r>
                  <w:r>
                    <w:rPr>
                      <w:color w:val="000000"/>
                      <w:sz w:val="21"/>
                    </w:rPr>
                    <w:t xml:space="preserve">                                                                       </w:t>
                  </w:r>
                </w:p>
              </w:tc>
            </w:tr>
            <w:tr>
              <w:tc>
                <w:tcPr>
                  <w:tcW w:type="dxa" w:w="650"/>
                  <w:vMerge/>
                  <w:tcBorders>
                    <w:top w:val="none" w:color="000000" w:sz="4"/>
                    <w:left w:val="single" w:color="000000" w:sz="4"/>
                    <w:bottom w:val="single" w:color="000000" w:sz="4"/>
                    <w:right w:val="single" w:color="000000" w:sz="4"/>
                  </w:tcBorders>
                </w:tcP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526"/>
                  <w:tcBorders>
                    <w:top w:val="none" w:color="000000" w:sz="4"/>
                    <w:left w:val="single" w:color="000000" w:sz="4"/>
                    <w:bottom w:val="single" w:color="000000" w:sz="4"/>
                    <w:right w:val="single" w:color="000000" w:sz="4"/>
                  </w:tcBorders>
                  <w:vAlign w:val="top"/>
                </w:tcPr>
                <w:p>
                  <w:pPr>
                    <w:jc w:val="center"/>
                  </w:pPr>
                  <w:r>
                    <w:rPr>
                      <w:color w:val="000000"/>
                      <w:sz w:val="21"/>
                    </w:rPr>
                    <w:t>音视频制作及直录播</w:t>
                  </w:r>
                </w:p>
              </w:tc>
              <w:tc>
                <w:tcPr>
                  <w:tcW w:type="dxa" w:w="2921"/>
                  <w:tcBorders>
                    <w:top w:val="none" w:color="000000" w:sz="4"/>
                    <w:left w:val="single" w:color="000000" w:sz="4"/>
                    <w:bottom w:val="single" w:color="000000" w:sz="4"/>
                    <w:right w:val="single" w:color="000000" w:sz="4"/>
                  </w:tcBorders>
                  <w:vAlign w:val="top"/>
                </w:tcPr>
                <w:p>
                  <w:pPr>
                    <w:jc w:val="left"/>
                  </w:pPr>
                  <w:r>
                    <w:rPr>
                      <w:color w:val="000000"/>
                      <w:sz w:val="21"/>
                    </w:rPr>
                    <w:t>包括宣传视频、节目短视频、音乐制作以及现场直播车等</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3</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p>
            <w:r>
              <w:rPr/>
              <w:t>采购包3：综合评分法</w:t>
            </w:r>
          </w:p>
        </w:tc>
      </w:tr>
      <w:tr>
        <w:tc>
          <w:tcPr>
            <w:tcW w:type="dxa" w:w="1051"/>
          </w:tcPr>
          <w:p>
            <w:pPr>
              <w:jc w:val="center"/>
            </w:pPr>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p>
            <w:r>
              <w:rPr/>
              <w:t>采购包3：</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p>
            <w:r>
              <w:rPr/>
              <w:t>采购包3：</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Pr>
              <w:jc w:val="left"/>
            </w:pPr>
          </w:p>
          <w:p>
            <w:r>
              <w:rPr/>
              <w:t>采购包3：3家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采购包1(现场活动及其宣传活动服务)：综合评分法,是指响应文件满足磋商文件全部实质性要求，且按照评审因素的量化指标评审得分最高的投标人为成交候选人的评标方法。（最低报价不是成交的唯一依据。）</w:t>
      </w:r>
    </w:p>
    <w:p/>
    <w:p>
      <w:r>
        <w:rPr/>
        <w:t>采购包2(宣传片及宣传栏目服务)：综合评分法,是指响应文件满足磋商文件全部实质性要求，且按照评审因素的量化指标评审得分最高的投标人为成交候选人的评标方法。（最低报价不是成交的唯一依据。）</w:t>
      </w:r>
    </w:p>
    <w:p/>
    <w:p>
      <w:r>
        <w:rPr/>
        <w:t>采购包3(文艺晚会服务)：综合评分法,是指响应文件满足磋商文件全部实质性要求，且按照评审因素的量化指标评审得分最高的投标人为成交候选人的评标方法。（最低报价不是成交的唯一依据。）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采购包1（现场活动及其宣传活动服务）：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采购包2（宣传片及宣传栏目服务）：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采购包3（文艺晚会服务）：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采购包1（现场活动及其宣传活动服务）：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采购包2（宣传片及宣传栏目服务）：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采购包3（文艺晚会服务）：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采购包1（现场活动及其宣传活动服务）：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t>采购包2（宣传片及宣传栏目服务）：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t>采购包3（文艺晚会服务）：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采购包1(现场活动及其宣传活动服务):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活动策划设计方案 (15.0分)</w:t>
            </w:r>
            <w:r>
              <w:rPr/>
              <w:t>，（等次分值选择：</w:t>
            </w:r>
            <w:r>
              <w:rPr/>
              <w:t>0.0;</w:t>
            </w:r>
            <w:r>
              <w:rPr/>
              <w:t>1.0;</w:t>
            </w:r>
            <w:r>
              <w:rPr/>
              <w:t>5.0;</w:t>
            </w:r>
            <w:r>
              <w:rPr/>
              <w:t>10.0;</w:t>
            </w:r>
            <w:r>
              <w:rPr/>
              <w:t>15.0;</w:t>
            </w:r>
            <w:r>
              <w:rPr/>
              <w:t>）</w:t>
            </w:r>
          </w:p>
        </w:tc>
        <w:tc>
          <w:tcPr>
            <w:tcW w:type="dxa" w:w="5076"/>
          </w:tcPr>
          <w:p>
            <w:pPr>
              <w:jc w:val="left"/>
            </w:pPr>
            <w:r>
              <w:rPr/>
              <w:t>根据供应商所拟定的活动策划设计方案（方案实施细则须包含用户需求书“服务具体内容要求”的全部内容，活动策划设计以及执行方案、活动现场的布置流程、执行人员的投入情况等）进行综合评审： 服务方案符合项目实际情况，方案活动策划有创意且创新有亮点，活动执行方案科学全面，流程详细，非常有利于本项目的顺利实施的，得15分； 服务方案较符合项目实际情况，方案活动策划较有创意且创新，活动执行方案较全面，流程较详细，能保证本项目的顺利实施的，得10分； 服务方案基本符合项目实际情况，整体流程基本全面，基本能完成本项目的实施，得5分； 服务方案对于项目实际有所偏离，整体流程和方案不够全面的，得1分； 未提供对应方案的不得分。</w:t>
            </w:r>
          </w:p>
        </w:tc>
      </w:tr>
      <w:tr>
        <w:tc>
          <w:tcPr>
            <w:tcW w:type="dxa" w:w="922"/>
            <w:gridSpan w:val="2"/>
            <w:vMerge/>
          </w:tcPr>
          <w:p/>
        </w:tc>
        <w:tc>
          <w:tcPr>
            <w:tcW w:type="dxa" w:w="2307"/>
          </w:tcPr>
          <w:p>
            <w:pPr>
              <w:jc w:val="left"/>
            </w:pPr>
            <w:r>
              <w:rPr/>
              <w:t>宣传推广方案 (10.0分)</w:t>
            </w:r>
            <w:r>
              <w:rPr/>
              <w:t>，（等次分值选择：</w:t>
            </w:r>
            <w:r>
              <w:rPr/>
              <w:t>0.0;</w:t>
            </w:r>
            <w:r>
              <w:rPr/>
              <w:t>1.0;</w:t>
            </w:r>
            <w:r>
              <w:rPr/>
              <w:t>3.0;</w:t>
            </w:r>
            <w:r>
              <w:rPr/>
              <w:t>6.0;</w:t>
            </w:r>
            <w:r>
              <w:rPr/>
              <w:t>10.0;</w:t>
            </w:r>
            <w:r>
              <w:rPr/>
              <w:t>）</w:t>
            </w:r>
          </w:p>
        </w:tc>
        <w:tc>
          <w:tcPr>
            <w:tcW w:type="dxa" w:w="5076"/>
          </w:tcPr>
          <w:p>
            <w:pPr>
              <w:jc w:val="left"/>
            </w:pPr>
            <w:r>
              <w:rPr/>
              <w:t>根据供应商针对本项目所拟定的项目宣传推广方案进行评审： 宣传推广的渠道关注度高，宣传形式多样新颖，具有创新性，非常可行，能有效的提高项目的关注度及推广度的得10分； 宣传推广的渠道关注度较高，有多样新颖的宣传形式，对提高项目关注度及推广度的有推动作用的得6分； 有基本的宣传推广渠道及宣传形式，基本可以推动项目实施的得3分； 宣传推广渠道及宣传形式不够完善全面，不能完全满足项目需求的得1分； 未提供对应方案的不得分。</w:t>
            </w:r>
          </w:p>
        </w:tc>
      </w:tr>
      <w:tr>
        <w:tc>
          <w:tcPr>
            <w:tcW w:type="dxa" w:w="922"/>
            <w:gridSpan w:val="2"/>
            <w:vMerge/>
          </w:tcPr>
          <w:p/>
        </w:tc>
        <w:tc>
          <w:tcPr>
            <w:tcW w:type="dxa" w:w="2307"/>
          </w:tcPr>
          <w:p>
            <w:pPr>
              <w:jc w:val="left"/>
            </w:pPr>
            <w:r>
              <w:rPr/>
              <w:t>应急预案 (10.0分)</w:t>
            </w:r>
            <w:r>
              <w:rPr/>
              <w:t>，（等次分值选择：</w:t>
            </w:r>
            <w:r>
              <w:rPr/>
              <w:t>0.0;</w:t>
            </w:r>
            <w:r>
              <w:rPr/>
              <w:t>1.0;</w:t>
            </w:r>
            <w:r>
              <w:rPr/>
              <w:t>3.0;</w:t>
            </w:r>
            <w:r>
              <w:rPr/>
              <w:t>6.0;</w:t>
            </w:r>
            <w:r>
              <w:rPr/>
              <w:t>10.0;</w:t>
            </w:r>
            <w:r>
              <w:rPr/>
              <w:t>）</w:t>
            </w:r>
          </w:p>
        </w:tc>
        <w:tc>
          <w:tcPr>
            <w:tcW w:type="dxa" w:w="5076"/>
          </w:tcPr>
          <w:p>
            <w:pPr>
              <w:jc w:val="left"/>
            </w:pPr>
            <w:r>
              <w:rPr/>
              <w:t>根据供应商针对本项目的应急预案（包括但不限于活动举办的临时性，响应能力，调配能力，物料的准备、场地布置设计等），从应急预案规划的详细程度、可行性等进行综合评审： 临时需求服务方案可行性强，具有完整合理的突发事件的处理方案，人员传达机制、物料的准备充足、场地布置设计具体、责任分工明确，应急方案考虑非常周全得10分； 临时需求服务方案可行性较强，具有合理的突发事件的处理方案，人员传达机制、物料的准备充足、场地布置设计保障措施基本完整，应急方案考虑非常周全得6分； 临时需求服务方案和突发事件的处理方案简单、可行性一般，人员传达机制、物料的准备不足、场地布置设计保障措施简单，应急方案考虑周全，得3分； 临时需求服务方案和突发事件的处理方案简单、不完整、可行性差，人员传达机制、物料的准备不足、场地布置设计保障措施不清晰明确，应急方案差的，得1分； 未提供对应方案的不得分。</w:t>
            </w:r>
          </w:p>
        </w:tc>
      </w:tr>
      <w:tr>
        <w:tc>
          <w:tcPr>
            <w:tcW w:type="dxa" w:w="922"/>
            <w:gridSpan w:val="2"/>
            <w:vMerge/>
          </w:tcPr>
          <w:p/>
        </w:tc>
        <w:tc>
          <w:tcPr>
            <w:tcW w:type="dxa" w:w="2307"/>
          </w:tcPr>
          <w:p>
            <w:pPr>
              <w:jc w:val="left"/>
            </w:pPr>
            <w:r>
              <w:rPr/>
              <w:t>后续服务的安排及保障措施 (10.0分)</w:t>
            </w:r>
            <w:r>
              <w:rPr/>
              <w:t>，（等次分值选择：</w:t>
            </w:r>
            <w:r>
              <w:rPr/>
              <w:t>0.0;</w:t>
            </w:r>
            <w:r>
              <w:rPr/>
              <w:t>1.0;</w:t>
            </w:r>
            <w:r>
              <w:rPr/>
              <w:t>3.0;</w:t>
            </w:r>
            <w:r>
              <w:rPr/>
              <w:t>6.0;</w:t>
            </w:r>
            <w:r>
              <w:rPr/>
              <w:t>10.0;</w:t>
            </w:r>
            <w:r>
              <w:rPr/>
              <w:t>）</w:t>
            </w:r>
          </w:p>
        </w:tc>
        <w:tc>
          <w:tcPr>
            <w:tcW w:type="dxa" w:w="5076"/>
          </w:tcPr>
          <w:p>
            <w:pPr>
              <w:jc w:val="left"/>
            </w:pPr>
            <w:r>
              <w:rPr/>
              <w:t>根据供应商提供的后续服务（包括但不限于服务跟踪方案及措施、可调用的后备资源方案等），活动举办过程中的医疗和安全保障措施，服务质量保证措施等方案的完整性、规范性、合理性等进行综合评审： 后续服务方案完整性、规范性、合理性强的，得10分； 后续服务方案完整性、规范性、合理性较强的，得6分； 后续服务方案完整性、规范性、合理性一般的，得3分； 后续服务方案完整性、规范性、合理性较差的，得1分； 无提供对应方案不得分。</w:t>
            </w:r>
          </w:p>
        </w:tc>
      </w:tr>
      <w:tr>
        <w:tc>
          <w:tcPr>
            <w:tcW w:type="dxa" w:w="922"/>
            <w:gridSpan w:val="2"/>
            <w:vMerge w:val="restart"/>
          </w:tcPr>
          <w:p>
            <w:pPr>
              <w:jc w:val="center"/>
            </w:pPr>
            <w:r>
              <w:rPr/>
              <w:t>商务部分</w:t>
            </w:r>
          </w:p>
        </w:tc>
        <w:tc>
          <w:tcPr>
            <w:tcW w:type="dxa" w:w="2307"/>
          </w:tcPr>
          <w:p>
            <w:pPr>
              <w:jc w:val="left"/>
            </w:pPr>
            <w:r>
              <w:rPr/>
              <w:t>业绩情况 (20.0分)</w:t>
            </w:r>
          </w:p>
        </w:tc>
        <w:tc>
          <w:tcPr>
            <w:tcW w:type="dxa" w:w="5076"/>
          </w:tcPr>
          <w:p>
            <w:pPr>
              <w:jc w:val="left"/>
            </w:pPr>
            <w:r>
              <w:rPr/>
              <w:t>供应商具有宣传服务或活动策划类项目业绩，每提供一个有效业绩得2分，本项最高得20分。 注：须提供合同复印件加盖供应商公章，否则不得分。</w:t>
            </w:r>
          </w:p>
        </w:tc>
      </w:tr>
      <w:tr>
        <w:tc>
          <w:tcPr>
            <w:tcW w:type="dxa" w:w="922"/>
            <w:gridSpan w:val="2"/>
            <w:vMerge/>
          </w:tcPr>
          <w:p/>
        </w:tc>
        <w:tc>
          <w:tcPr>
            <w:tcW w:type="dxa" w:w="2307"/>
          </w:tcPr>
          <w:p>
            <w:pPr>
              <w:jc w:val="left"/>
            </w:pPr>
            <w:r>
              <w:rPr/>
              <w:t>人员配置情况 (10.0分)</w:t>
            </w:r>
          </w:p>
        </w:tc>
        <w:tc>
          <w:tcPr>
            <w:tcW w:type="dxa" w:w="5076"/>
          </w:tcPr>
          <w:p>
            <w:pPr>
              <w:jc w:val="left"/>
            </w:pPr>
            <w:r>
              <w:rPr/>
              <w:t>根据供应商拟投入本项目的人员情况进行评审： （1）投入本项目负责人（仅限1人）具有新闻类高级职称证书得4分，新闻类中级职称证书得2分；本小项最高得4分。 （2）拟投入本项目团队人员（不含项目负责人）具有新闻类中级（或以上）职称证书的，每提供1名得2分；本小项最高得6分。 注:以上须提供人员证书复印件及供应商为其缴纳的距开标前6个月内（不含开标当月）任意一个月的社保证明复印件并加盖供应商公章。</w:t>
            </w:r>
          </w:p>
        </w:tc>
      </w:tr>
      <w:tr>
        <w:tc>
          <w:tcPr>
            <w:tcW w:type="dxa" w:w="922"/>
            <w:gridSpan w:val="2"/>
            <w:vMerge/>
          </w:tcPr>
          <w:p/>
        </w:tc>
        <w:tc>
          <w:tcPr>
            <w:tcW w:type="dxa" w:w="2307"/>
          </w:tcPr>
          <w:p>
            <w:pPr>
              <w:jc w:val="left"/>
            </w:pPr>
            <w:r>
              <w:rPr/>
              <w:t>项目团队成员实力 (10.0分)</w:t>
            </w:r>
          </w:p>
        </w:tc>
        <w:tc>
          <w:tcPr>
            <w:tcW w:type="dxa" w:w="5076"/>
          </w:tcPr>
          <w:p>
            <w:pPr>
              <w:jc w:val="left"/>
            </w:pPr>
            <w:r>
              <w:rPr/>
              <w:t>拟投入本项目团队成员中具有： （1）获得过国家级新闻类奖项的，每提供一项得5分； （2）获得过省级新闻类奖项的，每提供一项得4分； （3）获得过市级新闻类奖项的，每提供一项得3分； 以上可累计得分，本项最高得10分。 注:以上须提供人员奖项证明材料复印件及供应商为其缴纳的距开标前6个月内（不含开标当月）任意一个月的社保证明复印件并加盖供应商公章。</w:t>
            </w:r>
          </w:p>
        </w:tc>
      </w:tr>
      <w:tr>
        <w:tc>
          <w:tcPr>
            <w:tcW w:type="dxa" w:w="922"/>
            <w:gridSpan w:val="2"/>
            <w:vMerge/>
          </w:tcPr>
          <w:p/>
        </w:tc>
        <w:tc>
          <w:tcPr>
            <w:tcW w:type="dxa" w:w="2307"/>
          </w:tcPr>
          <w:p>
            <w:pPr>
              <w:jc w:val="left"/>
            </w:pPr>
            <w:r>
              <w:rPr/>
              <w:t>服务便利性 (5.0分)</w:t>
            </w:r>
          </w:p>
        </w:tc>
        <w:tc>
          <w:tcPr>
            <w:tcW w:type="dxa" w:w="5076"/>
          </w:tcPr>
          <w:p>
            <w:pPr>
              <w:jc w:val="left"/>
            </w:pPr>
            <w:r>
              <w:rPr/>
              <w:t>根据供应商提供的服务响应时间承诺进行评审： （1）供应商承诺在接到采购人通知后1小时（含）内到现场，得5分； （2）供应商承诺在接到采购人通知后2小时（含）内到现场，得3分； （3）供应商承诺在接到采购人通知后3小时（含）内到现场，得1分； （4）供应商未承诺或其他情况，不得分。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采购包2(宣传片及宣传栏目服务):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项目策划方案 (15.0分)</w:t>
            </w:r>
            <w:r>
              <w:rPr/>
              <w:t>，（等次分值选择：</w:t>
            </w:r>
            <w:r>
              <w:rPr/>
              <w:t>0.0;</w:t>
            </w:r>
            <w:r>
              <w:rPr/>
              <w:t>1.0;</w:t>
            </w:r>
            <w:r>
              <w:rPr/>
              <w:t>5.0;</w:t>
            </w:r>
            <w:r>
              <w:rPr/>
              <w:t>10.0;</w:t>
            </w:r>
            <w:r>
              <w:rPr/>
              <w:t>15.0;</w:t>
            </w:r>
            <w:r>
              <w:rPr/>
              <w:t>）</w:t>
            </w:r>
          </w:p>
        </w:tc>
        <w:tc>
          <w:tcPr>
            <w:tcW w:type="dxa" w:w="5076"/>
          </w:tcPr>
          <w:p>
            <w:pPr>
              <w:jc w:val="left"/>
            </w:pPr>
            <w:r>
              <w:rPr/>
              <w:t>根据供应商提供的项目策划方案进行综合评审： 策划方案完整合理，主题鲜明，有创新性，可行性强，得15分； 策划方案较为完整合理，主题较鲜明，有一定创新性，可行性较强，得10分； 策划方案基本完整，主题模糊，创新性一般，可行性一般，得5分； 策划方案存在缺漏，主题模糊，可行性较差，得1分； 未提供对应方案不得分。</w:t>
            </w:r>
          </w:p>
        </w:tc>
      </w:tr>
      <w:tr>
        <w:tc>
          <w:tcPr>
            <w:tcW w:type="dxa" w:w="922"/>
            <w:gridSpan w:val="2"/>
            <w:vMerge/>
          </w:tcPr>
          <w:p/>
        </w:tc>
        <w:tc>
          <w:tcPr>
            <w:tcW w:type="dxa" w:w="2307"/>
          </w:tcPr>
          <w:p>
            <w:pPr>
              <w:jc w:val="left"/>
            </w:pPr>
            <w:r>
              <w:rPr/>
              <w:t>拟投入项目团队 (15.0分)</w:t>
            </w:r>
            <w:r>
              <w:rPr/>
              <w:t>，（等次分值选择：</w:t>
            </w:r>
            <w:r>
              <w:rPr/>
              <w:t>0.0;</w:t>
            </w:r>
            <w:r>
              <w:rPr/>
              <w:t>1.0;</w:t>
            </w:r>
            <w:r>
              <w:rPr/>
              <w:t>5.0;</w:t>
            </w:r>
            <w:r>
              <w:rPr/>
              <w:t>10.0;</w:t>
            </w:r>
            <w:r>
              <w:rPr/>
              <w:t>15.0;</w:t>
            </w:r>
            <w:r>
              <w:rPr/>
              <w:t>）</w:t>
            </w:r>
          </w:p>
        </w:tc>
        <w:tc>
          <w:tcPr>
            <w:tcW w:type="dxa" w:w="5076"/>
          </w:tcPr>
          <w:p>
            <w:pPr>
              <w:jc w:val="left"/>
            </w:pPr>
            <w:r>
              <w:rPr/>
              <w:t>根据供应商拟投入本项目的服务团队的人员素质、项目经验、专业能力、人员分工分配方案进行综合评分： 服务团队人员经验丰富，人员分工分配方案详细，可行性高，专业能力强，有利于项目实施的，得15分； 服务团队人员经验比较丰富，人员分工分配方案比较详细，可行性比较高，专业能力较强，有利于项目实施的，得10分； 服务团队人员经验一般，人员分工分配方案一般，可行性一般，专业能力一般，得5分； 服务团队人员经验少，人员分工分配方案不合理，可行性较差，专业能力较差，不利于项目实施的，得1分； 未提供对应方案不得分。</w:t>
            </w:r>
          </w:p>
        </w:tc>
      </w:tr>
      <w:tr>
        <w:tc>
          <w:tcPr>
            <w:tcW w:type="dxa" w:w="922"/>
            <w:gridSpan w:val="2"/>
            <w:vMerge/>
          </w:tcPr>
          <w:p/>
        </w:tc>
        <w:tc>
          <w:tcPr>
            <w:tcW w:type="dxa" w:w="2307"/>
          </w:tcPr>
          <w:p>
            <w:pPr>
              <w:jc w:val="left"/>
            </w:pPr>
            <w:r>
              <w:rPr/>
              <w:t>增值服务方案 (15.0分)</w:t>
            </w:r>
            <w:r>
              <w:rPr/>
              <w:t>，（等次分值选择：</w:t>
            </w:r>
            <w:r>
              <w:rPr/>
              <w:t>0.0;</w:t>
            </w:r>
            <w:r>
              <w:rPr/>
              <w:t>1.0;</w:t>
            </w:r>
            <w:r>
              <w:rPr/>
              <w:t>5.0;</w:t>
            </w:r>
            <w:r>
              <w:rPr/>
              <w:t>10.0;</w:t>
            </w:r>
            <w:r>
              <w:rPr/>
              <w:t>15.0;</w:t>
            </w:r>
            <w:r>
              <w:rPr/>
              <w:t>）</w:t>
            </w:r>
          </w:p>
        </w:tc>
        <w:tc>
          <w:tcPr>
            <w:tcW w:type="dxa" w:w="5076"/>
          </w:tcPr>
          <w:p>
            <w:pPr>
              <w:jc w:val="left"/>
            </w:pPr>
            <w:r>
              <w:rPr/>
              <w:t>根据供应商提供的增值服务方案（服务包括但不限于：①专业记者摄影摄像人员组织服务、②媒体宣传支持服务）进行综合评审： 提供完善的增值服务内容可行性高，有利于本项目实施的，得15分； 提供增值服务基本完善，可行性比较高，有利于本项目实施的，得10分； 提供一定的增值服务，可行性一般，基本有利于本项目实施的，得5分； 不提供或极少数的增值服务，对本项目实施没有关系的，得1分； 未提供对应方案不得分。</w:t>
            </w:r>
          </w:p>
        </w:tc>
      </w:tr>
      <w:tr>
        <w:tc>
          <w:tcPr>
            <w:tcW w:type="dxa" w:w="922"/>
            <w:gridSpan w:val="2"/>
            <w:vMerge w:val="restart"/>
          </w:tcPr>
          <w:p>
            <w:pPr>
              <w:jc w:val="center"/>
            </w:pPr>
            <w:r>
              <w:rPr/>
              <w:t>商务部分</w:t>
            </w:r>
          </w:p>
        </w:tc>
        <w:tc>
          <w:tcPr>
            <w:tcW w:type="dxa" w:w="2307"/>
          </w:tcPr>
          <w:p>
            <w:pPr>
              <w:jc w:val="left"/>
            </w:pPr>
            <w:r>
              <w:rPr/>
              <w:t>业绩 (25.0分)</w:t>
            </w:r>
          </w:p>
        </w:tc>
        <w:tc>
          <w:tcPr>
            <w:tcW w:type="dxa" w:w="5076"/>
          </w:tcPr>
          <w:p>
            <w:pPr>
              <w:jc w:val="left"/>
            </w:pPr>
            <w:r>
              <w:rPr/>
              <w:t>供应商具有宣传推广服务类业绩的，每提供一个有效业绩得5分，本项最高得25分。 注：须提供有效合同复印件并加盖供应商公章，否则不得分。</w:t>
            </w:r>
          </w:p>
        </w:tc>
      </w:tr>
      <w:tr>
        <w:tc>
          <w:tcPr>
            <w:tcW w:type="dxa" w:w="922"/>
            <w:gridSpan w:val="2"/>
            <w:vMerge/>
          </w:tcPr>
          <w:p/>
        </w:tc>
        <w:tc>
          <w:tcPr>
            <w:tcW w:type="dxa" w:w="2307"/>
          </w:tcPr>
          <w:p>
            <w:pPr>
              <w:jc w:val="left"/>
            </w:pPr>
            <w:r>
              <w:rPr/>
              <w:t>人员配置情况 (5.0分)</w:t>
            </w:r>
          </w:p>
        </w:tc>
        <w:tc>
          <w:tcPr>
            <w:tcW w:type="dxa" w:w="5076"/>
          </w:tcPr>
          <w:p>
            <w:pPr>
              <w:jc w:val="left"/>
            </w:pPr>
            <w:r>
              <w:rPr/>
              <w:t>根据供应商拟投入本项目的人员情况进行评审： 投入本项目负责人（仅限1人）具有新闻类高级职称证书的，得5分；中级职称证书的，得2分；初级职称证书的，得1分；本分项最高得5分。 注:以上须提供人员证书复印件及供应商为其缴纳的距开标前6个月内（不含开标当月）任意一个月的社保证明复印件并加盖供应商公章。</w:t>
            </w:r>
          </w:p>
        </w:tc>
      </w:tr>
      <w:tr>
        <w:tc>
          <w:tcPr>
            <w:tcW w:type="dxa" w:w="922"/>
            <w:gridSpan w:val="2"/>
            <w:vMerge/>
          </w:tcPr>
          <w:p/>
        </w:tc>
        <w:tc>
          <w:tcPr>
            <w:tcW w:type="dxa" w:w="2307"/>
          </w:tcPr>
          <w:p>
            <w:pPr>
              <w:jc w:val="left"/>
            </w:pPr>
            <w:r>
              <w:rPr/>
              <w:t>宣传展播平台 (10.0分)</w:t>
            </w:r>
          </w:p>
        </w:tc>
        <w:tc>
          <w:tcPr>
            <w:tcW w:type="dxa" w:w="5076"/>
          </w:tcPr>
          <w:p>
            <w:pPr>
              <w:jc w:val="left"/>
            </w:pPr>
            <w:r>
              <w:rPr/>
              <w:t>根据供应商拟投入的宣传展播平台进行评审： 拟投入的宣传展播平台包括电视、电台、门户网站、手机APP客户端、网络媒体客户端，每提供一个得2分，最高得10分。 注：（1）宣传展播平台为自有的，须提供平台自有证明材料复印件加盖供应公章；（2）宣传展播平台非自有的，须提供合作意向书或授权书证明材料并加盖供应商公章。</w:t>
            </w:r>
          </w:p>
        </w:tc>
      </w:tr>
      <w:tr>
        <w:tc>
          <w:tcPr>
            <w:tcW w:type="dxa" w:w="922"/>
            <w:gridSpan w:val="2"/>
            <w:vMerge/>
          </w:tcPr>
          <w:p/>
        </w:tc>
        <w:tc>
          <w:tcPr>
            <w:tcW w:type="dxa" w:w="2307"/>
          </w:tcPr>
          <w:p>
            <w:pPr>
              <w:jc w:val="left"/>
            </w:pPr>
            <w:r>
              <w:rPr/>
              <w:t>服务便利性 (5.0分)</w:t>
            </w:r>
          </w:p>
        </w:tc>
        <w:tc>
          <w:tcPr>
            <w:tcW w:type="dxa" w:w="5076"/>
          </w:tcPr>
          <w:p>
            <w:pPr>
              <w:jc w:val="left"/>
            </w:pPr>
            <w:r>
              <w:rPr/>
              <w:t>根据供应商提供的服务响应时间承诺进行评审： （1）供应商承诺在接到采购人通知后1小时（含）内到现场，得5分； （2）供应商承诺在接到采购人通知后2小时（含）内到现场，得3分； （3）供应商承诺在接到采购人通知后3小时（含）内到现场，得1分； （4）供应商未承诺或其他情况，不得分。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采购包3(文艺晚会服务):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项目策划方案 (20.0分)</w:t>
            </w:r>
            <w:r>
              <w:rPr/>
              <w:t>，（等次分值选择：</w:t>
            </w:r>
            <w:r>
              <w:rPr/>
              <w:t>0.0;</w:t>
            </w:r>
            <w:r>
              <w:rPr/>
              <w:t>2.0;</w:t>
            </w:r>
            <w:r>
              <w:rPr/>
              <w:t>8.0;</w:t>
            </w:r>
            <w:r>
              <w:rPr/>
              <w:t>14.0;</w:t>
            </w:r>
            <w:r>
              <w:rPr/>
              <w:t>20.0;</w:t>
            </w:r>
            <w:r>
              <w:rPr/>
              <w:t>）</w:t>
            </w:r>
          </w:p>
        </w:tc>
        <w:tc>
          <w:tcPr>
            <w:tcW w:type="dxa" w:w="5076"/>
          </w:tcPr>
          <w:p>
            <w:pPr>
              <w:jc w:val="left"/>
            </w:pPr>
            <w:r>
              <w:rPr/>
              <w:t>根据供应商提供的项目策划方案进行综合评审： 策划方案完整合理，主题鲜明，有创新性，可行性强，得20分； 策划方案较为完整合理，主题较鲜明，有一定创新性，可行性较强，得14分； 策划方案基本完整，主题模糊，创新性一般，可行性一般，得8分； 策划方案存在缺漏，主题模糊，可行性较差，得2分； 未提供对应方案不得分。</w:t>
            </w:r>
          </w:p>
        </w:tc>
      </w:tr>
      <w:tr>
        <w:tc>
          <w:tcPr>
            <w:tcW w:type="dxa" w:w="922"/>
            <w:gridSpan w:val="2"/>
            <w:vMerge/>
          </w:tcPr>
          <w:p/>
        </w:tc>
        <w:tc>
          <w:tcPr>
            <w:tcW w:type="dxa" w:w="2307"/>
          </w:tcPr>
          <w:p>
            <w:pPr>
              <w:jc w:val="left"/>
            </w:pPr>
            <w:r>
              <w:rPr/>
              <w:t>拟投入项目团队 (20.0分)</w:t>
            </w:r>
            <w:r>
              <w:rPr/>
              <w:t>，（等次分值选择：</w:t>
            </w:r>
            <w:r>
              <w:rPr/>
              <w:t>0.0;</w:t>
            </w:r>
            <w:r>
              <w:rPr/>
              <w:t>2.0;</w:t>
            </w:r>
            <w:r>
              <w:rPr/>
              <w:t>8.0;</w:t>
            </w:r>
            <w:r>
              <w:rPr/>
              <w:t>14.0;</w:t>
            </w:r>
            <w:r>
              <w:rPr/>
              <w:t>20.0;</w:t>
            </w:r>
            <w:r>
              <w:rPr/>
              <w:t>）</w:t>
            </w:r>
          </w:p>
        </w:tc>
        <w:tc>
          <w:tcPr>
            <w:tcW w:type="dxa" w:w="5076"/>
          </w:tcPr>
          <w:p>
            <w:pPr>
              <w:jc w:val="left"/>
            </w:pPr>
            <w:r>
              <w:rPr/>
              <w:t>根据供应商拟投入本项目的服务团队的人员素质、项目经验、专业能力、人员分工分配方案进行综合评分： 服务团队人员经验丰富，人员分工分配方案详细，可行性高，专业能力强，有利于项目实施的，得20分； 服务团队人员经验比较丰富，人员分工分配方案比较详细，可行性比较高，专业能力较强，有利于项目实施的，得14分； 服务团队人员经验一般，人员分工分配方案一般，可行性一般，专业能力一般，得8分； 服务团队人员经验少，人员分工分配方案不合理，可行性较差，专业能力较差，不利于项目实施的，得2分； 未提供对应方案不得分。</w:t>
            </w:r>
          </w:p>
        </w:tc>
      </w:tr>
      <w:tr>
        <w:tc>
          <w:tcPr>
            <w:tcW w:type="dxa" w:w="922"/>
            <w:gridSpan w:val="2"/>
            <w:vMerge/>
          </w:tcPr>
          <w:p/>
        </w:tc>
        <w:tc>
          <w:tcPr>
            <w:tcW w:type="dxa" w:w="2307"/>
          </w:tcPr>
          <w:p>
            <w:pPr>
              <w:jc w:val="left"/>
            </w:pPr>
            <w:r>
              <w:rPr/>
              <w:t>增值服务方案 (15.0分)</w:t>
            </w:r>
            <w:r>
              <w:rPr/>
              <w:t>，（等次分值选择：</w:t>
            </w:r>
            <w:r>
              <w:rPr/>
              <w:t>0.0;</w:t>
            </w:r>
            <w:r>
              <w:rPr/>
              <w:t>1.0;</w:t>
            </w:r>
            <w:r>
              <w:rPr/>
              <w:t>5.0;</w:t>
            </w:r>
            <w:r>
              <w:rPr/>
              <w:t>10.0;</w:t>
            </w:r>
            <w:r>
              <w:rPr/>
              <w:t>15.0;</w:t>
            </w:r>
            <w:r>
              <w:rPr/>
              <w:t>）</w:t>
            </w:r>
          </w:p>
        </w:tc>
        <w:tc>
          <w:tcPr>
            <w:tcW w:type="dxa" w:w="5076"/>
          </w:tcPr>
          <w:p>
            <w:pPr>
              <w:jc w:val="left"/>
            </w:pPr>
            <w:r>
              <w:rPr/>
              <w:t>根据供应商提供的增值服务方案（服务包括但不限于：①专业主持人团队担任晚会主持、②演员的艺术指导、录音、排练厅场地提供、③具备直录播设备及播出平台）进行综合评审： 提供完善的增值服务内容可行性高，有利于本项目实施的，得15分； 提供增值服务基本完善，可行性比较高，有利于本项目实施的，得10分； 提供一定的增值服务，可行性一般，基本有利于本项目实施的，得5分； 不提供或极少数的增值服务，对本项目实施没有关系的，得1分； 未提供对应方案不得分。</w:t>
            </w:r>
          </w:p>
        </w:tc>
      </w:tr>
      <w:tr>
        <w:tc>
          <w:tcPr>
            <w:tcW w:type="dxa" w:w="922"/>
            <w:gridSpan w:val="2"/>
            <w:vMerge w:val="restart"/>
          </w:tcPr>
          <w:p>
            <w:pPr>
              <w:jc w:val="center"/>
            </w:pPr>
            <w:r>
              <w:rPr/>
              <w:t>商务部分</w:t>
            </w:r>
          </w:p>
        </w:tc>
        <w:tc>
          <w:tcPr>
            <w:tcW w:type="dxa" w:w="2307"/>
          </w:tcPr>
          <w:p>
            <w:pPr>
              <w:jc w:val="left"/>
            </w:pPr>
            <w:r>
              <w:rPr/>
              <w:t>业绩 (30.0分)</w:t>
            </w:r>
          </w:p>
        </w:tc>
        <w:tc>
          <w:tcPr>
            <w:tcW w:type="dxa" w:w="5076"/>
          </w:tcPr>
          <w:p>
            <w:pPr>
              <w:jc w:val="left"/>
            </w:pPr>
            <w:r>
              <w:rPr/>
              <w:t>供应商具有活动演出类业绩的，每提供一个有效业绩得5分，本项最高得30分。  注：须提供有效合同复印件并加盖供应商公章，否则不得分。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根据供应商提供的服务响应时间承诺进行评审： （1）供应商承诺在接到采购人通知后1小时（含）内到现场，得5分； （2）供应商承诺在接到采购人通知后2小时（含）内到现场，得3分； （3）供应商承诺在接到采购人通知后3小时（含）内到现场，得1分； （4）供应商未承诺或其他情况，不得分。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采购包3：</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441901-2023-07581</w:t>
      </w:r>
    </w:p>
    <w:p>
      <w:pPr>
        <w:jc w:val="center"/>
      </w:pPr>
      <w:r>
        <w:rPr>
          <w:b/>
          <w:sz w:val="24"/>
        </w:rPr>
        <w:t>采购项目编号：</w:t>
      </w:r>
      <w:r>
        <w:rPr>
          <w:b/>
          <w:sz w:val="24"/>
        </w:rPr>
        <w:t>441901-2023-07581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2023年“民营企业家日”活动项目</w:t>
      </w:r>
      <w:r>
        <w:rPr>
          <w:u w:val="single"/>
        </w:rPr>
        <w:t>”</w:t>
      </w:r>
      <w:r>
        <w:rPr/>
        <w:t>项目的竞争性磋商[采购项目编号为：</w:t>
      </w:r>
      <w:r>
        <w:rPr>
          <w:u w:val="single"/>
        </w:rPr>
        <w:t>441901-2023-07581</w:t>
      </w:r>
      <w:r>
        <w:rPr/>
        <w:t>]，我方愿参与响应。</w:t>
      </w:r>
    </w:p>
    <w:p>
      <w:pPr>
        <w:ind w:firstLine="480"/>
      </w:pPr>
      <w:r>
        <w:rPr/>
        <w:t>我方确认收到贵方提供的</w:t>
      </w:r>
      <w:r>
        <w:rPr>
          <w:u w:val="single"/>
        </w:rPr>
        <w:t>“</w:t>
      </w:r>
      <w:r>
        <w:rPr>
          <w:u w:val="single"/>
        </w:rPr>
        <w:t>2023年“民营企业家日”活动项目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2023年“民营企业家日”活动项目</w:t>
      </w:r>
      <w:r>
        <w:rPr/>
        <w:t>”项目采购[采购项目编号为</w:t>
      </w:r>
      <w:r>
        <w:rPr/>
        <w:t>441901-2023-07581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东莞市工业和信息化局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2023年“民营企业家日”活动项目</w:t>
      </w:r>
      <w:r>
        <w:rPr/>
        <w:t>（采购项目编号：</w:t>
      </w:r>
      <w:r>
        <w:rPr/>
        <w:t>441901-2023-07581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2023年“民营企业家日”活动项目</w:t>
      </w:r>
      <w:r>
        <w:rPr/>
        <w:t>”项目（采购项目编号：</w:t>
      </w:r>
      <w:r>
        <w:rPr/>
        <w:t>441901-2023-07581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