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441900018-2023-00648</w:t>
      </w:r>
    </w:p>
    <w:p>
      <w:pPr>
        <w:jc w:val="center"/>
      </w:pPr>
      <w:r>
        <w:rPr>
          <w:b/>
          <w:sz w:val="24"/>
        </w:rPr>
        <w:t>采购项目编号：</w:t>
      </w:r>
      <w:r>
        <w:rPr>
          <w:b/>
          <w:sz w:val="24"/>
        </w:rPr>
        <w:t>441900018-2023-00648</w:t>
      </w:r>
    </w:p>
    <w:p>
      <w:pPr>
        <w:jc w:val="center"/>
      </w:pPr>
      <w:r>
        <w:rPr>
          <w:b/>
          <w:sz w:val="24"/>
        </w:rPr>
        <w:t>项目名称：</w:t>
      </w:r>
      <w:r>
        <w:rPr>
          <w:b/>
          <w:sz w:val="24"/>
        </w:rPr>
        <w:t>常平镇猪头山泵站干渠水质提升运维服务项目</w:t>
      </w:r>
    </w:p>
    <w:p>
      <w:pPr>
        <w:jc w:val="center"/>
      </w:pPr>
      <w:r>
        <w:rPr>
          <w:b/>
          <w:sz w:val="24"/>
        </w:rPr>
        <w:t>采购人：</w:t>
      </w:r>
      <w:r>
        <w:rPr>
          <w:b/>
          <w:sz w:val="24"/>
        </w:rPr>
        <w:t>东莞市常平镇水务工程运营中心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东莞市常平镇水务工程运营中心</w:t>
      </w:r>
      <w:r>
        <w:rPr/>
        <w:t>的委托，采用</w:t>
      </w:r>
      <w:r>
        <w:rPr/>
        <w:t>公开招标</w:t>
      </w:r>
      <w:r>
        <w:rPr/>
        <w:t>方式组织采购</w:t>
      </w:r>
      <w:r>
        <w:rPr/>
        <w:t>常平镇猪头山泵站干渠水质提升运维服务项目</w:t>
      </w:r>
      <w:r>
        <w:rPr/>
        <w:t>。欢迎符合资格条件的国内供应商参加投标。</w:t>
      </w:r>
    </w:p>
    <w:p>
      <w:r>
        <w:rPr>
          <w:b/>
          <w:sz w:val="28"/>
        </w:rPr>
        <w:t>一.项目概述</w:t>
      </w:r>
    </w:p>
    <w:p>
      <w:r>
        <w:rPr>
          <w:b/>
          <w:sz w:val="24"/>
        </w:rPr>
        <w:t>1.名称与编号</w:t>
      </w:r>
    </w:p>
    <w:p>
      <w:pPr>
        <w:ind w:firstLine="480"/>
      </w:pPr>
      <w:r>
        <w:rPr/>
        <w:t>项目名称：</w:t>
      </w:r>
      <w:r>
        <w:rPr/>
        <w:t>常平镇猪头山泵站干渠水质提升运维服务项目</w:t>
      </w:r>
    </w:p>
    <w:p>
      <w:pPr>
        <w:ind w:firstLine="480"/>
      </w:pPr>
      <w:r>
        <w:rPr/>
        <w:t>采购计划编号：</w:t>
      </w:r>
      <w:r>
        <w:rPr/>
        <w:t>441900018-2023-00648</w:t>
      </w:r>
    </w:p>
    <w:p>
      <w:pPr>
        <w:ind w:firstLine="480"/>
      </w:pPr>
      <w:r>
        <w:rPr/>
        <w:t>采购项目编号：</w:t>
      </w:r>
      <w:r>
        <w:rPr/>
        <w:t>441900018-2023-00648</w:t>
      </w:r>
    </w:p>
    <w:p>
      <w:pPr>
        <w:ind w:firstLine="480"/>
      </w:pPr>
      <w:r>
        <w:rPr/>
        <w:t>采购方式：</w:t>
      </w:r>
      <w:r>
        <w:rPr/>
        <w:t>公开招标</w:t>
      </w:r>
    </w:p>
    <w:p>
      <w:pPr>
        <w:ind w:firstLine="480"/>
      </w:pPr>
      <w:r>
        <w:rPr/>
        <w:t>预算金额：</w:t>
      </w:r>
      <w:r>
        <w:rPr/>
        <w:t>1,143,351.60</w:t>
      </w:r>
      <w:r>
        <w:rPr/>
        <w:t>元</w:t>
      </w:r>
    </w:p>
    <w:p>
      <w:r>
        <w:rPr>
          <w:b/>
          <w:sz w:val="24"/>
        </w:rPr>
        <w:t>2.项目内容及需求情况（采购项目技术规格、参数及要求）</w:t>
      </w:r>
    </w:p>
    <w:p>
      <w:pPr>
        <w:ind w:firstLine="480"/>
      </w:pPr>
    </w:p>
    <w:p/>
    <w:p>
      <w:r>
        <w:rPr/>
        <w:t>采购包1(常平镇猪头山泵站干渠水质提升运维服务项目):</w:t>
      </w:r>
    </w:p>
    <w:p>
      <w:r>
        <w:rPr/>
        <w:t>采购包预算金额：1,143,351.60元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城镇水域治理服务</w:t>
            </w:r>
          </w:p>
        </w:tc>
        <w:tc>
          <w:tcPr>
            <w:tcW w:type="dxa" w:w="2052"/>
          </w:tcPr>
          <w:p>
            <w:r>
              <w:rPr/>
              <w:t>常平镇猪头山泵站干渠水质提升运维服务项目</w:t>
            </w:r>
          </w:p>
        </w:tc>
        <w:tc>
          <w:tcPr>
            <w:tcW w:type="dxa" w:w="977"/>
          </w:tcPr>
          <w:p>
            <w:r>
              <w:rPr/>
              <w:t>1.00(项)</w:t>
            </w:r>
          </w:p>
        </w:tc>
        <w:tc>
          <w:tcPr>
            <w:tcW w:type="dxa" w:w="977"/>
          </w:tcPr>
          <w:p>
            <w:r>
              <w:rPr/>
              <w:t>详见第二章</w:t>
            </w:r>
          </w:p>
        </w:tc>
        <w:tc>
          <w:tcPr>
            <w:tcW w:type="dxa" w:w="977"/>
          </w:tcPr>
          <w:p>
            <w:r>
              <w:rPr/>
              <w:t>1,143,351.60</w:t>
            </w:r>
          </w:p>
        </w:tc>
        <w:tc>
          <w:tcPr>
            <w:tcW w:type="dxa" w:w="977"/>
          </w:tcPr>
          <w:p>
            <w:r>
              <w:rPr/>
              <w:t>否</w:t>
            </w:r>
          </w:p>
        </w:tc>
      </w:tr>
    </w:tbl>
    <w:p/>
    <w:p>
      <w:r>
        <w:rPr/>
        <w:t>本采购包不接受联合体投标</w:t>
      </w:r>
    </w:p>
    <w:p/>
    <w:p>
      <w:r>
        <w:rPr/>
        <w:t>合同履行期限：自合同签订日起一年。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2）有依法缴纳税收和社会保障资金的良好记录：提供《资格条件承诺函》，可参考公告附件格式。</w:t>
      </w:r>
    </w:p>
    <w:p/>
    <w:p>
      <w:r>
        <w:rPr/>
        <w:t>3）具有良好的商业信誉和健全的财务会计制度：提供《资格条件承诺函》，可参考公告附件格式。</w:t>
      </w:r>
    </w:p>
    <w:p/>
    <w:p>
      <w:r>
        <w:rPr/>
        <w:t>4）履行合同所必需的设备和专业技术能力：提供《资格条件承诺函》，可参考公告附件格式。</w:t>
      </w:r>
    </w:p>
    <w:p/>
    <w:p>
      <w:r>
        <w:rPr/>
        <w:t>5）参加采购活动前3年内，在经营活动中没有重大违法记录：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采购包1（常平镇猪头山泵站干渠水质提升运维服务项目）：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采购包1（常平镇猪头山泵站干渠水质提升运维服务项目）：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东莞市常平镇水务工程运营中心</w:t>
      </w:r>
    </w:p>
    <w:p>
      <w:pPr>
        <w:ind w:firstLine="480"/>
      </w:pPr>
      <w:r>
        <w:rPr/>
        <w:t>地址：</w:t>
      </w:r>
      <w:r>
        <w:rPr/>
        <w:t>东莞市常平镇桔园街二巷1号</w:t>
      </w:r>
    </w:p>
    <w:p>
      <w:pPr>
        <w:ind w:firstLine="480"/>
      </w:pPr>
      <w:r>
        <w:rPr/>
        <w:t>联系方式：</w:t>
      </w:r>
      <w:r>
        <w:rPr/>
        <w:t>0769-83399970</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w:t>
      </w:r>
      <w:r>
        <w:rPr>
          <w:sz w:val="21"/>
        </w:rPr>
        <w:t>常平镇猪头山泵站干渠水质提升运维服务项目。</w:t>
      </w:r>
    </w:p>
    <w:p/>
    <w:p>
      <w:pPr>
        <w:ind w:firstLine="480"/>
      </w:pPr>
    </w:p>
    <w:p/>
    <w:p>
      <w:r>
        <w:rPr/>
        <w:t>采购包1（常平镇猪头山泵站干渠水质提升运维服务项目）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1期：支付比例100%,（1）按月支付，直到项目服务期结束。并根据服务范围水质监测效果进行扣减。 （2）如当月河涌水质达到地表水V类标准（氨氮≤2mg/L、化学需氧量≤40mg/L、总磷≤0.4mg/L 溶解氧≥2mg/L），则支付当月该河涌所有运维费用；如未达到地表水V类标准但满足消除黑臭指标（透明度＞25cm, 溶解氧＞2mg/L, 氧化还原电位＞50mV，氨氮＜8mg/L），则支付当月该河涌运维费用80%；如未能达到消除黑臭目标的，则不予支付当月该河涌运维费用。 （3）市委托第三方抽检：如当月河涌水质达不到市水环境生态达标考核标准，则扣减当月服务费20%。 （4）采购单位考核：采购单位每月对中标单位考核评分，合格线为 70 分， 满分 100 分。设当月考核分值为 F，则当月考核分值 F&lt;70 时，不予支付当月服务费用； 70≤F&lt;80 时，支付当月服务费用的 70%；80≤F&lt;90 时，支付当月服务费用的 80%； 当月考核分值 F≥90 时，支付当月服务费的 100% （5）服务费在按以上第（2）、（3）项执行时（2项考核取最严者不叠加），还应与第（4）条采购单位考核处罚叠加。例如，当月第三方水质抽检为达标（对应支付100%），东莞市抽检不达标（对应支付80%），采购单位考核为85分（对应支付80%），则当月费用实际支付费用为：M*80%*80% 减其它罚款。 注：本项目资金来源为财政性资金，相关付款程序应严格遵守财政部门资金支付程序规定。采购人规定的付款时间为向政府采购支付部门提出办理财政支付申请手续的时间（不含政府财政支付部门审核的时间），如因政策及请款手续影响，拨款未能及时到位，采购人不属违约，中标人应当继续履行合同义务。</w:t>
            </w:r>
          </w:p>
        </w:tc>
      </w:tr>
      <w:tr>
        <w:tc>
          <w:tcPr>
            <w:tcW w:type="dxa" w:w="4153"/>
          </w:tcPr>
          <w:p>
            <w:r>
              <w:rPr/>
              <w:t>验收要求</w:t>
            </w:r>
          </w:p>
        </w:tc>
        <w:tc>
          <w:tcPr>
            <w:tcW w:type="dxa" w:w="4153"/>
          </w:tcPr>
          <w:p/>
          <w:p/>
          <w:p/>
          <w:p>
            <w:r>
              <w:rPr/>
              <w:t>1期：1、项目相关治理设备正常运行，水质稳定达标； 2、除暴雨、溢流、工业偷排、农田水倒灌等突发环境污染事件及其它不可抗力因素外，主要指标（氨氮、总磷、化学需氧量、溶解氧）达到地表水V类标准（GB 3838-2002）。 3、雨天结束或发生环境突发事件后3日内达到消除黑臭，8日内达到地表V类水体标准。 4、运维管理工作需符合采购单位方提出的服务要求和技术要求。</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合同条款，供应商实质响应合同条款。</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城镇水域治理服务</w:t>
            </w:r>
          </w:p>
        </w:tc>
        <w:tc>
          <w:tcPr>
            <w:tcW w:type="dxa" w:w="933"/>
          </w:tcPr>
          <w:p>
            <w:pPr>
              <w:jc w:val="left"/>
            </w:pPr>
            <w:r>
              <w:rPr/>
              <w:t>常平镇猪头山泵站干渠水质提升运维服务项目</w:t>
            </w:r>
          </w:p>
        </w:tc>
        <w:tc>
          <w:tcPr>
            <w:tcW w:type="dxa" w:w="933"/>
          </w:tcPr>
          <w:p>
            <w:pPr>
              <w:jc w:val="left"/>
            </w:pPr>
            <w:r>
              <w:rPr/>
              <w:t>项</w:t>
            </w:r>
          </w:p>
        </w:tc>
        <w:tc>
          <w:tcPr>
            <w:tcW w:type="dxa" w:w="933"/>
          </w:tcPr>
          <w:p>
            <w:pPr>
              <w:jc w:val="right"/>
            </w:pPr>
            <w:r>
              <w:rPr/>
              <w:t>1.00</w:t>
            </w:r>
          </w:p>
        </w:tc>
        <w:tc>
          <w:tcPr>
            <w:tcW w:type="dxa" w:w="933"/>
          </w:tcPr>
          <w:p>
            <w:pPr>
              <w:jc w:val="right"/>
            </w:pPr>
            <w:r>
              <w:rPr/>
              <w:t>1,143,351.60</w:t>
            </w:r>
          </w:p>
        </w:tc>
        <w:tc>
          <w:tcPr>
            <w:tcW w:type="dxa" w:w="933"/>
          </w:tcPr>
          <w:p>
            <w:pPr>
              <w:jc w:val="right"/>
            </w:pPr>
            <w:r>
              <w:rPr/>
              <w:t>1,143,351.60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常平镇猪头山泵站干渠水质提升运维服务项目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4"/>
              </w:rPr>
              <w:t>一、基本情况</w:t>
            </w:r>
          </w:p>
          <w:p>
            <w:pPr>
              <w:jc w:val="left"/>
            </w:pPr>
            <w:r>
              <w:rPr>
                <w:b/>
                <w:sz w:val="21"/>
              </w:rPr>
              <w:t>1.1 项目背景</w:t>
            </w:r>
          </w:p>
          <w:p>
            <w:pPr>
              <w:ind w:firstLine="420"/>
              <w:jc w:val="left"/>
            </w:pPr>
            <w:r>
              <w:rPr>
                <w:sz w:val="21"/>
              </w:rPr>
              <w:t>实现修复城市水生态、改善城市水环境、提高城市水安全等多重目标的有效手段。对河涌水体自然形态进行治理和修复，逐步改善河涌水环境质量，构建良性生态循环系统，实施生态修复，营造多样性生物生存环境。</w:t>
            </w:r>
          </w:p>
          <w:p>
            <w:pPr>
              <w:jc w:val="left"/>
            </w:pPr>
            <w:r>
              <w:rPr>
                <w:b/>
                <w:sz w:val="21"/>
              </w:rPr>
              <w:t>1.2 项目原则</w:t>
            </w:r>
          </w:p>
          <w:p>
            <w:pPr>
              <w:ind w:firstLine="420"/>
              <w:jc w:val="left"/>
            </w:pPr>
            <w:r>
              <w:rPr>
                <w:sz w:val="21"/>
              </w:rPr>
              <w:t>1、执行国家相关环境保护的政策，运营工作符合国家有关法规、规范及标准；</w:t>
            </w:r>
          </w:p>
          <w:p>
            <w:pPr>
              <w:ind w:firstLine="420"/>
              <w:jc w:val="left"/>
            </w:pPr>
            <w:r>
              <w:rPr>
                <w:sz w:val="21"/>
              </w:rPr>
              <w:t>2、优先采用技术先进成熟、稳定、可靠的运营管理措施，确保河涌水质稳定达标；</w:t>
            </w:r>
          </w:p>
          <w:p>
            <w:pPr>
              <w:ind w:firstLine="420"/>
              <w:jc w:val="left"/>
            </w:pPr>
            <w:r>
              <w:rPr>
                <w:sz w:val="21"/>
              </w:rPr>
              <w:t>3、在项目运营管理范围内，本着便于运营和维护管理的原则，合理分配人员及设备，配合项目环境情况，集中管理，降低成本；</w:t>
            </w:r>
          </w:p>
          <w:p>
            <w:pPr>
              <w:ind w:firstLine="420"/>
              <w:jc w:val="left"/>
            </w:pPr>
            <w:r>
              <w:rPr>
                <w:sz w:val="21"/>
              </w:rPr>
              <w:t>4、加强运营团队专业化管理能力，在运营组织方面充分发挥专业管理人员和专业运营人员的优势，采用综合运营手段，做到合理调配；</w:t>
            </w:r>
          </w:p>
          <w:p>
            <w:pPr>
              <w:jc w:val="both"/>
            </w:pPr>
            <w:r>
              <w:rPr>
                <w:b/>
                <w:sz w:val="24"/>
              </w:rPr>
              <w:t>二、</w:t>
            </w:r>
            <w:r>
              <w:rPr>
                <w:b/>
                <w:sz w:val="24"/>
              </w:rPr>
              <w:t>服务内容及要求</w:t>
            </w:r>
          </w:p>
          <w:p>
            <w:pPr>
              <w:jc w:val="left"/>
            </w:pPr>
            <w:r>
              <w:rPr>
                <w:b/>
                <w:sz w:val="21"/>
              </w:rPr>
              <w:t>2.1 项目服务范围</w:t>
            </w:r>
          </w:p>
          <w:p>
            <w:pPr>
              <w:ind w:firstLine="420"/>
              <w:jc w:val="both"/>
            </w:pPr>
            <w:r>
              <w:rPr>
                <w:sz w:val="21"/>
              </w:rPr>
              <w:t>猪头山泵站干渠长约</w:t>
            </w:r>
            <w:r>
              <w:rPr>
                <w:sz w:val="21"/>
              </w:rPr>
              <w:t>2.2 km</w:t>
            </w:r>
            <w:r>
              <w:rPr>
                <w:sz w:val="21"/>
              </w:rPr>
              <w:t>，宽</w:t>
            </w:r>
            <w:r>
              <w:rPr>
                <w:sz w:val="21"/>
              </w:rPr>
              <w:t>15m</w:t>
            </w:r>
            <w:r>
              <w:rPr>
                <w:sz w:val="21"/>
              </w:rPr>
              <w:t>，深约</w:t>
            </w:r>
            <w:r>
              <w:rPr>
                <w:sz w:val="21"/>
              </w:rPr>
              <w:t>1.5m</w:t>
            </w:r>
            <w:r>
              <w:rPr>
                <w:sz w:val="21"/>
              </w:rPr>
              <w:t>。</w:t>
            </w:r>
          </w:p>
          <w:p>
            <w:pPr>
              <w:jc w:val="left"/>
            </w:pPr>
            <w:r>
              <w:rPr>
                <w:b/>
                <w:sz w:val="21"/>
              </w:rPr>
              <w:t>2.2 项目服务内容</w:t>
            </w:r>
          </w:p>
          <w:tbl>
            <w:tblPr>
              <w:tblInd w:type="dxa" w:w="10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933"/>
                  <w:tcBorders>
                    <w:top w:val="single" w:color="000000" w:sz="4"/>
                    <w:left w:val="none" w:color="000000" w:sz="4"/>
                    <w:bottom w:val="single" w:color="000000" w:sz="4"/>
                    <w:right w:val="single" w:color="000000" w:sz="4"/>
                  </w:tcBorders>
                  <w:vAlign w:val="top"/>
                </w:tcPr>
                <w:p>
                  <w:pPr>
                    <w:jc w:val="center"/>
                  </w:pPr>
                  <w:r>
                    <w:rPr>
                      <w:sz w:val="21"/>
                    </w:rPr>
                    <w:t>参数明细</w:t>
                  </w:r>
                </w:p>
              </w:tc>
              <w:tc>
                <w:tcPr>
                  <w:tcW w:type="dxa" w:w="933"/>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33"/>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33"/>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系统运行用电</w:t>
                  </w:r>
                </w:p>
              </w:tc>
              <w:tc>
                <w:tcPr>
                  <w:tcW w:type="dxa" w:w="933"/>
                  <w:tcBorders>
                    <w:top w:val="none" w:color="000000" w:sz="4"/>
                    <w:left w:val="none" w:color="000000" w:sz="4"/>
                    <w:bottom w:val="single" w:color="000000" w:sz="4"/>
                    <w:right w:val="single" w:color="000000" w:sz="4"/>
                  </w:tcBorders>
                  <w:vAlign w:val="top"/>
                </w:tcPr>
                <w:p>
                  <w:pPr>
                    <w:jc w:val="left"/>
                  </w:pPr>
                  <w:r>
                    <w:rPr>
                      <w:sz w:val="21"/>
                    </w:rPr>
                    <w:t>1.曝气系统，3套，每套3.3kW，每天运行12小时</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总用电量约为</w:t>
                  </w:r>
                  <w:r>
                    <w:rPr>
                      <w:sz w:val="21"/>
                    </w:rPr>
                    <w:t>78716kw*h/月。</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2.推流器，6台，每台3.5kW，每天运行12小时</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3.一体化处理装置，3套，每套21.2kW，每天运行12小时</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4.暗渠管网溢流口抽水泵，6台（13.5kw3台，7.5kw2台，5.5kw1台），每天运行24小时</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5.水面垃圾收集器（撇渣机），2套，每套0.8kW，每天运行12小时</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6.板框压滤机，液压机3KW一台、进料螺杆泵4KW*二台（一备一用）、清水泵3KW一台，每月大概使用4次，每次工作时间约5个小时</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人员费用</w:t>
                  </w:r>
                </w:p>
              </w:tc>
              <w:tc>
                <w:tcPr>
                  <w:tcW w:type="dxa" w:w="933"/>
                  <w:tcBorders>
                    <w:top w:val="none" w:color="000000" w:sz="4"/>
                    <w:left w:val="none" w:color="000000" w:sz="4"/>
                    <w:bottom w:val="single" w:color="000000" w:sz="4"/>
                    <w:right w:val="single" w:color="000000" w:sz="4"/>
                  </w:tcBorders>
                  <w:vAlign w:val="top"/>
                </w:tcPr>
                <w:p>
                  <w:pPr>
                    <w:jc w:val="left"/>
                  </w:pPr>
                  <w:r>
                    <w:rPr>
                      <w:sz w:val="21"/>
                    </w:rPr>
                    <w:t>项目管理人员</w:t>
                  </w:r>
                  <w:r>
                    <w:rPr>
                      <w:sz w:val="21"/>
                    </w:rPr>
                    <w:t>1名</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现场运维操作人员</w:t>
                  </w:r>
                  <w:r>
                    <w:rPr>
                      <w:sz w:val="21"/>
                    </w:rPr>
                    <w:t>2名</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药剂</w:t>
                  </w:r>
                </w:p>
              </w:tc>
              <w:tc>
                <w:tcPr>
                  <w:tcW w:type="dxa" w:w="933"/>
                  <w:tcBorders>
                    <w:top w:val="none" w:color="000000" w:sz="4"/>
                    <w:left w:val="none" w:color="000000" w:sz="4"/>
                    <w:bottom w:val="single" w:color="000000" w:sz="4"/>
                    <w:right w:val="single" w:color="000000" w:sz="4"/>
                  </w:tcBorders>
                  <w:vAlign w:val="top"/>
                </w:tcPr>
                <w:p>
                  <w:pPr>
                    <w:jc w:val="left"/>
                  </w:pPr>
                  <w:r>
                    <w:rPr>
                      <w:sz w:val="21"/>
                    </w:rPr>
                    <w:t>一体化设备运维药剂（</w:t>
                  </w:r>
                  <w:r>
                    <w:rPr>
                      <w:sz w:val="21"/>
                    </w:rPr>
                    <w:t>PAC），每套设备每天用药量30kg，加药浓度为50mg/L，设备处理水量为50m</w:t>
                  </w:r>
                  <w:r>
                    <w:rPr>
                      <w:sz w:val="21"/>
                      <w:vertAlign w:val="superscript"/>
                    </w:rPr>
                    <w:t>3</w:t>
                  </w:r>
                  <w:r>
                    <w:rPr>
                      <w:sz w:val="21"/>
                    </w:rPr>
                    <w:t>/h，日运行时间12h</w:t>
                  </w:r>
                  <w:r>
                    <w:rPr>
                      <w:sz w:val="21"/>
                    </w:rPr>
                    <w:t>，</w:t>
                  </w:r>
                  <w:r>
                    <w:rPr>
                      <w:sz w:val="21"/>
                    </w:rPr>
                    <w:t>设备数量为</w:t>
                  </w:r>
                  <w:r>
                    <w:rPr>
                      <w:sz w:val="21"/>
                    </w:rPr>
                    <w:t>3套。</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r>
                    <w:rPr>
                      <w:sz w:val="21"/>
                    </w:rPr>
                    <w:t>设备总用药量约为</w:t>
                  </w:r>
                  <w:r>
                    <w:rPr>
                      <w:sz w:val="21"/>
                    </w:rPr>
                    <w:t>2.7t/月。</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一体化设备运维药剂（</w:t>
                  </w:r>
                  <w:r>
                    <w:rPr>
                      <w:sz w:val="21"/>
                    </w:rPr>
                    <w:t>PAM），每套设备每天用药量3kg，加药浓度为5mg/L，设备处理水量为50m3/h，日运行时间12h</w:t>
                  </w:r>
                  <w:r>
                    <w:rPr>
                      <w:sz w:val="21"/>
                    </w:rPr>
                    <w:t>，</w:t>
                  </w:r>
                  <w:r>
                    <w:rPr>
                      <w:sz w:val="21"/>
                    </w:rPr>
                    <w:t>设备数量为</w:t>
                  </w:r>
                  <w:r>
                    <w:rPr>
                      <w:sz w:val="21"/>
                    </w:rPr>
                    <w:t>3套。</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r>
                    <w:rPr>
                      <w:sz w:val="21"/>
                    </w:rPr>
                    <w:t>设备总用药量约为</w:t>
                  </w:r>
                  <w:r>
                    <w:rPr>
                      <w:sz w:val="21"/>
                    </w:rPr>
                    <w:t>0.27t/月。</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污泥处置</w:t>
                  </w:r>
                </w:p>
              </w:tc>
              <w:tc>
                <w:tcPr>
                  <w:tcW w:type="dxa" w:w="933"/>
                  <w:tcBorders>
                    <w:top w:val="none" w:color="000000" w:sz="4"/>
                    <w:left w:val="none" w:color="000000" w:sz="4"/>
                    <w:bottom w:val="single" w:color="000000" w:sz="4"/>
                    <w:right w:val="single" w:color="000000" w:sz="4"/>
                  </w:tcBorders>
                  <w:vAlign w:val="top"/>
                </w:tcPr>
                <w:p>
                  <w:pPr>
                    <w:jc w:val="left"/>
                  </w:pPr>
                  <w:r>
                    <w:rPr>
                      <w:sz w:val="21"/>
                    </w:rPr>
                    <w:t>设备每月压泥</w:t>
                  </w:r>
                  <w:r>
                    <w:rPr>
                      <w:sz w:val="21"/>
                    </w:rPr>
                    <w:t>4次，每次产生污泥约1吨</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center"/>
                  </w:pPr>
                  <w:r>
                    <w:rPr>
                      <w:sz w:val="21"/>
                    </w:rPr>
                    <w:t>菌剂</w:t>
                  </w:r>
                </w:p>
              </w:tc>
              <w:tc>
                <w:tcPr>
                  <w:tcW w:type="dxa" w:w="933"/>
                  <w:tcBorders>
                    <w:top w:val="none" w:color="000000" w:sz="4"/>
                    <w:left w:val="none" w:color="000000" w:sz="4"/>
                    <w:bottom w:val="single" w:color="000000" w:sz="4"/>
                    <w:right w:val="single" w:color="000000" w:sz="4"/>
                  </w:tcBorders>
                  <w:vAlign w:val="top"/>
                </w:tcPr>
                <w:p>
                  <w:pPr>
                    <w:jc w:val="left"/>
                  </w:pPr>
                  <w:r>
                    <w:rPr>
                      <w:sz w:val="21"/>
                    </w:rPr>
                    <w:t>复合微生物菌剂</w:t>
                  </w:r>
                  <w:r>
                    <w:rPr>
                      <w:sz w:val="21"/>
                    </w:rPr>
                    <w:t>DH-36</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r>
                    <w:rPr>
                      <w:sz w:val="21"/>
                    </w:rPr>
                    <w:t>根据运维记录，河涌排站水闸每月开闸约为</w:t>
                  </w:r>
                  <w:r>
                    <w:rPr>
                      <w:sz w:val="21"/>
                    </w:rPr>
                    <w:t>4次，每次排水后投加一次菌剂，菌剂的量约为0.1吨，月投放量月约为0.4吨。</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vMerge w:val="restart"/>
                  <w:tcBorders>
                    <w:top w:val="none" w:color="000000" w:sz="4"/>
                    <w:left w:val="none" w:color="000000" w:sz="4"/>
                    <w:bottom w:val="single" w:color="000000" w:sz="4"/>
                    <w:right w:val="single" w:color="000000" w:sz="4"/>
                  </w:tcBorders>
                  <w:vAlign w:val="top"/>
                </w:tcPr>
                <w:p>
                  <w:pPr>
                    <w:jc w:val="center"/>
                  </w:pPr>
                  <w:r>
                    <w:rPr>
                      <w:sz w:val="21"/>
                    </w:rPr>
                    <w:t>第三方检测</w:t>
                  </w:r>
                </w:p>
              </w:tc>
              <w:tc>
                <w:tcPr>
                  <w:tcW w:type="dxa" w:w="933"/>
                  <w:tcBorders>
                    <w:top w:val="none" w:color="000000" w:sz="4"/>
                    <w:left w:val="none" w:color="000000" w:sz="4"/>
                    <w:bottom w:val="single" w:color="000000" w:sz="4"/>
                    <w:right w:val="single" w:color="000000" w:sz="4"/>
                  </w:tcBorders>
                  <w:vAlign w:val="top"/>
                </w:tcPr>
                <w:p>
                  <w:pPr>
                    <w:jc w:val="left"/>
                  </w:pPr>
                  <w:r>
                    <w:rPr>
                      <w:sz w:val="21"/>
                    </w:rPr>
                    <w:t>检测项为：氨氮、透明度、溶解氧、氧化还原电位、总磷、化学需氧量</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vAlign w:val="top"/>
                </w:tcPr>
                <w:p>
                  <w:pPr>
                    <w:jc w:val="left"/>
                  </w:pPr>
                  <w:r>
                    <w:rPr>
                      <w:sz w:val="21"/>
                    </w:rPr>
                    <w:t>检测采样交通</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left"/>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none" w:color="000000" w:sz="4"/>
                    <w:bottom w:val="single" w:color="000000" w:sz="4"/>
                    <w:right w:val="single" w:color="000000" w:sz="4"/>
                  </w:tcBorders>
                  <w:vAlign w:val="top"/>
                </w:tcPr>
                <w:p>
                  <w:pPr>
                    <w:jc w:val="center"/>
                  </w:pPr>
                  <w:r>
                    <w:rPr>
                      <w:sz w:val="21"/>
                    </w:rPr>
                    <w:t>场地租金</w:t>
                  </w:r>
                </w:p>
              </w:tc>
              <w:tc>
                <w:tcPr>
                  <w:tcW w:type="dxa" w:w="933"/>
                  <w:tcBorders>
                    <w:top w:val="none" w:color="000000" w:sz="4"/>
                    <w:left w:val="none" w:color="000000" w:sz="4"/>
                    <w:bottom w:val="single" w:color="000000" w:sz="4"/>
                    <w:right w:val="single" w:color="000000" w:sz="4"/>
                  </w:tcBorders>
                  <w:vAlign w:val="top"/>
                </w:tcPr>
                <w:p>
                  <w:pPr>
                    <w:jc w:val="left"/>
                  </w:pPr>
                  <w:r>
                    <w:rPr>
                      <w:sz w:val="21"/>
                    </w:rPr>
                    <w:t>项目</w:t>
                  </w:r>
                  <w:r>
                    <w:rPr>
                      <w:sz w:val="21"/>
                    </w:rPr>
                    <w:t>2号运维点租用工业区用地，租用面积200㎡</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center"/>
                  </w:pP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none" w:color="000000" w:sz="4"/>
                    <w:bottom w:val="single" w:color="000000" w:sz="4"/>
                    <w:right w:val="single" w:color="000000" w:sz="4"/>
                  </w:tcBorders>
                  <w:vAlign w:val="top"/>
                </w:tcPr>
                <w:p>
                  <w:pPr>
                    <w:jc w:val="center"/>
                  </w:pPr>
                  <w:r>
                    <w:rPr>
                      <w:sz w:val="21"/>
                    </w:rPr>
                    <w:t>项目管理</w:t>
                  </w:r>
                </w:p>
              </w:tc>
              <w:tc>
                <w:tcPr>
                  <w:tcW w:type="dxa" w:w="933"/>
                  <w:tcBorders>
                    <w:top w:val="none" w:color="000000" w:sz="4"/>
                    <w:left w:val="none" w:color="000000" w:sz="4"/>
                    <w:bottom w:val="single" w:color="000000" w:sz="4"/>
                    <w:right w:val="single" w:color="000000" w:sz="4"/>
                  </w:tcBorders>
                  <w:vAlign w:val="top"/>
                </w:tcPr>
                <w:p>
                  <w:pPr>
                    <w:jc w:val="left"/>
                  </w:pPr>
                  <w:r>
                    <w:rPr>
                      <w:sz w:val="21"/>
                    </w:rPr>
                    <w:t>设备维护保养</w:t>
                  </w:r>
                </w:p>
              </w:tc>
              <w:tc>
                <w:tcPr>
                  <w:tcW w:type="dxa" w:w="933"/>
                  <w:tcBorders>
                    <w:top w:val="none" w:color="000000" w:sz="4"/>
                    <w:left w:val="none" w:color="000000" w:sz="4"/>
                    <w:bottom w:val="single" w:color="000000" w:sz="4"/>
                    <w:right w:val="single" w:color="000000" w:sz="4"/>
                  </w:tcBorders>
                  <w:vAlign w:val="top"/>
                </w:tcPr>
                <w:p>
                  <w:pPr>
                    <w:jc w:val="center"/>
                  </w:pPr>
                  <w:r>
                    <w:rPr>
                      <w:sz w:val="21"/>
                    </w:rPr>
                    <w:t>月</w:t>
                  </w:r>
                </w:p>
              </w:tc>
              <w:tc>
                <w:tcPr>
                  <w:tcW w:type="dxa" w:w="933"/>
                  <w:tcBorders>
                    <w:top w:val="none" w:color="000000" w:sz="4"/>
                    <w:left w:val="none" w:color="000000" w:sz="4"/>
                    <w:bottom w:val="single" w:color="000000" w:sz="4"/>
                    <w:right w:val="single" w:color="000000" w:sz="4"/>
                  </w:tcBorders>
                  <w:vAlign w:val="top"/>
                </w:tcPr>
                <w:p>
                  <w:pPr>
                    <w:jc w:val="center"/>
                  </w:pPr>
                  <w:r>
                    <w:rPr>
                      <w:sz w:val="21"/>
                    </w:rPr>
                    <w:t>12</w:t>
                  </w:r>
                </w:p>
              </w:tc>
              <w:tc>
                <w:tcPr>
                  <w:tcW w:type="dxa" w:w="933"/>
                  <w:tcBorders>
                    <w:top w:val="none" w:color="000000" w:sz="4"/>
                    <w:left w:val="none" w:color="000000" w:sz="4"/>
                    <w:bottom w:val="single" w:color="000000" w:sz="4"/>
                    <w:right w:val="single" w:color="000000" w:sz="4"/>
                  </w:tcBorders>
                  <w:vAlign w:val="top"/>
                </w:tcPr>
                <w:p>
                  <w:pPr>
                    <w:jc w:val="center"/>
                  </w:pPr>
                </w:p>
              </w:tc>
            </w:tr>
          </w:tbl>
          <w:p>
            <w:pPr>
              <w:jc w:val="left"/>
            </w:pPr>
            <w:r>
              <w:rPr>
                <w:b/>
                <w:sz w:val="21"/>
              </w:rPr>
              <w:t>2</w:t>
            </w:r>
            <w:r>
              <w:rPr>
                <w:b/>
                <w:sz w:val="21"/>
              </w:rPr>
              <w:t>.3 项目服务目标</w:t>
            </w:r>
          </w:p>
          <w:p>
            <w:pPr>
              <w:ind w:firstLine="420"/>
              <w:jc w:val="left"/>
            </w:pPr>
            <w:r>
              <w:rPr>
                <w:sz w:val="21"/>
              </w:rPr>
              <w:t>服务目标：运营期内考核水体主要指标（氨氮、总磷、化学需氧量、溶解氧）达到地表水</w:t>
            </w:r>
            <w:r>
              <w:rPr>
                <w:sz w:val="21"/>
              </w:rPr>
              <w:t>V类标准（GB 3838-2002），标准指标见表1。</w:t>
            </w:r>
          </w:p>
          <w:p>
            <w:pPr>
              <w:jc w:val="center"/>
            </w:pPr>
            <w:r>
              <w:rPr>
                <w:b/>
                <w:sz w:val="21"/>
              </w:rPr>
              <w:t>表</w:t>
            </w:r>
            <w:r>
              <w:rPr>
                <w:b/>
                <w:sz w:val="21"/>
              </w:rPr>
              <w:t xml:space="preserve">1  </w:t>
            </w:r>
            <w:r>
              <w:rPr>
                <w:b/>
                <w:sz w:val="21"/>
              </w:rPr>
              <w:t>水质</w:t>
            </w:r>
            <w:r>
              <w:rPr>
                <w:b/>
                <w:sz w:val="21"/>
              </w:rPr>
              <w:t>标准</w:t>
            </w:r>
          </w:p>
          <w:tbl>
            <w:tblPr>
              <w:tblBorders>
                <w:top w:val="none" w:color="000000" w:sz="4"/>
                <w:left w:val="none" w:color="000000" w:sz="4"/>
                <w:bottom w:val="none" w:color="000000" w:sz="4"/>
                <w:right w:val="none" w:color="000000" w:sz="4"/>
                <w:insideH w:val="none"/>
                <w:insideV w:val="none"/>
              </w:tblBorders>
            </w:tblPr>
            <w:tblGrid>
              <w:gridCol w:w="1119"/>
              <w:gridCol w:w="1416"/>
              <w:gridCol w:w="970"/>
              <w:gridCol w:w="970"/>
              <w:gridCol w:w="1119"/>
            </w:tblGrid>
            <w:tr>
              <w:tc>
                <w:tcPr>
                  <w:tcW w:type="dxa" w:w="1119"/>
                  <w:tcBorders>
                    <w:top w:val="single" w:color="000000" w:sz="4"/>
                    <w:left w:val="single" w:color="000000" w:sz="4"/>
                    <w:bottom w:val="single" w:color="000000" w:sz="4"/>
                    <w:right w:val="single" w:color="000000" w:sz="4"/>
                  </w:tcBorders>
                  <w:vAlign w:val="top"/>
                </w:tcPr>
                <w:p>
                  <w:pPr>
                    <w:jc w:val="center"/>
                  </w:pPr>
                  <w:r>
                    <w:rPr>
                      <w:sz w:val="21"/>
                    </w:rPr>
                    <w:t>标准</w:t>
                  </w:r>
                </w:p>
              </w:tc>
              <w:tc>
                <w:tcPr>
                  <w:tcW w:type="dxa" w:w="1416"/>
                  <w:tcBorders>
                    <w:top w:val="single" w:color="000000" w:sz="4"/>
                    <w:left w:val="single" w:color="000000" w:sz="4"/>
                    <w:bottom w:val="single" w:color="000000" w:sz="4"/>
                    <w:right w:val="single" w:color="000000" w:sz="4"/>
                  </w:tcBorders>
                  <w:vAlign w:val="top"/>
                </w:tcPr>
                <w:p>
                  <w:pPr>
                    <w:jc w:val="center"/>
                  </w:pPr>
                  <w:r>
                    <w:rPr>
                      <w:sz w:val="21"/>
                    </w:rPr>
                    <w:t>化学需氧量（</w:t>
                  </w:r>
                  <w:r>
                    <w:rPr>
                      <w:sz w:val="21"/>
                    </w:rPr>
                    <w:t>mg/L）</w:t>
                  </w:r>
                </w:p>
              </w:tc>
              <w:tc>
                <w:tcPr>
                  <w:tcW w:type="dxa" w:w="970"/>
                  <w:tcBorders>
                    <w:top w:val="single" w:color="000000" w:sz="4"/>
                    <w:left w:val="single" w:color="000000" w:sz="4"/>
                    <w:bottom w:val="single" w:color="000000" w:sz="4"/>
                    <w:right w:val="single" w:color="000000" w:sz="4"/>
                  </w:tcBorders>
                  <w:vAlign w:val="top"/>
                </w:tcPr>
                <w:p>
                  <w:pPr>
                    <w:jc w:val="center"/>
                  </w:pPr>
                  <w:r>
                    <w:rPr>
                      <w:sz w:val="21"/>
                    </w:rPr>
                    <w:t>氨氮（</w:t>
                  </w:r>
                  <w:r>
                    <w:rPr>
                      <w:sz w:val="21"/>
                    </w:rPr>
                    <w:t>mg/L）</w:t>
                  </w:r>
                </w:p>
              </w:tc>
              <w:tc>
                <w:tcPr>
                  <w:tcW w:type="dxa" w:w="970"/>
                  <w:tcBorders>
                    <w:top w:val="single" w:color="000000" w:sz="4"/>
                    <w:left w:val="single" w:color="000000" w:sz="4"/>
                    <w:bottom w:val="single" w:color="000000" w:sz="4"/>
                    <w:right w:val="single" w:color="000000" w:sz="4"/>
                  </w:tcBorders>
                  <w:vAlign w:val="top"/>
                </w:tcPr>
                <w:p>
                  <w:pPr>
                    <w:jc w:val="center"/>
                  </w:pPr>
                  <w:r>
                    <w:rPr>
                      <w:sz w:val="21"/>
                    </w:rPr>
                    <w:t>总磷（</w:t>
                  </w:r>
                  <w:r>
                    <w:rPr>
                      <w:sz w:val="21"/>
                    </w:rPr>
                    <w:t>mg/L）</w:t>
                  </w:r>
                </w:p>
              </w:tc>
              <w:tc>
                <w:tcPr>
                  <w:tcW w:type="dxa" w:w="1119"/>
                  <w:tcBorders>
                    <w:top w:val="single" w:color="000000" w:sz="4"/>
                    <w:left w:val="single" w:color="000000" w:sz="4"/>
                    <w:bottom w:val="single" w:color="000000" w:sz="4"/>
                    <w:right w:val="single" w:color="000000" w:sz="4"/>
                  </w:tcBorders>
                  <w:vAlign w:val="top"/>
                </w:tcPr>
                <w:p>
                  <w:pPr>
                    <w:jc w:val="center"/>
                  </w:pPr>
                  <w:r>
                    <w:rPr>
                      <w:sz w:val="21"/>
                    </w:rPr>
                    <w:t>溶解氧（</w:t>
                  </w:r>
                  <w:r>
                    <w:rPr>
                      <w:sz w:val="21"/>
                    </w:rPr>
                    <w:t>mg/L）</w:t>
                  </w:r>
                </w:p>
              </w:tc>
            </w:tr>
            <w:tr>
              <w:tc>
                <w:tcPr>
                  <w:tcW w:type="dxa" w:w="1119"/>
                  <w:tcBorders>
                    <w:top w:val="none" w:color="000000" w:sz="4"/>
                    <w:left w:val="single" w:color="000000" w:sz="4"/>
                    <w:bottom w:val="single" w:color="000000" w:sz="4"/>
                    <w:right w:val="single" w:color="000000" w:sz="4"/>
                  </w:tcBorders>
                  <w:vAlign w:val="top"/>
                </w:tcPr>
                <w:p>
                  <w:pPr>
                    <w:jc w:val="center"/>
                  </w:pPr>
                  <w:r>
                    <w:rPr>
                      <w:sz w:val="21"/>
                    </w:rPr>
                    <w:t>地表</w:t>
                  </w:r>
                  <w:r>
                    <w:rPr>
                      <w:sz w:val="21"/>
                    </w:rPr>
                    <w:t>水</w:t>
                  </w:r>
                  <w:r>
                    <w:rPr>
                      <w:sz w:val="21"/>
                    </w:rPr>
                    <w:t>V类标准</w:t>
                  </w:r>
                </w:p>
              </w:tc>
              <w:tc>
                <w:tcPr>
                  <w:tcW w:type="dxa" w:w="141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70"/>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1119"/>
                  <w:tcBorders>
                    <w:top w:val="none" w:color="000000" w:sz="4"/>
                    <w:left w:val="single" w:color="000000" w:sz="4"/>
                    <w:bottom w:val="single" w:color="000000" w:sz="4"/>
                    <w:right w:val="single" w:color="000000" w:sz="4"/>
                  </w:tcBorders>
                  <w:vAlign w:val="top"/>
                </w:tcPr>
                <w:p>
                  <w:pPr>
                    <w:jc w:val="center"/>
                  </w:pPr>
                  <w:r>
                    <w:rPr>
                      <w:sz w:val="21"/>
                    </w:rPr>
                    <w:t>≥2</w:t>
                  </w:r>
                </w:p>
              </w:tc>
            </w:tr>
          </w:tbl>
          <w:p>
            <w:pPr>
              <w:jc w:val="left"/>
            </w:pPr>
            <w:r>
              <w:rPr>
                <w:b/>
                <w:sz w:val="21"/>
              </w:rPr>
              <w:t>2</w:t>
            </w:r>
            <w:r>
              <w:rPr>
                <w:b/>
                <w:sz w:val="21"/>
              </w:rPr>
              <w:t>.4 项目运营期费用</w:t>
            </w:r>
          </w:p>
          <w:p>
            <w:pPr>
              <w:ind w:firstLine="420"/>
              <w:jc w:val="left"/>
            </w:pPr>
            <w:r>
              <w:rPr>
                <w:sz w:val="21"/>
              </w:rPr>
              <w:t>项目运营费用包括：运营过程中产生的水费、电费；项目服务范围内各设备维护等运营管理及维护过程所产生一系列的费用；相关设备及管道维护过程中更换配件、零件及其他耗材的费用。</w:t>
            </w:r>
          </w:p>
          <w:p>
            <w:pPr>
              <w:jc w:val="left"/>
            </w:pPr>
            <w:r>
              <w:rPr>
                <w:b/>
                <w:sz w:val="21"/>
              </w:rPr>
              <w:t>2</w:t>
            </w:r>
            <w:r>
              <w:rPr>
                <w:b/>
                <w:sz w:val="21"/>
              </w:rPr>
              <w:t>.5 项目注意事项</w:t>
            </w:r>
          </w:p>
          <w:p>
            <w:pPr>
              <w:ind w:firstLine="420"/>
              <w:jc w:val="left"/>
            </w:pPr>
            <w:r>
              <w:rPr>
                <w:sz w:val="21"/>
              </w:rPr>
              <w:t>1、雨天结束或发生环境突发事件后3日内达到消除黑臭，8日内达到地表V类水体标准</w:t>
            </w:r>
            <w:r>
              <w:rPr>
                <w:sz w:val="21"/>
              </w:rPr>
              <w:t>（详见表</w:t>
            </w:r>
            <w:r>
              <w:rPr>
                <w:sz w:val="21"/>
              </w:rPr>
              <w:t>1</w:t>
            </w:r>
            <w:r>
              <w:rPr>
                <w:sz w:val="21"/>
              </w:rPr>
              <w:t>）</w:t>
            </w:r>
            <w:r>
              <w:rPr>
                <w:sz w:val="21"/>
              </w:rPr>
              <w:t>。</w:t>
            </w:r>
          </w:p>
          <w:p>
            <w:pPr>
              <w:ind w:firstLine="420"/>
              <w:jc w:val="left"/>
            </w:pPr>
            <w:r>
              <w:rPr>
                <w:sz w:val="21"/>
              </w:rPr>
              <w:t>2、中标人须每月自行检测各个区域水质，并向采购单位出具第三方检测报告，日常水质检测费用由中标人自行负责。</w:t>
            </w:r>
          </w:p>
          <w:p>
            <w:pPr>
              <w:ind w:firstLine="420"/>
              <w:jc w:val="left"/>
            </w:pPr>
            <w:r>
              <w:rPr>
                <w:sz w:val="21"/>
              </w:rPr>
              <w:t>3、当中标人发现整治河涌范围内的截污、补水、水位保持等存在有关问题时，应及时向采购人汇报，配合采购人做好相关维护工作。</w:t>
            </w:r>
          </w:p>
          <w:p>
            <w:pPr>
              <w:jc w:val="left"/>
            </w:pPr>
            <w:r>
              <w:rPr>
                <w:b/>
                <w:sz w:val="21"/>
              </w:rPr>
              <w:t>2</w:t>
            </w:r>
            <w:r>
              <w:rPr>
                <w:b/>
                <w:sz w:val="21"/>
              </w:rPr>
              <w:t>.6 环境管理要求</w:t>
            </w:r>
          </w:p>
          <w:p>
            <w:pPr>
              <w:ind w:firstLine="420"/>
              <w:jc w:val="left"/>
            </w:pPr>
            <w:r>
              <w:rPr>
                <w:sz w:val="21"/>
              </w:rPr>
              <w:t>项目运营过程中，中标人应保证不得对项目周边环境造成二次污染和生态破坏，产生的各种垃圾及处置方式必须符合环境保护相关要求。因中标人原因导致水质恶化而产生的水生异物，因中标人设备运行（如曝气等）产生的浮油或其他漂浮物，由中标人自行清理。</w:t>
            </w:r>
          </w:p>
          <w:p>
            <w:pPr>
              <w:jc w:val="both"/>
            </w:pPr>
            <w:r>
              <w:rPr>
                <w:b/>
                <w:sz w:val="24"/>
              </w:rPr>
              <w:t>三、项目运维及监管</w:t>
            </w:r>
          </w:p>
          <w:p>
            <w:pPr>
              <w:jc w:val="left"/>
            </w:pPr>
            <w:r>
              <w:rPr>
                <w:b/>
                <w:sz w:val="21"/>
              </w:rPr>
              <w:t>3</w:t>
            </w:r>
            <w:r>
              <w:rPr>
                <w:b/>
                <w:sz w:val="21"/>
              </w:rPr>
              <w:t>.1 项目运营断面的确定</w:t>
            </w:r>
          </w:p>
          <w:p>
            <w:pPr>
              <w:ind w:firstLine="420"/>
              <w:jc w:val="left"/>
            </w:pPr>
            <w:r>
              <w:rPr>
                <w:sz w:val="21"/>
              </w:rPr>
              <w:t>断面设置：共设置</w:t>
            </w:r>
            <w:r>
              <w:rPr>
                <w:sz w:val="21"/>
              </w:rPr>
              <w:t>3个监测断面。</w:t>
            </w:r>
          </w:p>
          <w:p>
            <w:pPr>
              <w:jc w:val="left"/>
            </w:pPr>
            <w:r>
              <w:rPr>
                <w:b/>
                <w:sz w:val="21"/>
              </w:rPr>
              <w:t>3</w:t>
            </w:r>
            <w:r>
              <w:rPr>
                <w:b/>
                <w:sz w:val="21"/>
              </w:rPr>
              <w:t>.2 考核指标及日常监测频次</w:t>
            </w:r>
          </w:p>
          <w:p>
            <w:pPr>
              <w:ind w:firstLine="420"/>
              <w:jc w:val="left"/>
            </w:pPr>
            <w:r>
              <w:rPr>
                <w:sz w:val="21"/>
              </w:rPr>
              <w:t>1、考核指标：氨氮（NH3-N）、总磷（TP）、化学需氧量（COD）、溶解氧（DO）；</w:t>
            </w:r>
          </w:p>
          <w:p>
            <w:pPr>
              <w:ind w:firstLine="420"/>
              <w:jc w:val="left"/>
            </w:pPr>
            <w:r>
              <w:rPr>
                <w:sz w:val="21"/>
              </w:rPr>
              <w:t>2、日常监测频次：由中标人自行委托第三方有资质的检测单位进行采样检测，每月检测1次；并需每日自行监测河涌水质情况，自检断面3个，完善水质监测台账记录。</w:t>
            </w:r>
          </w:p>
          <w:p>
            <w:pPr>
              <w:jc w:val="left"/>
            </w:pPr>
            <w:r>
              <w:rPr>
                <w:b/>
                <w:sz w:val="21"/>
              </w:rPr>
              <w:t>3</w:t>
            </w:r>
            <w:r>
              <w:rPr>
                <w:b/>
                <w:sz w:val="21"/>
              </w:rPr>
              <w:t>.3</w:t>
            </w:r>
            <w:r>
              <w:rPr>
                <w:b/>
                <w:sz w:val="21"/>
              </w:rPr>
              <w:t>项目考核</w:t>
            </w:r>
            <w:r>
              <w:rPr>
                <w:b/>
                <w:sz w:val="21"/>
              </w:rPr>
              <w:t>条款</w:t>
            </w:r>
          </w:p>
          <w:p>
            <w:pPr>
              <w:ind w:firstLine="420"/>
              <w:jc w:val="left"/>
            </w:pPr>
            <w:r>
              <w:rPr>
                <w:sz w:val="21"/>
              </w:rPr>
              <w:t>1、</w:t>
            </w:r>
            <w:r>
              <w:rPr>
                <w:sz w:val="21"/>
              </w:rPr>
              <w:t>中标人</w:t>
            </w:r>
            <w:r>
              <w:rPr>
                <w:sz w:val="21"/>
              </w:rPr>
              <w:t>完成原有设备</w:t>
            </w:r>
            <w:r>
              <w:rPr>
                <w:sz w:val="21"/>
              </w:rPr>
              <w:t>调试</w:t>
            </w:r>
            <w:r>
              <w:rPr>
                <w:sz w:val="21"/>
              </w:rPr>
              <w:t>并正常运行</w:t>
            </w:r>
            <w:r>
              <w:rPr>
                <w:sz w:val="21"/>
              </w:rPr>
              <w:t>后，确认河道</w:t>
            </w:r>
            <w:r>
              <w:rPr>
                <w:sz w:val="21"/>
              </w:rPr>
              <w:t>水质主要指标</w:t>
            </w:r>
            <w:r>
              <w:rPr>
                <w:sz w:val="21"/>
              </w:rPr>
              <w:t>（详见表</w:t>
            </w:r>
            <w:r>
              <w:rPr>
                <w:sz w:val="21"/>
              </w:rPr>
              <w:t>1</w:t>
            </w:r>
            <w:r>
              <w:rPr>
                <w:sz w:val="21"/>
              </w:rPr>
              <w:t>）</w:t>
            </w:r>
            <w:r>
              <w:rPr>
                <w:sz w:val="21"/>
              </w:rPr>
              <w:t>并满足水质考核目标要求，</w:t>
            </w:r>
            <w:r>
              <w:rPr>
                <w:sz w:val="21"/>
              </w:rPr>
              <w:t>每月</w:t>
            </w:r>
            <w:r>
              <w:rPr>
                <w:sz w:val="21"/>
              </w:rPr>
              <w:t>通过委托有资质的第三方检测机构开展水质检测</w:t>
            </w:r>
            <w:r>
              <w:rPr>
                <w:sz w:val="21"/>
              </w:rPr>
              <w:t>并向采购人提供检测报告。</w:t>
            </w:r>
          </w:p>
          <w:p>
            <w:pPr>
              <w:ind w:firstLine="420"/>
              <w:jc w:val="left"/>
            </w:pPr>
            <w:r>
              <w:rPr>
                <w:sz w:val="21"/>
              </w:rPr>
              <w:t>2、项目运营期</w:t>
            </w:r>
            <w:r>
              <w:rPr>
                <w:sz w:val="21"/>
              </w:rPr>
              <w:t>内的考核要求：河道</w:t>
            </w:r>
            <w:r>
              <w:rPr>
                <w:sz w:val="21"/>
              </w:rPr>
              <w:t>水质主要指标</w:t>
            </w:r>
            <w:r>
              <w:rPr>
                <w:sz w:val="21"/>
              </w:rPr>
              <w:t>达到</w:t>
            </w:r>
            <w:r>
              <w:rPr>
                <w:sz w:val="21"/>
              </w:rPr>
              <w:t>采购人要求指标（详见表</w:t>
            </w:r>
            <w:r>
              <w:rPr>
                <w:sz w:val="21"/>
              </w:rPr>
              <w:t>1</w:t>
            </w:r>
            <w:r>
              <w:rPr>
                <w:sz w:val="21"/>
              </w:rPr>
              <w:t>）</w:t>
            </w:r>
            <w:r>
              <w:rPr>
                <w:sz w:val="21"/>
              </w:rPr>
              <w:t>，</w:t>
            </w:r>
            <w:r>
              <w:rPr>
                <w:sz w:val="21"/>
              </w:rPr>
              <w:t>相关治理设备正常运行，并</w:t>
            </w:r>
            <w:r>
              <w:rPr>
                <w:sz w:val="21"/>
              </w:rPr>
              <w:t>按下列条款考核：</w:t>
            </w:r>
          </w:p>
          <w:p>
            <w:pPr>
              <w:ind w:firstLine="420"/>
            </w:pPr>
            <w:r>
              <w:rPr>
                <w:sz w:val="21"/>
              </w:rPr>
              <w:t>（</w:t>
            </w:r>
            <w:r>
              <w:rPr>
                <w:sz w:val="21"/>
              </w:rPr>
              <w:t>1</w:t>
            </w:r>
            <w:r>
              <w:rPr>
                <w:sz w:val="21"/>
              </w:rPr>
              <w:t>）按月支付，直到项目服务期结束。并根据服务范围水质监测效果进行扣减。</w:t>
            </w:r>
          </w:p>
          <w:p>
            <w:pPr>
              <w:ind w:firstLine="420"/>
            </w:pPr>
            <w:r>
              <w:rPr>
                <w:sz w:val="21"/>
              </w:rPr>
              <w:t>（</w:t>
            </w:r>
            <w:r>
              <w:rPr>
                <w:sz w:val="21"/>
              </w:rPr>
              <w:t>2</w:t>
            </w:r>
            <w:r>
              <w:rPr>
                <w:sz w:val="21"/>
              </w:rPr>
              <w:t>）如当月河涌水质达到地表水</w:t>
            </w:r>
            <w:r>
              <w:rPr>
                <w:sz w:val="21"/>
              </w:rPr>
              <w:t>V</w:t>
            </w:r>
            <w:r>
              <w:rPr>
                <w:sz w:val="21"/>
              </w:rPr>
              <w:t>类标准（氨氮≤</w:t>
            </w:r>
            <w:r>
              <w:rPr>
                <w:sz w:val="21"/>
              </w:rPr>
              <w:t>2mg/L</w:t>
            </w:r>
            <w:r>
              <w:rPr>
                <w:sz w:val="21"/>
              </w:rPr>
              <w:t>、化学需氧量≤</w:t>
            </w:r>
            <w:r>
              <w:rPr>
                <w:sz w:val="21"/>
              </w:rPr>
              <w:t>40mg/L</w:t>
            </w:r>
            <w:r>
              <w:rPr>
                <w:sz w:val="21"/>
              </w:rPr>
              <w:t>、总磷≤</w:t>
            </w:r>
            <w:r>
              <w:rPr>
                <w:sz w:val="21"/>
              </w:rPr>
              <w:t>0.4mg/L</w:t>
            </w:r>
            <w:r>
              <w:rPr>
                <w:sz w:val="21"/>
              </w:rPr>
              <w:t>溶解氧≥</w:t>
            </w:r>
            <w:r>
              <w:rPr>
                <w:sz w:val="21"/>
              </w:rPr>
              <w:t>2mg/L</w:t>
            </w:r>
            <w:r>
              <w:rPr>
                <w:sz w:val="21"/>
              </w:rPr>
              <w:t>），则支付当月该河涌所有运维费用；如未达到地表水</w:t>
            </w:r>
            <w:r>
              <w:rPr>
                <w:sz w:val="21"/>
              </w:rPr>
              <w:t>V</w:t>
            </w:r>
            <w:r>
              <w:rPr>
                <w:sz w:val="21"/>
              </w:rPr>
              <w:t>类标准但满足消除黑臭指标（透明度＞</w:t>
            </w:r>
            <w:r>
              <w:rPr>
                <w:sz w:val="21"/>
              </w:rPr>
              <w:t>25cm,</w:t>
            </w:r>
            <w:r>
              <w:rPr>
                <w:sz w:val="21"/>
              </w:rPr>
              <w:t>溶解氧＞</w:t>
            </w:r>
            <w:r>
              <w:rPr>
                <w:sz w:val="21"/>
              </w:rPr>
              <w:t>2mg/L,</w:t>
            </w:r>
            <w:r>
              <w:rPr>
                <w:sz w:val="21"/>
              </w:rPr>
              <w:t>氧化还原电位＞</w:t>
            </w:r>
            <w:r>
              <w:rPr>
                <w:sz w:val="21"/>
              </w:rPr>
              <w:t>50mV</w:t>
            </w:r>
            <w:r>
              <w:rPr>
                <w:sz w:val="21"/>
              </w:rPr>
              <w:t>，氨氮＜</w:t>
            </w:r>
            <w:r>
              <w:rPr>
                <w:sz w:val="21"/>
              </w:rPr>
              <w:t>8mg/L</w:t>
            </w:r>
            <w:r>
              <w:rPr>
                <w:sz w:val="21"/>
              </w:rPr>
              <w:t>），则支付当月该河涌运维费用</w:t>
            </w:r>
            <w:r>
              <w:rPr>
                <w:sz w:val="21"/>
              </w:rPr>
              <w:t>80%</w:t>
            </w:r>
            <w:r>
              <w:rPr>
                <w:sz w:val="21"/>
              </w:rPr>
              <w:t>；如未能达到消除黑臭目标的，则不予支付当月该河涌运维费用。</w:t>
            </w:r>
          </w:p>
          <w:p>
            <w:pPr>
              <w:ind w:firstLine="420"/>
            </w:pPr>
            <w:r>
              <w:rPr>
                <w:sz w:val="21"/>
              </w:rPr>
              <w:t>（</w:t>
            </w:r>
            <w:r>
              <w:rPr>
                <w:sz w:val="21"/>
              </w:rPr>
              <w:t>3</w:t>
            </w:r>
            <w:r>
              <w:rPr>
                <w:sz w:val="21"/>
              </w:rPr>
              <w:t>）市委托第三方抽检：如当月河涌水质达不到市水环境生态达标考核标准，则扣减当月服务费</w:t>
            </w:r>
            <w:r>
              <w:rPr>
                <w:sz w:val="21"/>
              </w:rPr>
              <w:t>20%</w:t>
            </w:r>
            <w:r>
              <w:rPr>
                <w:sz w:val="21"/>
              </w:rPr>
              <w:t>。</w:t>
            </w:r>
          </w:p>
          <w:p>
            <w:pPr>
              <w:ind w:firstLine="420"/>
            </w:pPr>
            <w:r>
              <w:rPr>
                <w:sz w:val="21"/>
              </w:rPr>
              <w:t>（</w:t>
            </w:r>
            <w:r>
              <w:rPr>
                <w:sz w:val="21"/>
              </w:rPr>
              <w:t>4</w:t>
            </w:r>
            <w:r>
              <w:rPr>
                <w:sz w:val="21"/>
              </w:rPr>
              <w:t>）采购单位考核：采购单位每月对中标单位考核评分，合格线为</w:t>
            </w:r>
            <w:r>
              <w:rPr>
                <w:sz w:val="21"/>
              </w:rPr>
              <w:t>70</w:t>
            </w:r>
            <w:r>
              <w:rPr>
                <w:sz w:val="21"/>
              </w:rPr>
              <w:t>分， 满分</w:t>
            </w:r>
            <w:r>
              <w:rPr>
                <w:sz w:val="21"/>
              </w:rPr>
              <w:t>100</w:t>
            </w:r>
            <w:r>
              <w:rPr>
                <w:sz w:val="21"/>
              </w:rPr>
              <w:t>分。设当月考核分值为</w:t>
            </w:r>
            <w:r>
              <w:rPr>
                <w:sz w:val="21"/>
              </w:rPr>
              <w:t>F</w:t>
            </w:r>
            <w:r>
              <w:rPr>
                <w:sz w:val="21"/>
              </w:rPr>
              <w:t>，则当月考核分值</w:t>
            </w:r>
            <w:r>
              <w:rPr>
                <w:sz w:val="21"/>
              </w:rPr>
              <w:t>F&lt;70</w:t>
            </w:r>
            <w:r>
              <w:rPr>
                <w:sz w:val="21"/>
              </w:rPr>
              <w:t>时，不予支付当月服务费用；</w:t>
            </w:r>
            <w:r>
              <w:rPr>
                <w:sz w:val="21"/>
              </w:rPr>
              <w:t>70</w:t>
            </w:r>
            <w:r>
              <w:rPr>
                <w:sz w:val="21"/>
              </w:rPr>
              <w:t>≤</w:t>
            </w:r>
            <w:r>
              <w:rPr>
                <w:sz w:val="21"/>
              </w:rPr>
              <w:t>F&lt;80</w:t>
            </w:r>
            <w:r>
              <w:rPr>
                <w:sz w:val="21"/>
              </w:rPr>
              <w:t>时，支付当月服务费用的</w:t>
            </w:r>
            <w:r>
              <w:rPr>
                <w:sz w:val="21"/>
              </w:rPr>
              <w:t>70%</w:t>
            </w:r>
            <w:r>
              <w:rPr>
                <w:sz w:val="21"/>
              </w:rPr>
              <w:t>；</w:t>
            </w:r>
            <w:r>
              <w:rPr>
                <w:sz w:val="21"/>
              </w:rPr>
              <w:t>80</w:t>
            </w:r>
            <w:r>
              <w:rPr>
                <w:sz w:val="21"/>
              </w:rPr>
              <w:t>≤</w:t>
            </w:r>
            <w:r>
              <w:rPr>
                <w:sz w:val="21"/>
              </w:rPr>
              <w:t>F&lt;90</w:t>
            </w:r>
            <w:r>
              <w:rPr>
                <w:sz w:val="21"/>
              </w:rPr>
              <w:t>时，支付当月服务费用的</w:t>
            </w:r>
            <w:r>
              <w:rPr>
                <w:sz w:val="21"/>
              </w:rPr>
              <w:t>80%</w:t>
            </w:r>
            <w:r>
              <w:rPr>
                <w:sz w:val="21"/>
              </w:rPr>
              <w:t>； 当月考核分值</w:t>
            </w:r>
            <w:r>
              <w:rPr>
                <w:sz w:val="21"/>
              </w:rPr>
              <w:t>F</w:t>
            </w:r>
            <w:r>
              <w:rPr>
                <w:sz w:val="21"/>
              </w:rPr>
              <w:t>≥</w:t>
            </w:r>
            <w:r>
              <w:rPr>
                <w:sz w:val="21"/>
              </w:rPr>
              <w:t>90</w:t>
            </w:r>
            <w:r>
              <w:rPr>
                <w:sz w:val="21"/>
              </w:rPr>
              <w:t>时，支付当月服务费的</w:t>
            </w:r>
            <w:r>
              <w:rPr>
                <w:sz w:val="21"/>
              </w:rPr>
              <w:t>100%</w:t>
            </w:r>
          </w:p>
          <w:p>
            <w:pPr>
              <w:ind w:firstLine="420"/>
            </w:pPr>
            <w:r>
              <w:rPr>
                <w:sz w:val="21"/>
              </w:rPr>
              <w:t>（</w:t>
            </w:r>
            <w:r>
              <w:rPr>
                <w:sz w:val="21"/>
              </w:rPr>
              <w:t>5</w:t>
            </w:r>
            <w:r>
              <w:rPr>
                <w:sz w:val="21"/>
              </w:rPr>
              <w:t>）服务费在按以上第（</w:t>
            </w:r>
            <w:r>
              <w:rPr>
                <w:sz w:val="21"/>
              </w:rPr>
              <w:t>2</w:t>
            </w:r>
            <w:r>
              <w:rPr>
                <w:sz w:val="21"/>
              </w:rPr>
              <w:t>）、（</w:t>
            </w:r>
            <w:r>
              <w:rPr>
                <w:sz w:val="21"/>
              </w:rPr>
              <w:t>3</w:t>
            </w:r>
            <w:r>
              <w:rPr>
                <w:sz w:val="21"/>
              </w:rPr>
              <w:t>）项执行时（</w:t>
            </w:r>
            <w:r>
              <w:rPr>
                <w:sz w:val="21"/>
              </w:rPr>
              <w:t>2</w:t>
            </w:r>
            <w:r>
              <w:rPr>
                <w:sz w:val="21"/>
              </w:rPr>
              <w:t>项考核取最严者不叠加），还应与第（</w:t>
            </w:r>
            <w:r>
              <w:rPr>
                <w:sz w:val="21"/>
              </w:rPr>
              <w:t>4</w:t>
            </w:r>
            <w:r>
              <w:rPr>
                <w:sz w:val="21"/>
              </w:rPr>
              <w:t>）条采购单位考核处罚叠加。例如，当月第三方水质抽检为达标（对应支付</w:t>
            </w:r>
            <w:r>
              <w:rPr>
                <w:sz w:val="21"/>
              </w:rPr>
              <w:t>100%</w:t>
            </w:r>
            <w:r>
              <w:rPr>
                <w:sz w:val="21"/>
              </w:rPr>
              <w:t>），东莞市抽检不达标（对应支付</w:t>
            </w:r>
            <w:r>
              <w:rPr>
                <w:sz w:val="21"/>
              </w:rPr>
              <w:t>80%</w:t>
            </w:r>
            <w:r>
              <w:rPr>
                <w:sz w:val="21"/>
              </w:rPr>
              <w:t>），采购单位考核为</w:t>
            </w:r>
            <w:r>
              <w:rPr>
                <w:sz w:val="21"/>
              </w:rPr>
              <w:t>85</w:t>
            </w:r>
            <w:r>
              <w:rPr>
                <w:sz w:val="21"/>
              </w:rPr>
              <w:t>分（对应支付</w:t>
            </w:r>
            <w:r>
              <w:rPr>
                <w:sz w:val="21"/>
              </w:rPr>
              <w:t>80%</w:t>
            </w:r>
            <w:r>
              <w:rPr>
                <w:sz w:val="21"/>
              </w:rPr>
              <w:t>），则当月费用实际支付费用为：</w:t>
            </w:r>
            <w:r>
              <w:rPr>
                <w:sz w:val="21"/>
              </w:rPr>
              <w:t>M*80%*80%</w:t>
            </w:r>
            <w:r>
              <w:rPr>
                <w:sz w:val="21"/>
              </w:rPr>
              <w:t>减其它罚款。</w:t>
            </w:r>
          </w:p>
          <w:p>
            <w:pPr>
              <w:ind w:firstLine="420"/>
              <w:jc w:val="left"/>
            </w:pPr>
            <w:r>
              <w:rPr>
                <w:sz w:val="21"/>
              </w:rPr>
              <w:t>（</w:t>
            </w:r>
            <w:r>
              <w:rPr>
                <w:sz w:val="21"/>
              </w:rPr>
              <w:t>6）</w:t>
            </w:r>
            <w:r>
              <w:rPr>
                <w:sz w:val="21"/>
              </w:rPr>
              <w:t>水质考核断面由采购人确定，至少设三个取水点。</w:t>
            </w:r>
          </w:p>
          <w:p>
            <w:pPr>
              <w:jc w:val="left"/>
            </w:pPr>
            <w:r>
              <w:rPr>
                <w:b/>
                <w:sz w:val="21"/>
              </w:rPr>
              <w:t>3</w:t>
            </w:r>
            <w:r>
              <w:rPr>
                <w:b/>
                <w:sz w:val="21"/>
              </w:rPr>
              <w:t>.4 运营管理制度及措施</w:t>
            </w:r>
          </w:p>
          <w:p>
            <w:pPr>
              <w:ind w:firstLine="420"/>
              <w:jc w:val="left"/>
            </w:pPr>
            <w:r>
              <w:rPr>
                <w:sz w:val="21"/>
              </w:rPr>
              <w:t>中标人按照运营方案要求投入足够的管理人员等，包括但不限于技术负责人</w:t>
            </w:r>
            <w:r>
              <w:rPr>
                <w:sz w:val="21"/>
              </w:rPr>
              <w:t>1名、操作工2名，定期对相关材料、设备进行检查及保养，做好运维日志，记录设备运行情况、水质变化情况，及时发现问题并采取相应处理措施，保证设备正常运行且运行时间满足服务合同的要求，确保水质达到相关规定的要求。并做好以下措施：</w:t>
            </w:r>
          </w:p>
          <w:p>
            <w:pPr>
              <w:ind w:firstLine="420"/>
              <w:jc w:val="left"/>
            </w:pPr>
            <w:r>
              <w:rPr>
                <w:sz w:val="21"/>
              </w:rPr>
              <w:t>1、运营管理制度和措施</w:t>
            </w:r>
          </w:p>
          <w:p>
            <w:pPr>
              <w:ind w:firstLine="420"/>
              <w:jc w:val="left"/>
            </w:pPr>
            <w:r>
              <w:rPr>
                <w:sz w:val="21"/>
              </w:rPr>
              <w:t>（</w:t>
            </w:r>
            <w:r>
              <w:rPr>
                <w:sz w:val="21"/>
              </w:rPr>
              <w:t>1）建立完善运营维护台账，定期对整个治理系统、现场环境进行检查和维护，填报相应的运营维护台账，确保系统各项设备都能正常运行，通过定期检查、定期保养，确保整个治理系统正常稳定运行。</w:t>
            </w:r>
          </w:p>
          <w:p>
            <w:pPr>
              <w:ind w:firstLine="420"/>
              <w:jc w:val="left"/>
            </w:pPr>
            <w:r>
              <w:rPr>
                <w:sz w:val="21"/>
              </w:rPr>
              <w:t>（</w:t>
            </w:r>
            <w:r>
              <w:rPr>
                <w:sz w:val="21"/>
              </w:rPr>
              <w:t>2）日常关注周边管网及设备运行情况，每日关注水质变化，做好记录台账。</w:t>
            </w:r>
          </w:p>
          <w:p>
            <w:pPr>
              <w:ind w:firstLine="420"/>
              <w:jc w:val="left"/>
            </w:pPr>
            <w:r>
              <w:rPr>
                <w:sz w:val="21"/>
              </w:rPr>
              <w:t>2、水质异常管理</w:t>
            </w:r>
          </w:p>
          <w:p>
            <w:pPr>
              <w:ind w:firstLine="420"/>
              <w:jc w:val="left"/>
            </w:pPr>
            <w:r>
              <w:rPr>
                <w:sz w:val="21"/>
              </w:rPr>
              <w:t>落实水质保障及应急的主体责任，严格按招标文件及相关合同约定，投入足够的人力、物力、财力，确保水质达到合同约定的要求。同时，须制订行之有效的应急措施，确保雨季及突发水污染事故条件下水质满足合同约定的要求。发现水质污染事故及时向采购人报告。</w:t>
            </w:r>
          </w:p>
          <w:p>
            <w:pPr>
              <w:ind w:firstLine="420"/>
              <w:jc w:val="left"/>
            </w:pPr>
            <w:r>
              <w:rPr>
                <w:sz w:val="21"/>
              </w:rPr>
              <w:t>3、项目运维过程中，所有人必须遵守安全要求，不得进行任何违章作业。</w:t>
            </w:r>
          </w:p>
          <w:p>
            <w:pPr>
              <w:ind w:firstLine="420"/>
              <w:jc w:val="left"/>
            </w:pPr>
            <w:r>
              <w:rPr>
                <w:sz w:val="21"/>
              </w:rPr>
              <w:t>4、项目运维过程中发生危及安全的事件，中标人应进行抢救，减少人员伤亡和财产损失，防止事故扩大，并保护事故现场，相关责任由中标人负责。</w:t>
            </w:r>
          </w:p>
          <w:p>
            <w:pPr>
              <w:ind w:firstLine="420"/>
              <w:jc w:val="left"/>
            </w:pPr>
            <w:r>
              <w:rPr>
                <w:sz w:val="21"/>
              </w:rPr>
              <w:t>5、劳动保障要求</w:t>
            </w:r>
          </w:p>
          <w:p>
            <w:pPr>
              <w:ind w:firstLine="420"/>
              <w:jc w:val="left"/>
            </w:pPr>
            <w:r>
              <w:rPr>
                <w:sz w:val="21"/>
              </w:rPr>
              <w:t>中标人必须为全体作业员工购买社保或人身意外保险，必须重视安全生产工作，确保服务期内不出安全生产任责任事故。如发生安全生产事故或交通事故，由中标人承担一切责任及损失。</w:t>
            </w:r>
          </w:p>
          <w:p>
            <w:pPr>
              <w:jc w:val="both"/>
            </w:pPr>
            <w:r>
              <w:rPr>
                <w:b/>
                <w:sz w:val="24"/>
              </w:rPr>
              <w:t>四、其他要求及注意事项</w:t>
            </w:r>
          </w:p>
          <w:p>
            <w:pPr>
              <w:ind w:firstLine="420"/>
              <w:jc w:val="left"/>
            </w:pPr>
            <w:r>
              <w:rPr>
                <w:sz w:val="21"/>
              </w:rPr>
              <w:t>1、投标人应根据釆购要求，在投标文件中提供切实可行的运营维护服务方案。</w:t>
            </w:r>
          </w:p>
          <w:p>
            <w:pPr>
              <w:ind w:firstLine="420"/>
              <w:jc w:val="left"/>
            </w:pPr>
            <w:r>
              <w:rPr>
                <w:sz w:val="21"/>
              </w:rPr>
              <w:t>2、中标人在运维服务过程中必须采取足够的安全措施，确保作业人员的安全，并自行负责相关安全责任。</w:t>
            </w:r>
          </w:p>
          <w:p>
            <w:pPr>
              <w:ind w:firstLine="420"/>
              <w:jc w:val="left"/>
            </w:pPr>
            <w:r>
              <w:rPr>
                <w:sz w:val="21"/>
              </w:rPr>
              <w:t>3、运营维护期间，设备的使用权归属中标人。</w:t>
            </w:r>
          </w:p>
          <w:p>
            <w:pPr>
              <w:ind w:firstLine="420"/>
              <w:jc w:val="left"/>
            </w:pPr>
            <w:r>
              <w:rPr>
                <w:sz w:val="21"/>
              </w:rPr>
              <w:t>4、本项目用户需求为本次采购最低要求，各投标人可以自行优化计划，为本项目设计最优投标方案。</w:t>
            </w:r>
          </w:p>
          <w:p>
            <w:pPr>
              <w:ind w:firstLine="420"/>
              <w:jc w:val="left"/>
            </w:pPr>
            <w:r>
              <w:rPr>
                <w:sz w:val="21"/>
              </w:rPr>
              <w:t>5、本次招标不组织集中踏勘现场和答疑会，如有需要，投标人应自行前往现场进行踏勘以充分理解本项目的要求。在考察过程中，采购人对投标人自行踏勘现场所作的任何判断和决策不承担任何责任。潜在投标人应承担踏勘现场自身所发生的费用。</w:t>
            </w:r>
          </w:p>
          <w:p>
            <w:pPr>
              <w:ind w:firstLine="420"/>
              <w:jc w:val="left"/>
            </w:pPr>
            <w:r>
              <w:rPr>
                <w:sz w:val="21"/>
              </w:rPr>
              <w:t>6、如本项目涉及特殊工种工作的，中标单位投入人员需持证上岗，</w:t>
            </w:r>
            <w:r>
              <w:rPr>
                <w:sz w:val="21"/>
              </w:rPr>
              <w:t>如需施工备案，中标后中标单位须到当地主管部门进行项目施工备案。</w:t>
            </w:r>
          </w:p>
          <w:p>
            <w:pPr>
              <w:ind w:firstLine="420"/>
              <w:jc w:val="left"/>
            </w:pPr>
            <w:r>
              <w:rPr>
                <w:sz w:val="21"/>
              </w:rPr>
              <w:t>7、项目服务期间，中标人如不具备项目实施过程中的施工类资质，可与采购人协商进行专业分包，经采购人同意后委托符合资质的企业承接本项目的非主体、非关键性工作，费用由中标人自行解决。</w:t>
            </w:r>
          </w:p>
          <w:p>
            <w:pPr>
              <w:jc w:val="both"/>
            </w:pPr>
            <w:r>
              <w:rPr>
                <w:b/>
                <w:sz w:val="24"/>
              </w:rPr>
              <w:t>五、项目移交事项</w:t>
            </w:r>
          </w:p>
          <w:p>
            <w:pPr>
              <w:ind w:firstLine="420"/>
              <w:jc w:val="left"/>
            </w:pPr>
            <w:r>
              <w:rPr>
                <w:sz w:val="21"/>
              </w:rPr>
              <w:t>1、运营到期后的移交</w:t>
            </w:r>
          </w:p>
          <w:p>
            <w:pPr>
              <w:ind w:firstLine="420"/>
              <w:jc w:val="left"/>
            </w:pPr>
            <w:r>
              <w:rPr>
                <w:sz w:val="21"/>
              </w:rPr>
              <w:t>（</w:t>
            </w:r>
            <w:r>
              <w:rPr>
                <w:sz w:val="21"/>
              </w:rPr>
              <w:t>1）在项目运营期届满6个月前，根据相关文件要求成立项目移交工作组，移交工作由日常运管责任单位负责牵头，组织评估项目运营期间各项资料、河涌水质状况及设施设备运行状况等情况后，明确项目移日期、移交程序及移交要求等事项；</w:t>
            </w:r>
          </w:p>
          <w:p>
            <w:pPr>
              <w:ind w:firstLine="420"/>
              <w:jc w:val="both"/>
            </w:pPr>
            <w:r>
              <w:rPr>
                <w:sz w:val="21"/>
              </w:rPr>
              <w:t>（</w:t>
            </w:r>
            <w:r>
              <w:rPr>
                <w:sz w:val="21"/>
              </w:rPr>
              <w:t>2）项目运维期届满后，中标人将项目资产按现状移交给采购人或监管单位。</w:t>
            </w:r>
          </w:p>
          <w:p>
            <w:pPr>
              <w:jc w:val="both"/>
            </w:pPr>
          </w:p>
          <w:p>
            <w:pPr>
              <w:jc w:val="both"/>
            </w:pPr>
            <w:r>
              <w:rPr>
                <w:b/>
                <w:sz w:val="24"/>
              </w:rPr>
              <w:t>附件：《采购单位考核一览表》</w:t>
            </w:r>
          </w:p>
          <w:tbl>
            <w:tblPr>
              <w:tblBorders>
                <w:top w:val="none" w:color="000000" w:sz="4"/>
                <w:left w:val="none" w:color="000000" w:sz="4"/>
                <w:bottom w:val="none" w:color="000000" w:sz="4"/>
                <w:right w:val="none" w:color="000000" w:sz="4"/>
                <w:insideH w:val="none"/>
                <w:insideV w:val="none"/>
              </w:tblBorders>
            </w:tblPr>
            <w:tblGrid>
              <w:gridCol w:w="447"/>
              <w:gridCol w:w="826"/>
              <w:gridCol w:w="826"/>
              <w:gridCol w:w="2662"/>
              <w:gridCol w:w="826"/>
            </w:tblGrid>
            <w:tr>
              <w:tc>
                <w:tcPr>
                  <w:tcW w:type="dxa" w:w="44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26"/>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826"/>
                  <w:tcBorders>
                    <w:top w:val="single" w:color="000000" w:sz="4"/>
                    <w:left w:val="single" w:color="000000" w:sz="4"/>
                    <w:bottom w:val="single" w:color="000000" w:sz="4"/>
                    <w:right w:val="single" w:color="000000" w:sz="4"/>
                  </w:tcBorders>
                  <w:vAlign w:val="top"/>
                </w:tcPr>
                <w:p>
                  <w:pPr>
                    <w:jc w:val="center"/>
                  </w:pPr>
                  <w:r>
                    <w:rPr>
                      <w:b/>
                      <w:sz w:val="21"/>
                    </w:rPr>
                    <w:t>分</w:t>
                  </w:r>
                  <w:r>
                    <w:rPr>
                      <w:b/>
                      <w:sz w:val="21"/>
                    </w:rPr>
                    <w:t>值</w:t>
                  </w:r>
                </w:p>
                <w:p>
                  <w:pPr>
                    <w:jc w:val="center"/>
                  </w:pPr>
                  <w:r>
                    <w:rPr>
                      <w:b/>
                      <w:sz w:val="21"/>
                    </w:rPr>
                    <w:t>（</w:t>
                  </w:r>
                  <w:r>
                    <w:rPr>
                      <w:b/>
                      <w:sz w:val="21"/>
                    </w:rPr>
                    <w:t>100分）</w:t>
                  </w:r>
                </w:p>
              </w:tc>
              <w:tc>
                <w:tcPr>
                  <w:tcW w:type="dxa" w:w="2662"/>
                  <w:tcBorders>
                    <w:top w:val="single" w:color="000000" w:sz="4"/>
                    <w:left w:val="single" w:color="000000" w:sz="4"/>
                    <w:bottom w:val="single" w:color="000000" w:sz="4"/>
                    <w:right w:val="single" w:color="000000" w:sz="4"/>
                  </w:tcBorders>
                  <w:vAlign w:val="top"/>
                </w:tcPr>
                <w:p>
                  <w:pPr>
                    <w:jc w:val="center"/>
                  </w:pPr>
                  <w:r>
                    <w:rPr>
                      <w:b/>
                      <w:sz w:val="21"/>
                    </w:rPr>
                    <w:t>评分原则</w:t>
                  </w:r>
                </w:p>
              </w:tc>
              <w:tc>
                <w:tcPr>
                  <w:tcW w:type="dxa" w:w="826"/>
                  <w:tcBorders>
                    <w:top w:val="single" w:color="000000" w:sz="4"/>
                    <w:left w:val="single" w:color="000000" w:sz="4"/>
                    <w:bottom w:val="single" w:color="000000" w:sz="4"/>
                    <w:right w:val="single" w:color="000000" w:sz="4"/>
                  </w:tcBorders>
                  <w:vAlign w:val="top"/>
                </w:tcPr>
                <w:p>
                  <w:pPr>
                    <w:jc w:val="center"/>
                  </w:pPr>
                  <w:r>
                    <w:rPr>
                      <w:b/>
                      <w:sz w:val="21"/>
                    </w:rPr>
                    <w:t>得</w:t>
                  </w:r>
                  <w:r>
                    <w:rPr>
                      <w:b/>
                      <w:sz w:val="21"/>
                    </w:rPr>
                    <w:t>分</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人员巡查维护</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人员数量足够，巡查到位</w:t>
                  </w:r>
                  <w:r>
                    <w:rPr>
                      <w:sz w:val="21"/>
                    </w:rPr>
                    <w:t>10-15分</w:t>
                  </w:r>
                </w:p>
                <w:p>
                  <w:pPr>
                    <w:jc w:val="left"/>
                  </w:pPr>
                  <w:r>
                    <w:rPr>
                      <w:sz w:val="21"/>
                    </w:rPr>
                    <w:t>人员数量一般，巡查基本到位</w:t>
                  </w:r>
                  <w:r>
                    <w:rPr>
                      <w:sz w:val="21"/>
                    </w:rPr>
                    <w:t>7-10分</w:t>
                  </w:r>
                </w:p>
                <w:p>
                  <w:pPr>
                    <w:jc w:val="left"/>
                  </w:pPr>
                  <w:r>
                    <w:rPr>
                      <w:sz w:val="21"/>
                    </w:rPr>
                    <w:t>人员数量少，巡查不到位</w:t>
                  </w:r>
                  <w:r>
                    <w:rPr>
                      <w:sz w:val="21"/>
                    </w:rPr>
                    <w:t>0-7分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设备维护</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维护情况好</w:t>
                  </w:r>
                  <w:r>
                    <w:rPr>
                      <w:sz w:val="21"/>
                    </w:rPr>
                    <w:t>10-15分</w:t>
                  </w:r>
                </w:p>
                <w:p>
                  <w:pPr>
                    <w:jc w:val="left"/>
                  </w:pPr>
                  <w:r>
                    <w:rPr>
                      <w:sz w:val="21"/>
                    </w:rPr>
                    <w:t>维护情一般</w:t>
                  </w:r>
                  <w:r>
                    <w:rPr>
                      <w:sz w:val="21"/>
                    </w:rPr>
                    <w:t>7-10分</w:t>
                  </w:r>
                </w:p>
                <w:p>
                  <w:pPr>
                    <w:jc w:val="left"/>
                  </w:pPr>
                  <w:r>
                    <w:rPr>
                      <w:sz w:val="21"/>
                    </w:rPr>
                    <w:t>维护情况差</w:t>
                  </w:r>
                  <w:r>
                    <w:rPr>
                      <w:sz w:val="21"/>
                    </w:rPr>
                    <w:t>0-7分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运维日志</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日志完整，反映真实情况</w:t>
                  </w:r>
                  <w:r>
                    <w:rPr>
                      <w:sz w:val="21"/>
                    </w:rPr>
                    <w:t>10-15分</w:t>
                  </w:r>
                </w:p>
                <w:p>
                  <w:pPr>
                    <w:jc w:val="left"/>
                  </w:pPr>
                  <w:r>
                    <w:rPr>
                      <w:sz w:val="21"/>
                    </w:rPr>
                    <w:t>日志基本完整，基本反映真实情况</w:t>
                  </w:r>
                  <w:r>
                    <w:rPr>
                      <w:sz w:val="21"/>
                    </w:rPr>
                    <w:t>5-10分</w:t>
                  </w:r>
                </w:p>
                <w:p>
                  <w:pPr>
                    <w:jc w:val="left"/>
                  </w:pPr>
                  <w:r>
                    <w:rPr>
                      <w:sz w:val="21"/>
                    </w:rPr>
                    <w:t>日志不完整，未能反映真实情况</w:t>
                  </w:r>
                  <w:r>
                    <w:rPr>
                      <w:sz w:val="21"/>
                    </w:rPr>
                    <w:t>0-5分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原位生态修复实施</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严格落实原位生态修复要求</w:t>
                  </w:r>
                  <w:r>
                    <w:rPr>
                      <w:sz w:val="21"/>
                    </w:rPr>
                    <w:t>10-15分</w:t>
                  </w:r>
                </w:p>
                <w:p>
                  <w:pPr>
                    <w:jc w:val="left"/>
                  </w:pPr>
                  <w:r>
                    <w:rPr>
                      <w:sz w:val="21"/>
                    </w:rPr>
                    <w:t>存在投放化学物质嫌疑的</w:t>
                  </w:r>
                  <w:r>
                    <w:rPr>
                      <w:sz w:val="21"/>
                    </w:rPr>
                    <w:t>5-10分</w:t>
                  </w:r>
                </w:p>
                <w:p>
                  <w:pPr>
                    <w:jc w:val="left"/>
                  </w:pPr>
                  <w:r>
                    <w:rPr>
                      <w:sz w:val="21"/>
                    </w:rPr>
                    <w:t>查实存在投放化学物质行为的</w:t>
                  </w:r>
                  <w:r>
                    <w:rPr>
                      <w:sz w:val="21"/>
                    </w:rPr>
                    <w:t>0分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水质检测</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水质达标</w:t>
                  </w:r>
                  <w:r>
                    <w:rPr>
                      <w:sz w:val="21"/>
                    </w:rPr>
                    <w:t>15分</w:t>
                  </w:r>
                </w:p>
                <w:p>
                  <w:pPr>
                    <w:jc w:val="left"/>
                  </w:pPr>
                  <w:r>
                    <w:rPr>
                      <w:sz w:val="21"/>
                    </w:rPr>
                    <w:t>水质达标，但消除黑臭</w:t>
                  </w:r>
                  <w:r>
                    <w:rPr>
                      <w:sz w:val="21"/>
                    </w:rPr>
                    <w:t>10分</w:t>
                  </w:r>
                </w:p>
                <w:p>
                  <w:pPr>
                    <w:jc w:val="left"/>
                  </w:pPr>
                  <w:r>
                    <w:rPr>
                      <w:sz w:val="21"/>
                    </w:rPr>
                    <w:t>水质不达标，也未消除黑臭</w:t>
                  </w:r>
                  <w:r>
                    <w:rPr>
                      <w:sz w:val="21"/>
                    </w:rPr>
                    <w:t>0分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水质异常情况报告</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报告及时</w:t>
                  </w:r>
                  <w:r>
                    <w:rPr>
                      <w:sz w:val="21"/>
                    </w:rPr>
                    <w:t>10-15分</w:t>
                  </w:r>
                </w:p>
                <w:p>
                  <w:pPr>
                    <w:jc w:val="left"/>
                  </w:pPr>
                  <w:r>
                    <w:rPr>
                      <w:sz w:val="21"/>
                    </w:rPr>
                    <w:t>报告基本及时</w:t>
                  </w:r>
                  <w:r>
                    <w:rPr>
                      <w:sz w:val="21"/>
                    </w:rPr>
                    <w:t>5-10分</w:t>
                  </w:r>
                </w:p>
                <w:p>
                  <w:pPr>
                    <w:jc w:val="left"/>
                  </w:pPr>
                  <w:r>
                    <w:rPr>
                      <w:sz w:val="21"/>
                    </w:rPr>
                    <w:t>报告不及时或不报告</w:t>
                  </w:r>
                  <w:r>
                    <w:rPr>
                      <w:sz w:val="21"/>
                    </w:rPr>
                    <w:t>0分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投诉</w:t>
                  </w:r>
                </w:p>
              </w:tc>
              <w:tc>
                <w:tcPr>
                  <w:tcW w:type="dxa" w:w="82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662"/>
                  <w:tcBorders>
                    <w:top w:val="none" w:color="000000" w:sz="4"/>
                    <w:left w:val="single" w:color="000000" w:sz="4"/>
                    <w:bottom w:val="single" w:color="000000" w:sz="4"/>
                    <w:right w:val="single" w:color="000000" w:sz="4"/>
                  </w:tcBorders>
                  <w:vAlign w:val="top"/>
                </w:tcPr>
                <w:p>
                  <w:pPr>
                    <w:jc w:val="left"/>
                  </w:pPr>
                  <w:r>
                    <w:rPr>
                      <w:sz w:val="21"/>
                    </w:rPr>
                    <w:t>没有投诉得</w:t>
                  </w:r>
                  <w:r>
                    <w:rPr>
                      <w:sz w:val="21"/>
                    </w:rPr>
                    <w:t>10分</w:t>
                  </w:r>
                </w:p>
                <w:p>
                  <w:pPr>
                    <w:jc w:val="left"/>
                  </w:pPr>
                  <w:r>
                    <w:rPr>
                      <w:sz w:val="21"/>
                    </w:rPr>
                    <w:t>有一个投诉扣</w:t>
                  </w:r>
                  <w:r>
                    <w:rPr>
                      <w:sz w:val="21"/>
                    </w:rPr>
                    <w:t>2分，两个投诉扣5分，三个投诉扣10分</w:t>
                  </w:r>
                </w:p>
              </w:tc>
              <w:tc>
                <w:tcPr>
                  <w:tcW w:type="dxa" w:w="826"/>
                  <w:tcBorders>
                    <w:top w:val="none" w:color="000000" w:sz="4"/>
                    <w:left w:val="single" w:color="000000" w:sz="4"/>
                    <w:bottom w:val="single" w:color="000000" w:sz="4"/>
                    <w:right w:val="single" w:color="000000" w:sz="4"/>
                  </w:tcBorders>
                  <w:vAlign w:val="top"/>
                </w:tcPr>
                <w:p>
                  <w:pPr>
                    <w:jc w:val="center"/>
                  </w:pPr>
                </w:p>
              </w:tc>
            </w:tr>
            <w:tr>
              <w:tc>
                <w:tcPr>
                  <w:tcW w:type="dxa" w:w="44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314"/>
                  <w:gridSpan w:val="3"/>
                  <w:tcBorders>
                    <w:top w:val="none" w:color="000000" w:sz="4"/>
                    <w:left w:val="single" w:color="000000" w:sz="4"/>
                    <w:bottom w:val="single" w:color="000000" w:sz="4"/>
                    <w:right w:val="single" w:color="000000" w:sz="4"/>
                  </w:tcBorders>
                  <w:vAlign w:val="top"/>
                </w:tcPr>
                <w:p>
                  <w:pPr>
                    <w:ind w:firstLine="316"/>
                    <w:jc w:val="left"/>
                  </w:pPr>
                  <w:r>
                    <w:rPr>
                      <w:b/>
                      <w:sz w:val="21"/>
                    </w:rPr>
                    <w:t>累计得分</w:t>
                  </w:r>
                </w:p>
              </w:tc>
              <w:tc>
                <w:tcPr>
                  <w:tcW w:type="dxa" w:w="826"/>
                  <w:tcBorders>
                    <w:top w:val="none" w:color="000000" w:sz="4"/>
                    <w:left w:val="singl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东莞市常平镇水务工程运营中心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常平镇猪头山泵站干渠水质提升运维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采购包1（常平镇猪头山泵站干渠水质提升运维服务项目）：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采购包1（常平镇猪头山泵站干渠水质提升运维服务项目）：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采购包1（常平镇猪头山泵站干渠水质提升运维服务项目）：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采购包1(常平镇猪头山泵站干渠水质提升运维服务项目):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对现状的了解 (10.0分)</w:t>
            </w:r>
            <w:r>
              <w:rPr/>
              <w:t>，（等次分值选择：</w:t>
            </w:r>
            <w:r>
              <w:rPr/>
              <w:t>0.0;</w:t>
            </w:r>
            <w:r>
              <w:rPr/>
              <w:t>1.0;</w:t>
            </w:r>
            <w:r>
              <w:rPr/>
              <w:t>4.0;</w:t>
            </w:r>
            <w:r>
              <w:rPr/>
              <w:t>7.0;</w:t>
            </w:r>
            <w:r>
              <w:rPr/>
              <w:t>10.0;</w:t>
            </w:r>
            <w:r>
              <w:rPr/>
              <w:t>）</w:t>
            </w:r>
          </w:p>
        </w:tc>
        <w:tc>
          <w:tcPr>
            <w:tcW w:type="dxa" w:w="5076"/>
          </w:tcPr>
          <w:p>
            <w:pPr>
              <w:jc w:val="left"/>
            </w:pPr>
            <w:r>
              <w:rPr/>
              <w:t>根据投标人对项目现状（包括地质分析、地水体污染现状调查分析等）情况的了解程度进行评分： 对项目现状认识准确、透彻，基础资料调查详尽、清晰及完整的，得10分； 对项目现状认识正确、完整，基础资料调查齐全、基本清晰及完整的，得7分； 对项目现状认识基本正确，基础资料调查有缺漏、不完整的，得4分； 对项目现状认识不正确，未提供基础资料调查的，得1分。 未提供现状了解的，得0分。</w:t>
            </w:r>
          </w:p>
        </w:tc>
      </w:tr>
      <w:tr>
        <w:tc>
          <w:tcPr>
            <w:tcW w:type="dxa" w:w="922"/>
            <w:gridSpan w:val="2"/>
            <w:vMerge/>
          </w:tcPr>
          <w:p/>
        </w:tc>
        <w:tc>
          <w:tcPr>
            <w:tcW w:type="dxa" w:w="2307"/>
          </w:tcPr>
          <w:p>
            <w:pPr>
              <w:jc w:val="left"/>
            </w:pPr>
            <w:r>
              <w:rPr/>
              <w:t>技术服务方案 (10.0分)</w:t>
            </w:r>
            <w:r>
              <w:rPr/>
              <w:t>，（等次分值选择：</w:t>
            </w:r>
            <w:r>
              <w:rPr/>
              <w:t>0.0;</w:t>
            </w:r>
            <w:r>
              <w:rPr/>
              <w:t>1.0;</w:t>
            </w:r>
            <w:r>
              <w:rPr/>
              <w:t>4.0;</w:t>
            </w:r>
            <w:r>
              <w:rPr/>
              <w:t>7.0;</w:t>
            </w:r>
            <w:r>
              <w:rPr/>
              <w:t>10.0;</w:t>
            </w:r>
            <w:r>
              <w:rPr/>
              <w:t>）</w:t>
            </w:r>
          </w:p>
        </w:tc>
        <w:tc>
          <w:tcPr>
            <w:tcW w:type="dxa" w:w="5076"/>
          </w:tcPr>
          <w:p>
            <w:pPr>
              <w:jc w:val="left"/>
            </w:pPr>
            <w:r>
              <w:rPr/>
              <w:t>根据投标人针对本项目实施的工作目标、工作内容、技术工艺、技术成熟度等情况进行评分： 项目实施技术方案全面、合理，能准确指出实施河道重点和难点，实施措施得力、工序衔接合理的，得10分； 项目实施技术方案较合理，实施措施、工序衔接较合理的，得7分； 项目实施技术方案基本合理，实施措施、工序衔接具有一定的合理性的，得4分； 项目施工实施技术方案不合理，施工实施措施、工序衔接不具有可行性的，得1分； 未提出技术服务方案的，得0分。</w:t>
            </w:r>
          </w:p>
        </w:tc>
      </w:tr>
      <w:tr>
        <w:tc>
          <w:tcPr>
            <w:tcW w:type="dxa" w:w="922"/>
            <w:gridSpan w:val="2"/>
            <w:vMerge/>
          </w:tcPr>
          <w:p/>
        </w:tc>
        <w:tc>
          <w:tcPr>
            <w:tcW w:type="dxa" w:w="2307"/>
          </w:tcPr>
          <w:p>
            <w:pPr>
              <w:jc w:val="left"/>
            </w:pPr>
            <w:r>
              <w:rPr/>
              <w:t>整体进度计划及工期保证措施 (10.0分)</w:t>
            </w:r>
            <w:r>
              <w:rPr/>
              <w:t>，（等次分值选择：</w:t>
            </w:r>
            <w:r>
              <w:rPr/>
              <w:t>0.0;</w:t>
            </w:r>
            <w:r>
              <w:rPr/>
              <w:t>1.0;</w:t>
            </w:r>
            <w:r>
              <w:rPr/>
              <w:t>4.0;</w:t>
            </w:r>
            <w:r>
              <w:rPr/>
              <w:t>7.0;</w:t>
            </w:r>
            <w:r>
              <w:rPr/>
              <w:t>10.0;</w:t>
            </w:r>
            <w:r>
              <w:rPr/>
              <w:t>）</w:t>
            </w:r>
          </w:p>
        </w:tc>
        <w:tc>
          <w:tcPr>
            <w:tcW w:type="dxa" w:w="5076"/>
          </w:tcPr>
          <w:p>
            <w:pPr>
              <w:jc w:val="left"/>
            </w:pPr>
            <w:r>
              <w:rPr/>
              <w:t>根据投标人的工作进度计划和保证措施（有可行的计划及保证措施）的完整性、可行性进行评分： 投标人提供的进度计划及保证措施科学合理，可行性强，得10分； 投标人提供的进度计划及保证措施较为合理，基本可行，得7分； 投标人提供的进度计划及保证措施基本合理，可行性一般，得4分； 投标人提供的进度计划及保证措施不合理，可行性差，得1分； 未提供整体进度计划及工期保证措施的，得0分。</w:t>
            </w:r>
          </w:p>
        </w:tc>
      </w:tr>
      <w:tr>
        <w:tc>
          <w:tcPr>
            <w:tcW w:type="dxa" w:w="922"/>
            <w:gridSpan w:val="2"/>
            <w:vMerge/>
          </w:tcPr>
          <w:p/>
        </w:tc>
        <w:tc>
          <w:tcPr>
            <w:tcW w:type="dxa" w:w="2307"/>
          </w:tcPr>
          <w:p>
            <w:pPr>
              <w:jc w:val="left"/>
            </w:pPr>
            <w:r>
              <w:rPr/>
              <w:t>应急处理方案 (10.0分)</w:t>
            </w:r>
            <w:r>
              <w:rPr/>
              <w:t>，（等次分值选择：</w:t>
            </w:r>
            <w:r>
              <w:rPr/>
              <w:t>0.0;</w:t>
            </w:r>
            <w:r>
              <w:rPr/>
              <w:t>1.0;</w:t>
            </w:r>
            <w:r>
              <w:rPr/>
              <w:t>4.0;</w:t>
            </w:r>
            <w:r>
              <w:rPr/>
              <w:t>7.0;</w:t>
            </w:r>
            <w:r>
              <w:rPr/>
              <w:t>10.0;</w:t>
            </w:r>
            <w:r>
              <w:rPr/>
              <w:t>）</w:t>
            </w:r>
          </w:p>
        </w:tc>
        <w:tc>
          <w:tcPr>
            <w:tcW w:type="dxa" w:w="5076"/>
          </w:tcPr>
          <w:p>
            <w:pPr>
              <w:jc w:val="left"/>
            </w:pPr>
            <w:r>
              <w:rPr/>
              <w:t>根据投标对紧急情况的处理措施、预案以及抵抗风险的措施进行评分： 实施安排科学合理，提出的保证措施具体以及可操作性强，得10分； 实施安排较合理，能提出的保证措施具有一定可操作性，得7分； 实施安排基本合理，能提出的保证措施但可操作性一般，得4分； 实施安排不合理，提出的保证措施不具体或可操作性差，得1分。 未提供应急处理方案的，得0分。</w:t>
            </w:r>
          </w:p>
        </w:tc>
      </w:tr>
      <w:tr>
        <w:tc>
          <w:tcPr>
            <w:tcW w:type="dxa" w:w="922"/>
            <w:gridSpan w:val="2"/>
            <w:vMerge/>
          </w:tcPr>
          <w:p/>
        </w:tc>
        <w:tc>
          <w:tcPr>
            <w:tcW w:type="dxa" w:w="2307"/>
          </w:tcPr>
          <w:p>
            <w:pPr>
              <w:jc w:val="left"/>
            </w:pPr>
            <w:r>
              <w:rPr/>
              <w:t>服务承诺 (10.0分)</w:t>
            </w:r>
            <w:r>
              <w:rPr/>
              <w:t>，（等次分值选择：</w:t>
            </w:r>
            <w:r>
              <w:rPr/>
              <w:t>0.0;</w:t>
            </w:r>
            <w:r>
              <w:rPr/>
              <w:t>1.0;</w:t>
            </w:r>
            <w:r>
              <w:rPr/>
              <w:t>4.0;</w:t>
            </w:r>
            <w:r>
              <w:rPr/>
              <w:t>7.0;</w:t>
            </w:r>
            <w:r>
              <w:rPr/>
              <w:t>10.0;</w:t>
            </w:r>
            <w:r>
              <w:rPr/>
              <w:t>）</w:t>
            </w:r>
          </w:p>
        </w:tc>
        <w:tc>
          <w:tcPr>
            <w:tcW w:type="dxa" w:w="5076"/>
          </w:tcPr>
          <w:p>
            <w:pPr>
              <w:jc w:val="left"/>
            </w:pPr>
            <w:r>
              <w:rPr/>
              <w:t>根据投标人针对项目需求所作出的相关承诺进行评分： 服务承诺全面、合理，条理清晰，可操作性强的，得10分； 服务承诺比较全面、合理，可操作性较强的，得7分； 服务承诺基本全面、合理，有一定的可操作性的，4分； 服务承诺不合理、不具备可操作性的，得1分； 未提供服务承诺的，得0分。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投标人自2018年1月1日至今（以合同签订时间为准）具有水质提升（或水污染处理或河涌整治或水生态修复）类项目业绩，每提供一个得5分，此项最高15分。 注：须提供合同复印件，并同时加盖投标人公章，不符合以上要求得不得分。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根据投标人提供的服务响应时间承诺进行评分。 （1）投标人承诺在接到采购人通知后1小时（含）内到现场，得5分； （2）投标人承诺在接到采购人通知后2小时（含）内到现场，得3分； （3）投标人承诺在接到采购人通知后3小时（含）内到现场，得1分； （4）投标人未承诺或其他情况，不得分。 提供服务承诺书并加盖投标人公章。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广东省政府采购</w:t>
      </w:r>
    </w:p>
    <w:p>
      <w:pPr>
        <w:jc w:val="both"/>
      </w:pPr>
      <w:r>
        <w:rPr>
          <w:b/>
          <w:sz w:val="21"/>
        </w:rPr>
        <w:t xml:space="preserve"> </w:t>
      </w:r>
    </w:p>
    <w:p>
      <w:pPr>
        <w:jc w:val="center"/>
      </w:pPr>
      <w:r>
        <w:rPr>
          <w:b/>
          <w:sz w:val="40"/>
        </w:rPr>
        <w:t>合　同　书</w:t>
      </w:r>
    </w:p>
    <w:p>
      <w:pPr>
        <w:jc w:val="center"/>
      </w:pPr>
      <w:r>
        <w:br/>
      </w:r>
      <w:r>
        <w:br/>
      </w:r>
      <w:r>
        <w:br/>
      </w:r>
      <w:r>
        <w:br/>
      </w:r>
    </w:p>
    <w:p>
      <w:pPr>
        <w:jc w:val="center"/>
      </w:pPr>
    </w:p>
    <w:p>
      <w:pPr>
        <w:jc w:val="center"/>
      </w:pPr>
    </w:p>
    <w:p>
      <w:pPr>
        <w:jc w:val="center"/>
      </w:pPr>
    </w:p>
    <w:p>
      <w:pPr>
        <w:jc w:val="center"/>
      </w:pPr>
      <w:r>
        <w:br/>
      </w:r>
      <w:r>
        <w:rPr>
          <w:sz w:val="21"/>
        </w:rPr>
        <w:t xml:space="preserve"> </w:t>
      </w:r>
    </w:p>
    <w:p>
      <w:pPr>
        <w:jc w:val="both"/>
      </w:pPr>
      <w:r>
        <w:rPr>
          <w:sz w:val="28"/>
        </w:rPr>
        <w:t>采购计划编号：</w:t>
      </w:r>
      <w:r>
        <w:rPr>
          <w:sz w:val="21"/>
          <w:u w:val="single"/>
        </w:rPr>
        <w:t xml:space="preserve">                          </w:t>
      </w:r>
    </w:p>
    <w:p>
      <w:pPr>
        <w:jc w:val="both"/>
      </w:pPr>
    </w:p>
    <w:p>
      <w:pPr>
        <w:jc w:val="both"/>
      </w:pPr>
      <w:r>
        <w:rPr>
          <w:sz w:val="28"/>
        </w:rPr>
        <w:t>项目编号：</w:t>
      </w:r>
      <w:r>
        <w:rPr>
          <w:sz w:val="21"/>
          <w:u w:val="single"/>
        </w:rPr>
        <w:t xml:space="preserve">                               </w:t>
      </w:r>
    </w:p>
    <w:p>
      <w:pPr>
        <w:jc w:val="both"/>
      </w:pPr>
      <w:r>
        <w:rPr>
          <w:sz w:val="21"/>
        </w:rPr>
        <w:t xml:space="preserve"> </w:t>
      </w:r>
    </w:p>
    <w:p>
      <w:pPr>
        <w:jc w:val="both"/>
      </w:pPr>
      <w:r>
        <w:rPr>
          <w:sz w:val="28"/>
        </w:rPr>
        <w:t>项目名称：</w:t>
      </w:r>
      <w:r>
        <w:rPr>
          <w:sz w:val="21"/>
          <w:u w:val="single"/>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r>
        <w:rPr/>
        <w:t xml:space="preserve"> </w:t>
      </w:r>
    </w:p>
    <w:p>
      <w:pPr>
        <w:jc w:val="both"/>
      </w:pPr>
      <w:r>
        <w:rPr>
          <w:sz w:val="21"/>
        </w:rPr>
        <w:t>甲方</w:t>
      </w:r>
      <w:r>
        <w:rPr>
          <w:sz w:val="21"/>
        </w:rPr>
        <w:t>：</w:t>
      </w:r>
      <w:r>
        <w:rPr>
          <w:sz w:val="21"/>
          <w:u w:val="single"/>
        </w:rPr>
        <w:t xml:space="preserve">               </w:t>
      </w:r>
    </w:p>
    <w:p>
      <w:pPr>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jc w:val="both"/>
      </w:pPr>
      <w:r>
        <w:rPr>
          <w:sz w:val="21"/>
        </w:rPr>
        <w:t>乙方</w:t>
      </w:r>
      <w:r>
        <w:rPr>
          <w:sz w:val="21"/>
        </w:rPr>
        <w:t>：</w:t>
      </w:r>
      <w:r>
        <w:rPr>
          <w:sz w:val="21"/>
          <w:u w:val="single"/>
        </w:rPr>
        <w:t xml:space="preserve">               </w:t>
      </w:r>
    </w:p>
    <w:p>
      <w:pPr>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jc w:val="both"/>
      </w:pPr>
    </w:p>
    <w:p>
      <w:pPr>
        <w:ind w:firstLine="420"/>
        <w:jc w:val="both"/>
      </w:pPr>
      <w:r>
        <w:rPr>
          <w:sz w:val="21"/>
        </w:rPr>
        <w:t>根据</w:t>
      </w:r>
      <w:r>
        <w:rPr>
          <w:sz w:val="21"/>
          <w:u w:val="single"/>
        </w:rPr>
        <w:t xml:space="preserve">     </w:t>
      </w:r>
      <w:r>
        <w:rPr>
          <w:sz w:val="21"/>
        </w:rPr>
        <w:t>的采购结果，按照</w:t>
      </w:r>
      <w:r>
        <w:rPr>
          <w:sz w:val="21"/>
        </w:rPr>
        <w:t>《中</w:t>
      </w:r>
      <w:r>
        <w:rPr>
          <w:sz w:val="21"/>
        </w:rPr>
        <w:t>华人民共和国政府采购法》</w:t>
      </w:r>
      <w:r>
        <w:rPr>
          <w:sz w:val="21"/>
        </w:rPr>
        <w:t>、</w:t>
      </w:r>
      <w:r>
        <w:rPr>
          <w:sz w:val="21"/>
        </w:rPr>
        <w:t>《中华人民共和国民法典</w:t>
      </w:r>
      <w:r>
        <w:rPr>
          <w:sz w:val="21"/>
        </w:rPr>
        <w:t>（合同编）</w:t>
      </w:r>
      <w:r>
        <w:rPr>
          <w:sz w:val="21"/>
        </w:rPr>
        <w:t>》的规定，经双方协商，本着平等互利和诚实信用的原则，一致同意遵守本合</w:t>
      </w:r>
      <w:r>
        <w:rPr>
          <w:sz w:val="21"/>
        </w:rPr>
        <w:t>同</w:t>
      </w:r>
      <w:r>
        <w:rPr>
          <w:sz w:val="21"/>
        </w:rPr>
        <w:t>如下。</w:t>
      </w:r>
    </w:p>
    <w:p>
      <w:pPr>
        <w:jc w:val="both"/>
      </w:pPr>
    </w:p>
    <w:p>
      <w:pPr>
        <w:jc w:val="both"/>
      </w:pPr>
      <w:r>
        <w:rPr>
          <w:b/>
          <w:sz w:val="21"/>
        </w:rPr>
        <w:t>一</w:t>
      </w:r>
      <w:r>
        <w:rPr>
          <w:b/>
          <w:sz w:val="21"/>
        </w:rPr>
        <w:t>、</w:t>
      </w:r>
      <w:r>
        <w:rPr>
          <w:b/>
          <w:sz w:val="21"/>
        </w:rPr>
        <w:t>合</w:t>
      </w:r>
      <w:r>
        <w:rPr>
          <w:b/>
          <w:sz w:val="21"/>
        </w:rPr>
        <w:t>同</w:t>
      </w:r>
      <w:r>
        <w:rPr>
          <w:b/>
          <w:sz w:val="21"/>
        </w:rPr>
        <w:t>金额</w:t>
      </w:r>
    </w:p>
    <w:p>
      <w:pPr>
        <w:ind w:firstLine="420"/>
        <w:jc w:val="both"/>
      </w:pPr>
      <w:r>
        <w:rPr>
          <w:sz w:val="21"/>
        </w:rPr>
        <w:t>合同金额为</w:t>
      </w:r>
      <w:r>
        <w:rPr>
          <w:sz w:val="21"/>
        </w:rPr>
        <w:t>（大写）：</w:t>
      </w:r>
      <w:r>
        <w:rPr>
          <w:sz w:val="21"/>
          <w:u w:val="single"/>
        </w:rPr>
        <w:t xml:space="preserve">     </w:t>
      </w:r>
      <w:r>
        <w:rPr>
          <w:sz w:val="21"/>
        </w:rPr>
        <w:t>元</w:t>
      </w:r>
      <w:r>
        <w:rPr>
          <w:sz w:val="21"/>
        </w:rPr>
        <w:t>（</w:t>
      </w:r>
      <w:r>
        <w:rPr>
          <w:sz w:val="21"/>
        </w:rPr>
        <w:t>￥</w:t>
      </w:r>
      <w:r>
        <w:rPr>
          <w:sz w:val="21"/>
          <w:u w:val="single"/>
        </w:rPr>
        <w:t xml:space="preserve">     </w:t>
      </w:r>
      <w:r>
        <w:rPr>
          <w:sz w:val="21"/>
        </w:rPr>
        <w:t>元</w:t>
      </w:r>
      <w:r>
        <w:rPr>
          <w:sz w:val="21"/>
        </w:rPr>
        <w:t>）</w:t>
      </w:r>
      <w:r>
        <w:rPr>
          <w:sz w:val="21"/>
        </w:rPr>
        <w:t>人民币。</w:t>
      </w:r>
    </w:p>
    <w:p>
      <w:pPr>
        <w:jc w:val="both"/>
      </w:pPr>
    </w:p>
    <w:p>
      <w:pPr>
        <w:jc w:val="both"/>
      </w:pPr>
      <w:r>
        <w:rPr>
          <w:b/>
          <w:sz w:val="21"/>
        </w:rPr>
        <w:t>二</w:t>
      </w:r>
      <w:r>
        <w:rPr>
          <w:b/>
          <w:sz w:val="21"/>
        </w:rPr>
        <w:t>、</w:t>
      </w:r>
      <w:r>
        <w:rPr>
          <w:b/>
          <w:sz w:val="21"/>
        </w:rPr>
        <w:t>服务</w:t>
      </w:r>
      <w:r>
        <w:rPr>
          <w:b/>
          <w:sz w:val="21"/>
        </w:rPr>
        <w:t>范围及要求</w:t>
      </w:r>
    </w:p>
    <w:p>
      <w:pPr>
        <w:ind w:firstLine="420"/>
        <w:jc w:val="both"/>
      </w:pPr>
      <w:r>
        <w:rPr>
          <w:sz w:val="21"/>
        </w:rPr>
        <w:t>具体详见招标文件需求部分。</w:t>
      </w:r>
    </w:p>
    <w:p>
      <w:pPr>
        <w:jc w:val="both"/>
      </w:pPr>
    </w:p>
    <w:p>
      <w:pPr>
        <w:jc w:val="both"/>
      </w:pPr>
      <w:r>
        <w:rPr>
          <w:b/>
          <w:sz w:val="21"/>
        </w:rPr>
        <w:t>三、甲</w:t>
      </w:r>
      <w:r>
        <w:rPr>
          <w:b/>
          <w:sz w:val="21"/>
        </w:rPr>
        <w:t>方</w:t>
      </w:r>
      <w:r>
        <w:rPr>
          <w:b/>
          <w:sz w:val="21"/>
        </w:rPr>
        <w:t>乙方的权利和</w:t>
      </w:r>
      <w:r>
        <w:rPr>
          <w:b/>
          <w:sz w:val="21"/>
        </w:rPr>
        <w:t>义务</w:t>
      </w:r>
    </w:p>
    <w:p>
      <w:pPr>
        <w:ind w:firstLine="420"/>
        <w:jc w:val="both"/>
      </w:pPr>
      <w:r>
        <w:rPr>
          <w:sz w:val="21"/>
        </w:rPr>
        <w:t>1.</w:t>
      </w:r>
      <w:r>
        <w:rPr>
          <w:sz w:val="21"/>
        </w:rPr>
        <w:t>甲方</w:t>
      </w:r>
      <w:r>
        <w:rPr>
          <w:sz w:val="21"/>
        </w:rPr>
        <w:t>的</w:t>
      </w:r>
      <w:r>
        <w:rPr>
          <w:sz w:val="21"/>
        </w:rPr>
        <w:t>权利和</w:t>
      </w:r>
      <w:r>
        <w:rPr>
          <w:sz w:val="21"/>
        </w:rPr>
        <w:t>义务：</w:t>
      </w:r>
    </w:p>
    <w:p>
      <w:pPr>
        <w:ind w:firstLine="420"/>
        <w:jc w:val="both"/>
      </w:pPr>
      <w:r>
        <w:rPr>
          <w:sz w:val="21"/>
        </w:rPr>
        <w:t>①</w:t>
      </w:r>
      <w:r>
        <w:rPr>
          <w:sz w:val="21"/>
        </w:rPr>
        <w:t>甲方应协助乙方开展此项目的相关工作，并提供相关资料。</w:t>
      </w:r>
    </w:p>
    <w:p>
      <w:pPr>
        <w:ind w:firstLine="420"/>
        <w:jc w:val="both"/>
      </w:pPr>
      <w:r>
        <w:rPr>
          <w:sz w:val="21"/>
        </w:rPr>
        <w:t>②</w:t>
      </w:r>
      <w:r>
        <w:rPr>
          <w:sz w:val="21"/>
        </w:rPr>
        <w:t>甲方应按本合同有关规定及时支付相关费用。</w:t>
      </w:r>
    </w:p>
    <w:p>
      <w:pPr>
        <w:ind w:firstLine="420"/>
        <w:jc w:val="both"/>
      </w:pPr>
      <w:r>
        <w:rPr>
          <w:sz w:val="21"/>
        </w:rPr>
        <w:t>③甲方有权根据工作需要，提出本合同范围以外的工作内容，乙方应予以执行，所发生费用，经双方协商另行签署补充协议。</w:t>
      </w:r>
    </w:p>
    <w:p>
      <w:pPr>
        <w:ind w:firstLine="420"/>
        <w:jc w:val="both"/>
      </w:pPr>
      <w:r>
        <w:rPr>
          <w:sz w:val="21"/>
        </w:rPr>
        <w:t>2.乙方</w:t>
      </w:r>
      <w:r>
        <w:rPr>
          <w:sz w:val="21"/>
        </w:rPr>
        <w:t>的</w:t>
      </w:r>
      <w:r>
        <w:rPr>
          <w:sz w:val="21"/>
        </w:rPr>
        <w:t>权利和</w:t>
      </w:r>
      <w:r>
        <w:rPr>
          <w:sz w:val="21"/>
        </w:rPr>
        <w:t>义务：</w:t>
      </w:r>
    </w:p>
    <w:p>
      <w:pPr>
        <w:ind w:firstLine="420"/>
        <w:jc w:val="both"/>
      </w:pPr>
      <w:r>
        <w:rPr>
          <w:sz w:val="21"/>
        </w:rPr>
        <w:t>①乙方必须根据采购文件及有关的技术要求、国家现行有关设计标准、技术规范、规程、甲方要求完成合同约定范围内的全部任务，并按规定向甲方交付成果，确保质量与进度。</w:t>
      </w:r>
    </w:p>
    <w:p>
      <w:pPr>
        <w:ind w:firstLine="420"/>
        <w:jc w:val="both"/>
      </w:pPr>
      <w:r>
        <w:rPr>
          <w:sz w:val="21"/>
        </w:rPr>
        <w:t>②乙方应按时召开内部沟通会议，跟进项目进度，并及时向甲方汇报项目进展情况，及时参加甲方召开的项目会议。</w:t>
      </w:r>
    </w:p>
    <w:p>
      <w:pPr>
        <w:ind w:firstLine="420"/>
        <w:jc w:val="both"/>
      </w:pPr>
      <w:r>
        <w:rPr>
          <w:sz w:val="21"/>
        </w:rPr>
        <w:t>③乙方应服务质量，因乙方自身原因出现错误或遗漏或甲方不满意之处，必须按甲方意见进行修改完善。</w:t>
      </w:r>
    </w:p>
    <w:p>
      <w:pPr>
        <w:ind w:firstLine="420"/>
        <w:jc w:val="both"/>
      </w:pPr>
      <w:r>
        <w:rPr>
          <w:sz w:val="21"/>
        </w:rPr>
        <w:t>④如甲方提出本合同范围以外的工作内容，乙方在甲方规定的合理时间内应予以执行，但双方就增补协议问题应尽快落实，如遇增补协议未落实，乙方有权暂停超出范围的工作配合且不承担任何责任。</w:t>
      </w:r>
    </w:p>
    <w:p>
      <w:pPr>
        <w:jc w:val="both"/>
      </w:pPr>
    </w:p>
    <w:p>
      <w:pPr>
        <w:jc w:val="both"/>
      </w:pPr>
      <w:r>
        <w:rPr>
          <w:b/>
          <w:sz w:val="21"/>
        </w:rPr>
        <w:t>四、服务期间</w:t>
      </w:r>
    </w:p>
    <w:p>
      <w:pPr>
        <w:ind w:firstLine="420"/>
        <w:jc w:val="both"/>
      </w:pPr>
      <w:r>
        <w:rPr>
          <w:sz w:val="21"/>
        </w:rPr>
        <w:t>自合同签订起</w:t>
      </w:r>
      <w:r>
        <w:rPr>
          <w:sz w:val="21"/>
        </w:rPr>
        <w:t>1</w:t>
      </w:r>
      <w:r>
        <w:rPr>
          <w:sz w:val="21"/>
        </w:rPr>
        <w:t>年，</w:t>
      </w:r>
      <w:r>
        <w:rPr>
          <w:sz w:val="21"/>
        </w:rPr>
        <w:t>委托服务期</w:t>
      </w:r>
      <w:r>
        <w:rPr>
          <w:sz w:val="21"/>
        </w:rPr>
        <w:t>间自</w:t>
      </w:r>
      <w:r>
        <w:rPr>
          <w:sz w:val="21"/>
          <w:u w:val="single"/>
        </w:rPr>
        <w:t xml:space="preserve">      </w:t>
      </w:r>
      <w:r>
        <w:rPr>
          <w:sz w:val="21"/>
        </w:rPr>
        <w:t>年</w:t>
      </w:r>
      <w:r>
        <w:rPr>
          <w:sz w:val="21"/>
          <w:u w:val="single"/>
        </w:rPr>
        <w:t xml:space="preserve">    </w:t>
      </w:r>
      <w:r>
        <w:rPr>
          <w:sz w:val="21"/>
          <w:u w:val="single"/>
        </w:rPr>
        <w:t xml:space="preserve"> </w:t>
      </w:r>
      <w:r>
        <w:rPr>
          <w:sz w:val="21"/>
        </w:rPr>
        <w:t>月至</w:t>
      </w:r>
      <w:r>
        <w:rPr>
          <w:sz w:val="21"/>
          <w:u w:val="single"/>
        </w:rPr>
        <w:t xml:space="preserve">      </w:t>
      </w:r>
      <w:r>
        <w:rPr>
          <w:sz w:val="21"/>
        </w:rPr>
        <w:t>年</w:t>
      </w:r>
      <w:r>
        <w:rPr>
          <w:sz w:val="21"/>
          <w:u w:val="single"/>
        </w:rPr>
        <w:t xml:space="preserve">      </w:t>
      </w:r>
      <w:r>
        <w:rPr>
          <w:sz w:val="21"/>
        </w:rPr>
        <w:t>月</w:t>
      </w:r>
      <w:r>
        <w:rPr>
          <w:sz w:val="21"/>
        </w:rPr>
        <w:t>止。</w:t>
      </w:r>
    </w:p>
    <w:p>
      <w:pPr>
        <w:jc w:val="both"/>
      </w:pPr>
    </w:p>
    <w:p>
      <w:pPr>
        <w:jc w:val="both"/>
      </w:pPr>
      <w:r>
        <w:rPr>
          <w:b/>
          <w:sz w:val="21"/>
        </w:rPr>
        <w:t>五</w:t>
      </w:r>
      <w:r>
        <w:rPr>
          <w:b/>
          <w:sz w:val="21"/>
        </w:rPr>
        <w:t>、</w:t>
      </w:r>
      <w:r>
        <w:rPr>
          <w:b/>
          <w:sz w:val="21"/>
        </w:rPr>
        <w:t>付款方式</w:t>
      </w:r>
    </w:p>
    <w:p>
      <w:pPr>
        <w:ind w:firstLine="420"/>
        <w:jc w:val="both"/>
      </w:pPr>
      <w:r>
        <w:rPr>
          <w:sz w:val="21"/>
        </w:rPr>
        <w:t>1.按月支付，直到项目服务期结束。并根据服务范围水质监测效果进行扣减。</w:t>
      </w:r>
    </w:p>
    <w:p>
      <w:pPr>
        <w:ind w:firstLine="420"/>
        <w:jc w:val="both"/>
      </w:pPr>
      <w:r>
        <w:rPr>
          <w:sz w:val="21"/>
        </w:rPr>
        <w:t>2.如当月河涌水质达到地表水V类标准（氨氮≤2mg/L、化学需氧量≤40mg/L、总磷≤0.4mg/L 溶解氧≥2mg/L），则支付当月该河涌所有运维费用；如未达到地表水V类标准但满足消除黑臭指标（透明度＞25cm, 溶解氧＞2mg/L, 氧化还原电位＞50mV，氨氮＜8mg/L），则支付当月该河涌运维费用80%；如未能达到消除黑臭目标的，则不予支付当月该河涌运维费用。</w:t>
      </w:r>
    </w:p>
    <w:p>
      <w:pPr>
        <w:ind w:firstLine="420"/>
      </w:pPr>
      <w:r>
        <w:rPr>
          <w:sz w:val="21"/>
        </w:rPr>
        <w:t>3</w:t>
      </w:r>
      <w:r>
        <w:rPr>
          <w:sz w:val="21"/>
        </w:rPr>
        <w:t>、市委托第三方抽检：如当月河涌水质达不到市水环境生态达标考核标准，则扣减当月服务费</w:t>
      </w:r>
      <w:r>
        <w:rPr>
          <w:sz w:val="21"/>
        </w:rPr>
        <w:t>20%</w:t>
      </w:r>
      <w:r>
        <w:rPr>
          <w:sz w:val="21"/>
        </w:rPr>
        <w:t>。</w:t>
      </w:r>
    </w:p>
    <w:p>
      <w:pPr>
        <w:ind w:firstLine="420"/>
      </w:pPr>
      <w:r>
        <w:rPr>
          <w:sz w:val="21"/>
        </w:rPr>
        <w:t>4</w:t>
      </w:r>
      <w:r>
        <w:rPr>
          <w:sz w:val="21"/>
        </w:rPr>
        <w:t>、甲方考核：甲方每月对乙方考核评分，合格线为</w:t>
      </w:r>
      <w:r>
        <w:rPr>
          <w:sz w:val="21"/>
        </w:rPr>
        <w:t>70</w:t>
      </w:r>
      <w:r>
        <w:rPr>
          <w:sz w:val="21"/>
        </w:rPr>
        <w:t>分， 满分</w:t>
      </w:r>
      <w:r>
        <w:rPr>
          <w:sz w:val="21"/>
        </w:rPr>
        <w:t>100</w:t>
      </w:r>
      <w:r>
        <w:rPr>
          <w:sz w:val="21"/>
        </w:rPr>
        <w:t>分。设当月考核分值为</w:t>
      </w:r>
      <w:r>
        <w:rPr>
          <w:sz w:val="21"/>
        </w:rPr>
        <w:t>F</w:t>
      </w:r>
      <w:r>
        <w:rPr>
          <w:sz w:val="21"/>
        </w:rPr>
        <w:t>，则当月考核分值</w:t>
      </w:r>
      <w:r>
        <w:rPr>
          <w:sz w:val="21"/>
        </w:rPr>
        <w:t>F&lt;70</w:t>
      </w:r>
      <w:r>
        <w:rPr>
          <w:sz w:val="21"/>
        </w:rPr>
        <w:t>时，不予支付当月服务费用；</w:t>
      </w:r>
      <w:r>
        <w:rPr>
          <w:sz w:val="21"/>
        </w:rPr>
        <w:t>70</w:t>
      </w:r>
      <w:r>
        <w:rPr>
          <w:sz w:val="21"/>
        </w:rPr>
        <w:t>≤</w:t>
      </w:r>
      <w:r>
        <w:rPr>
          <w:sz w:val="21"/>
        </w:rPr>
        <w:t>F&lt;80</w:t>
      </w:r>
      <w:r>
        <w:rPr>
          <w:sz w:val="21"/>
        </w:rPr>
        <w:t>时，支付当月服务费用的</w:t>
      </w:r>
      <w:r>
        <w:rPr>
          <w:sz w:val="21"/>
        </w:rPr>
        <w:t>70%</w:t>
      </w:r>
      <w:r>
        <w:rPr>
          <w:sz w:val="21"/>
        </w:rPr>
        <w:t>；</w:t>
      </w:r>
      <w:r>
        <w:rPr>
          <w:sz w:val="21"/>
        </w:rPr>
        <w:t>80</w:t>
      </w:r>
      <w:r>
        <w:rPr>
          <w:sz w:val="21"/>
        </w:rPr>
        <w:t>≤</w:t>
      </w:r>
      <w:r>
        <w:rPr>
          <w:sz w:val="21"/>
        </w:rPr>
        <w:t>F&lt;90</w:t>
      </w:r>
      <w:r>
        <w:rPr>
          <w:sz w:val="21"/>
        </w:rPr>
        <w:t>时，支付当月服务费用的</w:t>
      </w:r>
      <w:r>
        <w:rPr>
          <w:sz w:val="21"/>
        </w:rPr>
        <w:t>80%</w:t>
      </w:r>
      <w:r>
        <w:rPr>
          <w:sz w:val="21"/>
        </w:rPr>
        <w:t>； 当月考核分值</w:t>
      </w:r>
      <w:r>
        <w:rPr>
          <w:sz w:val="21"/>
        </w:rPr>
        <w:t>F</w:t>
      </w:r>
      <w:r>
        <w:rPr>
          <w:sz w:val="21"/>
        </w:rPr>
        <w:t>≥</w:t>
      </w:r>
      <w:r>
        <w:rPr>
          <w:sz w:val="21"/>
        </w:rPr>
        <w:t>90</w:t>
      </w:r>
      <w:r>
        <w:rPr>
          <w:sz w:val="21"/>
        </w:rPr>
        <w:t>时，支付当月服务费的</w:t>
      </w:r>
      <w:r>
        <w:rPr>
          <w:sz w:val="21"/>
        </w:rPr>
        <w:t>100%</w:t>
      </w:r>
    </w:p>
    <w:p>
      <w:pPr>
        <w:ind w:firstLine="420"/>
      </w:pPr>
      <w:r>
        <w:rPr>
          <w:sz w:val="21"/>
        </w:rPr>
        <w:t>5</w:t>
      </w:r>
      <w:r>
        <w:rPr>
          <w:sz w:val="21"/>
        </w:rPr>
        <w:t>、服务费在按以上第（</w:t>
      </w:r>
      <w:r>
        <w:rPr>
          <w:sz w:val="21"/>
        </w:rPr>
        <w:t>2</w:t>
      </w:r>
      <w:r>
        <w:rPr>
          <w:sz w:val="21"/>
        </w:rPr>
        <w:t>）、（</w:t>
      </w:r>
      <w:r>
        <w:rPr>
          <w:sz w:val="21"/>
        </w:rPr>
        <w:t>3</w:t>
      </w:r>
      <w:r>
        <w:rPr>
          <w:sz w:val="21"/>
        </w:rPr>
        <w:t>）项执行时（</w:t>
      </w:r>
      <w:r>
        <w:rPr>
          <w:sz w:val="21"/>
        </w:rPr>
        <w:t>2</w:t>
      </w:r>
      <w:r>
        <w:rPr>
          <w:sz w:val="21"/>
        </w:rPr>
        <w:t>项考核取最严者不叠加），还应与第（</w:t>
      </w:r>
      <w:r>
        <w:rPr>
          <w:sz w:val="21"/>
        </w:rPr>
        <w:t>4</w:t>
      </w:r>
      <w:r>
        <w:rPr>
          <w:sz w:val="21"/>
        </w:rPr>
        <w:t>）条甲方考核处罚叠加。例如，当月第三方水质抽检为达标（对应支付</w:t>
      </w:r>
      <w:r>
        <w:rPr>
          <w:sz w:val="21"/>
        </w:rPr>
        <w:t>100%</w:t>
      </w:r>
      <w:r>
        <w:rPr>
          <w:sz w:val="21"/>
        </w:rPr>
        <w:t>），东莞市抽检不达标（对应支付</w:t>
      </w:r>
      <w:r>
        <w:rPr>
          <w:sz w:val="21"/>
        </w:rPr>
        <w:t>80%</w:t>
      </w:r>
      <w:r>
        <w:rPr>
          <w:sz w:val="21"/>
        </w:rPr>
        <w:t>），甲方考核为</w:t>
      </w:r>
      <w:r>
        <w:rPr>
          <w:sz w:val="21"/>
        </w:rPr>
        <w:t>85</w:t>
      </w:r>
      <w:r>
        <w:rPr>
          <w:sz w:val="21"/>
        </w:rPr>
        <w:t>分（对应支付</w:t>
      </w:r>
      <w:r>
        <w:rPr>
          <w:sz w:val="21"/>
        </w:rPr>
        <w:t>80%</w:t>
      </w:r>
      <w:r>
        <w:rPr>
          <w:sz w:val="21"/>
        </w:rPr>
        <w:t>），则当月费用实际支付费用为：</w:t>
      </w:r>
      <w:r>
        <w:rPr>
          <w:sz w:val="21"/>
        </w:rPr>
        <w:t>M*80%*80%</w:t>
      </w:r>
      <w:r>
        <w:rPr>
          <w:sz w:val="21"/>
        </w:rPr>
        <w:t>减其它罚款。</w:t>
      </w:r>
    </w:p>
    <w:p>
      <w:pPr>
        <w:ind w:firstLine="420"/>
      </w:pPr>
      <w:r>
        <w:rPr>
          <w:sz w:val="21"/>
        </w:rPr>
        <w:t>注：本项目资金来源为财政性资金，相关付款程序应严格遵守财政部门资金支付程序规定。甲方规定的付款时间为向政府采购支付部门提出办理财政支付申请手续的时间（不含政府财政支付部门审核的时间），如因政策及请款手续影响，拨款未能及时到位，甲方不属违约，乙方应当继续履行合同义务。</w:t>
      </w:r>
    </w:p>
    <w:p>
      <w:pPr>
        <w:jc w:val="both"/>
      </w:pPr>
    </w:p>
    <w:p>
      <w:pPr>
        <w:jc w:val="both"/>
      </w:pPr>
      <w:r>
        <w:rPr>
          <w:b/>
          <w:sz w:val="21"/>
        </w:rPr>
        <w:t>六、履约保证金</w:t>
      </w:r>
    </w:p>
    <w:p>
      <w:pPr>
        <w:ind w:firstLine="420"/>
      </w:pPr>
      <w:r>
        <w:rPr>
          <w:sz w:val="21"/>
        </w:rPr>
        <w:t>乙方应在领取中标通知书之后签订合同之前递交履约保证金，履约保证金金额为合同金额的</w:t>
      </w:r>
      <w:r>
        <w:rPr>
          <w:sz w:val="21"/>
        </w:rPr>
        <w:t>5%</w:t>
      </w:r>
      <w:r>
        <w:rPr>
          <w:sz w:val="21"/>
        </w:rPr>
        <w:t>，履约保证金可采用保证金（银行转账、电汇）方式，或采用银行出具的履约担保函方式。履约保证金在合同期满后或产品验收合格后，乙方向甲方提交退回履约保证金的申请、履约保证金汇款凭证复印件、采购合同、采购项目验收报告原件、中标通知书复印件，前往甲方办理履约保证金退还手续。</w:t>
      </w:r>
    </w:p>
    <w:p>
      <w:pPr>
        <w:jc w:val="both"/>
      </w:pPr>
    </w:p>
    <w:p>
      <w:pPr>
        <w:jc w:val="both"/>
      </w:pPr>
      <w:r>
        <w:rPr>
          <w:b/>
          <w:sz w:val="21"/>
        </w:rPr>
        <w:t>七</w:t>
      </w:r>
      <w:r>
        <w:rPr>
          <w:b/>
          <w:sz w:val="21"/>
        </w:rPr>
        <w:t>、</w:t>
      </w:r>
      <w:r>
        <w:rPr>
          <w:b/>
          <w:sz w:val="21"/>
        </w:rPr>
        <w:t>知识产权</w:t>
      </w:r>
      <w:r>
        <w:rPr>
          <w:b/>
          <w:sz w:val="21"/>
        </w:rPr>
        <w:t>归属</w:t>
      </w:r>
    </w:p>
    <w:p>
      <w:pPr>
        <w:ind w:firstLine="420"/>
        <w:jc w:val="both"/>
      </w:pPr>
      <w:r>
        <w:rPr>
          <w:sz w:val="21"/>
        </w:rPr>
        <w:t>1.乙方必须保证甲方在接受其所提供服务期的任何时候不受到知识产权或版权的纠纷，否则，由此产生的任何责任完全由乙方承担。</w:t>
      </w:r>
    </w:p>
    <w:p>
      <w:pPr>
        <w:ind w:firstLine="420"/>
        <w:jc w:val="both"/>
      </w:pPr>
      <w:r>
        <w:rPr>
          <w:sz w:val="21"/>
        </w:rPr>
        <w:t>2.本合同过程中形成的所有服务内容，包括但不限于技术成果及其知识产权归甲方所有。同时，未经甲方许可，乙方不得将甲方相关资料提供给第三方。</w:t>
      </w:r>
    </w:p>
    <w:p>
      <w:pPr>
        <w:ind w:firstLine="420"/>
        <w:jc w:val="both"/>
      </w:pPr>
      <w:r>
        <w:rPr>
          <w:sz w:val="21"/>
        </w:rPr>
        <w:t>3.甲方委托乙方为其提供服务所产生的成果，甲方独立拥有完整的知识产权及其他权益。</w:t>
      </w:r>
    </w:p>
    <w:p>
      <w:pPr>
        <w:jc w:val="both"/>
      </w:pPr>
    </w:p>
    <w:p>
      <w:pPr>
        <w:jc w:val="both"/>
      </w:pPr>
      <w:r>
        <w:rPr>
          <w:b/>
          <w:sz w:val="21"/>
        </w:rPr>
        <w:t>八、</w:t>
      </w:r>
      <w:r>
        <w:rPr>
          <w:b/>
          <w:sz w:val="21"/>
        </w:rPr>
        <w:t>保密</w:t>
      </w:r>
    </w:p>
    <w:p>
      <w:pPr>
        <w:ind w:firstLine="420"/>
        <w:jc w:val="both"/>
      </w:pPr>
      <w:r>
        <w:rPr>
          <w:sz w:val="21"/>
        </w:rPr>
        <w:t>1</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20"/>
        <w:jc w:val="both"/>
      </w:pPr>
      <w:r>
        <w:rPr>
          <w:sz w:val="21"/>
        </w:rPr>
        <w:t>2</w:t>
      </w:r>
      <w:r>
        <w:rPr>
          <w:sz w:val="21"/>
        </w:rPr>
        <w:t>.</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sz w:val="21"/>
        </w:rPr>
        <w:t>3</w:t>
      </w:r>
      <w:r>
        <w:rPr>
          <w:sz w:val="21"/>
        </w:rPr>
        <w:t>.</w:t>
      </w:r>
      <w:r>
        <w:rPr>
          <w:sz w:val="21"/>
        </w:rPr>
        <w:t>除了合同本身之外，上款所列举的任何物件均是乙方的财产。如果乙方有要求，甲方在完成合同后应将这些物件及全部复制件还给乙方。</w:t>
      </w:r>
    </w:p>
    <w:p>
      <w:pPr>
        <w:jc w:val="both"/>
      </w:pPr>
    </w:p>
    <w:p>
      <w:pPr>
        <w:jc w:val="both"/>
      </w:pPr>
      <w:r>
        <w:rPr>
          <w:b/>
          <w:sz w:val="21"/>
        </w:rPr>
        <w:t>九</w:t>
      </w:r>
      <w:r>
        <w:rPr>
          <w:b/>
          <w:sz w:val="21"/>
        </w:rPr>
        <w:t>、违约责任与赔偿损失</w:t>
      </w:r>
    </w:p>
    <w:p>
      <w:pPr>
        <w:ind w:firstLine="420"/>
        <w:jc w:val="both"/>
      </w:pPr>
      <w:r>
        <w:rPr>
          <w:sz w:val="21"/>
        </w:rPr>
        <w:t>1.乙方提供的服务不符合本合</w:t>
      </w:r>
      <w:r>
        <w:rPr>
          <w:sz w:val="21"/>
        </w:rPr>
        <w:t>同</w:t>
      </w:r>
      <w:r>
        <w:rPr>
          <w:sz w:val="21"/>
        </w:rPr>
        <w:t>规定的，甲方有权拒收，并且乙方须向甲方方支付本合</w:t>
      </w:r>
      <w:r>
        <w:rPr>
          <w:sz w:val="21"/>
        </w:rPr>
        <w:t>同</w:t>
      </w:r>
      <w:r>
        <w:rPr>
          <w:sz w:val="21"/>
        </w:rPr>
        <w:t>总价</w:t>
      </w:r>
      <w:r>
        <w:rPr>
          <w:sz w:val="21"/>
        </w:rPr>
        <w:t>5%的</w:t>
      </w:r>
      <w:r>
        <w:rPr>
          <w:sz w:val="21"/>
        </w:rPr>
        <w:t>违约金。</w:t>
      </w:r>
    </w:p>
    <w:p>
      <w:pPr>
        <w:ind w:firstLine="420"/>
        <w:jc w:val="both"/>
      </w:pPr>
      <w:r>
        <w:rPr>
          <w:sz w:val="21"/>
        </w:rPr>
        <w:t>2.乙方未能</w:t>
      </w:r>
      <w:r>
        <w:rPr>
          <w:sz w:val="21"/>
        </w:rPr>
        <w:t>按</w:t>
      </w:r>
      <w:r>
        <w:rPr>
          <w:sz w:val="21"/>
        </w:rPr>
        <w:t>本合同规定的</w:t>
      </w:r>
      <w:r>
        <w:rPr>
          <w:sz w:val="21"/>
        </w:rPr>
        <w:t>时间</w:t>
      </w:r>
      <w:r>
        <w:rPr>
          <w:sz w:val="21"/>
        </w:rPr>
        <w:t>提供服务，从逾</w:t>
      </w:r>
      <w:r>
        <w:rPr>
          <w:sz w:val="21"/>
        </w:rPr>
        <w:t>期</w:t>
      </w:r>
      <w:r>
        <w:rPr>
          <w:sz w:val="21"/>
        </w:rPr>
        <w:t>之日起每日</w:t>
      </w:r>
      <w:r>
        <w:rPr>
          <w:sz w:val="21"/>
        </w:rPr>
        <w:t>按</w:t>
      </w:r>
      <w:r>
        <w:rPr>
          <w:sz w:val="21"/>
        </w:rPr>
        <w:t>本合</w:t>
      </w:r>
      <w:r>
        <w:rPr>
          <w:sz w:val="21"/>
        </w:rPr>
        <w:t>同</w:t>
      </w:r>
      <w:r>
        <w:rPr>
          <w:sz w:val="21"/>
        </w:rPr>
        <w:t>总价</w:t>
      </w:r>
      <w:r>
        <w:rPr>
          <w:sz w:val="21"/>
        </w:rPr>
        <w:t>3‰</w:t>
      </w:r>
      <w:r>
        <w:rPr>
          <w:sz w:val="21"/>
        </w:rPr>
        <w:t>的数额向甲方支付</w:t>
      </w:r>
      <w:r>
        <w:rPr>
          <w:sz w:val="21"/>
        </w:rPr>
        <w:t>违约金；</w:t>
      </w:r>
      <w:r>
        <w:rPr>
          <w:sz w:val="21"/>
        </w:rPr>
        <w:t>逾期半个月以上的，甲方有权</w:t>
      </w:r>
      <w:r>
        <w:rPr>
          <w:sz w:val="21"/>
        </w:rPr>
        <w:t>终止合同</w:t>
      </w:r>
      <w:r>
        <w:rPr>
          <w:sz w:val="21"/>
        </w:rPr>
        <w:t>，由此造成的甲方经济损失由乙方承担。</w:t>
      </w:r>
    </w:p>
    <w:p>
      <w:pPr>
        <w:ind w:firstLine="420"/>
        <w:jc w:val="both"/>
      </w:pPr>
      <w:r>
        <w:rPr>
          <w:sz w:val="21"/>
        </w:rPr>
        <w:t>3.</w:t>
      </w:r>
      <w:r>
        <w:rPr>
          <w:sz w:val="21"/>
        </w:rPr>
        <w:t>其它</w:t>
      </w:r>
      <w:r>
        <w:rPr>
          <w:sz w:val="21"/>
        </w:rPr>
        <w:t>违约</w:t>
      </w:r>
      <w:r>
        <w:rPr>
          <w:sz w:val="21"/>
        </w:rPr>
        <w:t>责任按</w:t>
      </w:r>
      <w:r>
        <w:rPr>
          <w:sz w:val="21"/>
        </w:rPr>
        <w:t>《中</w:t>
      </w:r>
      <w:r>
        <w:rPr>
          <w:sz w:val="21"/>
        </w:rPr>
        <w:t>华人民共和国民法典</w:t>
      </w:r>
      <w:r>
        <w:rPr>
          <w:sz w:val="21"/>
        </w:rPr>
        <w:t>（合同编）</w:t>
      </w:r>
      <w:r>
        <w:rPr>
          <w:sz w:val="21"/>
        </w:rPr>
        <w:t>》处理。</w:t>
      </w:r>
    </w:p>
    <w:p>
      <w:pPr>
        <w:jc w:val="both"/>
      </w:pPr>
    </w:p>
    <w:p>
      <w:pPr>
        <w:jc w:val="both"/>
      </w:pPr>
      <w:r>
        <w:rPr>
          <w:b/>
          <w:sz w:val="21"/>
        </w:rPr>
        <w:t>十、</w:t>
      </w:r>
      <w:r>
        <w:rPr>
          <w:b/>
          <w:sz w:val="21"/>
        </w:rPr>
        <w:t>争议的解决</w:t>
      </w:r>
    </w:p>
    <w:p>
      <w:pPr>
        <w:ind w:firstLine="420"/>
        <w:jc w:val="both"/>
      </w:pPr>
      <w:r>
        <w:rPr>
          <w:sz w:val="21"/>
        </w:rPr>
        <w:t>合</w:t>
      </w:r>
      <w:r>
        <w:rPr>
          <w:sz w:val="21"/>
        </w:rPr>
        <w:t>同</w:t>
      </w:r>
      <w:r>
        <w:rPr>
          <w:sz w:val="21"/>
        </w:rPr>
        <w:t>执行过程中发生的任何争议，如双方不能通过友好</w:t>
      </w:r>
      <w:r>
        <w:rPr>
          <w:sz w:val="21"/>
        </w:rPr>
        <w:t>协商</w:t>
      </w:r>
      <w:r>
        <w:rPr>
          <w:sz w:val="21"/>
        </w:rPr>
        <w:t>解决，按相关法律法规处理。</w:t>
      </w:r>
    </w:p>
    <w:p>
      <w:pPr>
        <w:jc w:val="both"/>
      </w:pPr>
    </w:p>
    <w:p>
      <w:pPr>
        <w:jc w:val="both"/>
      </w:pPr>
      <w:r>
        <w:rPr>
          <w:b/>
          <w:sz w:val="21"/>
        </w:rPr>
        <w:t>十一、</w:t>
      </w:r>
      <w:r>
        <w:rPr>
          <w:b/>
          <w:sz w:val="21"/>
        </w:rPr>
        <w:t>不可抗力</w:t>
      </w:r>
    </w:p>
    <w:p>
      <w:pPr>
        <w:ind w:firstLine="420"/>
        <w:jc w:val="both"/>
      </w:pP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jc w:val="both"/>
      </w:pPr>
    </w:p>
    <w:p>
      <w:pPr>
        <w:jc w:val="both"/>
      </w:pPr>
      <w:r>
        <w:rPr>
          <w:b/>
          <w:sz w:val="21"/>
        </w:rPr>
        <w:t>十二、税费</w:t>
      </w:r>
    </w:p>
    <w:p>
      <w:pPr>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jc w:val="both"/>
      </w:pPr>
    </w:p>
    <w:p>
      <w:pPr>
        <w:jc w:val="both"/>
      </w:pPr>
      <w:r>
        <w:rPr>
          <w:b/>
          <w:sz w:val="21"/>
        </w:rPr>
        <w:t>十三</w:t>
      </w:r>
      <w:r>
        <w:rPr>
          <w:b/>
          <w:sz w:val="21"/>
        </w:rPr>
        <w:t>、其它</w:t>
      </w:r>
    </w:p>
    <w:p>
      <w:pPr>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投标文件。中标通知书均为合</w:t>
      </w:r>
      <w:r>
        <w:rPr>
          <w:sz w:val="21"/>
        </w:rPr>
        <w:t>同</w:t>
      </w:r>
      <w:r>
        <w:rPr>
          <w:sz w:val="21"/>
        </w:rPr>
        <w:t>的有效组成部分，与本合具有同等法律效力。</w:t>
      </w:r>
    </w:p>
    <w:p>
      <w:pPr>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jc w:val="both"/>
      </w:pPr>
    </w:p>
    <w:p>
      <w:pPr>
        <w:jc w:val="both"/>
      </w:pPr>
      <w:r>
        <w:rPr>
          <w:b/>
          <w:sz w:val="21"/>
        </w:rPr>
        <w:t>十四</w:t>
      </w:r>
      <w:r>
        <w:rPr>
          <w:b/>
          <w:sz w:val="21"/>
        </w:rPr>
        <w:t>、合同</w:t>
      </w:r>
      <w:r>
        <w:rPr>
          <w:b/>
          <w:sz w:val="21"/>
        </w:rPr>
        <w:t>生</w:t>
      </w:r>
      <w:r>
        <w:rPr>
          <w:b/>
          <w:sz w:val="21"/>
        </w:rPr>
        <w:t>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 xml:space="preserve">    </w:t>
      </w:r>
      <w:r>
        <w:rPr>
          <w:sz w:val="21"/>
        </w:rPr>
        <w:t>份</w:t>
      </w:r>
      <w:r>
        <w:rPr>
          <w:sz w:val="21"/>
        </w:rPr>
        <w:t>，其中甲方执</w:t>
      </w:r>
      <w:r>
        <w:rPr>
          <w:sz w:val="21"/>
          <w:u w:val="single"/>
        </w:rPr>
        <w:t xml:space="preserve">   </w:t>
      </w:r>
      <w:r>
        <w:rPr>
          <w:sz w:val="21"/>
          <w:u w:val="single"/>
        </w:rPr>
        <w:t>份</w:t>
      </w:r>
      <w:r>
        <w:rPr>
          <w:sz w:val="21"/>
        </w:rPr>
        <w:t>，乙方执</w:t>
      </w:r>
      <w:r>
        <w:rPr>
          <w:sz w:val="21"/>
          <w:u w:val="single"/>
        </w:rPr>
        <w:t xml:space="preserve">    </w:t>
      </w:r>
      <w:r>
        <w:rPr>
          <w:sz w:val="21"/>
        </w:rPr>
        <w:t>份，招标代理执</w:t>
      </w:r>
      <w:r>
        <w:rPr>
          <w:sz w:val="21"/>
          <w:u w:val="single"/>
        </w:rPr>
        <w:t xml:space="preserve"> </w:t>
      </w:r>
      <w:r>
        <w:rPr>
          <w:sz w:val="21"/>
          <w:u w:val="single"/>
        </w:rPr>
        <w:t>壹</w:t>
      </w:r>
      <w:r>
        <w:rPr>
          <w:sz w:val="21"/>
        </w:rPr>
        <w:t>份</w:t>
      </w:r>
      <w:r>
        <w:rPr>
          <w:sz w:val="21"/>
        </w:rPr>
        <w:t>。</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441900018-2023-00648</w:t>
      </w:r>
    </w:p>
    <w:p>
      <w:pPr>
        <w:jc w:val="center"/>
      </w:pPr>
      <w:r>
        <w:rPr>
          <w:b/>
          <w:sz w:val="24"/>
        </w:rPr>
        <w:t>采购项目编号：</w:t>
      </w:r>
      <w:r>
        <w:rPr>
          <w:b/>
          <w:sz w:val="24"/>
        </w:rPr>
        <w:t>441900018-2023-00648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常平镇猪头山泵站干渠水质提升运维服务项目</w:t>
      </w:r>
      <w:r>
        <w:rPr>
          <w:u w:val="single"/>
        </w:rPr>
        <w:t>”</w:t>
      </w:r>
      <w:r>
        <w:rPr/>
        <w:t>项目的招标[采购项目编号为：</w:t>
      </w:r>
      <w:r>
        <w:rPr>
          <w:u w:val="single"/>
        </w:rPr>
        <w:t>441900018-2023-00648</w:t>
      </w:r>
      <w:r>
        <w:rPr/>
        <w:t>]，我方愿参与投标。</w:t>
      </w:r>
    </w:p>
    <w:p>
      <w:pPr>
        <w:ind w:firstLine="480"/>
      </w:pPr>
      <w:r>
        <w:rPr/>
        <w:t>我方确认收到贵方提供的</w:t>
      </w:r>
      <w:r>
        <w:rPr>
          <w:u w:val="single"/>
        </w:rPr>
        <w:t>“</w:t>
      </w:r>
      <w:r>
        <w:rPr>
          <w:u w:val="single"/>
        </w:rPr>
        <w:t>常平镇猪头山泵站干渠水质提升运维服务项目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常平镇猪头山泵站干渠水质提升运维服务项目</w:t>
      </w:r>
      <w:r>
        <w:rPr/>
        <w:t>”项目采购[采购项目编号为</w:t>
      </w:r>
      <w:r>
        <w:rPr/>
        <w:t>441900018-2023-00648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东莞市常平镇水务工程运营中心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常平镇猪头山泵站干渠水质提升运维服务项目</w:t>
      </w:r>
      <w:r>
        <w:rPr/>
        <w:t>招标中获中标（采购项目编号：</w:t>
      </w:r>
      <w:r>
        <w:rPr/>
        <w:t>441900018-2023-00648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常平镇猪头山泵站干渠水质提升运维服务项目</w:t>
      </w:r>
      <w:r>
        <w:rPr/>
        <w:t>”项目（采购项目编号：</w:t>
      </w:r>
      <w:r>
        <w:rPr/>
        <w:t>441900018-2023-00648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