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441901-2023-05833</w:t>
      </w:r>
    </w:p>
    <w:p>
      <w:pPr>
        <w:jc w:val="center"/>
      </w:pPr>
      <w:r>
        <w:rPr>
          <w:b/>
          <w:sz w:val="24"/>
        </w:rPr>
        <w:t>采购项目编号：</w:t>
      </w:r>
      <w:r>
        <w:rPr>
          <w:b/>
          <w:sz w:val="24"/>
        </w:rPr>
        <w:t>441901-2023-05833</w:t>
      </w:r>
    </w:p>
    <w:p>
      <w:pPr>
        <w:jc w:val="center"/>
      </w:pPr>
      <w:r>
        <w:rPr>
          <w:b/>
          <w:sz w:val="24"/>
        </w:rPr>
        <w:t>项目名称：</w:t>
      </w:r>
      <w:r>
        <w:rPr>
          <w:b/>
          <w:sz w:val="24"/>
        </w:rPr>
        <w:t>购建足球场项目</w:t>
      </w:r>
    </w:p>
    <w:p>
      <w:pPr>
        <w:jc w:val="center"/>
      </w:pPr>
      <w:r>
        <w:rPr>
          <w:b/>
          <w:sz w:val="24"/>
        </w:rPr>
        <w:t>采购人：</w:t>
      </w:r>
      <w:r>
        <w:rPr>
          <w:b/>
          <w:sz w:val="24"/>
        </w:rPr>
        <w:t>东莞市文化广电旅游体育局</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东莞市文化广电旅游体育局</w:t>
      </w:r>
      <w:r>
        <w:rPr/>
        <w:t>的委托，采用</w:t>
      </w:r>
      <w:r>
        <w:rPr/>
        <w:t>公开招标</w:t>
      </w:r>
      <w:r>
        <w:rPr/>
        <w:t>方式组织采购</w:t>
      </w:r>
      <w:r>
        <w:rPr/>
        <w:t>购建足球场项目</w:t>
      </w:r>
      <w:r>
        <w:rPr/>
        <w:t>。欢迎符合资格条件的国内供应商参加投标。</w:t>
      </w:r>
    </w:p>
    <w:p>
      <w:r>
        <w:rPr>
          <w:b/>
          <w:sz w:val="28"/>
        </w:rPr>
        <w:t>一.项目概述</w:t>
      </w:r>
    </w:p>
    <w:p>
      <w:r>
        <w:rPr>
          <w:b/>
          <w:sz w:val="24"/>
        </w:rPr>
        <w:t>1.名称与编号</w:t>
      </w:r>
    </w:p>
    <w:p>
      <w:pPr>
        <w:ind w:firstLine="480"/>
      </w:pPr>
      <w:r>
        <w:rPr/>
        <w:t>项目名称：</w:t>
      </w:r>
      <w:r>
        <w:rPr/>
        <w:t>购建足球场项目</w:t>
      </w:r>
    </w:p>
    <w:p>
      <w:pPr>
        <w:ind w:firstLine="480"/>
      </w:pPr>
      <w:r>
        <w:rPr/>
        <w:t>采购计划编号：</w:t>
      </w:r>
      <w:r>
        <w:rPr/>
        <w:t>441901-2023-05833</w:t>
      </w:r>
    </w:p>
    <w:p>
      <w:pPr>
        <w:ind w:firstLine="480"/>
      </w:pPr>
      <w:r>
        <w:rPr/>
        <w:t>采购项目编号：</w:t>
      </w:r>
      <w:r>
        <w:rPr/>
        <w:t>441901-2023-05833</w:t>
      </w:r>
    </w:p>
    <w:p>
      <w:pPr>
        <w:ind w:firstLine="480"/>
      </w:pPr>
      <w:r>
        <w:rPr/>
        <w:t>采购方式：</w:t>
      </w:r>
      <w:r>
        <w:rPr/>
        <w:t>公开招标</w:t>
      </w:r>
    </w:p>
    <w:p>
      <w:pPr>
        <w:ind w:firstLine="480"/>
      </w:pPr>
      <w:r>
        <w:rPr/>
        <w:t>预算金额：</w:t>
      </w:r>
      <w:r>
        <w:rPr/>
        <w:t>4,000,000.00</w:t>
      </w:r>
      <w:r>
        <w:rPr/>
        <w:t>元</w:t>
      </w:r>
    </w:p>
    <w:p>
      <w:r>
        <w:rPr>
          <w:b/>
          <w:sz w:val="24"/>
        </w:rPr>
        <w:t>2.项目内容及需求情况（采购项目技术规格、参数及要求）</w:t>
      </w:r>
    </w:p>
    <w:p>
      <w:pPr>
        <w:ind w:firstLine="480"/>
      </w:pPr>
    </w:p>
    <w:p/>
    <w:p>
      <w:r>
        <w:rPr/>
        <w:t>采购包1(购建足球场项目):</w:t>
      </w:r>
    </w:p>
    <w:p>
      <w:r>
        <w:rPr/>
        <w:t>采购包预算金额：4,000,000.00元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其他体育设备设施</w:t>
            </w:r>
          </w:p>
        </w:tc>
        <w:tc>
          <w:tcPr>
            <w:tcW w:type="dxa" w:w="2136"/>
          </w:tcPr>
          <w:p>
            <w:r>
              <w:rPr/>
              <w:t>购建足球场项目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合同履行期限：自合同签订生效之日起60个日历日内完成所有货物供货、安装调试及验收等工作。</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采购包1（购建足球场项目）：</w:t>
      </w:r>
      <w:r>
        <w:rPr/>
        <w:t>参与投标（响应）的供应商提供的货物全部由符合政策要求的中小企业制造。本项目采购标的对应的中小企业划分标准所属行业为工业。监狱企业、残疾人福利单位视同小型、微型企业。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采购包1（购建足球场项目）：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东莞市文化广电旅游体育局</w:t>
      </w:r>
    </w:p>
    <w:p>
      <w:pPr>
        <w:ind w:firstLine="480"/>
      </w:pPr>
      <w:r>
        <w:rPr/>
        <w:t>地址：</w:t>
      </w:r>
      <w:r>
        <w:rPr/>
        <w:t>东莞市南城区石竹路9号</w:t>
      </w:r>
    </w:p>
    <w:p>
      <w:pPr>
        <w:ind w:firstLine="480"/>
      </w:pPr>
      <w:r>
        <w:rPr/>
        <w:t>联系方式：</w:t>
      </w:r>
      <w:r>
        <w:rPr/>
        <w:t>0769-22470503</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为广泛开展东莞市足球赛事活动，扩大群众参与，积极培养群众足球意识，增加经常参加足球锻炼人口，扩大足球相关消费。现通过公开招标方式采购一批足球场。设备名称：</w:t>
      </w:r>
      <w:r>
        <w:rPr>
          <w:sz w:val="21"/>
        </w:rPr>
        <w:t>5人制足球场10片。主要设备包括模板化框架围网、照明系统、人造草坪、移动式足球门。</w:t>
      </w:r>
    </w:p>
    <w:p/>
    <w:p>
      <w:pPr>
        <w:ind w:firstLine="480"/>
      </w:pPr>
    </w:p>
    <w:p/>
    <w:p>
      <w:r>
        <w:rPr/>
        <w:t>采购包1（购建足球场项目）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自合同签订生效之日起60个日历日内完成所有货物供货、安装调试及验收等工作。</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1期：支付比例80%,①自合同签订生效后，采购人5个工作日内向成交供应商支付合同总价的80%作为预付款。</w:t>
            </w:r>
          </w:p>
          <w:p/>
          <w:p>
            <w:r>
              <w:rPr/>
              <w:t>2期：支付比例20%,②全部货物到采购指定地点交付并完成安装，经采购人验收合格后，采购人15个工作日内向成交供应商支付至合同结算价的100%。 ③成交供应商在满足支付条件后应向采购人提交支付申请和与支付金额相符的有效发票，且收款方、出具发票方、合同乙方均必须与成交供应商名称一致，采购人在收到支付申请和发票后办理支付手续。 ④付款前成交供应商应向采购人提出请款申请及所需的材料和等额合格发票。本合同的经费由财政拨款，如因财政请款原因，经费未能及时到位，成交供应商不得以此为由而不履行本合同规定的义务。否则，采购人按规定扣罚。如果成交供应商怠于或者拒绝提供资料或者办理手续的，则因此产生的付款迟延的责任全部由成交供应商承担。</w:t>
            </w:r>
          </w:p>
        </w:tc>
      </w:tr>
      <w:tr>
        <w:tc>
          <w:tcPr>
            <w:tcW w:type="dxa" w:w="4153"/>
          </w:tcPr>
          <w:p>
            <w:r>
              <w:rPr/>
              <w:t>验收要求</w:t>
            </w:r>
          </w:p>
        </w:tc>
        <w:tc>
          <w:tcPr>
            <w:tcW w:type="dxa" w:w="4153"/>
          </w:tcPr>
          <w:p/>
          <w:p/>
          <w:p/>
          <w:p>
            <w:r>
              <w:rPr/>
              <w:t>1期：1、签定合同后按合同和招标、投标文件约定的要求和标准进行交货验收。本项目完工期可在中标合同内按采购人要求约定，中标单位须无条件同意采购单位的合理要求。  2、交货时须将使用说明书、质量检验证明书、保修单据、随配附件和工具以及清单一并附于货物内。  3、★由于中标人的原因逾期通过验收的，每逾期一日按合同总额5‰向采购人偿付违约金；逾期验收超过30天，采购人有权终止合同，所发生的费用由中标人自行解决，中标人向采购人退回已支付的全部货款，采购人将通过法律程序对中标人进行索赔合同金额的30%作为违约金。（投标人须提供承诺函复印件加盖公章）</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报价要求，投标报价采取打包报价的方式，投标报价包括材料、工具、人工、管理费、利润、税金、风险、招标代理费用等一切因素所有应该和可能发生的费用因素。</w:t>
            </w:r>
          </w:p>
          <w:p/>
          <w:p>
            <w:r>
              <w:rPr/>
              <w:t>售后服务要求，1.★供应商须安排专人送货上门、安装、调试。  2.★质保期：自货物通过验收交付使用日开始计算两年。两年后上门维修仅收取材料费。  3.提供针对本项目的售后服务承诺及保证措施，所有货物须按国家“三包”及相关标准。  4.质量、工期、保修、保养的要求：  4.1.设计和安装和验收要求达到合格以上标准（含合格）；货物的验收及质保期内的运行均要求达到招标要求。中标人不得更改材料和配件（如采购人要求除外），如有发现造成的所有责任和损失由中标人承担。  4.2.在质保期内维护，并提供备品、备件；无论在保修期内或保修期外，投标人需提供上门服务。投标人需提供终身售后服务，保修期内，每两月做一次巡检。设备出现异常或故障 时，问题响应时间2小时内，24小时内排除故障，限定时间内不能排除故障的，中标单位须提供相应备用备件以保障使用，直到原设备修备完成。  4.3.在质保期内，同一配件、同一质量问题连续两次维修仍无法正常使用，中标人必须无条件予以更换同品牌、同型号产品。  4.4.在质保期内，接到采购人电话通知后，中标人应当在一天内上门服务，如不能及时修复，采购人可委托其它单位维修，其费用由中标人承担。  4.5.培训：对采购人操作人员提供设备安全操作规程培训，讲解其他设备的基本结构及工作原理，直至操作人员掌握设备的日常使用、维护保养方法，保证操作人员可正确操作使用，并能排除一般故障。  5.投标人需在投标文件中提供完整的服务体系和相应的具体措施。  6.投标人需在投标文件中提供定期检查制度和保养方案。</w:t>
            </w:r>
          </w:p>
          <w:p/>
          <w:p>
            <w:r>
              <w:rPr/>
              <w:t>货物总体要求，1.投标人所投货物必须是原装、全新的产品，符合国家以及该产品的出厂标准。 2.供应商所投货物必须使用环保材料并符合国家环保要求及标准。  3.货物在验收合格前的保险由投标人负责，且投标人负责其派出的现场服务人员人身意外保险。  4.安装调试完成后由采购人（或采购人指定的单位）和投标人共同进行验收，并签署项目验收报告。</w:t>
            </w:r>
          </w:p>
          <w:p/>
          <w:p>
            <w:r>
              <w:rPr/>
              <w:t>安装、调试，1.中标人负责货物的包装、运输、安装、调试等工作，并承担由此产生的所有费用。  2.中标人负责到用户指定的地点进行安装、调试。  3.中标人应提交详细安装进度表。  4.中标人应设安装负责人，负责安装协调管理工作。  5.按国家相关施工验收规范进行，分阶段进行调试。 6.货物的安装、调试等项工作由中标人负责，但必须在采购人指定人员的参与下进行。调试的原始记录须经各方签字后作为验收的文件之一。</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其他体育设备设施</w:t>
            </w:r>
          </w:p>
        </w:tc>
        <w:tc>
          <w:tcPr>
            <w:tcW w:type="dxa" w:w="831"/>
          </w:tcPr>
          <w:p>
            <w:pPr>
              <w:jc w:val="left"/>
            </w:pPr>
            <w:r>
              <w:rPr/>
              <w:t>购建足球场项目</w:t>
            </w:r>
          </w:p>
        </w:tc>
        <w:tc>
          <w:tcPr>
            <w:tcW w:type="dxa" w:w="831"/>
          </w:tcPr>
          <w:p>
            <w:pPr>
              <w:jc w:val="left"/>
            </w:pPr>
            <w:r>
              <w:rPr/>
              <w:t>项</w:t>
            </w:r>
          </w:p>
        </w:tc>
        <w:tc>
          <w:tcPr>
            <w:tcW w:type="dxa" w:w="831"/>
          </w:tcPr>
          <w:p>
            <w:pPr>
              <w:jc w:val="right"/>
            </w:pPr>
            <w:r>
              <w:rPr/>
              <w:t>1.00</w:t>
            </w:r>
          </w:p>
        </w:tc>
        <w:tc>
          <w:tcPr>
            <w:tcW w:type="dxa" w:w="831"/>
          </w:tcPr>
          <w:p>
            <w:pPr>
              <w:jc w:val="right"/>
            </w:pPr>
            <w:r>
              <w:rPr/>
              <w:t>4,000,000.00</w:t>
            </w:r>
          </w:p>
        </w:tc>
        <w:tc>
          <w:tcPr>
            <w:tcW w:type="dxa" w:w="831"/>
          </w:tcPr>
          <w:p>
            <w:pPr>
              <w:jc w:val="right"/>
            </w:pPr>
            <w:r>
              <w:rPr/>
              <w:t>4,000,000.00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购建足球场项目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一、项目清单</w:t>
            </w:r>
          </w:p>
          <w:tbl>
            <w:tblPr>
              <w:tblInd w:type="dxa" w:w="105"/>
              <w:tblBorders>
                <w:top w:val="none" w:color="000000" w:sz="4"/>
                <w:left w:val="none" w:color="000000" w:sz="4"/>
                <w:bottom w:val="none" w:color="000000" w:sz="4"/>
                <w:right w:val="none" w:color="000000" w:sz="4"/>
                <w:insideH w:val="none"/>
                <w:insideV w:val="none"/>
              </w:tblBorders>
            </w:tblPr>
            <w:tblGrid>
              <w:gridCol w:w="415"/>
              <w:gridCol w:w="656"/>
              <w:gridCol w:w="3571"/>
              <w:gridCol w:w="482"/>
              <w:gridCol w:w="453"/>
            </w:tblGrid>
            <w:tr>
              <w:tc>
                <w:tcPr>
                  <w:tcW w:type="dxa" w:w="41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656"/>
                  <w:tcBorders>
                    <w:top w:val="single" w:color="000000" w:sz="4"/>
                    <w:left w:val="none" w:color="000000" w:sz="4"/>
                    <w:bottom w:val="single" w:color="000000" w:sz="4"/>
                    <w:right w:val="single" w:color="000000" w:sz="4"/>
                  </w:tcBorders>
                  <w:vAlign w:val="top"/>
                </w:tcPr>
                <w:p>
                  <w:pPr>
                    <w:jc w:val="center"/>
                  </w:pPr>
                  <w:r>
                    <w:rPr>
                      <w:b/>
                      <w:sz w:val="21"/>
                    </w:rPr>
                    <w:t>名称</w:t>
                  </w:r>
                </w:p>
              </w:tc>
              <w:tc>
                <w:tcPr>
                  <w:tcW w:type="dxa" w:w="3571"/>
                  <w:tcBorders>
                    <w:top w:val="single" w:color="000000" w:sz="4"/>
                    <w:left w:val="none" w:color="000000" w:sz="4"/>
                    <w:bottom w:val="single" w:color="000000" w:sz="4"/>
                    <w:right w:val="single" w:color="000000" w:sz="4"/>
                  </w:tcBorders>
                  <w:vAlign w:val="top"/>
                </w:tcPr>
                <w:p>
                  <w:pPr>
                    <w:jc w:val="center"/>
                  </w:pPr>
                  <w:r>
                    <w:rPr>
                      <w:b/>
                      <w:sz w:val="21"/>
                    </w:rPr>
                    <w:t>参数</w:t>
                  </w:r>
                </w:p>
              </w:tc>
              <w:tc>
                <w:tcPr>
                  <w:tcW w:type="dxa" w:w="482"/>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453"/>
                  <w:tcBorders>
                    <w:top w:val="single" w:color="000000" w:sz="4"/>
                    <w:left w:val="none" w:color="000000" w:sz="4"/>
                    <w:bottom w:val="single" w:color="000000" w:sz="4"/>
                    <w:right w:val="single" w:color="000000" w:sz="4"/>
                  </w:tcBorders>
                  <w:vAlign w:val="top"/>
                </w:tcPr>
                <w:p>
                  <w:pPr>
                    <w:jc w:val="center"/>
                  </w:pPr>
                  <w:r>
                    <w:rPr>
                      <w:b/>
                      <w:sz w:val="21"/>
                    </w:rPr>
                    <w:t>单位</w:t>
                  </w:r>
                </w:p>
              </w:tc>
            </w:tr>
            <w:tr>
              <w:tc>
                <w:tcPr>
                  <w:tcW w:type="dxa" w:w="41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56"/>
                  <w:tcBorders>
                    <w:top w:val="none" w:color="000000" w:sz="4"/>
                    <w:left w:val="none" w:color="000000" w:sz="4"/>
                    <w:bottom w:val="single" w:color="000000" w:sz="4"/>
                    <w:right w:val="single" w:color="000000" w:sz="4"/>
                  </w:tcBorders>
                  <w:vAlign w:val="top"/>
                </w:tcPr>
                <w:p>
                  <w:pPr>
                    <w:jc w:val="center"/>
                  </w:pPr>
                  <w:r>
                    <w:rPr>
                      <w:sz w:val="21"/>
                    </w:rPr>
                    <w:t>△</w:t>
                  </w:r>
                  <w:r>
                    <w:rPr>
                      <w:sz w:val="21"/>
                    </w:rPr>
                    <w:t>模板化框架围网</w:t>
                  </w:r>
                </w:p>
              </w:tc>
              <w:tc>
                <w:tcPr>
                  <w:tcW w:type="dxa" w:w="3571"/>
                  <w:tcBorders>
                    <w:top w:val="none" w:color="000000" w:sz="4"/>
                    <w:left w:val="none" w:color="000000" w:sz="4"/>
                    <w:bottom w:val="single" w:color="000000" w:sz="4"/>
                    <w:right w:val="single" w:color="000000" w:sz="4"/>
                  </w:tcBorders>
                  <w:vAlign w:val="top"/>
                </w:tcPr>
                <w:p>
                  <w:pPr>
                    <w:ind w:firstLine="420"/>
                    <w:jc w:val="both"/>
                  </w:pPr>
                  <w:r>
                    <w:rPr>
                      <w:sz w:val="21"/>
                    </w:rPr>
                    <w:t>（</w:t>
                  </w:r>
                  <w:r>
                    <w:rPr>
                      <w:sz w:val="21"/>
                    </w:rPr>
                    <w:t>1</w:t>
                  </w:r>
                  <w:r>
                    <w:rPr>
                      <w:sz w:val="21"/>
                    </w:rPr>
                    <w:t>）</w:t>
                  </w:r>
                  <w:r>
                    <w:rPr>
                      <w:sz w:val="21"/>
                    </w:rPr>
                    <w:t>围网规格（米）：长度：</w:t>
                  </w:r>
                  <w:r>
                    <w:rPr>
                      <w:sz w:val="21"/>
                    </w:rPr>
                    <w:t>29米-34米；宽度：19米-23米。注：根据安装现场实际尺寸最终确定围网具体规格。</w:t>
                  </w:r>
                </w:p>
                <w:p>
                  <w:pPr>
                    <w:ind w:firstLine="420"/>
                    <w:jc w:val="both"/>
                  </w:pPr>
                  <w:r>
                    <w:rPr>
                      <w:sz w:val="21"/>
                    </w:rPr>
                    <w:t>（</w:t>
                  </w:r>
                  <w:r>
                    <w:rPr>
                      <w:sz w:val="21"/>
                    </w:rPr>
                    <w:t>2</w:t>
                  </w:r>
                  <w:r>
                    <w:rPr>
                      <w:sz w:val="21"/>
                    </w:rPr>
                    <w:t>）</w:t>
                  </w:r>
                  <w:r>
                    <w:rPr>
                      <w:sz w:val="21"/>
                    </w:rPr>
                    <w:t>场地围网应起到防护、围拦作用，安全结构应符合现行国家体育设施标准的技术要求。</w:t>
                  </w:r>
                </w:p>
                <w:p>
                  <w:pPr>
                    <w:ind w:firstLine="420"/>
                    <w:jc w:val="both"/>
                  </w:pPr>
                  <w:r>
                    <w:rPr>
                      <w:sz w:val="21"/>
                    </w:rPr>
                    <w:t>（</w:t>
                  </w:r>
                  <w:r>
                    <w:rPr>
                      <w:sz w:val="21"/>
                    </w:rPr>
                    <w:t>3</w:t>
                  </w:r>
                  <w:r>
                    <w:rPr>
                      <w:sz w:val="21"/>
                    </w:rPr>
                    <w:t>）</w:t>
                  </w:r>
                  <w:r>
                    <w:rPr>
                      <w:sz w:val="21"/>
                    </w:rPr>
                    <w:t>整体框架采用</w:t>
                  </w:r>
                  <w:r>
                    <w:rPr>
                      <w:sz w:val="21"/>
                    </w:rPr>
                    <w:t>3米（宽）×4米（高）或2.5米（宽）×4米（高）围网模块组成；参考颜色：色彩鲜明；</w:t>
                  </w:r>
                </w:p>
                <w:p>
                  <w:pPr>
                    <w:ind w:firstLine="420"/>
                    <w:jc w:val="both"/>
                  </w:pPr>
                  <w:r>
                    <w:rPr>
                      <w:sz w:val="21"/>
                    </w:rPr>
                    <w:t>（</w:t>
                  </w:r>
                  <w:r>
                    <w:rPr>
                      <w:sz w:val="21"/>
                    </w:rPr>
                    <w:t>4</w:t>
                  </w:r>
                  <w:r>
                    <w:rPr>
                      <w:sz w:val="21"/>
                    </w:rPr>
                    <w:t>）</w:t>
                  </w:r>
                  <w:r>
                    <w:rPr>
                      <w:sz w:val="21"/>
                    </w:rPr>
                    <w:t>▲围网框架采用片装自由组合结构，内藏围网预紧装置设计，网片使用”凹“型钢结构型材；</w:t>
                  </w:r>
                </w:p>
                <w:p>
                  <w:pPr>
                    <w:ind w:firstLine="420"/>
                    <w:jc w:val="both"/>
                  </w:pPr>
                  <w:r>
                    <w:rPr>
                      <w:sz w:val="21"/>
                    </w:rPr>
                    <w:t>（</w:t>
                  </w:r>
                  <w:r>
                    <w:rPr>
                      <w:sz w:val="21"/>
                    </w:rPr>
                    <w:t>5</w:t>
                  </w:r>
                  <w:r>
                    <w:rPr>
                      <w:sz w:val="21"/>
                    </w:rPr>
                    <w:t>）</w:t>
                  </w:r>
                  <w:r>
                    <w:rPr>
                      <w:sz w:val="21"/>
                    </w:rPr>
                    <w:t>▲主立柱（灯柱）：φ114*3.5的优质圆形钢管；</w:t>
                  </w:r>
                </w:p>
                <w:p>
                  <w:pPr>
                    <w:ind w:firstLine="420"/>
                    <w:jc w:val="both"/>
                  </w:pPr>
                  <w:r>
                    <w:rPr>
                      <w:sz w:val="21"/>
                    </w:rPr>
                    <w:t>（</w:t>
                  </w:r>
                  <w:r>
                    <w:rPr>
                      <w:sz w:val="21"/>
                    </w:rPr>
                    <w:t>6</w:t>
                  </w:r>
                  <w:r>
                    <w:rPr>
                      <w:sz w:val="21"/>
                    </w:rPr>
                    <w:t>）</w:t>
                  </w:r>
                  <w:r>
                    <w:rPr>
                      <w:sz w:val="21"/>
                    </w:rPr>
                    <w:t>▲辅立柱：φ76*3的优质圆形钢管；</w:t>
                  </w:r>
                </w:p>
                <w:p>
                  <w:pPr>
                    <w:ind w:firstLine="420"/>
                    <w:jc w:val="both"/>
                  </w:pPr>
                  <w:r>
                    <w:rPr>
                      <w:sz w:val="21"/>
                    </w:rPr>
                    <w:t>（</w:t>
                  </w:r>
                  <w:r>
                    <w:rPr>
                      <w:sz w:val="21"/>
                    </w:rPr>
                    <w:t>7</w:t>
                  </w:r>
                  <w:r>
                    <w:rPr>
                      <w:sz w:val="21"/>
                    </w:rPr>
                    <w:t>）</w:t>
                  </w:r>
                  <w:r>
                    <w:rPr>
                      <w:sz w:val="21"/>
                    </w:rPr>
                    <w:t>▲下防护围网（波浪网）</w:t>
                  </w:r>
                </w:p>
                <w:p>
                  <w:pPr>
                    <w:ind w:firstLine="420"/>
                    <w:jc w:val="both"/>
                  </w:pPr>
                  <w:r>
                    <w:rPr>
                      <w:sz w:val="21"/>
                    </w:rPr>
                    <w:t>1</w:t>
                  </w:r>
                  <w:r>
                    <w:rPr>
                      <w:sz w:val="21"/>
                    </w:rPr>
                    <w:t>）下防护围网框架采用围网网框型材规格：</w:t>
                  </w:r>
                  <w:r>
                    <w:rPr>
                      <w:sz w:val="21"/>
                    </w:rPr>
                    <w:t>60*49mm；围网网框与立柱连接，连接件规格：框架耳朵为n型结构，n型盖槽的厚度为2mm，n型盖槽宽为28mm，高45mm，立柱耳朵矩形芯管尺寸：长20*宽40mm。</w:t>
                  </w:r>
                </w:p>
                <w:p>
                  <w:pPr>
                    <w:ind w:firstLine="420"/>
                    <w:jc w:val="both"/>
                  </w:pPr>
                  <w:r>
                    <w:rPr>
                      <w:sz w:val="21"/>
                    </w:rPr>
                    <w:t>2）</w:t>
                  </w:r>
                  <w:r>
                    <w:rPr>
                      <w:sz w:val="21"/>
                    </w:rPr>
                    <w:t>波浪网采用钢丝拉断力不小于</w:t>
                  </w:r>
                  <w:r>
                    <w:rPr>
                      <w:sz w:val="21"/>
                    </w:rPr>
                    <w:t>10KN，盐雾试 验无明显锈迹，外观无漏包、流挂、剥皮、脱色、无破裂，表面平整光滑的波浪网。</w:t>
                  </w:r>
                </w:p>
                <w:p>
                  <w:pPr>
                    <w:ind w:firstLine="420"/>
                    <w:jc w:val="both"/>
                  </w:pPr>
                  <w:r>
                    <w:rPr>
                      <w:sz w:val="21"/>
                    </w:rPr>
                    <w:t>（</w:t>
                  </w:r>
                  <w:r>
                    <w:rPr>
                      <w:sz w:val="21"/>
                    </w:rPr>
                    <w:t>8</w:t>
                  </w:r>
                  <w:r>
                    <w:rPr>
                      <w:sz w:val="21"/>
                    </w:rPr>
                    <w:t>）</w:t>
                  </w:r>
                  <w:r>
                    <w:rPr>
                      <w:sz w:val="21"/>
                    </w:rPr>
                    <w:t>上防护网：</w:t>
                  </w:r>
                  <w:r>
                    <w:rPr>
                      <w:sz w:val="21"/>
                    </w:rPr>
                    <w:t>PE包塑围网，采用优质低碳镀锌铁丝，铁丝内径Ф2.3±0.05mm，包塑后Ф3.6±0.15m m，网孔45±3mm； PE包塑围网具耐磨、抗腐蚀、韧性大等特点，且摩擦不易产生静电、阻燃性能良好、防腐蚀能力强；</w:t>
                  </w:r>
                </w:p>
                <w:p>
                  <w:pPr>
                    <w:ind w:firstLine="420"/>
                    <w:jc w:val="both"/>
                  </w:pPr>
                  <w:r>
                    <w:rPr>
                      <w:sz w:val="21"/>
                    </w:rPr>
                    <w:t>（</w:t>
                  </w:r>
                  <w:r>
                    <w:rPr>
                      <w:sz w:val="21"/>
                    </w:rPr>
                    <w:t>9</w:t>
                  </w:r>
                  <w:r>
                    <w:rPr>
                      <w:sz w:val="21"/>
                    </w:rPr>
                    <w:t>）</w:t>
                  </w:r>
                  <w:r>
                    <w:rPr>
                      <w:sz w:val="21"/>
                    </w:rPr>
                    <w:t>网框网片固定：整体钢结构框架网片采用内藏式铝压条固定；</w:t>
                  </w:r>
                </w:p>
                <w:p>
                  <w:pPr>
                    <w:ind w:firstLine="420"/>
                    <w:jc w:val="both"/>
                  </w:pPr>
                  <w:r>
                    <w:rPr>
                      <w:sz w:val="21"/>
                    </w:rPr>
                    <w:t>（</w:t>
                  </w:r>
                  <w:r>
                    <w:rPr>
                      <w:sz w:val="21"/>
                    </w:rPr>
                    <w:t>10</w:t>
                  </w:r>
                  <w:r>
                    <w:rPr>
                      <w:sz w:val="21"/>
                    </w:rPr>
                    <w:t>）</w:t>
                  </w:r>
                  <w:r>
                    <w:rPr>
                      <w:sz w:val="21"/>
                    </w:rPr>
                    <w:t>出入门：整体框架围网配有不小于</w:t>
                  </w:r>
                  <w:r>
                    <w:rPr>
                      <w:sz w:val="21"/>
                    </w:rPr>
                    <w:t>1.0m宽，2.0m高的进出口大门，门四周采用不小于80*50mm，管壁厚度不小于2.0mm的优质方型钢结构型材为边框，内嵌包塑围网，防止刮伤。围网全部螺栓做防锈处理，保证产品全天候环境使用。参考颜色：色彩鲜明。</w:t>
                  </w:r>
                </w:p>
                <w:p>
                  <w:pPr>
                    <w:ind w:firstLine="420"/>
                    <w:jc w:val="both"/>
                  </w:pPr>
                  <w:r>
                    <w:rPr>
                      <w:sz w:val="21"/>
                    </w:rPr>
                    <w:t>（</w:t>
                  </w:r>
                  <w:r>
                    <w:rPr>
                      <w:sz w:val="21"/>
                    </w:rPr>
                    <w:t>11</w:t>
                  </w:r>
                  <w:r>
                    <w:rPr>
                      <w:sz w:val="21"/>
                    </w:rPr>
                    <w:t>）</w:t>
                  </w:r>
                  <w:r>
                    <w:rPr>
                      <w:sz w:val="21"/>
                    </w:rPr>
                    <w:t>球门边框外延</w:t>
                  </w:r>
                  <w:r>
                    <w:rPr>
                      <w:sz w:val="21"/>
                    </w:rPr>
                    <w:t>2.5m范围内的4m高围网设置为波浪网网框结构。</w:t>
                  </w:r>
                </w:p>
                <w:p>
                  <w:pPr>
                    <w:ind w:firstLine="420"/>
                    <w:jc w:val="both"/>
                  </w:pPr>
                  <w:r>
                    <w:rPr>
                      <w:sz w:val="21"/>
                    </w:rPr>
                    <w:t>（</w:t>
                  </w:r>
                  <w:r>
                    <w:rPr>
                      <w:sz w:val="21"/>
                    </w:rPr>
                    <w:t>12</w:t>
                  </w:r>
                  <w:r>
                    <w:rPr>
                      <w:sz w:val="21"/>
                    </w:rPr>
                    <w:t>）</w:t>
                  </w:r>
                  <w:r>
                    <w:rPr>
                      <w:sz w:val="21"/>
                    </w:rPr>
                    <w:t>▲围网符合GB/T 1768-2006《色漆和清漆 耐磨性的测定 旋转橡胶砂轮法》标准，通过耐磨性试验，耐磨性（1000g/5000r，CS17砂轮），g≤0.5g。（须提供由第三方检测机构出具的检测报告复印件并加盖投标人公章）</w:t>
                  </w:r>
                </w:p>
                <w:p>
                  <w:pPr>
                    <w:ind w:firstLine="420"/>
                    <w:jc w:val="both"/>
                  </w:pPr>
                  <w:r>
                    <w:rPr>
                      <w:sz w:val="21"/>
                    </w:rPr>
                    <w:t>（</w:t>
                  </w:r>
                  <w:r>
                    <w:rPr>
                      <w:sz w:val="21"/>
                    </w:rPr>
                    <w:t>13</w:t>
                  </w:r>
                  <w:r>
                    <w:rPr>
                      <w:sz w:val="21"/>
                    </w:rPr>
                    <w:t>）</w:t>
                  </w:r>
                  <w:r>
                    <w:rPr>
                      <w:sz w:val="21"/>
                    </w:rPr>
                    <w:t>▲围网符合GB/T3681-2011标准，通过不低于12个月自然气候暴露试验，灰卡等级不低于5级，且测试完成后，产品无变色、粉化、开裂、起泡、剥落。（须提供由第三方检测机构出具的检测报告复印件并加盖投标人公章）</w:t>
                  </w:r>
                </w:p>
                <w:p>
                  <w:pPr>
                    <w:ind w:firstLine="420"/>
                    <w:jc w:val="both"/>
                  </w:pPr>
                  <w:r>
                    <w:rPr>
                      <w:sz w:val="21"/>
                    </w:rPr>
                    <w:t>（</w:t>
                  </w:r>
                  <w:r>
                    <w:rPr>
                      <w:sz w:val="21"/>
                    </w:rPr>
                    <w:t>14</w:t>
                  </w:r>
                  <w:r>
                    <w:rPr>
                      <w:sz w:val="21"/>
                    </w:rPr>
                    <w:t>）</w:t>
                  </w:r>
                  <w:r>
                    <w:rPr>
                      <w:sz w:val="21"/>
                    </w:rPr>
                    <w:t>▲围网的管材符合GB/T 9279.1-2015《色漆和清漆 耐划痕性的测定 第1部分：负荷恒定法》标准，通过耐划痕性测试；符合GB/T 1732-</w:t>
                  </w:r>
                  <w:r>
                    <w:rPr>
                      <w:sz w:val="21"/>
                    </w:rPr>
                    <w:t>1993</w:t>
                  </w:r>
                  <w:r>
                    <w:rPr>
                      <w:sz w:val="21"/>
                    </w:rPr>
                    <w:t>《漆膜耐冲击测定法》标准，耐冲击性</w:t>
                  </w:r>
                  <w:r>
                    <w:rPr>
                      <w:sz w:val="21"/>
                    </w:rPr>
                    <w:t>≥50CM；符合GB/T 6742-2007《</w:t>
                  </w:r>
                  <w:r>
                    <w:rPr>
                      <w:sz w:val="21"/>
                    </w:rPr>
                    <w:t>漆膜弯曲实验（园柱轴）</w:t>
                  </w:r>
                  <w:r>
                    <w:rPr>
                      <w:sz w:val="21"/>
                    </w:rPr>
                    <w:t>》标准，耐弯曲性</w:t>
                  </w:r>
                  <w:r>
                    <w:rPr>
                      <w:sz w:val="21"/>
                    </w:rPr>
                    <w:t>≤3m。（须提供由第三方检测机构出具的检测报告复印件并加盖投标人公章）</w:t>
                  </w:r>
                </w:p>
              </w:tc>
              <w:tc>
                <w:tcPr>
                  <w:tcW w:type="dxa" w:w="482"/>
                  <w:tcBorders>
                    <w:top w:val="none" w:color="000000" w:sz="4"/>
                    <w:left w:val="none" w:color="000000" w:sz="4"/>
                    <w:bottom w:val="single" w:color="000000" w:sz="4"/>
                    <w:right w:val="single" w:color="000000" w:sz="4"/>
                  </w:tcBorders>
                  <w:vAlign w:val="top"/>
                </w:tcPr>
                <w:p>
                  <w:pPr>
                    <w:jc w:val="center"/>
                  </w:pPr>
                  <w:r>
                    <w:rPr>
                      <w:sz w:val="21"/>
                    </w:rPr>
                    <w:t>10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片</w:t>
                  </w:r>
                </w:p>
              </w:tc>
            </w:tr>
            <w:tr>
              <w:tc>
                <w:tcPr>
                  <w:tcW w:type="dxa" w:w="41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56"/>
                  <w:tcBorders>
                    <w:top w:val="none" w:color="000000" w:sz="4"/>
                    <w:left w:val="none" w:color="000000" w:sz="4"/>
                    <w:bottom w:val="single" w:color="000000" w:sz="4"/>
                    <w:right w:val="single" w:color="000000" w:sz="4"/>
                  </w:tcBorders>
                  <w:vAlign w:val="top"/>
                </w:tcPr>
                <w:p>
                  <w:pPr>
                    <w:jc w:val="center"/>
                  </w:pPr>
                  <w:r>
                    <w:rPr>
                      <w:sz w:val="21"/>
                    </w:rPr>
                    <w:t>照明系统</w:t>
                  </w:r>
                </w:p>
              </w:tc>
              <w:tc>
                <w:tcPr>
                  <w:tcW w:type="dxa" w:w="3571"/>
                  <w:tcBorders>
                    <w:top w:val="none" w:color="000000" w:sz="4"/>
                    <w:left w:val="none" w:color="000000" w:sz="4"/>
                    <w:bottom w:val="single" w:color="000000" w:sz="4"/>
                    <w:right w:val="single" w:color="000000" w:sz="4"/>
                  </w:tcBorders>
                  <w:vAlign w:val="top"/>
                </w:tcPr>
                <w:p>
                  <w:pPr>
                    <w:ind w:firstLine="420"/>
                    <w:jc w:val="both"/>
                  </w:pPr>
                  <w:r>
                    <w:rPr>
                      <w:sz w:val="21"/>
                    </w:rPr>
                    <w:t>（</w:t>
                  </w:r>
                  <w:r>
                    <w:rPr>
                      <w:sz w:val="21"/>
                    </w:rPr>
                    <w:t>1）灯柱为围网的一部分，在整场围网中亦为围网的主立柱，增强围网的稳定性，采用φ114*3.5的优质圆形钢管；参考颜色：色彩鲜明。</w:t>
                  </w:r>
                </w:p>
                <w:p>
                  <w:pPr>
                    <w:ind w:firstLine="420"/>
                    <w:jc w:val="both"/>
                  </w:pPr>
                  <w:r>
                    <w:rPr>
                      <w:sz w:val="21"/>
                    </w:rPr>
                    <w:t>（</w:t>
                  </w:r>
                  <w:r>
                    <w:rPr>
                      <w:sz w:val="21"/>
                    </w:rPr>
                    <w:t>2）照明灯具采用12盏/场，灯源节能环保产品。光源采用200WLED灯，标准的户外运动场用灯。</w:t>
                  </w:r>
                </w:p>
                <w:p>
                  <w:pPr>
                    <w:ind w:firstLine="420"/>
                    <w:jc w:val="both"/>
                  </w:pPr>
                  <w:r>
                    <w:rPr>
                      <w:sz w:val="21"/>
                    </w:rPr>
                    <w:t>（</w:t>
                  </w:r>
                  <w:r>
                    <w:rPr>
                      <w:sz w:val="21"/>
                    </w:rPr>
                    <w:t>3）▲LED灯具显色指数Ra&gt;82,整灯效能&gt;120lm/W,总光通量&gt;25000lm，功率因数</w:t>
                  </w:r>
                  <w:r>
                    <w:rPr>
                      <w:sz w:val="21"/>
                    </w:rPr>
                    <w:t>≥</w:t>
                  </w:r>
                  <w:r>
                    <w:rPr>
                      <w:sz w:val="21"/>
                    </w:rPr>
                    <w:t>0.98；</w:t>
                  </w:r>
                </w:p>
                <w:p>
                  <w:pPr>
                    <w:ind w:firstLine="420"/>
                    <w:jc w:val="both"/>
                  </w:pPr>
                  <w:r>
                    <w:rPr>
                      <w:sz w:val="21"/>
                    </w:rPr>
                    <w:t>（</w:t>
                  </w:r>
                  <w:r>
                    <w:rPr>
                      <w:sz w:val="21"/>
                    </w:rPr>
                    <w:t>4）灯柱采用预埋式，共6根，灯源离地高度不小于6米。</w:t>
                  </w:r>
                </w:p>
              </w:tc>
              <w:tc>
                <w:tcPr>
                  <w:tcW w:type="dxa" w:w="482"/>
                  <w:tcBorders>
                    <w:top w:val="none" w:color="000000" w:sz="4"/>
                    <w:left w:val="none" w:color="000000" w:sz="4"/>
                    <w:bottom w:val="single" w:color="000000" w:sz="4"/>
                    <w:right w:val="single" w:color="000000" w:sz="4"/>
                  </w:tcBorders>
                  <w:vAlign w:val="top"/>
                </w:tcPr>
                <w:p>
                  <w:pPr>
                    <w:jc w:val="center"/>
                  </w:pPr>
                  <w:r>
                    <w:rPr>
                      <w:sz w:val="21"/>
                    </w:rPr>
                    <w:t>10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41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56"/>
                  <w:tcBorders>
                    <w:top w:val="none" w:color="000000" w:sz="4"/>
                    <w:left w:val="none" w:color="000000" w:sz="4"/>
                    <w:bottom w:val="single" w:color="000000" w:sz="4"/>
                    <w:right w:val="single" w:color="000000" w:sz="4"/>
                  </w:tcBorders>
                  <w:vAlign w:val="top"/>
                </w:tcPr>
                <w:p>
                  <w:pPr>
                    <w:jc w:val="center"/>
                  </w:pPr>
                  <w:r>
                    <w:rPr>
                      <w:sz w:val="21"/>
                    </w:rPr>
                    <w:t>人造草坪</w:t>
                  </w:r>
                </w:p>
              </w:tc>
              <w:tc>
                <w:tcPr>
                  <w:tcW w:type="dxa" w:w="3571"/>
                  <w:tcBorders>
                    <w:top w:val="none" w:color="000000" w:sz="4"/>
                    <w:left w:val="none" w:color="000000" w:sz="4"/>
                    <w:bottom w:val="single" w:color="000000" w:sz="4"/>
                    <w:right w:val="single" w:color="000000" w:sz="4"/>
                  </w:tcBorders>
                  <w:vAlign w:val="top"/>
                </w:tcPr>
                <w:p>
                  <w:pPr>
                    <w:ind w:firstLine="420"/>
                    <w:jc w:val="both"/>
                  </w:pPr>
                  <w:r>
                    <w:rPr>
                      <w:sz w:val="21"/>
                    </w:rPr>
                    <w:t>（</w:t>
                  </w:r>
                  <w:r>
                    <w:rPr>
                      <w:sz w:val="21"/>
                    </w:rPr>
                    <w:t>1</w:t>
                  </w:r>
                  <w:r>
                    <w:rPr>
                      <w:sz w:val="21"/>
                    </w:rPr>
                    <w:t>）人造草坪（包括填充用橡胶颗粒）选用材料应符合环境保护要求，不应对人体、生物及环境造成有害影响。填充用橡胶颗粒禁止使用电缆皮、旧鞋底等可能带入大量重金属、多环芳烃、苯系物等有害物质的</w:t>
                  </w:r>
                  <w:r>
                    <w:rPr>
                      <w:sz w:val="21"/>
                    </w:rPr>
                    <w:t xml:space="preserve">  </w:t>
                  </w:r>
                  <w:r>
                    <w:rPr>
                      <w:sz w:val="21"/>
                    </w:rPr>
                    <w:t>各类再生橡胶颗粒。</w:t>
                  </w:r>
                </w:p>
                <w:p>
                  <w:pPr>
                    <w:ind w:firstLine="420"/>
                    <w:jc w:val="both"/>
                  </w:pPr>
                  <w:r>
                    <w:rPr>
                      <w:sz w:val="21"/>
                    </w:rPr>
                    <w:t>（</w:t>
                  </w:r>
                  <w:r>
                    <w:rPr>
                      <w:sz w:val="21"/>
                    </w:rPr>
                    <w:t>2</w:t>
                  </w:r>
                  <w:r>
                    <w:rPr>
                      <w:sz w:val="21"/>
                    </w:rPr>
                    <w:t>）固定式双色拼接草皮（翠绿和橄榄绿，单色条纹宽</w:t>
                  </w:r>
                  <w:r>
                    <w:rPr>
                      <w:sz w:val="21"/>
                    </w:rPr>
                    <w:t>2米），草坪表面平整；</w:t>
                  </w:r>
                </w:p>
                <w:p>
                  <w:pPr>
                    <w:ind w:firstLine="420"/>
                    <w:jc w:val="both"/>
                  </w:pPr>
                  <w:r>
                    <w:rPr>
                      <w:sz w:val="21"/>
                    </w:rPr>
                    <w:t>（</w:t>
                  </w:r>
                  <w:r>
                    <w:rPr>
                      <w:sz w:val="21"/>
                    </w:rPr>
                    <w:t>3</w:t>
                  </w:r>
                  <w:r>
                    <w:rPr>
                      <w:sz w:val="21"/>
                    </w:rPr>
                    <w:t>）无凹凸不平，密度均匀，无漏针现象，无明显色差，无明显胶斑，基部涂胶均匀，无破损现象；纵向和横向间距均匀，无歪斜、跳线；具有较好的耐酸性、耐碱性、耐有机物性能，具有良好的阻燃性；</w:t>
                  </w:r>
                </w:p>
                <w:p>
                  <w:pPr>
                    <w:ind w:firstLine="420"/>
                    <w:jc w:val="both"/>
                  </w:pPr>
                  <w:r>
                    <w:rPr>
                      <w:sz w:val="21"/>
                    </w:rPr>
                    <w:t>（</w:t>
                  </w:r>
                  <w:r>
                    <w:rPr>
                      <w:sz w:val="21"/>
                    </w:rPr>
                    <w:t>1</w:t>
                  </w:r>
                  <w:r>
                    <w:rPr>
                      <w:sz w:val="21"/>
                    </w:rPr>
                    <w:t>）冲击吸收：</w:t>
                  </w:r>
                  <w:r>
                    <w:rPr>
                      <w:sz w:val="21"/>
                    </w:rPr>
                    <w:t>45~70%；垂直变形：4~11mm；</w:t>
                  </w:r>
                </w:p>
                <w:p>
                  <w:pPr>
                    <w:ind w:firstLine="420"/>
                    <w:jc w:val="both"/>
                  </w:pPr>
                  <w:r>
                    <w:rPr>
                      <w:sz w:val="21"/>
                    </w:rPr>
                    <w:t>（</w:t>
                  </w:r>
                  <w:r>
                    <w:rPr>
                      <w:sz w:val="21"/>
                    </w:rPr>
                    <w:t>2</w:t>
                  </w:r>
                  <w:r>
                    <w:rPr>
                      <w:sz w:val="21"/>
                    </w:rPr>
                    <w:t>）草丝拉断力大于等于</w:t>
                  </w:r>
                  <w:r>
                    <w:rPr>
                      <w:sz w:val="21"/>
                    </w:rPr>
                    <w:t>10N；</w:t>
                  </w:r>
                </w:p>
                <w:p>
                  <w:pPr>
                    <w:ind w:firstLine="420"/>
                    <w:jc w:val="both"/>
                  </w:pPr>
                  <w:r>
                    <w:rPr>
                      <w:sz w:val="21"/>
                    </w:rPr>
                    <w:t>（</w:t>
                  </w:r>
                  <w:r>
                    <w:rPr>
                      <w:sz w:val="21"/>
                    </w:rPr>
                    <w:t>3</w:t>
                  </w:r>
                  <w:r>
                    <w:rPr>
                      <w:sz w:val="21"/>
                    </w:rPr>
                    <w:t>）单簇草拔出力大于等于</w:t>
                  </w:r>
                  <w:r>
                    <w:rPr>
                      <w:sz w:val="21"/>
                    </w:rPr>
                    <w:t>20N；</w:t>
                  </w:r>
                </w:p>
                <w:p>
                  <w:pPr>
                    <w:ind w:firstLine="420"/>
                    <w:jc w:val="both"/>
                  </w:pPr>
                  <w:r>
                    <w:rPr>
                      <w:sz w:val="21"/>
                    </w:rPr>
                    <w:t>（</w:t>
                  </w:r>
                  <w:r>
                    <w:rPr>
                      <w:sz w:val="21"/>
                    </w:rPr>
                    <w:t>4</w:t>
                  </w:r>
                  <w:r>
                    <w:rPr>
                      <w:sz w:val="21"/>
                    </w:rPr>
                    <w:t>）草丝高度：</w:t>
                  </w:r>
                  <w:r>
                    <w:rPr>
                      <w:sz w:val="21"/>
                    </w:rPr>
                    <w:t>50MM。</w:t>
                  </w:r>
                </w:p>
                <w:p>
                  <w:pPr>
                    <w:ind w:firstLine="420"/>
                    <w:jc w:val="both"/>
                  </w:pPr>
                  <w:r>
                    <w:rPr>
                      <w:sz w:val="21"/>
                    </w:rPr>
                    <w:t>（</w:t>
                  </w:r>
                  <w:r>
                    <w:rPr>
                      <w:sz w:val="21"/>
                    </w:rPr>
                    <w:t>5</w:t>
                  </w:r>
                  <w:r>
                    <w:rPr>
                      <w:sz w:val="21"/>
                    </w:rPr>
                    <w:t>）</w:t>
                  </w:r>
                  <w:r>
                    <w:rPr>
                      <w:sz w:val="21"/>
                    </w:rPr>
                    <w:t>▲人造草坪通过</w:t>
                  </w:r>
                  <w:r>
                    <w:rPr>
                      <w:sz w:val="21"/>
                    </w:rPr>
                    <w:t>第三方检测</w:t>
                  </w:r>
                  <w:r>
                    <w:rPr>
                      <w:sz w:val="21"/>
                    </w:rPr>
                    <w:t>机构基于测试标准为</w:t>
                  </w:r>
                  <w:r>
                    <w:rPr>
                      <w:sz w:val="21"/>
                    </w:rPr>
                    <w:t>GB/T16422.2-2014的模拟光老化试验-氙灯辐射暴露测试（≥2000小时），灰标等级≥4级的检测报告。（须提供由第三方检测机构出具的检测报告复印件并加盖投标人公章）</w:t>
                  </w:r>
                </w:p>
                <w:p>
                  <w:pPr>
                    <w:ind w:firstLine="420"/>
                    <w:jc w:val="both"/>
                  </w:pPr>
                  <w:r>
                    <w:rPr>
                      <w:sz w:val="21"/>
                    </w:rPr>
                    <w:t>（</w:t>
                  </w:r>
                  <w:r>
                    <w:rPr>
                      <w:sz w:val="21"/>
                    </w:rPr>
                    <w:t>6</w:t>
                  </w:r>
                  <w:r>
                    <w:rPr>
                      <w:sz w:val="21"/>
                    </w:rPr>
                    <w:t>）</w:t>
                  </w:r>
                  <w:r>
                    <w:rPr>
                      <w:sz w:val="21"/>
                    </w:rPr>
                    <w:t>▲为保证用户使用安全，</w:t>
                  </w:r>
                  <w:r>
                    <w:rPr>
                      <w:sz w:val="21"/>
                    </w:rPr>
                    <w:t>要求</w:t>
                  </w:r>
                  <w:r>
                    <w:rPr>
                      <w:sz w:val="21"/>
                    </w:rPr>
                    <w:t>人造草坪根据皮肤致敏反应试验分级标准，受试物为</w:t>
                  </w:r>
                  <w:r>
                    <w:rPr>
                      <w:sz w:val="21"/>
                    </w:rPr>
                    <w:t>Ⅰ级弱致敏度，无实际致敏危险（检测依据：GBZ/T240.7-2011）。（须提供由第三方检测机构出具的检测报告复印件并加盖投标人公章）</w:t>
                  </w:r>
                </w:p>
              </w:tc>
              <w:tc>
                <w:tcPr>
                  <w:tcW w:type="dxa" w:w="482"/>
                  <w:tcBorders>
                    <w:top w:val="none" w:color="000000" w:sz="4"/>
                    <w:left w:val="none" w:color="000000" w:sz="4"/>
                    <w:bottom w:val="single" w:color="000000" w:sz="4"/>
                    <w:right w:val="single" w:color="000000" w:sz="4"/>
                  </w:tcBorders>
                  <w:vAlign w:val="top"/>
                </w:tcPr>
                <w:p>
                  <w:pPr>
                    <w:jc w:val="center"/>
                  </w:pPr>
                  <w:r>
                    <w:rPr>
                      <w:sz w:val="21"/>
                    </w:rPr>
                    <w:t>10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片</w:t>
                  </w:r>
                </w:p>
              </w:tc>
            </w:tr>
            <w:tr>
              <w:tc>
                <w:tcPr>
                  <w:tcW w:type="dxa" w:w="41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56"/>
                  <w:tcBorders>
                    <w:top w:val="none" w:color="000000" w:sz="4"/>
                    <w:left w:val="none" w:color="000000" w:sz="4"/>
                    <w:bottom w:val="single" w:color="000000" w:sz="4"/>
                    <w:right w:val="single" w:color="000000" w:sz="4"/>
                  </w:tcBorders>
                  <w:vAlign w:val="top"/>
                </w:tcPr>
                <w:p>
                  <w:pPr>
                    <w:jc w:val="center"/>
                  </w:pPr>
                  <w:r>
                    <w:rPr>
                      <w:sz w:val="21"/>
                    </w:rPr>
                    <w:t>移动式足球门</w:t>
                  </w:r>
                </w:p>
              </w:tc>
              <w:tc>
                <w:tcPr>
                  <w:tcW w:type="dxa" w:w="3571"/>
                  <w:tcBorders>
                    <w:top w:val="none" w:color="000000" w:sz="4"/>
                    <w:left w:val="none" w:color="000000" w:sz="4"/>
                    <w:bottom w:val="single" w:color="000000" w:sz="4"/>
                    <w:right w:val="single" w:color="000000" w:sz="4"/>
                  </w:tcBorders>
                  <w:vAlign w:val="top"/>
                </w:tcPr>
                <w:p>
                  <w:pPr>
                    <w:ind w:firstLine="420"/>
                    <w:jc w:val="both"/>
                  </w:pPr>
                  <w:r>
                    <w:rPr>
                      <w:sz w:val="21"/>
                    </w:rPr>
                    <w:t>（</w:t>
                  </w:r>
                  <w:r>
                    <w:rPr>
                      <w:sz w:val="21"/>
                    </w:rPr>
                    <w:t>1</w:t>
                  </w:r>
                  <w:r>
                    <w:rPr>
                      <w:sz w:val="21"/>
                    </w:rPr>
                    <w:t>）标准可移动</w:t>
                  </w:r>
                  <w:r>
                    <w:rPr>
                      <w:sz w:val="21"/>
                    </w:rPr>
                    <w:t>5人制足球门：球门下方深度：1500mm，球门内口高度2000mm，球门上方深度：900 mm，球门内口宽度：3000mm；对角线误差≤15°,横梁扰度≤10°，附带有球门网。</w:t>
                  </w:r>
                </w:p>
              </w:tc>
              <w:tc>
                <w:tcPr>
                  <w:tcW w:type="dxa" w:w="482"/>
                  <w:tcBorders>
                    <w:top w:val="none" w:color="000000" w:sz="4"/>
                    <w:left w:val="none" w:color="000000" w:sz="4"/>
                    <w:bottom w:val="single" w:color="000000" w:sz="4"/>
                    <w:right w:val="single" w:color="000000" w:sz="4"/>
                  </w:tcBorders>
                  <w:vAlign w:val="top"/>
                </w:tcPr>
                <w:p>
                  <w:pPr>
                    <w:jc w:val="center"/>
                  </w:pPr>
                  <w:r>
                    <w:rPr>
                      <w:sz w:val="21"/>
                    </w:rPr>
                    <w:t>10</w:t>
                  </w:r>
                </w:p>
              </w:tc>
              <w:tc>
                <w:tcPr>
                  <w:tcW w:type="dxa" w:w="453"/>
                  <w:tcBorders>
                    <w:top w:val="none" w:color="000000" w:sz="4"/>
                    <w:left w:val="none" w:color="000000" w:sz="4"/>
                    <w:bottom w:val="single" w:color="000000" w:sz="4"/>
                    <w:right w:val="single" w:color="000000" w:sz="4"/>
                  </w:tcBorders>
                  <w:vAlign w:val="top"/>
                </w:tcPr>
                <w:p>
                  <w:pPr>
                    <w:jc w:val="center"/>
                  </w:pPr>
                  <w:r>
                    <w:rPr>
                      <w:sz w:val="21"/>
                    </w:rPr>
                    <w:t>副</w:t>
                  </w:r>
                </w:p>
              </w:tc>
            </w:tr>
          </w:tbl>
          <w:p>
            <w:pPr>
              <w:jc w:val="both"/>
            </w:pPr>
          </w:p>
          <w:p>
            <w:pPr>
              <w:jc w:val="both"/>
            </w:pPr>
            <w:r>
              <w:rPr>
                <w:b/>
                <w:sz w:val="24"/>
              </w:rPr>
              <w:t>二</w:t>
            </w:r>
            <w:r>
              <w:rPr>
                <w:b/>
                <w:sz w:val="24"/>
              </w:rPr>
              <w:t>、</w:t>
            </w:r>
            <w:r>
              <w:rPr>
                <w:b/>
                <w:sz w:val="24"/>
              </w:rPr>
              <w:t>其他要求</w:t>
            </w:r>
          </w:p>
          <w:p>
            <w:pPr>
              <w:ind w:firstLine="420"/>
              <w:jc w:val="both"/>
            </w:pPr>
            <w:r>
              <w:rPr>
                <w:sz w:val="21"/>
              </w:rPr>
              <w:t>1、</w:t>
            </w:r>
            <w:r>
              <w:rPr>
                <w:sz w:val="21"/>
              </w:rPr>
              <w:t>所有货物的安全使用年限：</w:t>
            </w:r>
            <w:r>
              <w:rPr>
                <w:sz w:val="21"/>
              </w:rPr>
              <w:t>8年或以上。</w:t>
            </w:r>
          </w:p>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东莞市文化广电旅游体育局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采购包1(购建足球场项目)：综合评分法,是指投标文件满足招标文件全部实质性要求，且按照评审因素的量化指标评审得分最高的投标人为中标候选人的评标方法。（最低报价不是中标的唯一依据。）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采购包1（购建足球场项目）：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采购包1（购建足球场项目）：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参与投标（响应）的供应商提供的货物全部由符合政策要求的中小企业制造。本项目采购标的对应的中小企业划分标准所属行业为工业。监狱企业、残疾人福利单位视同小型、微型企业。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采购包1（购建足球场项目）：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采购包1(购建足球场项目):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(20.0分)</w:t>
            </w:r>
          </w:p>
        </w:tc>
        <w:tc>
          <w:tcPr>
            <w:tcW w:type="dxa" w:w="5076"/>
          </w:tcPr>
          <w:p>
            <w:pPr>
              <w:jc w:val="left"/>
            </w:pPr>
            <w:r>
              <w:rPr/>
              <w:t>对用户需求书中带“▲”技术要求条款的技术指标进行响应，若全部响应为满足或优于的得20分，不满足或者不响应的每一个扣2分，扣完为止，本项最低得0分。 ①对用户需求中的带“▲”技术指标条款，用户需求书要求提供证明资料的，则投标文件中须提供对应产品参数的证明资料并加盖投标人公章； ②对用户需求书中带“▲”技术指标条款，用户需求书未要求提供证明资料的，则投标文件中须提供所投产品彩页原件或原厂商的官方技术白皮书或原厂商所作的技术参数说明等详细技术资料并加盖投标人公章。 （投标人必须按所投产品实际参数进行响应，否则视为提供虚假材料谋取中标资格。）</w:t>
            </w:r>
          </w:p>
        </w:tc>
      </w:tr>
      <w:tr>
        <w:tc>
          <w:tcPr>
            <w:tcW w:type="dxa" w:w="922"/>
            <w:gridSpan w:val="2"/>
            <w:vMerge/>
          </w:tcPr>
          <w:p/>
        </w:tc>
        <w:tc>
          <w:tcPr>
            <w:tcW w:type="dxa" w:w="2307"/>
          </w:tcPr>
          <w:p>
            <w:pPr>
              <w:jc w:val="left"/>
            </w:pPr>
            <w:r>
              <w:rPr/>
              <w:t>项目实施方案 (15.0分)</w:t>
            </w:r>
            <w:r>
              <w:rPr/>
              <w:t>，（等次分值选择：</w:t>
            </w:r>
            <w:r>
              <w:rPr/>
              <w:t>0.0;</w:t>
            </w:r>
            <w:r>
              <w:rPr/>
              <w:t>1.0;</w:t>
            </w:r>
            <w:r>
              <w:rPr/>
              <w:t>5.0;</w:t>
            </w:r>
            <w:r>
              <w:rPr/>
              <w:t>10.0;</w:t>
            </w:r>
            <w:r>
              <w:rPr/>
              <w:t>15.0;</w:t>
            </w:r>
            <w:r>
              <w:rPr/>
              <w:t>）</w:t>
            </w:r>
          </w:p>
        </w:tc>
        <w:tc>
          <w:tcPr>
            <w:tcW w:type="dxa" w:w="5076"/>
          </w:tcPr>
          <w:p>
            <w:pPr>
              <w:jc w:val="left"/>
            </w:pPr>
            <w:r>
              <w:rPr/>
              <w:t>根据投标人项目整体实施方案进行综合评分，包括但不限于实施作业方案、安装调试方案、质量标准、培训方案、定期检查制度和保养方案、验收方案等进行评审： 1)投标人编制的项目整体实施方案可行性高，能够高效作业，缩短项目完成期的，得15分； 2)投标人编制的项目整体实施方案可行性较高，能够高效作业，符合项目要求的，得10分； 3)投标人编制的项目整体实施方案可行性一般，基本符合项目要求的，得5分； 4)投标人编制的项目整体实施方案可行性较差，部分符合项目要求的，得1分； 5)未提供方案的不得分。</w:t>
            </w:r>
          </w:p>
        </w:tc>
      </w:tr>
      <w:tr>
        <w:tc>
          <w:tcPr>
            <w:tcW w:type="dxa" w:w="922"/>
            <w:gridSpan w:val="2"/>
            <w:vMerge/>
          </w:tcPr>
          <w:p/>
        </w:tc>
        <w:tc>
          <w:tcPr>
            <w:tcW w:type="dxa" w:w="2307"/>
          </w:tcPr>
          <w:p>
            <w:pPr>
              <w:jc w:val="left"/>
            </w:pPr>
            <w:r>
              <w:rPr/>
              <w:t>质量保证措施 (10.0分)</w:t>
            </w:r>
            <w:r>
              <w:rPr/>
              <w:t>，（等次分值选择：</w:t>
            </w:r>
            <w:r>
              <w:rPr/>
              <w:t>0.0;</w:t>
            </w:r>
            <w:r>
              <w:rPr/>
              <w:t>1.0;</w:t>
            </w:r>
            <w:r>
              <w:rPr/>
              <w:t>3.0;</w:t>
            </w:r>
            <w:r>
              <w:rPr/>
              <w:t>6.0;</w:t>
            </w:r>
            <w:r>
              <w:rPr/>
              <w:t>10.0;</w:t>
            </w:r>
            <w:r>
              <w:rPr/>
              <w:t>）</w:t>
            </w:r>
          </w:p>
        </w:tc>
        <w:tc>
          <w:tcPr>
            <w:tcW w:type="dxa" w:w="5076"/>
          </w:tcPr>
          <w:p>
            <w:pPr>
              <w:jc w:val="left"/>
            </w:pPr>
            <w:r>
              <w:rPr/>
              <w:t>根据供应商提供的质量保证措施（包括但不限于货物的制作加工、运输、进场、存放、安装、成品保护等）进行评审： 1)有明确的服务承诺，质量保证措施科学，技术可行，思路清晰，目标明确，措施到位，针对性强，得10分； 2)服务承诺较明确，质量保证措施较科学，技术较可行，思路较清晰，目标较明确，措施较到位，针对性较强，得6分； 3)服务承诺含糊，质量保证措施一般，技术基本可行，思路基本清晰，目标基本明确，措施基本到位，针对性一般，得3分； 4)服务承诺含糊，质量保证措施差，技术不可行，思路不清晰，目标不明确，措施不到位，针对性差，不满足用户需求，得1分； 5)未提供相应内容的不得分。</w:t>
            </w:r>
          </w:p>
        </w:tc>
      </w:tr>
      <w:tr>
        <w:tc>
          <w:tcPr>
            <w:tcW w:type="dxa" w:w="922"/>
            <w:gridSpan w:val="2"/>
            <w:vMerge/>
          </w:tcPr>
          <w:p/>
        </w:tc>
        <w:tc>
          <w:tcPr>
            <w:tcW w:type="dxa" w:w="2307"/>
          </w:tcPr>
          <w:p>
            <w:pPr>
              <w:jc w:val="left"/>
            </w:pPr>
            <w:r>
              <w:rPr/>
              <w:t>售后服务方案 (10.0分)</w:t>
            </w:r>
            <w:r>
              <w:rPr/>
              <w:t>，（等次分值选择：</w:t>
            </w:r>
            <w:r>
              <w:rPr/>
              <w:t>0.0;</w:t>
            </w:r>
            <w:r>
              <w:rPr/>
              <w:t>1.0;</w:t>
            </w:r>
            <w:r>
              <w:rPr/>
              <w:t>3.0;</w:t>
            </w:r>
            <w:r>
              <w:rPr/>
              <w:t>6.0;</w:t>
            </w:r>
            <w:r>
              <w:rPr/>
              <w:t>10.0;</w:t>
            </w:r>
            <w:r>
              <w:rPr/>
              <w:t>）</w:t>
            </w:r>
          </w:p>
        </w:tc>
        <w:tc>
          <w:tcPr>
            <w:tcW w:type="dxa" w:w="5076"/>
          </w:tcPr>
          <w:p>
            <w:pPr>
              <w:jc w:val="left"/>
            </w:pPr>
            <w:r>
              <w:rPr/>
              <w:t>根据供应商提供的售后服务承诺（包括但不限于保修范围、应急维修安排、售后服务技术力量、其它服务承诺）进行综合评审： 1)方案完整合理、可行性强，售后服务技术力量配备完善的，得10分； 2)方案完整、可行性一般，售后服务技术力量配备较完善，得6分； 3)方案基本完整、可行性较差，售后服务技术力量配备基本完善的，得3分； 4)方案欠缺，可行性差，售后服务技术力量配备不完善的，得1分。 5)未提供对应方案不得分。</w:t>
            </w:r>
          </w:p>
        </w:tc>
      </w:tr>
      <w:tr>
        <w:tc>
          <w:tcPr>
            <w:tcW w:type="dxa" w:w="922"/>
            <w:gridSpan w:val="2"/>
            <w:vMerge w:val="restart"/>
          </w:tcPr>
          <w:p>
            <w:pPr>
              <w:jc w:val="center"/>
            </w:pPr>
            <w:r>
              <w:rPr/>
              <w:t>商务部分</w:t>
            </w:r>
          </w:p>
        </w:tc>
        <w:tc>
          <w:tcPr>
            <w:tcW w:type="dxa" w:w="2307"/>
          </w:tcPr>
          <w:p>
            <w:pPr>
              <w:jc w:val="left"/>
            </w:pPr>
            <w:r>
              <w:rPr/>
              <w:t>业绩 (6.0分)</w:t>
            </w:r>
          </w:p>
        </w:tc>
        <w:tc>
          <w:tcPr>
            <w:tcW w:type="dxa" w:w="5076"/>
          </w:tcPr>
          <w:p>
            <w:pPr>
              <w:jc w:val="left"/>
            </w:pPr>
            <w:r>
              <w:rPr/>
              <w:t>投标人承担过笼式足球场项目的，每提供一个项目业绩得2分，本项最高得6分。 注：须提供项目业绩合同复印件并加盖投标人公章，否则不得分。</w:t>
            </w:r>
          </w:p>
        </w:tc>
      </w:tr>
      <w:tr>
        <w:tc>
          <w:tcPr>
            <w:tcW w:type="dxa" w:w="922"/>
            <w:gridSpan w:val="2"/>
            <w:vMerge/>
          </w:tcPr>
          <w:p/>
        </w:tc>
        <w:tc>
          <w:tcPr>
            <w:tcW w:type="dxa" w:w="2307"/>
          </w:tcPr>
          <w:p>
            <w:pPr>
              <w:jc w:val="left"/>
            </w:pPr>
            <w:r>
              <w:rPr/>
              <w:t>所投产品安全及规范1 (3.0分)</w:t>
            </w:r>
          </w:p>
        </w:tc>
        <w:tc>
          <w:tcPr>
            <w:tcW w:type="dxa" w:w="5076"/>
          </w:tcPr>
          <w:p>
            <w:pPr>
              <w:jc w:val="left"/>
            </w:pPr>
            <w:r>
              <w:rPr/>
              <w:t>所投笼式足球场符合GB/T34279-2017标准的产品认证证书，得3分，本项最高得3分。 注：须提供有效期内认证证书复印件并加盖投标人公章，否则不得分。</w:t>
            </w:r>
          </w:p>
        </w:tc>
      </w:tr>
      <w:tr>
        <w:tc>
          <w:tcPr>
            <w:tcW w:type="dxa" w:w="922"/>
            <w:gridSpan w:val="2"/>
            <w:vMerge/>
          </w:tcPr>
          <w:p/>
        </w:tc>
        <w:tc>
          <w:tcPr>
            <w:tcW w:type="dxa" w:w="2307"/>
          </w:tcPr>
          <w:p>
            <w:pPr>
              <w:jc w:val="left"/>
            </w:pPr>
            <w:r>
              <w:rPr/>
              <w:t>所投产品安全及规范2 (3.0分)</w:t>
            </w:r>
          </w:p>
        </w:tc>
        <w:tc>
          <w:tcPr>
            <w:tcW w:type="dxa" w:w="5076"/>
          </w:tcPr>
          <w:p>
            <w:pPr>
              <w:jc w:val="left"/>
            </w:pPr>
            <w:r>
              <w:rPr/>
              <w:t>所投笼式足球场通过GB19272-2011《室外健身器材的安全 通用要求》标准，产品有害物质、邻苯二甲酸酯含量、多环芳烃含量检测，且三项检测结果均为：未检出，得3分，本项最高得3分。 注：须提供由第三方检测机构出具的检测报告复印件并加盖投标人公章，否则不得分。</w:t>
            </w:r>
          </w:p>
        </w:tc>
      </w:tr>
      <w:tr>
        <w:tc>
          <w:tcPr>
            <w:tcW w:type="dxa" w:w="922"/>
            <w:gridSpan w:val="2"/>
            <w:vMerge/>
          </w:tcPr>
          <w:p/>
        </w:tc>
        <w:tc>
          <w:tcPr>
            <w:tcW w:type="dxa" w:w="2307"/>
          </w:tcPr>
          <w:p>
            <w:pPr>
              <w:jc w:val="left"/>
            </w:pPr>
            <w:r>
              <w:rPr/>
              <w:t>服务便利性 (3.0分)</w:t>
            </w:r>
          </w:p>
        </w:tc>
        <w:tc>
          <w:tcPr>
            <w:tcW w:type="dxa" w:w="5076"/>
          </w:tcPr>
          <w:p>
            <w:pPr>
              <w:jc w:val="left"/>
            </w:pPr>
            <w:r>
              <w:rPr/>
              <w:t>根据投标人提供的服务响应时间承诺进行评分。 （1）投标人承诺在接到采购人通知后1小时（含）内到现场，得3分； （2）投标人承诺在接到采购人通知后2小时（含）内到现场，得2分； （3）投标人承诺在接到采购人通知后3小时（含）内到现场，得1分； （4）投标人未承诺或承诺在接到采购人通知后超过3小时（不含）到现场，不得分。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48"/>
        </w:rPr>
        <w:t>广东省政府采购</w:t>
      </w:r>
    </w:p>
    <w:p>
      <w:pPr>
        <w:jc w:val="both"/>
      </w:pPr>
      <w:r>
        <w:rPr>
          <w:b/>
          <w:sz w:val="21"/>
        </w:rPr>
        <w:t xml:space="preserve"> </w:t>
      </w:r>
    </w:p>
    <w:p>
      <w:pPr>
        <w:jc w:val="center"/>
      </w:pPr>
      <w:r>
        <w:rPr>
          <w:b/>
          <w:sz w:val="40"/>
        </w:rPr>
        <w:t>合　同　书</w:t>
      </w:r>
    </w:p>
    <w:p>
      <w:pPr>
        <w:jc w:val="center"/>
      </w:pPr>
      <w:r>
        <w:br/>
      </w:r>
      <w:r>
        <w:br/>
      </w:r>
      <w:r>
        <w:br/>
      </w:r>
      <w:r>
        <w:br/>
      </w:r>
    </w:p>
    <w:p>
      <w:pPr>
        <w:jc w:val="center"/>
      </w:pPr>
    </w:p>
    <w:p>
      <w:pPr>
        <w:jc w:val="center"/>
      </w:pPr>
    </w:p>
    <w:p>
      <w:pPr>
        <w:jc w:val="center"/>
      </w:pPr>
    </w:p>
    <w:p>
      <w:pPr>
        <w:jc w:val="center"/>
      </w:pPr>
      <w:r>
        <w:br/>
      </w:r>
      <w:r>
        <w:rPr>
          <w:sz w:val="21"/>
        </w:rPr>
        <w:t xml:space="preserve"> </w:t>
      </w:r>
    </w:p>
    <w:p>
      <w:pPr>
        <w:jc w:val="both"/>
      </w:pPr>
      <w:r>
        <w:rPr>
          <w:sz w:val="28"/>
        </w:rPr>
        <w:t>采购计划编号：</w:t>
      </w:r>
      <w:r>
        <w:rPr>
          <w:sz w:val="21"/>
          <w:u w:val="single"/>
        </w:rPr>
        <w:t xml:space="preserve">                          </w:t>
      </w:r>
    </w:p>
    <w:p>
      <w:pPr>
        <w:jc w:val="both"/>
      </w:pPr>
    </w:p>
    <w:p>
      <w:pPr>
        <w:jc w:val="both"/>
      </w:pPr>
      <w:r>
        <w:rPr>
          <w:sz w:val="28"/>
        </w:rPr>
        <w:t>项目编号：</w:t>
      </w:r>
      <w:r>
        <w:rPr>
          <w:sz w:val="21"/>
          <w:u w:val="single"/>
        </w:rPr>
        <w:t xml:space="preserve">                               </w:t>
      </w:r>
    </w:p>
    <w:p>
      <w:pPr>
        <w:jc w:val="both"/>
      </w:pPr>
      <w:r>
        <w:rPr>
          <w:sz w:val="21"/>
        </w:rPr>
        <w:t xml:space="preserve"> </w:t>
      </w:r>
    </w:p>
    <w:p>
      <w:pPr>
        <w:jc w:val="both"/>
      </w:pPr>
      <w:r>
        <w:rPr>
          <w:sz w:val="28"/>
        </w:rPr>
        <w:t>项目名称：</w:t>
      </w:r>
      <w:r>
        <w:rPr>
          <w:sz w:val="21"/>
          <w:u w:val="single"/>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left"/>
      </w:pPr>
    </w:p>
    <w:p/>
    <w:p/>
    <w:p>
      <w:r>
        <w:rPr/>
        <w:t xml:space="preserve"> </w:t>
      </w:r>
    </w:p>
    <w:p>
      <w:pPr>
        <w:ind w:firstLine="480"/>
        <w:jc w:val="both"/>
      </w:pPr>
      <w:r>
        <w:rPr>
          <w:sz w:val="22"/>
        </w:rPr>
        <w:t>甲方：</w:t>
      </w:r>
      <w:r>
        <w:rPr>
          <w:sz w:val="22"/>
        </w:rPr>
        <w:t xml:space="preserve">                                </w:t>
      </w:r>
      <w:r>
        <w:rPr>
          <w:sz w:val="22"/>
        </w:rPr>
        <w:t>合同编号：</w:t>
      </w:r>
    </w:p>
    <w:p>
      <w:pPr>
        <w:ind w:firstLine="480"/>
        <w:jc w:val="both"/>
      </w:pPr>
      <w:r>
        <w:rPr>
          <w:sz w:val="22"/>
        </w:rPr>
        <w:t>乙方：</w:t>
      </w:r>
      <w:r>
        <w:rPr>
          <w:sz w:val="22"/>
        </w:rPr>
        <w:t xml:space="preserve">                                </w:t>
      </w:r>
      <w:r>
        <w:rPr>
          <w:sz w:val="22"/>
        </w:rPr>
        <w:t>签约地点：</w:t>
      </w:r>
    </w:p>
    <w:p>
      <w:pPr>
        <w:ind w:firstLine="480"/>
        <w:jc w:val="both"/>
      </w:pPr>
      <w:r>
        <w:rPr>
          <w:sz w:val="22"/>
        </w:rPr>
        <w:t>根据采购编号为</w:t>
      </w:r>
      <w:r>
        <w:rPr>
          <w:sz w:val="21"/>
          <w:u w:val="single"/>
        </w:rPr>
        <w:t xml:space="preserve">     </w:t>
      </w:r>
      <w:r>
        <w:rPr>
          <w:sz w:val="22"/>
        </w:rPr>
        <w:t>的采购文件，甲乙双方协商一致，签订本合同。</w:t>
      </w:r>
    </w:p>
    <w:p>
      <w:pPr>
        <w:ind w:firstLine="480"/>
        <w:jc w:val="both"/>
      </w:pPr>
      <w:r>
        <w:rPr>
          <w:sz w:val="22"/>
        </w:rPr>
        <w:t>一、合同设备</w:t>
      </w:r>
    </w:p>
    <w:p>
      <w:pPr>
        <w:ind w:firstLine="480"/>
        <w:jc w:val="both"/>
      </w:pPr>
      <w:r>
        <w:rPr>
          <w:sz w:val="22"/>
        </w:rPr>
        <w:t>乙方负责向甲方供应下表中所列产品及负责安装调试。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682"/>
        <w:gridCol w:w="2061"/>
        <w:gridCol w:w="1197"/>
        <w:gridCol w:w="1197"/>
        <w:gridCol w:w="940"/>
        <w:gridCol w:w="1031"/>
        <w:gridCol w:w="1197"/>
      </w:tblGrid>
      <w:tr>
        <w:tc>
          <w:tcPr>
            <w:tcW w:type="dxa" w:w="682"/>
            <w:tcBorders>
              <w:top w:val="single" w:color="000000" w:sz="4"/>
              <w:left w:val="single" w:color="000000" w:sz="4"/>
              <w:bottom w:val="single" w:color="000000" w:sz="4"/>
              <w:right w:val="single" w:color="000000" w:sz="4"/>
            </w:tcBorders>
            <w:vAlign w:val="top"/>
          </w:tcPr>
          <w:p>
            <w:pPr>
              <w:jc w:val="center"/>
            </w:pPr>
            <w:r>
              <w:rPr>
                <w:sz w:val="22"/>
              </w:rPr>
              <w:t>序号</w:t>
            </w:r>
          </w:p>
        </w:tc>
        <w:tc>
          <w:tcPr>
            <w:tcW w:type="dxa" w:w="2061"/>
            <w:tcBorders>
              <w:top w:val="single" w:color="000000" w:sz="4"/>
              <w:left w:val="none" w:color="000000" w:sz="4"/>
              <w:bottom w:val="single" w:color="000000" w:sz="4"/>
              <w:right w:val="single" w:color="000000" w:sz="4"/>
            </w:tcBorders>
            <w:vAlign w:val="top"/>
          </w:tcPr>
          <w:p>
            <w:pPr>
              <w:jc w:val="center"/>
            </w:pPr>
            <w:r>
              <w:rPr>
                <w:sz w:val="22"/>
              </w:rPr>
              <w:t>货物名称</w:t>
            </w:r>
          </w:p>
        </w:tc>
        <w:tc>
          <w:tcPr>
            <w:tcW w:type="dxa" w:w="1197"/>
            <w:tcBorders>
              <w:top w:val="single" w:color="000000" w:sz="4"/>
              <w:left w:val="none" w:color="000000" w:sz="4"/>
              <w:bottom w:val="single" w:color="000000" w:sz="4"/>
              <w:right w:val="single" w:color="000000" w:sz="4"/>
            </w:tcBorders>
            <w:vAlign w:val="top"/>
          </w:tcPr>
          <w:p>
            <w:pPr>
              <w:jc w:val="center"/>
            </w:pPr>
            <w:r>
              <w:rPr>
                <w:sz w:val="22"/>
              </w:rPr>
              <w:t>品牌型号</w:t>
            </w:r>
          </w:p>
        </w:tc>
        <w:tc>
          <w:tcPr>
            <w:tcW w:type="dxa" w:w="1197"/>
            <w:tcBorders>
              <w:top w:val="single" w:color="000000" w:sz="4"/>
              <w:left w:val="none" w:color="000000" w:sz="4"/>
              <w:bottom w:val="single" w:color="000000" w:sz="4"/>
              <w:right w:val="single" w:color="000000" w:sz="4"/>
            </w:tcBorders>
            <w:vAlign w:val="top"/>
          </w:tcPr>
          <w:p>
            <w:pPr>
              <w:jc w:val="center"/>
            </w:pPr>
            <w:r>
              <w:rPr>
                <w:sz w:val="22"/>
              </w:rPr>
              <w:t>原厂商及原产地</w:t>
            </w:r>
          </w:p>
        </w:tc>
        <w:tc>
          <w:tcPr>
            <w:tcW w:type="dxa" w:w="940"/>
            <w:tcBorders>
              <w:top w:val="single" w:color="000000" w:sz="4"/>
              <w:left w:val="none" w:color="000000" w:sz="4"/>
              <w:bottom w:val="single" w:color="000000" w:sz="4"/>
              <w:right w:val="single" w:color="000000" w:sz="4"/>
            </w:tcBorders>
            <w:vAlign w:val="top"/>
          </w:tcPr>
          <w:p>
            <w:pPr>
              <w:jc w:val="center"/>
            </w:pPr>
            <w:r>
              <w:rPr>
                <w:sz w:val="22"/>
              </w:rPr>
              <w:t>数量（台）</w:t>
            </w:r>
          </w:p>
        </w:tc>
        <w:tc>
          <w:tcPr>
            <w:tcW w:type="dxa" w:w="1031"/>
            <w:tcBorders>
              <w:top w:val="single" w:color="000000" w:sz="4"/>
              <w:left w:val="none" w:color="000000" w:sz="4"/>
              <w:bottom w:val="single" w:color="000000" w:sz="4"/>
              <w:right w:val="single" w:color="000000" w:sz="4"/>
            </w:tcBorders>
            <w:vAlign w:val="top"/>
          </w:tcPr>
          <w:p>
            <w:pPr>
              <w:jc w:val="center"/>
            </w:pPr>
            <w:r>
              <w:rPr>
                <w:sz w:val="22"/>
              </w:rPr>
              <w:t>单价（元）</w:t>
            </w:r>
          </w:p>
        </w:tc>
        <w:tc>
          <w:tcPr>
            <w:tcW w:type="dxa" w:w="1197"/>
            <w:tcBorders>
              <w:top w:val="single" w:color="000000" w:sz="4"/>
              <w:left w:val="none" w:color="000000" w:sz="4"/>
              <w:bottom w:val="single" w:color="000000" w:sz="4"/>
              <w:right w:val="single" w:color="000000" w:sz="4"/>
            </w:tcBorders>
            <w:vAlign w:val="top"/>
          </w:tcPr>
          <w:p>
            <w:pPr>
              <w:jc w:val="center"/>
            </w:pPr>
            <w:r>
              <w:rPr>
                <w:sz w:val="22"/>
              </w:rPr>
              <w:t>总价</w:t>
            </w:r>
          </w:p>
          <w:p>
            <w:pPr>
              <w:jc w:val="center"/>
            </w:pPr>
            <w:r>
              <w:rPr>
                <w:sz w:val="22"/>
              </w:rPr>
              <w:t>（元）</w:t>
            </w:r>
          </w:p>
        </w:tc>
      </w:tr>
      <w:tr>
        <w:tc>
          <w:tcPr>
            <w:tcW w:type="dxa" w:w="682"/>
            <w:tcBorders>
              <w:top w:val="none" w:color="000000" w:sz="4"/>
              <w:left w:val="single" w:color="000000" w:sz="4"/>
              <w:bottom w:val="single" w:color="000000" w:sz="4"/>
              <w:right w:val="single" w:color="000000" w:sz="4"/>
            </w:tcBorders>
            <w:vAlign w:val="top"/>
          </w:tcPr>
          <w:p>
            <w:pPr>
              <w:jc w:val="center"/>
            </w:pPr>
          </w:p>
        </w:tc>
        <w:tc>
          <w:tcPr>
            <w:tcW w:type="dxa" w:w="2061"/>
            <w:tcBorders>
              <w:top w:val="none" w:color="000000" w:sz="4"/>
              <w:left w:val="none" w:color="000000" w:sz="4"/>
              <w:bottom w:val="single" w:color="000000" w:sz="4"/>
              <w:right w:val="single" w:color="000000" w:sz="4"/>
            </w:tcBorders>
            <w:vAlign w:val="top"/>
          </w:tcPr>
          <w:p>
            <w:pPr>
              <w:jc w:val="center"/>
            </w:pPr>
          </w:p>
        </w:tc>
        <w:tc>
          <w:tcPr>
            <w:tcW w:type="dxa" w:w="1197"/>
            <w:tcBorders>
              <w:top w:val="none" w:color="000000" w:sz="4"/>
              <w:left w:val="none" w:color="000000" w:sz="4"/>
              <w:bottom w:val="single" w:color="000000" w:sz="4"/>
              <w:right w:val="single" w:color="000000" w:sz="4"/>
            </w:tcBorders>
            <w:vAlign w:val="top"/>
          </w:tcPr>
          <w:p>
            <w:pPr>
              <w:jc w:val="center"/>
            </w:pPr>
          </w:p>
        </w:tc>
        <w:tc>
          <w:tcPr>
            <w:tcW w:type="dxa" w:w="1197"/>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031"/>
            <w:tcBorders>
              <w:top w:val="none" w:color="000000" w:sz="4"/>
              <w:left w:val="none" w:color="000000" w:sz="4"/>
              <w:bottom w:val="single" w:color="000000" w:sz="4"/>
              <w:right w:val="single" w:color="000000" w:sz="4"/>
            </w:tcBorders>
            <w:vAlign w:val="top"/>
          </w:tcPr>
          <w:p>
            <w:pPr>
              <w:jc w:val="center"/>
            </w:pP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682"/>
            <w:tcBorders>
              <w:top w:val="none" w:color="000000" w:sz="4"/>
              <w:left w:val="single" w:color="000000" w:sz="4"/>
              <w:bottom w:val="single" w:color="000000" w:sz="4"/>
              <w:right w:val="single" w:color="000000" w:sz="4"/>
            </w:tcBorders>
            <w:vAlign w:val="top"/>
          </w:tcPr>
          <w:p>
            <w:pPr>
              <w:jc w:val="center"/>
            </w:pPr>
          </w:p>
        </w:tc>
        <w:tc>
          <w:tcPr>
            <w:tcW w:type="dxa" w:w="2061"/>
            <w:tcBorders>
              <w:top w:val="none" w:color="000000" w:sz="4"/>
              <w:left w:val="none" w:color="000000" w:sz="4"/>
              <w:bottom w:val="single" w:color="000000" w:sz="4"/>
              <w:right w:val="single" w:color="000000" w:sz="4"/>
            </w:tcBorders>
            <w:vAlign w:val="top"/>
          </w:tcPr>
          <w:p>
            <w:pPr>
              <w:jc w:val="center"/>
            </w:pPr>
          </w:p>
        </w:tc>
        <w:tc>
          <w:tcPr>
            <w:tcW w:type="dxa" w:w="1197"/>
            <w:tcBorders>
              <w:top w:val="none" w:color="000000" w:sz="4"/>
              <w:left w:val="none" w:color="000000" w:sz="4"/>
              <w:bottom w:val="single" w:color="000000" w:sz="4"/>
              <w:right w:val="single" w:color="000000" w:sz="4"/>
            </w:tcBorders>
            <w:vAlign w:val="top"/>
          </w:tcPr>
          <w:p>
            <w:pPr>
              <w:jc w:val="center"/>
            </w:pPr>
          </w:p>
        </w:tc>
        <w:tc>
          <w:tcPr>
            <w:tcW w:type="dxa" w:w="1197"/>
            <w:tcBorders>
              <w:top w:val="none" w:color="000000" w:sz="4"/>
              <w:left w:val="none" w:color="000000" w:sz="4"/>
              <w:bottom w:val="single" w:color="000000" w:sz="4"/>
              <w:right w:val="single" w:color="000000" w:sz="4"/>
            </w:tcBorders>
            <w:vAlign w:val="top"/>
          </w:tcPr>
          <w:p>
            <w:pPr>
              <w:jc w:val="center"/>
            </w:pPr>
          </w:p>
        </w:tc>
        <w:tc>
          <w:tcPr>
            <w:tcW w:type="dxa" w:w="940"/>
            <w:tcBorders>
              <w:top w:val="none" w:color="000000" w:sz="4"/>
              <w:left w:val="none" w:color="000000" w:sz="4"/>
              <w:bottom w:val="single" w:color="000000" w:sz="4"/>
              <w:right w:val="single" w:color="000000" w:sz="4"/>
            </w:tcBorders>
            <w:vAlign w:val="top"/>
          </w:tcPr>
          <w:p>
            <w:pPr>
              <w:jc w:val="center"/>
            </w:pPr>
          </w:p>
        </w:tc>
        <w:tc>
          <w:tcPr>
            <w:tcW w:type="dxa" w:w="1031"/>
            <w:tcBorders>
              <w:top w:val="none" w:color="000000" w:sz="4"/>
              <w:left w:val="none" w:color="000000" w:sz="4"/>
              <w:bottom w:val="single" w:color="000000" w:sz="4"/>
              <w:right w:val="single" w:color="000000" w:sz="4"/>
            </w:tcBorders>
            <w:vAlign w:val="top"/>
          </w:tcPr>
          <w:p>
            <w:pPr>
              <w:jc w:val="center"/>
            </w:pP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682"/>
            <w:tcBorders>
              <w:top w:val="none" w:color="000000" w:sz="4"/>
              <w:left w:val="single" w:color="000000" w:sz="4"/>
              <w:bottom w:val="single" w:color="000000" w:sz="4"/>
              <w:right w:val="single" w:color="000000" w:sz="4"/>
            </w:tcBorders>
            <w:vAlign w:val="top"/>
          </w:tcPr>
          <w:p>
            <w:pPr>
              <w:jc w:val="center"/>
            </w:pPr>
            <w:r>
              <w:rPr>
                <w:sz w:val="22"/>
              </w:rPr>
              <w:t>合计</w:t>
            </w:r>
          </w:p>
        </w:tc>
        <w:tc>
          <w:tcPr>
            <w:tcW w:type="dxa" w:w="7623"/>
            <w:gridSpan w:val="6"/>
            <w:tcBorders>
              <w:top w:val="none" w:color="000000" w:sz="4"/>
              <w:left w:val="none" w:color="000000" w:sz="4"/>
              <w:bottom w:val="single" w:color="000000" w:sz="4"/>
              <w:right w:val="single" w:color="000000" w:sz="4"/>
            </w:tcBorders>
            <w:vAlign w:val="top"/>
          </w:tcPr>
          <w:p>
            <w:pPr>
              <w:jc w:val="center"/>
            </w:pPr>
          </w:p>
        </w:tc>
      </w:tr>
    </w:tbl>
    <w:p>
      <w:pPr>
        <w:ind w:firstLine="480"/>
        <w:jc w:val="both"/>
      </w:pPr>
      <w:r>
        <w:rPr>
          <w:sz w:val="22"/>
        </w:rPr>
        <w:t>合同总额包含但不限于运至合同指定地点的货物、搬运费、运输费、卸装费、保险费、培训费、安装调试费、验收、人力成本、税金等完成本采购内容所需的一切费用。本合同执行期间合同总金额不变。</w:t>
      </w:r>
    </w:p>
    <w:p>
      <w:pPr>
        <w:ind w:firstLine="480"/>
        <w:jc w:val="both"/>
      </w:pPr>
      <w:r>
        <w:rPr>
          <w:sz w:val="22"/>
        </w:rPr>
        <w:t>二、合同组成</w:t>
      </w:r>
    </w:p>
    <w:p>
      <w:pPr>
        <w:ind w:firstLine="480"/>
        <w:jc w:val="both"/>
      </w:pPr>
      <w:r>
        <w:rPr>
          <w:sz w:val="22"/>
        </w:rPr>
        <w:t>详细价格、技术说明及其他有关合同设备的特定信息由合同附件说明。合同文件组成包括但不限于以下资料：（</w:t>
      </w:r>
      <w:r>
        <w:rPr>
          <w:sz w:val="22"/>
        </w:rPr>
        <w:t>1）本合同书和合同附件；（2）中标通知书（或成交通知书）、招标文件（或竞价文件或竞争性磋商文件，含澄清内容）、投标文件（或响应文件，含澄清通知）（3）在合同订立及履行过程中形成的与合同有关的文件等。合同文件组成部分与本合同有冲突的，以本合同为准。</w:t>
      </w:r>
    </w:p>
    <w:p>
      <w:pPr>
        <w:ind w:firstLine="480"/>
        <w:jc w:val="both"/>
      </w:pPr>
      <w:r>
        <w:rPr>
          <w:sz w:val="22"/>
        </w:rPr>
        <w:t>三、设备要求：</w:t>
      </w:r>
    </w:p>
    <w:p>
      <w:pPr>
        <w:ind w:firstLine="480"/>
        <w:jc w:val="both"/>
      </w:pPr>
      <w:r>
        <w:rPr>
          <w:sz w:val="22"/>
        </w:rPr>
        <w:t>1.货物为原制造商制造的全新产品，整机无污染，无侵权行为、表面无划损、无任何缺陷隐患，在中国境内可依常规安全合法使用。</w:t>
      </w:r>
    </w:p>
    <w:p>
      <w:pPr>
        <w:ind w:firstLine="480"/>
        <w:jc w:val="both"/>
      </w:pPr>
      <w:r>
        <w:rPr>
          <w:sz w:val="22"/>
        </w:rPr>
        <w:t>2.交付验收标准依次序对照适用标准为：①符合中华人民共和国国家安全质量标准、环保标准或行业标准；②符合甲方认可的合理最佳配置、参数及各项要求；③货物来源国官方标准。</w:t>
      </w:r>
    </w:p>
    <w:p>
      <w:pPr>
        <w:ind w:firstLine="480"/>
        <w:jc w:val="both"/>
      </w:pPr>
      <w:r>
        <w:rPr>
          <w:sz w:val="22"/>
        </w:rPr>
        <w:t>3.货物为原厂商未启封全新包装，具出厂合格证，序列号、包装箱号与出厂批号一致，并可追索查阅。</w:t>
      </w:r>
    </w:p>
    <w:p>
      <w:pPr>
        <w:ind w:firstLine="480"/>
        <w:jc w:val="both"/>
      </w:pPr>
      <w:r>
        <w:rPr>
          <w:sz w:val="22"/>
        </w:rPr>
        <w:t>4.乙方应将关键主机设备的用户手册、保修手册、有关单证资料及配备件、随机工具等交付给甲方，使用操作及安全须知等重要资料应附有中文说明。</w:t>
      </w:r>
    </w:p>
    <w:p>
      <w:pPr>
        <w:ind w:firstLine="480"/>
        <w:jc w:val="both"/>
      </w:pPr>
      <w:r>
        <w:rPr>
          <w:sz w:val="22"/>
        </w:rPr>
        <w:t>5.特别要求：交货时要求乙方提供产品说明书，同时甲方有权要求乙方对产品的合法供货渠道进行说明，经核实如乙方提供非法渠道的商品，视为欺诈，为维护甲方合法权益，乙方要承担商品价值双倍的赔偿；同时，依据现行的国家法律法规追究其他责任，并连带追究所投产品制造商的责任。</w:t>
      </w:r>
    </w:p>
    <w:p>
      <w:pPr>
        <w:ind w:firstLine="480"/>
        <w:jc w:val="both"/>
      </w:pPr>
      <w:r>
        <w:rPr>
          <w:sz w:val="22"/>
        </w:rPr>
        <w:t>四、履约保证金或履约保函要求：（按采购需求要求）</w:t>
      </w:r>
    </w:p>
    <w:p>
      <w:pPr>
        <w:ind w:firstLine="480"/>
        <w:jc w:val="both"/>
      </w:pPr>
      <w:r>
        <w:rPr>
          <w:sz w:val="22"/>
        </w:rPr>
        <w:t>五、交货时间：自合同生效之日起</w:t>
      </w:r>
      <w:r>
        <w:rPr>
          <w:sz w:val="22"/>
        </w:rPr>
        <w:t xml:space="preserve">     </w:t>
      </w:r>
      <w:r>
        <w:rPr>
          <w:sz w:val="22"/>
        </w:rPr>
        <w:t>日内完成所有设备的安装、调试并交付使用并通过验收。</w:t>
      </w:r>
    </w:p>
    <w:p>
      <w:pPr>
        <w:ind w:firstLine="480"/>
        <w:jc w:val="both"/>
      </w:pPr>
      <w:r>
        <w:rPr>
          <w:sz w:val="22"/>
        </w:rPr>
        <w:t>六、交货地点：甲方指定地点。</w:t>
      </w:r>
    </w:p>
    <w:p>
      <w:pPr>
        <w:ind w:firstLine="480"/>
        <w:jc w:val="both"/>
      </w:pPr>
      <w:r>
        <w:rPr>
          <w:sz w:val="22"/>
        </w:rPr>
        <w:t>七、付款方式：</w:t>
      </w:r>
    </w:p>
    <w:p>
      <w:pPr>
        <w:ind w:firstLine="480"/>
        <w:jc w:val="both"/>
      </w:pPr>
      <w:r>
        <w:rPr>
          <w:sz w:val="22"/>
        </w:rPr>
        <w:t>1期：支付比例80%；在合同签字生效之日起，乙方须向甲方提供付款申请，并开具合法发票，采购人自收到付款申请和发票5个工作日内向乙方支付合同款80%款项；</w:t>
      </w:r>
    </w:p>
    <w:p>
      <w:pPr>
        <w:ind w:firstLine="480"/>
        <w:jc w:val="both"/>
      </w:pPr>
      <w:r>
        <w:rPr>
          <w:sz w:val="22"/>
        </w:rPr>
        <w:t>2期：支付比例20%；项目完成并验收合格后，乙方连同项目验收报告、费用核算清单及相关材料，向甲方申请20%合同尾款，甲方自收到申请及发票起</w:t>
      </w:r>
      <w:r>
        <w:rPr>
          <w:sz w:val="22"/>
        </w:rPr>
        <w:t>15个工作日</w:t>
      </w:r>
      <w:r>
        <w:rPr>
          <w:sz w:val="22"/>
        </w:rPr>
        <w:t>内向乙方支付剩余合同款项。</w:t>
      </w:r>
    </w:p>
    <w:p>
      <w:pPr>
        <w:ind w:firstLine="480"/>
        <w:jc w:val="both"/>
      </w:pPr>
      <w:r>
        <w:rPr>
          <w:sz w:val="22"/>
        </w:rPr>
        <w:t>注：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ind w:firstLine="480"/>
        <w:jc w:val="both"/>
      </w:pPr>
      <w:r>
        <w:rPr>
          <w:sz w:val="22"/>
        </w:rPr>
        <w:t>八、包装、保险及发运、保管要求等</w:t>
      </w:r>
    </w:p>
    <w:p>
      <w:pPr>
        <w:ind w:firstLine="480"/>
        <w:jc w:val="both"/>
      </w:pPr>
      <w:r>
        <w:rPr>
          <w:sz w:val="22"/>
        </w:rPr>
        <w:t>1.设备材料的包装必须是制造商原厂包装，其包装均应有良好的防湿、防锈、防潮、防雨、防腐及防碰撞的措施。凡由于包装不良造成的损失和由此产生的费用均由乙方承担。</w:t>
      </w:r>
    </w:p>
    <w:p>
      <w:pPr>
        <w:ind w:firstLine="480"/>
        <w:jc w:val="both"/>
      </w:pPr>
      <w:r>
        <w:rPr>
          <w:sz w:val="22"/>
        </w:rPr>
        <w:t>2.乙方负责将设备材料货到现场过程中的全部运输，包括装卸车、货物现场的搬运。</w:t>
      </w:r>
    </w:p>
    <w:p>
      <w:pPr>
        <w:ind w:firstLine="480"/>
        <w:jc w:val="both"/>
      </w:pPr>
      <w:r>
        <w:rPr>
          <w:sz w:val="22"/>
        </w:rPr>
        <w:t>3.各种设备必须提供装箱清单，按装箱清单验收货物。</w:t>
      </w:r>
    </w:p>
    <w:p>
      <w:pPr>
        <w:ind w:firstLine="480"/>
        <w:jc w:val="both"/>
      </w:pPr>
      <w:r>
        <w:rPr>
          <w:sz w:val="22"/>
        </w:rPr>
        <w:t>4.货物在系统安装调试验收合格前的保险由乙方负责，乙方负责其派出的现场服务人员人身意外保险。</w:t>
      </w:r>
    </w:p>
    <w:p>
      <w:pPr>
        <w:ind w:firstLine="480"/>
        <w:jc w:val="both"/>
      </w:pPr>
      <w:r>
        <w:rPr>
          <w:sz w:val="22"/>
        </w:rPr>
        <w:t>5.设备至甲方指定的使用现场的包装、保险及发运等环节和费用均由乙方负责。</w:t>
      </w:r>
    </w:p>
    <w:p>
      <w:pPr>
        <w:ind w:firstLine="480"/>
        <w:jc w:val="both"/>
      </w:pPr>
      <w:r>
        <w:rPr>
          <w:sz w:val="22"/>
        </w:rPr>
        <w:t>九、安装调试：</w:t>
      </w:r>
    </w:p>
    <w:p>
      <w:pPr>
        <w:ind w:firstLine="480"/>
        <w:jc w:val="both"/>
      </w:pPr>
      <w:r>
        <w:rPr>
          <w:sz w:val="22"/>
        </w:rPr>
        <w:t>1.乙方需根据甲方实际情况对产品进行安装调试，所有费用全部由乙方负责。</w:t>
      </w:r>
    </w:p>
    <w:p>
      <w:pPr>
        <w:ind w:firstLine="480"/>
        <w:jc w:val="both"/>
      </w:pPr>
      <w:r>
        <w:rPr>
          <w:sz w:val="22"/>
        </w:rPr>
        <w:t>2.乙方安装时须对各安装场地内的其他设备、设施有良好的保护措施。</w:t>
      </w:r>
    </w:p>
    <w:p>
      <w:pPr>
        <w:ind w:firstLine="480"/>
        <w:jc w:val="both"/>
      </w:pPr>
      <w:r>
        <w:rPr>
          <w:sz w:val="22"/>
        </w:rPr>
        <w:t>3.乙方在施工中要遵守安全操作规程，把安全施工放在第一位，由于乙方原因出现任何人员伤亡事故由乙方负全部责任。</w:t>
      </w:r>
    </w:p>
    <w:p>
      <w:pPr>
        <w:ind w:firstLine="480"/>
        <w:jc w:val="both"/>
      </w:pPr>
      <w:r>
        <w:rPr>
          <w:sz w:val="22"/>
        </w:rPr>
        <w:t>4.乙方在设备的安装、调试、验收完毕后即进行现场培训（至少一周）直至甲方基本掌握使用操作、维护保养技术。</w:t>
      </w:r>
    </w:p>
    <w:p>
      <w:pPr>
        <w:ind w:firstLine="480"/>
        <w:jc w:val="both"/>
      </w:pPr>
      <w:r>
        <w:rPr>
          <w:sz w:val="22"/>
        </w:rPr>
        <w:t>4.1专门培训：对甲方操作人员提供设备安全操作规程培训，讲解设备的基本结构及工作原理，直至操作人员掌握设备的日常使用、维护保养方法，保证操作人员可正确操作使用，并能排除一般故障。</w:t>
      </w:r>
    </w:p>
    <w:p>
      <w:pPr>
        <w:ind w:firstLine="480"/>
        <w:jc w:val="both"/>
      </w:pPr>
      <w:r>
        <w:rPr>
          <w:sz w:val="22"/>
        </w:rPr>
        <w:t>4.2培训方式：技术培训、操作培训。</w:t>
      </w:r>
    </w:p>
    <w:p>
      <w:pPr>
        <w:ind w:firstLine="480"/>
        <w:jc w:val="both"/>
      </w:pPr>
      <w:r>
        <w:rPr>
          <w:sz w:val="22"/>
        </w:rPr>
        <w:t>4.3培训人员、地点和时间：受训人员数量由甲方确定，培训地点和时间由双方商定。</w:t>
      </w:r>
    </w:p>
    <w:p>
      <w:pPr>
        <w:ind w:firstLine="480"/>
        <w:jc w:val="both"/>
      </w:pPr>
      <w:r>
        <w:rPr>
          <w:sz w:val="22"/>
        </w:rPr>
        <w:t>5.若甲方要求乙方延迟交货的，应提前5天书面通知乙方。</w:t>
      </w:r>
    </w:p>
    <w:p>
      <w:pPr>
        <w:ind w:firstLine="480"/>
        <w:jc w:val="both"/>
      </w:pPr>
      <w:r>
        <w:rPr>
          <w:sz w:val="22"/>
        </w:rPr>
        <w:t>十、验收</w:t>
      </w:r>
    </w:p>
    <w:p>
      <w:pPr>
        <w:ind w:firstLine="480"/>
        <w:jc w:val="both"/>
      </w:pPr>
      <w:r>
        <w:rPr>
          <w:sz w:val="22"/>
        </w:rPr>
        <w:t>1.验收应在甲乙双方共同参加下进行，依据制定的方案及招标文件进行验收，并按国家有关规定、规范进行。</w:t>
      </w:r>
    </w:p>
    <w:p>
      <w:pPr>
        <w:ind w:firstLine="480"/>
        <w:jc w:val="both"/>
      </w:pPr>
      <w:r>
        <w:rPr>
          <w:sz w:val="22"/>
        </w:rPr>
        <w:t>2.甲方组织项目验收小组按国家有关规定、规范进行验收，必要时邀请相关专业人员或机构参与验收。</w:t>
      </w:r>
    </w:p>
    <w:p>
      <w:pPr>
        <w:ind w:firstLine="480"/>
        <w:jc w:val="both"/>
      </w:pPr>
      <w:r>
        <w:rPr>
          <w:sz w:val="22"/>
        </w:rPr>
        <w:t>3.若经甲方检验发现产品质量不合格的，经双方协商完善，协商不成的，甲方有权选择要求①相应调减货款；②调换产品；③退货；④解除合同，并由乙方承担由此引起的违约责任。如发现产品不符合合同要求或破损、缺失等情况，由乙方负责调换或补足，直至符合要求为止。乙方承担修理、调换、退货发生的一切费用。对验收不合格的部分，乙方应在甲方规定时间内及时整改完善直至合格。</w:t>
      </w:r>
    </w:p>
    <w:p>
      <w:pPr>
        <w:ind w:firstLine="480"/>
        <w:jc w:val="both"/>
      </w:pPr>
      <w:r>
        <w:rPr>
          <w:sz w:val="22"/>
        </w:rPr>
        <w:t>4.因乙方原因导致未在约定期限内完成验收的，视为乙方未能按时交货，应承担相应的违约责任。</w:t>
      </w:r>
    </w:p>
    <w:p>
      <w:pPr>
        <w:ind w:firstLine="480"/>
        <w:jc w:val="both"/>
      </w:pPr>
      <w:r>
        <w:rPr>
          <w:sz w:val="22"/>
        </w:rPr>
        <w:t>十一、售后服务</w:t>
      </w:r>
    </w:p>
    <w:p>
      <w:pPr>
        <w:ind w:firstLine="480"/>
        <w:jc w:val="both"/>
      </w:pPr>
      <w:r>
        <w:rPr>
          <w:sz w:val="22"/>
        </w:rPr>
        <w:t>1.货物质保期（质保期由甲方使用验收合格之日起算）：质保期：    年，终身维修保养。</w:t>
      </w:r>
    </w:p>
    <w:p>
      <w:pPr>
        <w:ind w:firstLine="480"/>
        <w:jc w:val="both"/>
      </w:pPr>
      <w:r>
        <w:rPr>
          <w:sz w:val="22"/>
        </w:rPr>
        <w:t>2.质保期内，如设备或零部件因非人为因素出现故障而造成短期停用时，则质保期顺延。如停用时间累计超过60天则质保期重新计算</w:t>
      </w:r>
    </w:p>
    <w:p>
      <w:pPr>
        <w:ind w:firstLine="480"/>
        <w:jc w:val="both"/>
      </w:pPr>
      <w:r>
        <w:rPr>
          <w:sz w:val="22"/>
        </w:rPr>
        <w:t>3.售后服务期内，不限零配件更换次数、不限维修次数，按产品生产标准进行定期维护保养，软件升级。</w:t>
      </w:r>
    </w:p>
    <w:p>
      <w:pPr>
        <w:ind w:firstLine="480"/>
        <w:jc w:val="both"/>
      </w:pPr>
      <w:r>
        <w:rPr>
          <w:sz w:val="22"/>
        </w:rPr>
        <w:t>4.售后服务期内出现产品质量或安装问题，由乙方负责包修、包换或包退，并承担因此而产生的一切修理、调换或退货的实际费用。</w:t>
      </w:r>
    </w:p>
    <w:p>
      <w:pPr>
        <w:ind w:firstLine="480"/>
        <w:jc w:val="both"/>
      </w:pPr>
      <w:r>
        <w:rPr>
          <w:sz w:val="22"/>
        </w:rPr>
        <w:t>5.乙方应在售后服务期内提供上门维修服务，并进行终身维护。同时乙方在设备寿命期内需以不高于投标价格及市场价格的价格保证备品备件、耗材等并长期提供技术咨询服务。乙方在收到用户要求对所采购仪器进行维修通知后，应在   小时内做出响应，并在    小时内派出专门维修人员到现场维修。维修超过   小时未能恢复正常运行的，应用同规格同型号设备替换使用，以免影响甲方正常工作需求。如未能在规定时间内派人保修的，甲方可自行或委托第三方保修，费用由乙方支付。发生紧急抢修事故的，乙方在接到通知后，应立即到达事故现场抢修。因天气等不可抗力因素无法按要求到现场，需要提前与甲方沟通协商；单次故障修复时间从接到报修通知后不超过21个日历天，否则超出的时间以1:2延长售后服务期。</w:t>
      </w:r>
    </w:p>
    <w:p>
      <w:pPr>
        <w:ind w:firstLine="480"/>
        <w:jc w:val="both"/>
      </w:pPr>
      <w:r>
        <w:rPr>
          <w:sz w:val="22"/>
        </w:rPr>
        <w:t>6</w:t>
      </w:r>
      <w:r>
        <w:rPr>
          <w:sz w:val="22"/>
        </w:rPr>
        <w:t>.乙方应提供最近的售后服务地址、电话及工作人员名单，并详细说明售后服务的范围和承诺。其中包括产品售后服务年限、售后服务期内发生故障响应及到达现场时间等。</w:t>
      </w:r>
    </w:p>
    <w:p>
      <w:pPr>
        <w:ind w:firstLine="480"/>
        <w:jc w:val="both"/>
      </w:pPr>
      <w:r>
        <w:rPr>
          <w:sz w:val="22"/>
        </w:rPr>
        <w:t>7</w:t>
      </w:r>
      <w:r>
        <w:rPr>
          <w:sz w:val="22"/>
        </w:rPr>
        <w:t>.本项目所有需要与计算机连接设备，须无条件向甲方开放端口，端口必须支持现软件系统国家标准与国际标准接口规范，本条要求作为项目验收的条件之一。</w:t>
      </w:r>
    </w:p>
    <w:p>
      <w:pPr>
        <w:ind w:firstLine="480"/>
        <w:jc w:val="both"/>
      </w:pPr>
      <w:r>
        <w:rPr>
          <w:sz w:val="22"/>
        </w:rPr>
        <w:t>8</w:t>
      </w:r>
      <w:r>
        <w:rPr>
          <w:sz w:val="22"/>
        </w:rPr>
        <w:t>.质保期满后乙方继续提供终身维修保养服务，只收取零配件费，无零配件更换时不收费。</w:t>
      </w:r>
    </w:p>
    <w:p>
      <w:pPr>
        <w:ind w:firstLine="480"/>
        <w:jc w:val="both"/>
      </w:pPr>
      <w:r>
        <w:rPr>
          <w:sz w:val="22"/>
        </w:rPr>
        <w:t>9</w:t>
      </w:r>
      <w:r>
        <w:rPr>
          <w:sz w:val="22"/>
        </w:rPr>
        <w:t>.售后服务期内如设备或零部件因非人为因素出现故障而造成短期停用时,则售后服务期相应顺延,如停用时间累计超过 60 天则售后服务期重新计算。</w:t>
      </w:r>
    </w:p>
    <w:p>
      <w:pPr>
        <w:ind w:firstLine="480"/>
        <w:jc w:val="both"/>
      </w:pPr>
      <w:r>
        <w:rPr>
          <w:sz w:val="22"/>
        </w:rPr>
        <w:t>10</w:t>
      </w:r>
      <w:r>
        <w:rPr>
          <w:sz w:val="22"/>
        </w:rPr>
        <w:t>.交货时，货物的生产日期在半年内。</w:t>
      </w:r>
    </w:p>
    <w:p>
      <w:pPr>
        <w:ind w:firstLine="480"/>
        <w:jc w:val="both"/>
      </w:pPr>
      <w:r>
        <w:rPr>
          <w:sz w:val="22"/>
        </w:rPr>
        <w:t>十二、违约责任：</w:t>
      </w:r>
    </w:p>
    <w:p>
      <w:pPr>
        <w:ind w:firstLine="480"/>
        <w:jc w:val="both"/>
      </w:pPr>
      <w:r>
        <w:rPr>
          <w:sz w:val="22"/>
        </w:rPr>
        <w:t>1.乙方交付的货物/提供的服务不符合本合同规定的，甲方有权拒收，并且乙方须向甲方支付本合同总价5%的违约金及给甲方造成的经济损失由乙方承担赔偿责任。</w:t>
      </w:r>
    </w:p>
    <w:p>
      <w:pPr>
        <w:ind w:firstLine="480"/>
        <w:jc w:val="both"/>
      </w:pPr>
      <w:r>
        <w:rPr>
          <w:sz w:val="22"/>
        </w:rPr>
        <w:t>2.乙方未能按本合同规定的交货时间交付货物的/提供服务，从逾期之日起每日按本合同总价5‰的数额向甲方支付违约金；逾期15天以上（含15天）的，甲方有权终止合同，要求乙方支付违约金，并且给甲方造成的经济损失由乙方承担赔偿责任。</w:t>
      </w:r>
    </w:p>
    <w:p>
      <w:pPr>
        <w:ind w:firstLine="480"/>
        <w:jc w:val="both"/>
      </w:pPr>
      <w:r>
        <w:rPr>
          <w:sz w:val="22"/>
        </w:rPr>
        <w:t>3.甲方无正当理由拒收货物/接受服务，到期拒付货物/服务款项的，甲方向乙方偿付本合同总价的5%的违约金。</w:t>
      </w:r>
    </w:p>
    <w:p>
      <w:pPr>
        <w:ind w:firstLine="480"/>
        <w:jc w:val="both"/>
      </w:pPr>
      <w:r>
        <w:rPr>
          <w:sz w:val="22"/>
        </w:rPr>
        <w:t>4.其它违约责任按《中华人民共和国民法典》处理。</w:t>
      </w:r>
    </w:p>
    <w:p>
      <w:pPr>
        <w:ind w:firstLine="480"/>
        <w:jc w:val="both"/>
      </w:pPr>
      <w:r>
        <w:rPr>
          <w:sz w:val="22"/>
        </w:rPr>
        <w:t>5.乙方保证合同项下提供的设备不侵犯任何第三方的专利、商标或版权。否则，乙方须承担对第三方的专利或版权的侵权责任并承担因此而发生的所有费用。</w:t>
      </w:r>
    </w:p>
    <w:p>
      <w:pPr>
        <w:ind w:firstLine="480"/>
        <w:jc w:val="both"/>
      </w:pPr>
      <w:r>
        <w:rPr>
          <w:sz w:val="22"/>
        </w:rPr>
        <w:t>6.本合同所述的经济损失，包括但不限于鉴定费、诉讼费、公证费、律师费、重新向第三方采购的差价、预期利益等合理费用。</w:t>
      </w:r>
    </w:p>
    <w:p>
      <w:pPr>
        <w:ind w:firstLine="480"/>
        <w:jc w:val="both"/>
      </w:pPr>
      <w:r>
        <w:rPr>
          <w:sz w:val="22"/>
        </w:rPr>
        <w:t>十三、保密条款</w:t>
      </w:r>
    </w:p>
    <w:p>
      <w:pPr>
        <w:ind w:firstLine="480"/>
        <w:jc w:val="both"/>
      </w:pPr>
      <w:r>
        <w:rPr>
          <w:sz w:val="22"/>
        </w:rPr>
        <w:t>未经对方许可，任何一方不得向第三方（有关法律、法规、政府部门、证券交易所或其他监管机构要求和双方的法律、会计、商业及其他顾问、雇员除外）泄露本合同的条款的任何内容以及本合同的签订及履行情况，以及通过签订和履行本合同而获知的对方及对方关联公司的任何信息。否则，甲乙双方都有权利向对方请求损失赔偿，并依法追究法律责任。</w:t>
      </w:r>
    </w:p>
    <w:p>
      <w:pPr>
        <w:ind w:firstLine="480"/>
        <w:jc w:val="both"/>
      </w:pPr>
      <w:r>
        <w:rPr>
          <w:sz w:val="22"/>
        </w:rPr>
        <w:t>十四、廉洁条款：</w:t>
      </w:r>
    </w:p>
    <w:p>
      <w:pPr>
        <w:ind w:firstLine="480"/>
        <w:jc w:val="both"/>
      </w:pPr>
      <w:r>
        <w:rPr>
          <w:sz w:val="22"/>
        </w:rPr>
        <w:t>1.禁止乙方及其工作人员向甲方工作人员进行商业贿赂（包括但不限于请吃、请玩、各种形式的送礼、给予甲方工作人员任何馈赠等方式）。</w:t>
      </w:r>
    </w:p>
    <w:p>
      <w:pPr>
        <w:ind w:firstLine="480"/>
        <w:jc w:val="both"/>
      </w:pPr>
      <w:r>
        <w:rPr>
          <w:sz w:val="22"/>
        </w:rPr>
        <w:t>2.甲方人员未经甲方书面授权，不得向乙方或乙方工作人员借钱、借物或调货，如有发生，视为个人行为，甲方不承担任何责任。</w:t>
      </w:r>
    </w:p>
    <w:p>
      <w:pPr>
        <w:ind w:firstLine="480"/>
        <w:jc w:val="both"/>
      </w:pPr>
      <w:r>
        <w:rPr>
          <w:sz w:val="22"/>
        </w:rPr>
        <w:t>3.乙方违反廉洁条款，甲方有权单方解除与乙方所有合作项目。</w:t>
      </w:r>
    </w:p>
    <w:p>
      <w:pPr>
        <w:ind w:firstLine="480"/>
        <w:jc w:val="both"/>
      </w:pPr>
      <w:r>
        <w:rPr>
          <w:sz w:val="22"/>
        </w:rPr>
        <w:t>十五、不可抗力</w:t>
      </w:r>
    </w:p>
    <w:p>
      <w:pPr>
        <w:ind w:firstLine="480"/>
        <w:jc w:val="both"/>
      </w:pPr>
      <w:r>
        <w:rPr>
          <w:sz w:val="22"/>
        </w:rPr>
        <w:t>任何一方由于不可抗力原因不能履行合同时，应在不可抗力事件结束后</w:t>
      </w:r>
      <w:r>
        <w:rPr>
          <w:sz w:val="22"/>
        </w:rPr>
        <w:t>1日内向对方通报，以减轻可能给对方造成的损失，在取得有关机构的不可抗力证明或双方谅解确认后，允许延期履行或修订合同，并根据情况可部分或全部免于承担违约责任。</w:t>
      </w:r>
    </w:p>
    <w:p>
      <w:pPr>
        <w:ind w:firstLine="480"/>
        <w:jc w:val="both"/>
      </w:pPr>
      <w:r>
        <w:rPr>
          <w:sz w:val="22"/>
        </w:rPr>
        <w:t>十六、法律诉讼</w:t>
      </w:r>
    </w:p>
    <w:p>
      <w:pPr>
        <w:ind w:firstLine="480"/>
        <w:jc w:val="both"/>
      </w:pPr>
      <w:r>
        <w:rPr>
          <w:sz w:val="22"/>
        </w:rPr>
        <w:t>签约双方在履约中发生争执和分歧，双方应通过友好协商解决，若经协商不能达成协议时，则向甲方所在地人民法院提起诉讼。受理期间，双方应继续执行合同其余部分。</w:t>
      </w:r>
    </w:p>
    <w:p>
      <w:pPr>
        <w:ind w:firstLine="480"/>
        <w:jc w:val="both"/>
      </w:pPr>
    </w:p>
    <w:p>
      <w:pPr>
        <w:ind w:firstLine="480"/>
        <w:jc w:val="both"/>
      </w:pPr>
      <w:r>
        <w:rPr>
          <w:sz w:val="22"/>
        </w:rPr>
        <w:t>十七、其他条款：</w:t>
      </w:r>
    </w:p>
    <w:p>
      <w:pPr>
        <w:ind w:firstLine="480"/>
        <w:jc w:val="both"/>
      </w:pPr>
      <w:r>
        <w:rPr>
          <w:sz w:val="22"/>
        </w:rPr>
        <w:t>1.本合同自甲乙双方签约代表签章之日起生效。</w:t>
      </w:r>
    </w:p>
    <w:p>
      <w:pPr>
        <w:ind w:firstLine="480"/>
        <w:jc w:val="both"/>
      </w:pPr>
      <w:r>
        <w:rPr>
          <w:sz w:val="22"/>
        </w:rPr>
        <w:t>2.签约双方不得单方修改合同，如乙方因故转让、变更或解除本合同，需经双方协商一致另立协议。</w:t>
      </w:r>
    </w:p>
    <w:p>
      <w:pPr>
        <w:ind w:firstLine="480"/>
        <w:jc w:val="both"/>
      </w:pPr>
      <w:r>
        <w:rPr>
          <w:sz w:val="22"/>
        </w:rPr>
        <w:t>3.未尽事宜由双方协商解决。达成协议后作为本合同的补充条款。</w:t>
      </w:r>
    </w:p>
    <w:p>
      <w:pPr>
        <w:ind w:firstLine="480"/>
        <w:jc w:val="both"/>
      </w:pPr>
      <w:r>
        <w:rPr>
          <w:sz w:val="22"/>
        </w:rPr>
        <w:t>4.本合同一式贰份，甲乙双方各持壹份，具有同等法律效力。</w:t>
      </w:r>
    </w:p>
    <w:tbl>
      <w:tblPr>
        <w:tblW w:w="0" w:type="auto"/>
        <w:tblBorders>
          <w:top w:val="none" w:color="000000" w:sz="4"/>
          <w:left w:val="none" w:color="000000" w:sz="4"/>
          <w:bottom w:val="none" w:color="000000" w:sz="4"/>
          <w:right w:val="none" w:color="000000" w:sz="4"/>
          <w:insideH w:val="none"/>
          <w:insideV w:val="none"/>
        </w:tblBorders>
      </w:tblPr>
      <w:tblGrid>
        <w:gridCol w:w="3905"/>
        <w:gridCol w:w="4401"/>
      </w:tblGrid>
      <w:tr>
        <w:tc>
          <w:tcPr>
            <w:tcW w:type="dxa" w:w="3905"/>
            <w:tcBorders>
              <w:top w:val="none" w:color="000000" w:sz="4"/>
              <w:left w:val="none" w:color="000000" w:sz="4"/>
              <w:bottom w:val="none" w:color="000000" w:sz="4"/>
              <w:right w:val="none" w:color="000000" w:sz="4"/>
            </w:tcBorders>
            <w:vAlign w:val="top"/>
          </w:tcPr>
          <w:p>
            <w:pPr>
              <w:jc w:val="both"/>
            </w:pPr>
            <w:r>
              <w:rPr>
                <w:sz w:val="22"/>
              </w:rPr>
              <w:t>甲方：</w:t>
            </w:r>
          </w:p>
          <w:p>
            <w:pPr>
              <w:jc w:val="both"/>
            </w:pPr>
            <w:r>
              <w:rPr>
                <w:sz w:val="22"/>
              </w:rPr>
              <w:t>地址：</w:t>
            </w:r>
          </w:p>
          <w:p>
            <w:pPr>
              <w:jc w:val="both"/>
            </w:pPr>
          </w:p>
          <w:p>
            <w:pPr>
              <w:jc w:val="both"/>
            </w:pPr>
            <w:r>
              <w:rPr>
                <w:sz w:val="22"/>
              </w:rPr>
              <w:t>法定代表人：</w:t>
            </w:r>
          </w:p>
          <w:p>
            <w:pPr>
              <w:jc w:val="both"/>
            </w:pPr>
          </w:p>
          <w:p>
            <w:pPr>
              <w:jc w:val="both"/>
            </w:pPr>
            <w:r>
              <w:rPr>
                <w:sz w:val="22"/>
              </w:rPr>
              <w:t>经办人：</w:t>
            </w:r>
          </w:p>
          <w:p>
            <w:pPr>
              <w:jc w:val="both"/>
            </w:pPr>
          </w:p>
          <w:p>
            <w:pPr>
              <w:jc w:val="both"/>
            </w:pPr>
          </w:p>
          <w:p>
            <w:pPr>
              <w:jc w:val="both"/>
            </w:pPr>
            <w:r>
              <w:rPr>
                <w:sz w:val="22"/>
              </w:rPr>
              <w:t>日期：</w:t>
            </w:r>
            <w:r>
              <w:rPr>
                <w:sz w:val="22"/>
              </w:rPr>
              <w:t xml:space="preserve">   </w:t>
            </w:r>
            <w:r>
              <w:rPr>
                <w:sz w:val="22"/>
              </w:rPr>
              <w:t>年</w:t>
            </w:r>
            <w:r>
              <w:rPr>
                <w:sz w:val="22"/>
              </w:rPr>
              <w:t xml:space="preserve"> </w:t>
            </w:r>
            <w:r>
              <w:rPr>
                <w:sz w:val="22"/>
              </w:rPr>
              <w:t>月</w:t>
            </w:r>
            <w:r>
              <w:rPr>
                <w:sz w:val="22"/>
              </w:rPr>
              <w:t xml:space="preserve"> </w:t>
            </w:r>
            <w:r>
              <w:rPr>
                <w:sz w:val="22"/>
              </w:rPr>
              <w:t>日</w:t>
            </w:r>
          </w:p>
        </w:tc>
        <w:tc>
          <w:tcPr>
            <w:tcW w:type="dxa" w:w="4401"/>
            <w:tcBorders>
              <w:top w:val="none" w:color="000000" w:sz="4"/>
              <w:left w:val="none" w:color="000000" w:sz="4"/>
              <w:bottom w:val="none" w:color="000000" w:sz="4"/>
              <w:right w:val="none" w:color="000000" w:sz="4"/>
            </w:tcBorders>
            <w:vAlign w:val="top"/>
          </w:tcPr>
          <w:p>
            <w:pPr>
              <w:jc w:val="both"/>
            </w:pPr>
            <w:r>
              <w:rPr>
                <w:sz w:val="22"/>
              </w:rPr>
              <w:t>乙方：</w:t>
            </w:r>
          </w:p>
          <w:p>
            <w:pPr>
              <w:jc w:val="both"/>
            </w:pPr>
            <w:r>
              <w:rPr>
                <w:sz w:val="22"/>
              </w:rPr>
              <w:t>地址：</w:t>
            </w:r>
          </w:p>
          <w:p>
            <w:pPr>
              <w:jc w:val="both"/>
            </w:pPr>
            <w:r>
              <w:rPr>
                <w:sz w:val="22"/>
              </w:rPr>
              <w:t>法定代表人：</w:t>
            </w:r>
          </w:p>
          <w:p>
            <w:pPr>
              <w:jc w:val="both"/>
            </w:pPr>
            <w:r>
              <w:rPr>
                <w:sz w:val="22"/>
              </w:rPr>
              <w:t>经办人：</w:t>
            </w:r>
          </w:p>
          <w:p>
            <w:pPr>
              <w:jc w:val="both"/>
            </w:pPr>
          </w:p>
          <w:p>
            <w:pPr>
              <w:jc w:val="both"/>
            </w:pPr>
            <w:r>
              <w:rPr>
                <w:sz w:val="22"/>
              </w:rPr>
              <w:t>帐户名：</w:t>
            </w:r>
          </w:p>
          <w:p>
            <w:pPr>
              <w:jc w:val="both"/>
            </w:pPr>
            <w:r>
              <w:rPr>
                <w:sz w:val="22"/>
              </w:rPr>
              <w:t>开户银行：</w:t>
            </w:r>
          </w:p>
          <w:p>
            <w:pPr>
              <w:jc w:val="both"/>
            </w:pPr>
            <w:r>
              <w:rPr>
                <w:sz w:val="22"/>
              </w:rPr>
              <w:t>账号：</w:t>
            </w:r>
          </w:p>
          <w:p>
            <w:pPr>
              <w:jc w:val="both"/>
            </w:pPr>
            <w:r>
              <w:rPr>
                <w:sz w:val="22"/>
              </w:rPr>
              <w:t>日期：</w:t>
            </w:r>
            <w:r>
              <w:rPr>
                <w:sz w:val="22"/>
              </w:rPr>
              <w:t xml:space="preserve">   </w:t>
            </w:r>
            <w:r>
              <w:rPr>
                <w:sz w:val="22"/>
              </w:rPr>
              <w:t>年</w:t>
            </w:r>
            <w:r>
              <w:rPr>
                <w:sz w:val="22"/>
              </w:rPr>
              <w:t xml:space="preserve"> </w:t>
            </w:r>
            <w:r>
              <w:rPr>
                <w:sz w:val="22"/>
              </w:rPr>
              <w:t>月</w:t>
            </w:r>
            <w:r>
              <w:rPr>
                <w:sz w:val="22"/>
              </w:rPr>
              <w:t xml:space="preserve"> </w:t>
            </w:r>
            <w:r>
              <w:rPr>
                <w:sz w:val="22"/>
              </w:rPr>
              <w:t>日</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441901-2023-05833</w:t>
      </w:r>
    </w:p>
    <w:p>
      <w:pPr>
        <w:jc w:val="center"/>
      </w:pPr>
      <w:r>
        <w:rPr>
          <w:b/>
          <w:sz w:val="24"/>
        </w:rPr>
        <w:t>采购项目编号：</w:t>
      </w:r>
      <w:r>
        <w:rPr>
          <w:b/>
          <w:sz w:val="24"/>
        </w:rPr>
        <w:t>441901-2023-05833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购建足球场项目</w:t>
      </w:r>
      <w:r>
        <w:rPr>
          <w:u w:val="single"/>
        </w:rPr>
        <w:t>”</w:t>
      </w:r>
      <w:r>
        <w:rPr/>
        <w:t>项目的招标[采购项目编号为：</w:t>
      </w:r>
      <w:r>
        <w:rPr>
          <w:u w:val="single"/>
        </w:rPr>
        <w:t>441901-2023-05833</w:t>
      </w:r>
      <w:r>
        <w:rPr/>
        <w:t>]，我方愿参与投标。</w:t>
      </w:r>
    </w:p>
    <w:p>
      <w:pPr>
        <w:ind w:firstLine="480"/>
      </w:pPr>
      <w:r>
        <w:rPr/>
        <w:t>我方确认收到贵方提供的</w:t>
      </w:r>
      <w:r>
        <w:rPr>
          <w:u w:val="single"/>
        </w:rPr>
        <w:t>“</w:t>
      </w:r>
      <w:r>
        <w:rPr>
          <w:u w:val="single"/>
        </w:rPr>
        <w:t>购建足球场项目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购建足球场项目</w:t>
      </w:r>
      <w:r>
        <w:rPr/>
        <w:t>”项目采购[采购项目编号为</w:t>
      </w:r>
      <w:r>
        <w:rPr/>
        <w:t>441901-2023-05833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东莞市文化广电旅游体育局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购建足球场项目</w:t>
      </w:r>
      <w:r>
        <w:rPr/>
        <w:t>招标中获中标（采购项目编号：</w:t>
      </w:r>
      <w:r>
        <w:rPr/>
        <w:t>441901-2023-05833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购建足球场项目</w:t>
      </w:r>
      <w:r>
        <w:rPr/>
        <w:t>”项目（采购项目编号：</w:t>
      </w:r>
      <w:r>
        <w:rPr/>
        <w:t>441901-2023-05833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