
<file path=[Content_Types].xml><?xml version="1.0" encoding="utf-8"?>
<Types xmlns="http://schemas.openxmlformats.org/package/2006/content-types">
  <Default ContentType="image/jpeg" Extension="jpeg"/>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441901-2023-04980</w:t>
      </w:r>
    </w:p>
    <w:p>
      <w:pPr>
        <w:jc w:val="center"/>
      </w:pPr>
      <w:r>
        <w:rPr>
          <w:b/>
          <w:sz w:val="24"/>
        </w:rPr>
        <w:t>采购项目编号：</w:t>
      </w:r>
      <w:r>
        <w:rPr>
          <w:b/>
          <w:sz w:val="24"/>
        </w:rPr>
        <w:t>441901-2023-04980</w:t>
      </w:r>
    </w:p>
    <w:p>
      <w:pPr>
        <w:jc w:val="center"/>
      </w:pPr>
      <w:r>
        <w:rPr>
          <w:b/>
          <w:sz w:val="24"/>
        </w:rPr>
        <w:t>项目名称：</w:t>
      </w:r>
      <w:r>
        <w:rPr>
          <w:b/>
          <w:sz w:val="24"/>
        </w:rPr>
        <w:t>东莞市直管道路市属户外公益广告设施日常维护项目</w:t>
      </w:r>
    </w:p>
    <w:p>
      <w:pPr>
        <w:jc w:val="center"/>
      </w:pPr>
      <w:r>
        <w:rPr>
          <w:b/>
          <w:sz w:val="24"/>
        </w:rPr>
        <w:t>采购人：</w:t>
      </w:r>
      <w:r>
        <w:rPr>
          <w:b/>
          <w:sz w:val="24"/>
        </w:rPr>
        <w:t>东莞市广告灯饰管理中心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东莞市广告灯饰管理中心</w:t>
      </w:r>
      <w:r>
        <w:rPr/>
        <w:t>的委托，采用</w:t>
      </w:r>
      <w:r>
        <w:rPr/>
        <w:t>公开招标</w:t>
      </w:r>
      <w:r>
        <w:rPr/>
        <w:t>方式组织采购</w:t>
      </w:r>
      <w:r>
        <w:rPr/>
        <w:t>东莞市直管道路市属户外公益广告设施日常维护项目</w:t>
      </w:r>
      <w:r>
        <w:rPr/>
        <w:t>。欢迎符合资格条件的国内供应商参加投标。</w:t>
      </w:r>
    </w:p>
    <w:p>
      <w:r>
        <w:rPr>
          <w:b/>
          <w:sz w:val="28"/>
        </w:rPr>
        <w:t>一.项目概述</w:t>
      </w:r>
    </w:p>
    <w:p>
      <w:r>
        <w:rPr>
          <w:b/>
          <w:sz w:val="24"/>
        </w:rPr>
        <w:t>1.名称与编号</w:t>
      </w:r>
    </w:p>
    <w:p>
      <w:pPr>
        <w:ind w:firstLine="480"/>
      </w:pPr>
      <w:r>
        <w:rPr/>
        <w:t>项目名称：</w:t>
      </w:r>
      <w:r>
        <w:rPr/>
        <w:t>东莞市直管道路市属户外公益广告设施日常维护项目</w:t>
      </w:r>
    </w:p>
    <w:p>
      <w:pPr>
        <w:ind w:firstLine="480"/>
      </w:pPr>
      <w:r>
        <w:rPr/>
        <w:t>采购计划编号：</w:t>
      </w:r>
      <w:r>
        <w:rPr/>
        <w:t>441901-2023-04980</w:t>
      </w:r>
    </w:p>
    <w:p>
      <w:pPr>
        <w:ind w:firstLine="480"/>
      </w:pPr>
      <w:r>
        <w:rPr/>
        <w:t>采购项目编号：</w:t>
      </w:r>
      <w:r>
        <w:rPr/>
        <w:t>441901-2023-04980</w:t>
      </w:r>
    </w:p>
    <w:p>
      <w:pPr>
        <w:ind w:firstLine="480"/>
      </w:pPr>
      <w:r>
        <w:rPr/>
        <w:t>采购方式：</w:t>
      </w:r>
      <w:r>
        <w:rPr/>
        <w:t>公开招标</w:t>
      </w:r>
    </w:p>
    <w:p>
      <w:pPr>
        <w:ind w:firstLine="480"/>
      </w:pPr>
      <w:r>
        <w:rPr/>
        <w:t>预算金额：</w:t>
      </w:r>
      <w:r>
        <w:rPr/>
        <w:t>2,907,724.43</w:t>
      </w:r>
      <w:r>
        <w:rPr/>
        <w:t>元</w:t>
      </w:r>
    </w:p>
    <w:p>
      <w:r>
        <w:rPr>
          <w:b/>
          <w:sz w:val="24"/>
        </w:rPr>
        <w:t>2.项目内容及需求情况（采购项目技术规格、参数及要求）</w:t>
      </w:r>
    </w:p>
    <w:p>
      <w:pPr>
        <w:ind w:firstLine="480"/>
      </w:pPr>
    </w:p>
    <w:p/>
    <w:p>
      <w:r>
        <w:rPr/>
        <w:t>采购包1(东莞市直管道路市属户外公益广告设施日常维护项目):</w:t>
      </w:r>
    </w:p>
    <w:p>
      <w:r>
        <w:rPr/>
        <w:t>采购包预算金额：2,907,724.43元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其他公共设施管理服务</w:t>
            </w:r>
          </w:p>
        </w:tc>
        <w:tc>
          <w:tcPr>
            <w:tcW w:type="dxa" w:w="2052"/>
          </w:tcPr>
          <w:p>
            <w:r>
              <w:rPr/>
              <w:t>东莞市直管道路市属户外公益广告设施日常维护</w:t>
            </w:r>
          </w:p>
        </w:tc>
        <w:tc>
          <w:tcPr>
            <w:tcW w:type="dxa" w:w="977"/>
          </w:tcPr>
          <w:p>
            <w:r>
              <w:rPr/>
              <w:t>1(项)</w:t>
            </w:r>
          </w:p>
        </w:tc>
        <w:tc>
          <w:tcPr>
            <w:tcW w:type="dxa" w:w="977"/>
          </w:tcPr>
          <w:p>
            <w:r>
              <w:rPr/>
              <w:t>详见第二章</w:t>
            </w:r>
          </w:p>
        </w:tc>
        <w:tc>
          <w:tcPr>
            <w:tcW w:type="dxa" w:w="977"/>
          </w:tcPr>
          <w:p>
            <w:r>
              <w:rPr/>
              <w:t>2,907,724.43</w:t>
            </w:r>
          </w:p>
        </w:tc>
        <w:tc>
          <w:tcPr>
            <w:tcW w:type="dxa" w:w="977"/>
          </w:tcPr>
          <w:p>
            <w:r>
              <w:rPr/>
              <w:t>否</w:t>
            </w:r>
          </w:p>
        </w:tc>
      </w:tr>
    </w:tbl>
    <w:p/>
    <w:p>
      <w:r>
        <w:rPr/>
        <w:t>本采购包接受联合体投标</w:t>
      </w:r>
    </w:p>
    <w:p/>
    <w:p>
      <w:r>
        <w:rPr/>
        <w:t>合同履行期限：三年。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2）有依法缴纳税收和社会保障资金的良好记录：投标（响应）文件中提供《资格条件承诺函》。</w:t>
      </w:r>
    </w:p>
    <w:p/>
    <w:p>
      <w:r>
        <w:rPr/>
        <w:t>3）具有良好的商业信誉和健全的财务会计制度：投标（响应）文件中提供《资格条件承诺函》。</w:t>
      </w:r>
    </w:p>
    <w:p/>
    <w:p>
      <w:r>
        <w:rPr/>
        <w:t>4）履行合同所必需的设备和专业技术能力：投标（响应）文件中提供《资格条件承诺函》。</w:t>
      </w:r>
    </w:p>
    <w:p/>
    <w:p>
      <w:r>
        <w:rPr/>
        <w:t>5）参加采购活动前3年内，在经营活动中没有重大违法记录：投标（响应）文件中提供《资格条件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采购包1（东莞市直管道路市属户外公益广告设施日常维护项目）：</w:t>
      </w:r>
      <w:r>
        <w:rPr/>
        <w:t>本项目整体专门面向中小企业采购。投标人须符合本项目采购标的对应行业（本项目行业为：其他未列明行业）的政策划分标准。监狱企业、残疾人福利单位视同小型、微型企业。（注：中小企业以供应商填写的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若投标人为联合体投标，联合体中所有成员均须提供 《中小企业声明函》）。</w:t>
      </w:r>
    </w:p>
    <w:p/>
    <w:p>
      <w:r>
        <w:rPr>
          <w:b/>
          <w:sz w:val="24"/>
        </w:rPr>
        <w:t>3.本项目特定的资格要求：</w:t>
      </w:r>
    </w:p>
    <w:p>
      <w:pPr>
        <w:ind w:firstLine="480"/>
      </w:pPr>
    </w:p>
    <w:p/>
    <w:p>
      <w:r>
        <w:rPr/>
        <w:t>采购包1（东莞市直管道路市属户外公益广告设施日常维护项目）：</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投标人须具有有效期内市政公用工程专业承包资质乙级（或以上）资质【或更换资质证书前有效期内市政公用工程施工总承包三级（或以上）资质】。（以联合体形式参加投标的，联合体各方中至少有一方符合以上特定资格条件） 注：资质证书已过期的按《住房和城乡建设部办公厅关于建设工程企业资质有关事宜的通知（建办市函〔2022〕361号）》、《广东省住房和城乡建设厅关于建设工程企业资质有关事宜的通知（粤建许函〔2022〕846号》执行，相关文件如有更新，以最新发布的文件规定为准。</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东莞市广告灯饰管理中心</w:t>
      </w:r>
    </w:p>
    <w:p>
      <w:pPr>
        <w:ind w:firstLine="480"/>
      </w:pPr>
      <w:r>
        <w:rPr/>
        <w:t>地址：</w:t>
      </w:r>
      <w:r>
        <w:rPr/>
        <w:t>广东省东莞市莞龙路141号</w:t>
      </w:r>
    </w:p>
    <w:p>
      <w:pPr>
        <w:ind w:firstLine="480"/>
      </w:pPr>
      <w:r>
        <w:rPr/>
        <w:t>联系方式：</w:t>
      </w:r>
      <w:r>
        <w:rPr/>
        <w:t>0769-22012536</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本项目为东莞市直管道路市属户外公益广告设施日常维护项目。</w:t>
      </w:r>
    </w:p>
    <w:p/>
    <w:p>
      <w:pPr>
        <w:ind w:firstLine="480"/>
      </w:pPr>
    </w:p>
    <w:p/>
    <w:p>
      <w:r>
        <w:rPr/>
        <w:t>采购包1（东莞市直管道路市属户外公益广告设施日常维护项目）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三年。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1期：支付比例100%,★付款方式要求如下： 1、付款方式：每月养护费（含电气设施日常养护费、钢结构设施日常养护费、日常巡查等）按合同价÷36个月平均计算，合同生效后从第二个月起每月20日前，采购人向中标人支付上月的养护费（每月养护费须经采购人、监理单位现场考核评分，根据评分结果是否须扣除违约金的情形确定实际应付款数额后再支付；付款时中标人应出具与实际应付款数额相符的发票，否则造成不能按时付款的责任由中标人自行承担）。 2、广告设施维修量按实际发生工程量签证确认，维修金额以市财政投资审核办公室或符合国家规定资质条件的社会中介机构审核的价格为准。 3、广告设施安全检测工作需按要求定期进行检测，检测费用以投标人应标价为准。 4、中标人与采购人签署合同后，开具发票时，开发票的单位名称必须与中标人的名称一致。 5、养护费由政府拨款，如因政策的影响，拨款未能及时到位，中标人不得以此为由而不履行本合同规定的义务，否则采购人按规定扣罚。</w:t>
            </w:r>
          </w:p>
        </w:tc>
      </w:tr>
      <w:tr>
        <w:tc>
          <w:tcPr>
            <w:tcW w:type="dxa" w:w="4153"/>
          </w:tcPr>
          <w:p>
            <w:r>
              <w:rPr/>
              <w:t>验收要求</w:t>
            </w:r>
          </w:p>
        </w:tc>
        <w:tc>
          <w:tcPr>
            <w:tcW w:type="dxa" w:w="4153"/>
          </w:tcPr>
          <w:p/>
          <w:p/>
          <w:p/>
          <w:p>
            <w:r>
              <w:rPr/>
              <w:t>1期：1、投标人应给出项目日常养护的验收方案，包括验收项目、验收标准，验收实施办法等。 2、广告牌设施养护或修复后的验收工作由采购人、投标人及相关单位人员依据国家有关标准、合同及有关附件的要求进行验收。</w:t>
            </w:r>
          </w:p>
        </w:tc>
      </w:tr>
      <w:tr>
        <w:tc>
          <w:tcPr>
            <w:tcW w:type="dxa" w:w="4153"/>
          </w:tcPr>
          <w:p>
            <w:r>
              <w:rPr/>
              <w:t>履约保证金</w:t>
            </w:r>
          </w:p>
        </w:tc>
        <w:tc>
          <w:tcPr>
            <w:tcW w:type="dxa" w:w="4153"/>
          </w:tcPr>
          <w:p/>
          <w:p/>
          <w:p/>
          <w:p/>
          <w:p>
            <w:r>
              <w:rPr/>
              <w:t>收取比例：5%,说明：1、履约保证金为合同金额的5%。 说明：供应商应在领取中标通知书之后签订合同之前递交履约保证金，履约保证金可采用保证金（银行转账、电汇）方式，或采用履约保函方式。 2、中标人完成其合同义务并验收合格后，中标人可向采购人提交退回履约保证金的申请。采购人收到中标人的退回履约保证金申请材料并经审核无误后，30天内把履约保证金无息退还中标人。 3、下列任何情况发生时，履约保证金将不予退回： （1）中标人将本项目转包给他人，或未经采购人同意，将中标项目分包给他人的，采购人可依法不予退回其履约保证金。 （2）中标人在履行采购合同期间，违反有关法律法规的规定及合同约定的条款，损害了采购人利益的，采购人有权依法追究其责任。</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合同条款，投标人实质响应合同各条款。</w:t>
            </w:r>
          </w:p>
          <w:p/>
          <w:p>
            <w:r>
              <w:rPr/>
              <w:t>报价内容，（1）招标范围内的相关养护费用（含日常巡查、广告设施安全检测费、广告牌设施（含钢结构、电气设施、膜结构等）日常养护维修等）；同时应包含服务费、各种税费及合同实施过程中所发生的一切费用（含一切必须的辅助材料费用）等全部费用。本项目以人民币报价。（2）本项目为交钥匙承包项目，中标人承包及负责采购文件对中标人要求的一切事宜及责任，包括保养及相关服务等，采购人无需向中标人另外支付任何费用。</w:t>
            </w:r>
          </w:p>
          <w:p/>
          <w:p>
            <w:r>
              <w:rPr/>
              <w:t>★最高限价，本项目最高限价为2,907,724.43元，投标报价超出本项目最高限价的，将被视为非实质性响应而导致投标无效。</w:t>
            </w:r>
          </w:p>
          <w:p/>
          <w:p>
            <w:r>
              <w:rPr/>
              <w:t>合同签订，投标人响应合同各条款。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其他公共设施管理服务</w:t>
            </w:r>
          </w:p>
        </w:tc>
        <w:tc>
          <w:tcPr>
            <w:tcW w:type="dxa" w:w="933"/>
          </w:tcPr>
          <w:p>
            <w:pPr>
              <w:jc w:val="left"/>
            </w:pPr>
            <w:r>
              <w:rPr/>
              <w:t>东莞市直管道路市属户外公益广告设施日常维护</w:t>
            </w:r>
          </w:p>
        </w:tc>
        <w:tc>
          <w:tcPr>
            <w:tcW w:type="dxa" w:w="933"/>
          </w:tcPr>
          <w:p>
            <w:pPr>
              <w:jc w:val="left"/>
            </w:pPr>
            <w:r>
              <w:rPr/>
              <w:t>项</w:t>
            </w:r>
          </w:p>
        </w:tc>
        <w:tc>
          <w:tcPr>
            <w:tcW w:type="dxa" w:w="933"/>
          </w:tcPr>
          <w:p>
            <w:pPr>
              <w:jc w:val="right"/>
            </w:pPr>
            <w:r>
              <w:rPr/>
              <w:t>1.00</w:t>
            </w:r>
          </w:p>
        </w:tc>
        <w:tc>
          <w:tcPr>
            <w:tcW w:type="dxa" w:w="933"/>
          </w:tcPr>
          <w:p>
            <w:pPr>
              <w:jc w:val="right"/>
            </w:pPr>
            <w:r>
              <w:rPr/>
              <w:t>2,907,724.43</w:t>
            </w:r>
          </w:p>
        </w:tc>
        <w:tc>
          <w:tcPr>
            <w:tcW w:type="dxa" w:w="933"/>
          </w:tcPr>
          <w:p>
            <w:pPr>
              <w:jc w:val="right"/>
            </w:pPr>
            <w:r>
              <w:rPr/>
              <w:t>2,907,724.43</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东莞市直管道路市属户外公益广告设施日常维护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一、项目内容</w:t>
            </w:r>
          </w:p>
          <w:p>
            <w:pPr>
              <w:jc w:val="both"/>
            </w:pPr>
            <w:r>
              <w:rPr>
                <w:sz w:val="21"/>
              </w:rPr>
              <w:t>市属户外公益广告设施日常养护项目的养护范围包括：港口大道与东江路交汇处三面翻落地广告牌、东莞大道与黄金路交汇处三面翻落地广告牌、水乡大道与道洪路交汇处三面翻落地牌、楼宇标识牌、市中心广场及市民服务中心室外广场宣传栏设施、玉兰花钢结构设施等。巡查范围：东莞大道、松山湖大道（含八一路、鸿福东路）、环城路、环城路北环段、市中心广场及市民服务中心等路段（广场）的户外广告设施运行情况，其中重点巡查长度约</w:t>
            </w:r>
            <w:r>
              <w:rPr>
                <w:sz w:val="21"/>
              </w:rPr>
              <w:t>72公里，常规巡查长度以上述路段总公里数为准。</w:t>
            </w:r>
          </w:p>
          <w:p>
            <w:pPr>
              <w:jc w:val="left"/>
            </w:pPr>
          </w:p>
          <w:p>
            <w:pPr>
              <w:jc w:val="left"/>
            </w:pPr>
            <w:r>
              <w:rPr>
                <w:b/>
                <w:sz w:val="21"/>
              </w:rPr>
              <w:t>二、养护清单</w:t>
            </w:r>
          </w:p>
          <w:p>
            <w:pPr>
              <w:jc w:val="left"/>
            </w:pPr>
            <w:r>
              <w:rPr>
                <w:sz w:val="21"/>
              </w:rPr>
              <w:t>1、路段：</w:t>
            </w:r>
          </w:p>
          <w:p>
            <w:pPr>
              <w:jc w:val="left"/>
            </w:pPr>
            <w:r>
              <w:rPr>
                <w:sz w:val="21"/>
              </w:rPr>
              <w:t>（</w:t>
            </w:r>
            <w:r>
              <w:rPr>
                <w:sz w:val="21"/>
              </w:rPr>
              <w:t>1）东莞大道，具体位置：东莞大道与黄金路交汇处，</w:t>
            </w:r>
          </w:p>
          <w:p>
            <w:pPr>
              <w:jc w:val="left"/>
            </w:pPr>
            <w:r>
              <w:rPr>
                <w:sz w:val="21"/>
              </w:rPr>
              <w:t>设置形式：三面翻落地牌</w:t>
            </w:r>
          </w:p>
          <w:p>
            <w:pPr>
              <w:jc w:val="left"/>
            </w:pPr>
            <w:r>
              <w:rPr>
                <w:sz w:val="21"/>
              </w:rPr>
              <w:t>（</w:t>
            </w:r>
            <w:r>
              <w:rPr>
                <w:sz w:val="21"/>
              </w:rPr>
              <w:t>2）港口大道，具体位置：港口大道与东江路交汇处，</w:t>
            </w:r>
          </w:p>
          <w:p>
            <w:pPr>
              <w:jc w:val="left"/>
            </w:pPr>
            <w:r>
              <w:rPr>
                <w:sz w:val="21"/>
              </w:rPr>
              <w:t>设置形式：三面翻落地牌</w:t>
            </w:r>
          </w:p>
          <w:p>
            <w:pPr>
              <w:jc w:val="left"/>
            </w:pPr>
            <w:r>
              <w:rPr>
                <w:sz w:val="21"/>
              </w:rPr>
              <w:t>（</w:t>
            </w:r>
            <w:r>
              <w:rPr>
                <w:sz w:val="21"/>
              </w:rPr>
              <w:t>3）水乡大道，具体位置：水乡大道与道洪路交汇处，</w:t>
            </w:r>
          </w:p>
          <w:p>
            <w:pPr>
              <w:jc w:val="left"/>
            </w:pPr>
            <w:r>
              <w:rPr>
                <w:sz w:val="21"/>
              </w:rPr>
              <w:t>设置形式：三面翻落地牌</w:t>
            </w:r>
          </w:p>
          <w:p>
            <w:pPr>
              <w:jc w:val="left"/>
            </w:pPr>
            <w:r>
              <w:rPr>
                <w:sz w:val="21"/>
              </w:rPr>
              <w:t>2、楼宇标识牌</w:t>
            </w:r>
          </w:p>
          <w:p>
            <w:pPr>
              <w:jc w:val="left"/>
            </w:pPr>
            <w:r>
              <w:rPr>
                <w:sz w:val="21"/>
              </w:rPr>
              <w:t>3、市民服务中心室外广场</w:t>
            </w:r>
          </w:p>
          <w:p>
            <w:pPr>
              <w:jc w:val="left"/>
            </w:pPr>
            <w:r>
              <w:rPr>
                <w:sz w:val="21"/>
              </w:rPr>
              <w:t>（</w:t>
            </w:r>
            <w:r>
              <w:rPr>
                <w:sz w:val="21"/>
              </w:rPr>
              <w:t>1）玉兰花钢结构（含膜）设施；（2）落地式宣传栏6款式；</w:t>
            </w:r>
          </w:p>
          <w:p>
            <w:pPr>
              <w:jc w:val="left"/>
            </w:pPr>
            <w:r>
              <w:rPr>
                <w:sz w:val="21"/>
              </w:rPr>
              <w:t>（</w:t>
            </w:r>
            <w:r>
              <w:rPr>
                <w:sz w:val="21"/>
              </w:rPr>
              <w:t>3）公益小品；（4）落地标识</w:t>
            </w:r>
          </w:p>
          <w:p>
            <w:pPr>
              <w:jc w:val="left"/>
            </w:pPr>
            <w:r>
              <w:rPr>
                <w:sz w:val="21"/>
              </w:rPr>
              <w:t>4、市中心广场南北广场落地小宣传栏</w:t>
            </w:r>
          </w:p>
          <w:p>
            <w:pPr>
              <w:jc w:val="both"/>
            </w:pPr>
            <w:r>
              <w:rPr>
                <w:b/>
                <w:sz w:val="21"/>
              </w:rPr>
              <w:t>以上具体数量以现场为准</w:t>
            </w:r>
          </w:p>
          <w:p>
            <w:pPr>
              <w:jc w:val="left"/>
            </w:pPr>
          </w:p>
          <w:p>
            <w:pPr>
              <w:jc w:val="left"/>
            </w:pPr>
            <w:r>
              <w:rPr>
                <w:b/>
                <w:sz w:val="21"/>
              </w:rPr>
              <w:t>三、养护要求</w:t>
            </w:r>
          </w:p>
          <w:p>
            <w:pPr>
              <w:jc w:val="both"/>
            </w:pPr>
            <w:r>
              <w:rPr>
                <w:sz w:val="21"/>
              </w:rPr>
              <w:t>1、日常巡查部分：</w:t>
            </w:r>
          </w:p>
          <w:p>
            <w:pPr>
              <w:jc w:val="both"/>
            </w:pPr>
            <w:r>
              <w:rPr>
                <w:sz w:val="21"/>
              </w:rPr>
              <w:t>（</w:t>
            </w:r>
            <w:r>
              <w:rPr>
                <w:sz w:val="21"/>
              </w:rPr>
              <w:t>1）对市直管路段的户外广告牌运行情况做好日常巡查和记录工作，巡查范围包括：东莞大道、松山湖大道（含八一路、鸿福东路）、环城路（含北环段、石鼓连接线等）等市直管道路及市中心广场、市民服务中心室外广场范围内的户外广告设施的设置情况，重点巡查长度约72公里，常规巡查长度以上述路段总公里数为准。巡查要求：中标人应每两天对养护范围内的户外广告牌设置情况进行一次日常巡查，特殊天气需每天进行巡查，每周上报巡查报告给采购人备案。</w:t>
            </w:r>
          </w:p>
          <w:p>
            <w:pPr>
              <w:jc w:val="both"/>
            </w:pPr>
            <w:r>
              <w:rPr>
                <w:sz w:val="21"/>
              </w:rPr>
              <w:t>（</w:t>
            </w:r>
            <w:r>
              <w:rPr>
                <w:sz w:val="21"/>
              </w:rPr>
              <w:t>2）巡查内容包括：目测设施整体垂直度，整体稳定性；目测电气设施运行情况；检查广告牌周边环境情况（是否存在周边施工作业、降水作业）；目测结构表面是否存在油漆脱皮、龟裂、钢结构表面是否锈蚀；目测地锚螺栓是否存在松动、变形、锈蚀等。</w:t>
            </w:r>
          </w:p>
          <w:p>
            <w:pPr>
              <w:jc w:val="both"/>
            </w:pPr>
            <w:r>
              <w:rPr>
                <w:sz w:val="21"/>
              </w:rPr>
              <w:t>2、广告设施安全检测部分：</w:t>
            </w:r>
          </w:p>
          <w:p>
            <w:pPr>
              <w:jc w:val="both"/>
            </w:pPr>
            <w:r>
              <w:rPr>
                <w:sz w:val="21"/>
              </w:rPr>
              <w:t>★投标人须在投标文件中以承诺函形式承诺：中标后，若中标人没有相关检测资质，经采购人同意后，可将本项目相关检测部分分包给有相应资质的公司实施，中标人须对该检测部分承担连带责任。（须提供承诺函）</w:t>
            </w:r>
          </w:p>
          <w:p>
            <w:pPr>
              <w:jc w:val="both"/>
            </w:pPr>
            <w:r>
              <w:rPr>
                <w:sz w:val="21"/>
              </w:rPr>
              <w:t>（</w:t>
            </w:r>
            <w:r>
              <w:rPr>
                <w:sz w:val="21"/>
              </w:rPr>
              <w:t>1）检测鉴定要求：参照《城市户外广告和招牌设施技术标准》（CJJ/T 149-2021）和《户外广告设施钢结构技术规程》（CECS 148:2003）的规定要求，户外广告牌须每年进行安全检测，出具专业完善的安全检测报告；待检测鉴定完成后，应提供病害图片外，绘制病害分布图和构件详图，及提供对病害部位维修方案和建议。</w:t>
            </w:r>
          </w:p>
          <w:p>
            <w:pPr>
              <w:jc w:val="both"/>
            </w:pPr>
            <w:r>
              <w:rPr>
                <w:sz w:val="21"/>
              </w:rPr>
              <w:t>（</w:t>
            </w:r>
            <w:r>
              <w:rPr>
                <w:sz w:val="21"/>
              </w:rPr>
              <w:t>2）检测内容包括：基础及地脚螺栓、锚固螺栓及被依附体、构件及连接、面板及围护、构架防腐、电气及照明（电气控制系统、照明系统、霓虹灯装置）及防雷设施等，检测鉴定内容不仅限于上述内容，具体检测内容应根据采购人要求为准。</w:t>
            </w:r>
          </w:p>
          <w:p>
            <w:pPr>
              <w:jc w:val="both"/>
            </w:pPr>
            <w:r>
              <w:rPr>
                <w:sz w:val="21"/>
              </w:rPr>
              <w:t>3、广告牌设施（含钢结构、电气设施、膜结构等）养护维修部分：</w:t>
            </w:r>
          </w:p>
          <w:p>
            <w:pPr>
              <w:jc w:val="both"/>
            </w:pPr>
            <w:r>
              <w:rPr>
                <w:sz w:val="21"/>
              </w:rPr>
              <w:t>（</w:t>
            </w:r>
            <w:r>
              <w:rPr>
                <w:sz w:val="21"/>
              </w:rPr>
              <w:t>1）日常养护部分参照</w:t>
            </w:r>
            <w:r>
              <w:rPr>
                <w:sz w:val="21"/>
              </w:rPr>
              <w:t>《城市户外广告和招牌设施技术标准》（</w:t>
            </w:r>
            <w:r>
              <w:rPr>
                <w:sz w:val="21"/>
              </w:rPr>
              <w:t>CJJ/T 149-2021）</w:t>
            </w:r>
            <w:r>
              <w:rPr>
                <w:sz w:val="21"/>
              </w:rPr>
              <w:t>的要求，中标人需定期对钢结构涂装表面进行清洗及油漆翻新。具体要求为：</w:t>
            </w:r>
          </w:p>
          <w:p>
            <w:pPr>
              <w:jc w:val="both"/>
            </w:pPr>
            <w:r>
              <w:rPr>
                <w:sz w:val="21"/>
              </w:rPr>
              <w:t>①养护期第一年对养护范围内的设施进行一次全面的油漆翻新；养护期第二年和第三年分别对设施涂装表面进行一次油漆翻新。</w:t>
            </w:r>
          </w:p>
          <w:p>
            <w:pPr>
              <w:jc w:val="both"/>
            </w:pPr>
            <w:r>
              <w:rPr>
                <w:sz w:val="21"/>
              </w:rPr>
              <w:t>②养护期内对设施表面进行不少于8次清洗工作。</w:t>
            </w:r>
          </w:p>
          <w:p>
            <w:pPr>
              <w:jc w:val="both"/>
            </w:pPr>
            <w:r>
              <w:rPr>
                <w:sz w:val="21"/>
              </w:rPr>
              <w:t>③每季度对设施上的灯具灯头护罩进行清洗翻新，出现损坏应及时进行更换。</w:t>
            </w:r>
          </w:p>
          <w:p>
            <w:pPr>
              <w:jc w:val="both"/>
            </w:pPr>
            <w:r>
              <w:rPr>
                <w:sz w:val="21"/>
              </w:rPr>
              <w:t>④按供电部门有关规定，每年2次对设备设施的电缆、灯具、箱变定期进行检测；每年重大节假日（元旦、春节、五一、国庆）前5天内，应进行常规电缆、灯具检查。</w:t>
            </w:r>
          </w:p>
          <w:p>
            <w:pPr>
              <w:jc w:val="both"/>
            </w:pPr>
            <w:r>
              <w:rPr>
                <w:sz w:val="21"/>
              </w:rPr>
              <w:t>（</w:t>
            </w:r>
            <w:r>
              <w:rPr>
                <w:sz w:val="21"/>
              </w:rPr>
              <w:t>2）定期对养护范围内的设施进行维修，如钢结构部分发生损坏或被盗被损时，需及时按原状结构进行维修，保持结构完好。广告牌设施维修按三年重建1个三面翻落地牌和1处玉兰花结构暂估维修量，具体维修范围包括：广告钢结构设施的所有构件（含滚动轴等）、膜结构、灯具照明设施、低压配电设施、低压电线电缆（含电缆管道）的损坏更换及被盗修复，最终按实际发生维修金额结算。维修金额以市财政投资审核办公室或符合国家规定资质条件的社会中介机构审核的价格为准。维修要求参照户外公益广告牌养护设计图和市民服务中心室外广场玉兰花结构竣工图。</w:t>
            </w:r>
          </w:p>
          <w:p>
            <w:pPr>
              <w:jc w:val="both"/>
            </w:pPr>
            <w:r>
              <w:rPr>
                <w:color w:val="000000"/>
                <w:sz w:val="21"/>
              </w:rPr>
              <w:t>4、投标人需结合市属户外公益广告设施的现状提出合理优化建议，并在服务期内进行与之对应的优化工作。</w:t>
            </w:r>
          </w:p>
          <w:p>
            <w:pPr>
              <w:jc w:val="both"/>
            </w:pPr>
            <w:r>
              <w:rPr>
                <w:sz w:val="21"/>
              </w:rPr>
              <w:t>5、中标人须进行亮点打造（含宣传栏升级改造），提供提升设计效果方案及后续的养护维护工作方案，造型设计效果可参考附件</w:t>
            </w:r>
            <w:r>
              <w:rPr>
                <w:sz w:val="21"/>
              </w:rPr>
              <w:t>。</w:t>
            </w:r>
          </w:p>
          <w:p>
            <w:pPr>
              <w:ind w:firstLine="420"/>
              <w:jc w:val="both"/>
            </w:pPr>
            <w:r>
              <w:rPr>
                <w:sz w:val="21"/>
              </w:rPr>
              <w:t>如上述概况与实际情况有出入，以实际现场情况为准。</w:t>
            </w:r>
          </w:p>
          <w:p>
            <w:pPr>
              <w:jc w:val="both"/>
            </w:pPr>
            <w:r>
              <w:rPr>
                <w:b/>
                <w:sz w:val="21"/>
              </w:rPr>
              <w:t>造型设计效果参考附件</w:t>
            </w:r>
            <w:r>
              <w:rPr>
                <w:b/>
                <w:sz w:val="21"/>
              </w:rPr>
              <w:t>：</w:t>
            </w:r>
          </w:p>
          <w:p>
            <w:pPr>
              <w:jc w:val="both"/>
            </w:pPr>
            <w:r>
              <w:rPr>
                <w:sz w:val="21"/>
              </w:rPr>
              <w:t>方案一：</w:t>
            </w:r>
          </w:p>
          <w:p>
            <w:pPr>
              <w:jc w:val="left"/>
            </w:pPr>
          </w:p>
          <w:p>
            <w:pPr>
              <w:jc w:val="both"/>
            </w:pPr>
            <w:r>
              <w:drawing>
                <wp:inline distT="0" distR="0" distB="0" distL="0">
                  <wp:extent cx="3554729" cy="2664236"/>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2664236"/>
                          </a:xfrm>
                          <a:prstGeom prst="rect">
                            <a:avLst/>
                          </a:prstGeom>
                        </pic:spPr>
                      </pic:pic>
                    </a:graphicData>
                  </a:graphic>
                </wp:inline>
              </w:drawing>
            </w:r>
          </w:p>
          <w:p>
            <w:pPr>
              <w:jc w:val="both"/>
            </w:pPr>
            <w:r>
              <w:drawing>
                <wp:inline distT="0" distR="0" distB="0" distL="0">
                  <wp:extent cx="3554729" cy="2515207"/>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3554729" cy="2515207"/>
                          </a:xfrm>
                          <a:prstGeom prst="rect">
                            <a:avLst/>
                          </a:prstGeom>
                        </pic:spPr>
                      </pic:pic>
                    </a:graphicData>
                  </a:graphic>
                </wp:inline>
              </w:drawing>
            </w:r>
          </w:p>
          <w:p>
            <w:pPr>
              <w:jc w:val="both"/>
            </w:pPr>
            <w:r>
              <w:rPr>
                <w:sz w:val="21"/>
              </w:rPr>
              <w:t>方案</w:t>
            </w:r>
            <w:r>
              <w:rPr>
                <w:sz w:val="21"/>
              </w:rPr>
              <w:t>二</w:t>
            </w:r>
            <w:r>
              <w:rPr>
                <w:sz w:val="21"/>
              </w:rPr>
              <w:t>：</w:t>
            </w:r>
          </w:p>
          <w:p>
            <w:pPr>
              <w:jc w:val="both"/>
            </w:pPr>
            <w:r>
              <w:drawing>
                <wp:inline distT="0" distR="0" distB="0" distL="0">
                  <wp:extent cx="3554729" cy="2118474"/>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3554729" cy="2118474"/>
                          </a:xfrm>
                          <a:prstGeom prst="rect">
                            <a:avLst/>
                          </a:prstGeom>
                        </pic:spPr>
                      </pic:pic>
                    </a:graphicData>
                  </a:graphic>
                </wp:inline>
              </w:drawing>
            </w:r>
          </w:p>
          <w:p>
            <w:pPr>
              <w:jc w:val="both"/>
            </w:pPr>
            <w:r>
              <w:drawing>
                <wp:inline distT="0" distR="0" distB="0" distL="0">
                  <wp:extent cx="3554729" cy="2422059"/>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3554729" cy="2422059"/>
                          </a:xfrm>
                          <a:prstGeom prst="rect">
                            <a:avLst/>
                          </a:prstGeom>
                        </pic:spPr>
                      </pic:pic>
                    </a:graphicData>
                  </a:graphic>
                </wp:inline>
              </w:drawing>
            </w:r>
          </w:p>
          <w:p>
            <w:pPr>
              <w:jc w:val="both"/>
            </w:pPr>
            <w:r>
              <w:drawing>
                <wp:inline distT="0" distR="0" distB="0" distL="0">
                  <wp:extent cx="3554729" cy="2336170"/>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0"/>
                          <a:stretch>
                            <a:fillRect/>
                          </a:stretch>
                        </pic:blipFill>
                        <pic:spPr>
                          <a:xfrm>
                            <a:off x="0" y="0"/>
                            <a:ext cx="3554729" cy="2336170"/>
                          </a:xfrm>
                          <a:prstGeom prst="rect">
                            <a:avLst/>
                          </a:prstGeom>
                        </pic:spPr>
                      </pic:pic>
                    </a:graphicData>
                  </a:graphic>
                </wp:inline>
              </w:drawing>
            </w:r>
          </w:p>
          <w:p>
            <w:pPr>
              <w:jc w:val="both"/>
            </w:pPr>
            <w:r>
              <w:drawing>
                <wp:inline distT="0" distR="0" distB="0" distL="0">
                  <wp:extent cx="3554729" cy="2329207"/>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1"/>
                          <a:stretch>
                            <a:fillRect/>
                          </a:stretch>
                        </pic:blipFill>
                        <pic:spPr>
                          <a:xfrm>
                            <a:off x="0" y="0"/>
                            <a:ext cx="3554729" cy="2329207"/>
                          </a:xfrm>
                          <a:prstGeom prst="rect">
                            <a:avLst/>
                          </a:prstGeom>
                        </pic:spPr>
                      </pic:pic>
                    </a:graphicData>
                  </a:graphic>
                </wp:inline>
              </w:drawing>
            </w:r>
          </w:p>
          <w:p>
            <w:pPr>
              <w:jc w:val="left"/>
            </w:pPr>
          </w:p>
          <w:p>
            <w:pPr>
              <w:jc w:val="left"/>
            </w:pPr>
            <w:r>
              <w:rPr>
                <w:b/>
                <w:sz w:val="21"/>
              </w:rPr>
              <w:t>四、项目要求</w:t>
            </w:r>
          </w:p>
          <w:p>
            <w:pPr>
              <w:ind w:firstLine="420"/>
              <w:jc w:val="both"/>
            </w:pPr>
            <w:r>
              <w:rPr>
                <w:sz w:val="21"/>
              </w:rPr>
              <w:t>★1、投标人须为本项目投入项目负责人、技术人员、巡查人员、专职资料员；重大节假日期间要有现场管理人员在岗值班，必须保证按时按质量完成项目的实施。其中项目负责人1名、巡查人员2名（含司机1名）、专职资料员1名、焊工【持有特种作业操作证（焊接与热切割作业）】1名、电工【持有特种作业操作证（电工作业）】1名，均需熟悉户外广告设施维护翻新、钢结构维护、电气设施维修等工作。同时项目负责人须具备二级（含）以上建造师证书（市政公用工程类专业）；焊工及电工须具备职称证（或技能证）；司机须具备驾驶证。（注：须提供投标人为以上人员缴纳距开标前六个月（不含开标当月）内任意一个月的社保或商业保险证明材料复印件并加盖投标人公章，项目负责人、焊工及电工还须提供有效期内的证书复印件并加盖投标人公章。一人同时持有上述多个证件的按一个证件计算）。</w:t>
            </w:r>
          </w:p>
          <w:p>
            <w:pPr>
              <w:ind w:firstLine="420"/>
              <w:jc w:val="both"/>
            </w:pPr>
            <w:r>
              <w:rPr>
                <w:sz w:val="21"/>
              </w:rPr>
              <w:t>★2、投标人需为本项目至少配备一台巡查车辆、一台升降工作车、一台</w:t>
            </w:r>
            <w:r>
              <w:rPr>
                <w:sz w:val="21"/>
              </w:rPr>
              <w:t>压尾车（防撞缓冲车）</w:t>
            </w:r>
            <w:r>
              <w:rPr>
                <w:sz w:val="21"/>
              </w:rPr>
              <w:t>。签订合同后一个月内，上述车辆设备必须按采购人要求统一喷涂标识。鼓励采用纯电动小型作业机械。【注：以上车辆：</w:t>
            </w:r>
            <w:r>
              <w:rPr>
                <w:sz w:val="21"/>
              </w:rPr>
              <w:t>1、若投标人已购置或者已租赁的，自有车辆须提供有效期内的车辆行驶证复印件并加盖投标人公章，租赁车辆须提供租赁合同复印件（租赁期限覆盖本项目服务期限）以及有效期内的车辆行驶证复印件并加盖投标人公章。2、若尚未购置或者尚未租赁的，须以单独承诺函的方式承诺中标后一个月内配备上述车辆及有效期内的车辆行驶证复印件，承诺函须加盖投标人公章】</w:t>
            </w:r>
          </w:p>
          <w:p>
            <w:pPr>
              <w:ind w:firstLine="420"/>
              <w:jc w:val="both"/>
            </w:pPr>
            <w:r>
              <w:rPr>
                <w:sz w:val="21"/>
              </w:rPr>
              <w:t>3、投标人需为本项目配备专门的办公场所，</w:t>
            </w:r>
            <w:r>
              <w:rPr>
                <w:sz w:val="21"/>
              </w:rPr>
              <w:t>使用期不得少于</w:t>
            </w:r>
            <w:r>
              <w:rPr>
                <w:sz w:val="21"/>
              </w:rPr>
              <w:t>3年</w:t>
            </w:r>
            <w:r>
              <w:rPr>
                <w:sz w:val="21"/>
              </w:rPr>
              <w:t>，不得采用简易搭棚、临时搭建房等，办公场所与仓库、工人居室分开，同时需提供相关使用证明文件；投标人需协助采购人做好前期工作准备及物资移交等相关工作。办公场所使用期间须做好安全生产、防火、防潮等安全措施。</w:t>
            </w:r>
          </w:p>
          <w:p>
            <w:pPr>
              <w:jc w:val="both"/>
            </w:pPr>
            <w:r>
              <w:rPr>
                <w:color w:val="000000"/>
                <w:sz w:val="21"/>
              </w:rPr>
              <w:t xml:space="preserve">    </w:t>
            </w:r>
            <w:r>
              <w:rPr>
                <w:color w:val="000000"/>
                <w:sz w:val="21"/>
              </w:rPr>
              <w:t>4、中标人投入的巡查车辆</w:t>
            </w:r>
            <w:r>
              <w:rPr>
                <w:color w:val="000000"/>
                <w:sz w:val="21"/>
              </w:rPr>
              <w:t>需统一安装车载</w:t>
            </w:r>
            <w:r>
              <w:rPr>
                <w:color w:val="000000"/>
                <w:sz w:val="21"/>
              </w:rPr>
              <w:t>GPS监控设备并具备接入数字城管平台的条件</w:t>
            </w:r>
            <w:r>
              <w:rPr>
                <w:color w:val="000000"/>
                <w:sz w:val="21"/>
              </w:rPr>
              <w:t>，在采购人需要时能将设备接入采购人指定的数字城管平台，中标人有专人负责系统的运作，供采购人随时查看车辆运作状态，工作过程中所有功能处于工作状态，由此产生的费用由中标人承担。若车辆未按要求安装或车辆在作业过程中未开启设备，致使采购人及采购人委托的监理单位无法通过有关系统查阅车辆运行轨迹的，将向中标人发出整改通知书。</w:t>
            </w:r>
          </w:p>
          <w:p>
            <w:pPr>
              <w:ind w:firstLine="420"/>
              <w:jc w:val="both"/>
            </w:pPr>
            <w:r>
              <w:rPr>
                <w:sz w:val="21"/>
              </w:rPr>
              <w:t>5、投标人的施工必须符合国家或省市有关的规定，保证该项目实施进度和安全质量；投标人施工和养护过程中人身安全由投标人自行承担，与采购人无关。合同范围内的设施不得发生漏电及其他安全事故，否则一切责任及造成的损失由投标人负责。</w:t>
            </w:r>
          </w:p>
          <w:p>
            <w:pPr>
              <w:ind w:firstLine="420"/>
              <w:jc w:val="both"/>
            </w:pPr>
            <w:r>
              <w:rPr>
                <w:sz w:val="21"/>
              </w:rPr>
              <w:t>6、投标人在养护施工后要恢复道路、广场原来面貌，做好现场清理工作。</w:t>
            </w:r>
          </w:p>
          <w:p>
            <w:pPr>
              <w:ind w:firstLine="420"/>
              <w:jc w:val="both"/>
            </w:pPr>
            <w:r>
              <w:rPr>
                <w:sz w:val="21"/>
              </w:rPr>
              <w:t>7、在合同约定期内，投标人要确保合同范围内的所有设施的完好，如出现质量及损坏被盗问题，投标人应无条件免费进行养护或更换，达到设计要求。同时，在规定时间内，投标人必须保证所有广告设施正常使用，安排巡查人员定期进行巡查并上报巡查情况，节假日不得间断；特殊天气时，一天一次巡查。投标人应当每周上报巡查报告给采购人进行审阅。如由于特殊天气或其他原因导致广告牌设施发生损坏时，保证在72小时内进行养护或更换，恢复正常使用。</w:t>
            </w:r>
          </w:p>
          <w:p>
            <w:pPr>
              <w:jc w:val="both"/>
            </w:pPr>
            <w:r>
              <w:rPr>
                <w:b/>
                <w:sz w:val="21"/>
              </w:rPr>
              <w:t>五、项目管理及进度安排</w:t>
            </w:r>
          </w:p>
          <w:p>
            <w:pPr>
              <w:ind w:firstLine="420"/>
              <w:jc w:val="both"/>
            </w:pPr>
            <w:r>
              <w:rPr>
                <w:sz w:val="21"/>
              </w:rPr>
              <w:t>1、为了使工程按质、按量、按时及有序实施，投标人必须在投标文件中提交详细项目管理组织架构、职员姓名、职务、职称，主要资历、经验及承担过的项目。</w:t>
            </w:r>
          </w:p>
          <w:p>
            <w:pPr>
              <w:ind w:firstLine="420"/>
              <w:jc w:val="both"/>
            </w:pPr>
            <w:r>
              <w:rPr>
                <w:sz w:val="21"/>
              </w:rPr>
              <w:t>2、投标人在投标文件中应详细列出项目实施方案计划，保障项目按期完成的措施。</w:t>
            </w:r>
          </w:p>
          <w:p>
            <w:pPr>
              <w:ind w:firstLine="420"/>
              <w:jc w:val="both"/>
            </w:pPr>
            <w:r>
              <w:rPr>
                <w:sz w:val="21"/>
              </w:rPr>
              <w:t>3、投标人应按劳动法规相关规定合法用工，为本项目施工人员购买保险，特殊工种必须持证上岗，严禁招收18周岁以下及5</w:t>
            </w:r>
            <w:r>
              <w:rPr>
                <w:sz w:val="21"/>
              </w:rPr>
              <w:t>5</w:t>
            </w:r>
            <w:r>
              <w:rPr>
                <w:sz w:val="21"/>
              </w:rPr>
              <w:t>周岁以上老弱病残职工进入现场。</w:t>
            </w:r>
          </w:p>
          <w:p>
            <w:pPr>
              <w:ind w:firstLine="420"/>
              <w:jc w:val="both"/>
            </w:pPr>
            <w:r>
              <w:rPr>
                <w:color w:val="000000"/>
                <w:sz w:val="21"/>
              </w:rPr>
              <w:t>4、投标人科学合理的组织安排劳动力，服从采购人的统一指挥调动，严格按有关标准及施工规范进行施工，严禁违章施工。</w:t>
            </w:r>
          </w:p>
          <w:p>
            <w:pPr>
              <w:ind w:firstLine="420"/>
              <w:jc w:val="both"/>
            </w:pPr>
            <w:r>
              <w:rPr>
                <w:sz w:val="21"/>
              </w:rPr>
              <w:t>5、中标人必须服从采购人具体的检查验收方法、内容、程序等；管理人员要做到 24 小时手机开机，工作时间内中标人要安排管理人员值班、巡视，并定期和不定期对养护人员进行检查考核。</w:t>
            </w:r>
          </w:p>
          <w:p>
            <w:pPr>
              <w:jc w:val="both"/>
            </w:pPr>
            <w:r>
              <w:rPr>
                <w:sz w:val="21"/>
              </w:rPr>
              <w:t xml:space="preserve">    </w:t>
            </w:r>
            <w:r>
              <w:rPr>
                <w:sz w:val="21"/>
              </w:rPr>
              <w:t>6、项目负责人要落实岗位责任制，须专职全面负责本项目。制定相应日常工作的各种管理制度，如养护工人管理制度、车辆管理制度、作业持证上岗制度等，以此加强日常巡查。如发现他人在养护范围内乱倾倒垃圾的行为，中标人应配合做好有关制止工作，并向属地执法部门报告。</w:t>
            </w:r>
          </w:p>
          <w:p>
            <w:pPr>
              <w:ind w:firstLine="420"/>
              <w:jc w:val="both"/>
            </w:pPr>
            <w:r>
              <w:rPr>
                <w:sz w:val="21"/>
              </w:rPr>
              <w:t>7、投标人必须落实安全生产措施，应按采购人以及有关部门的要求配备相关安全警示标志及设施，做好每次上岗前的安全培训与提示，在进行施工作业时，现场一定要做好安全措施后才能进场施工，为上岗工人配置统一的工作服和反光袖套，自行解决安全作业问题；在施工过程中产生的淤泥垃圾等，需即时清理，不能污染路面；临时施工用电的电源、水源由中标人自行解决。</w:t>
            </w:r>
          </w:p>
          <w:p>
            <w:pPr>
              <w:jc w:val="both"/>
            </w:pPr>
            <w:r>
              <w:rPr>
                <w:color w:val="000000"/>
                <w:sz w:val="21"/>
              </w:rPr>
              <w:t xml:space="preserve">    </w:t>
            </w:r>
            <w:r>
              <w:rPr>
                <w:color w:val="000000"/>
                <w:sz w:val="21"/>
              </w:rPr>
              <w:t>8、服务期间，中标人必须按规定为员工购买社会保险和商业保险，特别要购买人身意外伤害和死亡保险。任何因中标人原因或其他不可预见因素造成第三方的人员伤亡或财产损失等一概由中标人负责解决，并承担相关一切的经济责任和法律责任（包括治安、交通、防火等安全案件、劳资纠纷事件等）。</w:t>
            </w:r>
          </w:p>
          <w:p>
            <w:pPr>
              <w:ind w:firstLine="420"/>
              <w:jc w:val="both"/>
            </w:pPr>
            <w:r>
              <w:rPr>
                <w:sz w:val="21"/>
              </w:rPr>
              <w:t>9、自觉接受采购人以及有关部门的监督管理，必须无条件服从采购人以及有关部门组织的突击性任务及迎检活动，按时、按标准、按要求完成采购人所分配的工作，突击性任务及迎检活动安排所涉及的工作配合费用已包含在合同价款中，采购人无需另外支付费用。</w:t>
            </w:r>
          </w:p>
          <w:p>
            <w:pPr>
              <w:jc w:val="both"/>
            </w:pPr>
            <w:r>
              <w:rPr>
                <w:color w:val="000000"/>
                <w:sz w:val="21"/>
              </w:rPr>
              <w:t xml:space="preserve">    </w:t>
            </w:r>
            <w:r>
              <w:rPr>
                <w:color w:val="000000"/>
                <w:sz w:val="21"/>
              </w:rPr>
              <w:t>10、中标人须在中标后积极配合采购人，进场完成养护作业的交接工作。交接期间所需费用由中标人承担。</w:t>
            </w:r>
          </w:p>
          <w:p>
            <w:pPr>
              <w:ind w:firstLine="315"/>
              <w:jc w:val="both"/>
            </w:pPr>
            <w:r>
              <w:rPr>
                <w:sz w:val="21"/>
              </w:rPr>
              <w:t>11、合同履行期间，投标人须确保施工人员的人身及财产安全，必须认真负责，注意安全操作，如因投标人违章操作造成的本人及他人的一切损失，一概由投标人承担经济、民事及刑事责任；如采购人因前述情形实际承担了责任的，投标人同意无条件赔偿采购人的一切损失（包括但不限于相关的赔偿费用，采购人向投标人索赔所产生的诉讼费、保全费、鉴定费、公证费、律师费、差旅费等所有费用）。</w:t>
            </w:r>
          </w:p>
          <w:p>
            <w:pPr>
              <w:ind w:firstLine="315"/>
              <w:jc w:val="both"/>
            </w:pPr>
            <w:r>
              <w:rPr>
                <w:sz w:val="21"/>
              </w:rPr>
              <w:t>12、在施工过程中安装人员产生的纠纷或因各种原因造成第三方损失的，由投标人自行负责解决，涉及相关费用由投标人负责，与采购人无关。</w:t>
            </w:r>
          </w:p>
          <w:p>
            <w:pPr>
              <w:ind w:firstLine="420"/>
              <w:jc w:val="both"/>
            </w:pPr>
            <w:r>
              <w:rPr>
                <w:sz w:val="21"/>
              </w:rPr>
              <w:t>13、投标人应确保具备承接项目实施的资质，派出的安装、养护服务人员应具备相关的专业知识、施工资质及技术水平，持证上岗，有足够能力完成安装、养护工作。</w:t>
            </w:r>
          </w:p>
          <w:p>
            <w:pPr>
              <w:ind w:firstLine="420"/>
              <w:jc w:val="both"/>
            </w:pPr>
            <w:r>
              <w:rPr>
                <w:sz w:val="21"/>
              </w:rPr>
              <w:t>14、投标人应确保项目工作必须符合相关法律法规的管理规定，并由投标人负责在项目实施前办理相关的报批手续，否则由此引发的法律责任、行政责任由投标人负责承担，并且投标人须承担违约责任及赔偿由此导致采购人的损失。</w:t>
            </w:r>
          </w:p>
          <w:p>
            <w:pPr>
              <w:ind w:firstLine="420"/>
              <w:jc w:val="both"/>
            </w:pPr>
            <w:r>
              <w:rPr>
                <w:sz w:val="21"/>
              </w:rPr>
              <w:t>15、施工过程中投标人必须根据承包合同要求中的各项条款，确实履行各项职责。</w:t>
            </w:r>
          </w:p>
          <w:p>
            <w:pPr>
              <w:ind w:firstLine="420"/>
              <w:jc w:val="both"/>
            </w:pPr>
            <w:r>
              <w:rPr>
                <w:sz w:val="21"/>
              </w:rPr>
              <w:t>16、严格按国家现行的设计、施工、安装标准及技术规范，严格按图施工，质量验收标准按国家规定标准执行。如因质量问题或投标人自身管理原因使得安装工作受到影响或造成责任事故的，概由投标人承担。</w:t>
            </w:r>
          </w:p>
          <w:p>
            <w:pPr>
              <w:ind w:firstLine="420"/>
              <w:jc w:val="both"/>
            </w:pPr>
            <w:r>
              <w:rPr>
                <w:sz w:val="21"/>
              </w:rPr>
              <w:t>17、采购人有权在工作时间内进入投标人的工作地点对合同约定的相关条款进行监督，以便更好了解、检查其质量计划及其它与质量相关的实施情况。</w:t>
            </w:r>
          </w:p>
          <w:p>
            <w:pPr>
              <w:ind w:firstLine="420"/>
              <w:jc w:val="both"/>
            </w:pPr>
            <w:r>
              <w:rPr>
                <w:sz w:val="21"/>
              </w:rPr>
              <w:t>18、在施工期间，投标人须对施工范围原有的设施及自身的产品进行保护，直到项目验收合格；因投标人原因造成的损坏，投标人须承担赔偿、修复责任。</w:t>
            </w:r>
          </w:p>
          <w:p>
            <w:pPr>
              <w:ind w:firstLine="420"/>
              <w:jc w:val="both"/>
            </w:pPr>
            <w:r>
              <w:rPr>
                <w:sz w:val="21"/>
              </w:rPr>
              <w:t>19、雨季施工时须采取有效措施，确保施工质量。</w:t>
            </w:r>
          </w:p>
          <w:p>
            <w:pPr>
              <w:jc w:val="both"/>
            </w:pPr>
            <w:r>
              <w:rPr>
                <w:color w:val="000000"/>
                <w:sz w:val="21"/>
              </w:rPr>
              <w:t xml:space="preserve">    </w:t>
            </w:r>
            <w:r>
              <w:rPr>
                <w:color w:val="000000"/>
                <w:sz w:val="21"/>
              </w:rPr>
              <w:t>20、中标人在合同期间自觉接受采购人、广大市民、新闻工作者以及有关部门的监督管理。</w:t>
            </w:r>
          </w:p>
          <w:p>
            <w:pPr>
              <w:jc w:val="both"/>
            </w:pPr>
            <w:r>
              <w:rPr>
                <w:sz w:val="21"/>
              </w:rPr>
              <w:t xml:space="preserve">    </w:t>
            </w:r>
            <w:r>
              <w:rPr>
                <w:sz w:val="21"/>
              </w:rPr>
              <w:t>21、服务期内，若发生特殊情况须延长处理时间的，中标人须将有关情况反馈采购人并提出延期申请，经采购人同意后，方可延长处理时间，并不扣取中标人相关服务费及考评分值。</w:t>
            </w:r>
          </w:p>
          <w:p>
            <w:pPr>
              <w:jc w:val="both"/>
            </w:pPr>
            <w:r>
              <w:rPr>
                <w:color w:val="000000"/>
                <w:sz w:val="21"/>
              </w:rPr>
              <w:t xml:space="preserve">    </w:t>
            </w:r>
            <w:r>
              <w:rPr>
                <w:color w:val="000000"/>
                <w:sz w:val="21"/>
              </w:rPr>
              <w:t>22、中标人须编制养护实施方案，列明保证质量、安全、文明施工的措施；中标人应根据采购人确认的实施方案编制养护计划，必须按时按质完成此项计划。中标人须次月 1 号前向采购人和监理单位提交本月养护出勤记录和下月养护计划（包括出勤人员、设备投入安排、出勤时间、现场负责人联系方式等）。</w:t>
            </w:r>
          </w:p>
          <w:p>
            <w:pPr>
              <w:jc w:val="both"/>
            </w:pPr>
            <w:r>
              <w:rPr>
                <w:sz w:val="21"/>
              </w:rPr>
              <w:t xml:space="preserve">    </w:t>
            </w:r>
            <w:r>
              <w:rPr>
                <w:sz w:val="21"/>
              </w:rPr>
              <w:t>23、中标人必须按时按要求完成东莞市 12345 政府服务热线诉求拟办单和数字城管相关案件。</w:t>
            </w:r>
          </w:p>
          <w:p>
            <w:pPr>
              <w:jc w:val="both"/>
            </w:pPr>
            <w:r>
              <w:rPr>
                <w:color w:val="000000"/>
                <w:sz w:val="21"/>
              </w:rPr>
              <w:t xml:space="preserve">    </w:t>
            </w:r>
            <w:r>
              <w:rPr>
                <w:color w:val="000000"/>
                <w:sz w:val="21"/>
              </w:rPr>
              <w:t>24、服务期内，采购人有权根据市城管局及其他部门等相关文件规定对中标人投入的作业人员和作业车辆进行信息化管理，中标人在投标时应提前考虑有关设备成本投入并无条件服从，相关接入信息化平台的硬件设施投入费用由中标人负责。</w:t>
            </w:r>
          </w:p>
          <w:p>
            <w:pPr>
              <w:ind w:firstLine="420"/>
              <w:jc w:val="both"/>
            </w:pPr>
            <w:r>
              <w:rPr>
                <w:sz w:val="21"/>
              </w:rPr>
              <w:t>25、投标人购买的材料必须符合设计和规范要求，必须保证所有材料货物采用优等品，同时要求所用材料要有生产厂家的产品生产许可证和国家质检部门的检验合格证。采购人可随时对投标人所购买的材料、设备进行监检查。投标人应承担该检验合格与用材不符之风险，并对因材料质量问题引发的事故承担全部赔偿责任。</w:t>
            </w:r>
          </w:p>
          <w:p>
            <w:pPr>
              <w:ind w:firstLine="420"/>
              <w:jc w:val="both"/>
            </w:pPr>
            <w:r>
              <w:rPr>
                <w:color w:val="000000"/>
                <w:sz w:val="21"/>
              </w:rPr>
              <w:t>26</w:t>
            </w:r>
            <w:r>
              <w:rPr>
                <w:color w:val="000000"/>
                <w:sz w:val="21"/>
              </w:rPr>
              <w:t>、规范开展高空作业工作，高空作业要使用升降车，不得站在车辆车厢、驾驶舱顶部，要严格执行</w:t>
            </w:r>
            <w:r>
              <w:rPr>
                <w:color w:val="000000"/>
                <w:sz w:val="21"/>
              </w:rPr>
              <w:t>“双报备”、高处作业做到“五个必须”（必须培训持证上岗、必须实行作业审批、必须做好个人防护、必须落实工程措施、必须安排专人监护）。维修时要做好安全防护措施，占道作业时要做好警示标志及雪糕筒的摆放。</w:t>
            </w:r>
          </w:p>
          <w:p>
            <w:pPr>
              <w:jc w:val="left"/>
            </w:pPr>
            <w:r>
              <w:rPr>
                <w:b/>
                <w:sz w:val="21"/>
              </w:rPr>
              <w:t>六、质量保证</w:t>
            </w:r>
          </w:p>
          <w:p>
            <w:pPr>
              <w:ind w:firstLine="420"/>
              <w:jc w:val="both"/>
            </w:pPr>
            <w:r>
              <w:rPr>
                <w:sz w:val="21"/>
              </w:rPr>
              <w:t>1、中标人用于养护项目所需的物资必须符合国家及采购人提出的有关质量标准。</w:t>
            </w:r>
          </w:p>
          <w:p>
            <w:pPr>
              <w:ind w:firstLine="420"/>
              <w:jc w:val="both"/>
            </w:pPr>
            <w:r>
              <w:rPr>
                <w:sz w:val="21"/>
              </w:rPr>
              <w:t>2、若中标人承担的养护项目在验收时达不到国家及采购人提出的有关质量标准要求时，采购人有权要求重新修复，并按违约处理，所造成的采购人的一切损失由中标人承担。</w:t>
            </w:r>
          </w:p>
          <w:p>
            <w:pPr>
              <w:ind w:firstLine="420"/>
              <w:jc w:val="both"/>
            </w:pPr>
            <w:r>
              <w:rPr>
                <w:sz w:val="21"/>
              </w:rPr>
              <w:t>3、在养护承包期间，如果因中标单位不能在规定内完成维修工作造成招标人的损失，将由中标单位负责。</w:t>
            </w:r>
          </w:p>
          <w:p>
            <w:pPr>
              <w:ind w:firstLine="420"/>
              <w:jc w:val="both"/>
            </w:pPr>
            <w:r>
              <w:rPr>
                <w:sz w:val="21"/>
              </w:rPr>
              <w:t>4、检查评分标准：按《东莞市直管道路市属户外公益广告设施日常维护项目考核评分表》执行。采购人有权根据实际情况对评分表标准进行修改。</w:t>
            </w:r>
          </w:p>
          <w:p>
            <w:pPr>
              <w:ind w:firstLine="420"/>
              <w:jc w:val="both"/>
            </w:pPr>
            <w:r>
              <w:rPr>
                <w:sz w:val="21"/>
              </w:rPr>
              <w:t>5、中标人在合同签订后一个月内招标文件的要求及投标文件的承诺做好服务技术方案和质量实施方案，向采购人提交本年度养护工作计划，并于每月 25 日前提交当月自查报告、安全生产工作记录、养护工作记录表和下月的工作实施计划。年度工作计划和月工作实施方案经采购人审核修改后实施。中标人要按工作进度填写好《日常养护作业记录表》，作为考评依据。</w:t>
            </w:r>
          </w:p>
          <w:p>
            <w:pPr>
              <w:jc w:val="both"/>
            </w:pPr>
            <w:r>
              <w:rPr>
                <w:b/>
                <w:color w:val="000000"/>
                <w:sz w:val="21"/>
              </w:rPr>
              <w:t>七、其他要求</w:t>
            </w:r>
          </w:p>
          <w:p>
            <w:pPr>
              <w:jc w:val="both"/>
            </w:pPr>
            <w:r>
              <w:rPr>
                <w:sz w:val="21"/>
              </w:rPr>
              <w:t xml:space="preserve"> </w:t>
            </w:r>
            <w:r>
              <w:rPr>
                <w:sz w:val="21"/>
              </w:rPr>
              <w:t xml:space="preserve">   1</w:t>
            </w:r>
            <w:r>
              <w:rPr>
                <w:sz w:val="21"/>
              </w:rPr>
              <w:t>、在合同期内</w:t>
            </w:r>
            <w:r>
              <w:rPr>
                <w:sz w:val="21"/>
              </w:rPr>
              <w:t>，因政府部门规划建设及政策变化等原因需调整服务范围或者提前终止合同时，中标人应服从大局，由此造成的经济损失，采购人不负违约责任。</w:t>
            </w:r>
          </w:p>
          <w:p>
            <w:r>
              <w:rPr>
                <w:sz w:val="21"/>
              </w:rPr>
              <w:t>2、中标人应严格遵守国家法律、法规的规定，做好社会治安综合治理等工作。不得违反国家法律、法规的规定。如中标人员工有违法乱纪行为，中标人承担一切经济责任和法律责任。</w:t>
            </w:r>
          </w:p>
          <w:p>
            <w:pPr>
              <w:ind w:firstLine="420"/>
            </w:pPr>
            <w:r>
              <w:rPr>
                <w:sz w:val="21"/>
              </w:rPr>
              <w:t>3、中标人需按《中华人民共和国民法典》等法律要求保障员工的合法权益。</w:t>
            </w:r>
          </w:p>
          <w:p>
            <w:r>
              <w:rPr>
                <w:sz w:val="21"/>
              </w:rPr>
              <w:t>4、项目执行过程中，如需采购人配合办理相关手续，或提供相关服务条件，均须在投标文件中详细说明，例如临时场地租用，临时用电电源接入，与采购人沟通协调等相关事宜，以便于采购人决定是否接受或提前准备，所涉及的费用均由中标单位承担。</w:t>
            </w:r>
          </w:p>
          <w:p>
            <w:pPr>
              <w:ind w:firstLine="420"/>
            </w:pPr>
            <w:r>
              <w:rPr>
                <w:sz w:val="21"/>
              </w:rPr>
              <w:t>5、由于承包范围内的养护设施被盗或损坏或操作不当而导致他人死伤或造成其他损失的，由中标人负责赔偿和承担一切责任。</w:t>
            </w:r>
          </w:p>
          <w:p>
            <w:r>
              <w:rPr>
                <w:sz w:val="21"/>
              </w:rPr>
              <w:t>6、中标人按实际要求配足作业人员，配员不能低于该路段的最低配员标准。说明：招标文件要求的作业人员数量配置为最低要求，中标人在确认中标资格后，且中标人与采购人签订合同之前将作业人员相关资料(包括人员名单、已聘用人员劳动合同及社保证明</w:t>
            </w:r>
            <w:r>
              <w:rPr>
                <w:sz w:val="21"/>
              </w:rPr>
              <w:t>、新聘用员工资料等)提交采购人备案，作业司机、突发事件的临时应急队伍等作业人员年龄须 55 周岁以下。</w:t>
            </w:r>
          </w:p>
          <w:p>
            <w:r>
              <w:rPr>
                <w:sz w:val="21"/>
              </w:rPr>
              <w:t>7、服务期内，若中标</w:t>
            </w:r>
            <w:r>
              <w:rPr>
                <w:sz w:val="21"/>
              </w:rPr>
              <w:t>人</w:t>
            </w:r>
            <w:r>
              <w:rPr>
                <w:sz w:val="21"/>
              </w:rPr>
              <w:t>的服务效果未达到招</w:t>
            </w:r>
            <w:r>
              <w:rPr>
                <w:sz w:val="21"/>
              </w:rPr>
              <w:t>标文件要求的质量标准，中标人须无条件服从采购人的要求增加设备及人员，直至达到招标文件要求的质量标准为止。</w:t>
            </w:r>
          </w:p>
          <w:p>
            <w:pPr>
              <w:jc w:val="both"/>
            </w:pPr>
            <w:r>
              <w:rPr/>
              <w:t xml:space="preserve"> </w:t>
            </w:r>
          </w:p>
          <w:p>
            <w:pPr>
              <w:jc w:val="both"/>
            </w:pPr>
            <w:r>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东莞市广告灯饰管理中心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杨俊平</w:t>
      </w:r>
    </w:p>
    <w:p>
      <w:pPr>
        <w:ind w:firstLine="480"/>
      </w:pPr>
      <w:r>
        <w:rPr/>
        <w:t>电话：</w:t>
      </w:r>
      <w:r>
        <w:rPr/>
        <w:t>0769-22881803</w:t>
      </w:r>
    </w:p>
    <w:p>
      <w:pPr>
        <w:ind w:firstLine="480"/>
      </w:pPr>
      <w:r>
        <w:rPr/>
        <w:t>传真：</w:t>
      </w:r>
      <w:r>
        <w:rPr/>
        <w:t>0769-22881803</w:t>
      </w:r>
    </w:p>
    <w:p>
      <w:pPr>
        <w:ind w:firstLine="480"/>
      </w:pPr>
      <w:r>
        <w:rPr/>
        <w:t>邮箱：</w:t>
      </w:r>
      <w:r>
        <w:rPr/>
        <w:t>1402289247@qq.com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东莞市直管道路市属户外公益广告设施日常维护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采购包1（东莞市直管道路市属户外公益广告设施日常维护项目）：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采购包1（东莞市直管道路市属户外公益广告设施日常维护项目）：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投标（响应）文件中提供《资格条件承诺函》。</w:t>
            </w:r>
          </w:p>
        </w:tc>
      </w:tr>
      <w:tr>
        <w:tc>
          <w:tcPr>
            <w:tcW w:type="dxa" w:w="890"/>
          </w:tcPr>
          <w:p>
            <w:r>
              <w:rPr/>
              <w:t>3</w:t>
            </w:r>
          </w:p>
        </w:tc>
        <w:tc>
          <w:tcPr>
            <w:tcW w:type="dxa" w:w="3178"/>
          </w:tcPr>
          <w:p>
            <w:r>
              <w:rPr/>
              <w:t>具有良好的商业信誉和健全的财务会计制度</w:t>
            </w:r>
          </w:p>
        </w:tc>
        <w:tc>
          <w:tcPr>
            <w:tcW w:type="dxa" w:w="4238"/>
          </w:tcPr>
          <w:p>
            <w:r>
              <w:rPr/>
              <w:t>投标（响应）文件中提供《资格条件承诺函》。</w:t>
            </w:r>
          </w:p>
        </w:tc>
      </w:tr>
      <w:tr>
        <w:tc>
          <w:tcPr>
            <w:tcW w:type="dxa" w:w="890"/>
          </w:tcPr>
          <w:p>
            <w:r>
              <w:rPr/>
              <w:t>4</w:t>
            </w:r>
          </w:p>
        </w:tc>
        <w:tc>
          <w:tcPr>
            <w:tcW w:type="dxa" w:w="3178"/>
          </w:tcPr>
          <w:p>
            <w:r>
              <w:rPr/>
              <w:t>履行合同所必需的设备和专业技术能力</w:t>
            </w:r>
          </w:p>
        </w:tc>
        <w:tc>
          <w:tcPr>
            <w:tcW w:type="dxa" w:w="4238"/>
          </w:tcPr>
          <w:p>
            <w:r>
              <w:rPr/>
              <w:t>投标（响应）文件中提供《资格条件承诺函》。</w:t>
            </w:r>
          </w:p>
        </w:tc>
      </w:tr>
      <w:tr>
        <w:tc>
          <w:tcPr>
            <w:tcW w:type="dxa" w:w="890"/>
          </w:tcPr>
          <w:p>
            <w:r>
              <w:rPr/>
              <w:t>5</w:t>
            </w:r>
          </w:p>
        </w:tc>
        <w:tc>
          <w:tcPr>
            <w:tcW w:type="dxa" w:w="3178"/>
          </w:tcPr>
          <w:p>
            <w:r>
              <w:rPr/>
              <w:t>参加采购活动前3年内，在经营活动中没有重大违法记录</w:t>
            </w:r>
          </w:p>
        </w:tc>
        <w:tc>
          <w:tcPr>
            <w:tcW w:type="dxa" w:w="4238"/>
          </w:tcPr>
          <w:p>
            <w:r>
              <w:rPr/>
              <w:t>投标（响应）文件中提供《资格条件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特殊要求</w:t>
            </w:r>
          </w:p>
        </w:tc>
        <w:tc>
          <w:tcPr>
            <w:tcW w:type="dxa" w:w="4238"/>
          </w:tcPr>
          <w:p>
            <w:r>
              <w:rPr/>
              <w:t>投标人须具有有效期内市政公用工程专业承包资质乙级（或以上）资质【或更换资质证书前有效期内市政公用工程施工总承包三级（或以上）资质】。（以联合体形式参加投标的，联合体各方中至少有一方符合以上特定资格条件） 注：资质证书已过期的按《住房和城乡建设部办公厅关于建设工程企业资质有关事宜的通知（建办市函〔2022〕361号）》、《广东省住房和城乡建设厅关于建设工程企业资质有关事宜的通知（粤建许函〔2022〕846号》执行，相关文件如有更新，以最新发布的文件规定为准。</w:t>
            </w:r>
          </w:p>
        </w:tc>
      </w:tr>
      <w:tr>
        <w:tc>
          <w:tcPr>
            <w:tcW w:type="dxa" w:w="890"/>
          </w:tcPr>
          <w:p>
            <w:r>
              <w:rPr/>
              <w:t>9</w:t>
            </w:r>
          </w:p>
        </w:tc>
        <w:tc>
          <w:tcPr>
            <w:tcW w:type="dxa" w:w="3178"/>
          </w:tcPr>
          <w:p>
            <w:r>
              <w:rPr/>
              <w:t>本采购包专门面向中小企业采购</w:t>
            </w:r>
          </w:p>
        </w:tc>
        <w:tc>
          <w:tcPr>
            <w:tcW w:type="dxa" w:w="4238"/>
          </w:tcPr>
          <w:p>
            <w:r>
              <w:rPr/>
              <w:t>本项目整体专门面向中小企业采购。投标人须符合本项目采购标的对应行业（本项目行业为：其他未列明行业）的政策划分标准。监狱企业、残疾人福利单位视同小型、微型企业。（注：中小企业以供应商填写的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若投标人为联合体投标，联合体中所有成员均须提供 《中小企业声明函》）。</w:t>
            </w:r>
          </w:p>
        </w:tc>
      </w:tr>
    </w:tbl>
    <w:p/>
    <w:p>
      <w:pPr>
        <w:ind w:firstLine="480"/>
      </w:pPr>
      <w:r>
        <w:rPr/>
        <w:t>表二符合性审查表：</w:t>
      </w:r>
    </w:p>
    <w:p>
      <w:pPr>
        <w:ind w:firstLine="480"/>
      </w:pPr>
    </w:p>
    <w:p/>
    <w:p>
      <w:r>
        <w:rPr/>
        <w:t>采购包1（东莞市直管道路市属户外公益广告设施日常维护项目）：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采购包1(东莞市直管道路市属户外公益广告设施日常维护项目):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实施方案 (10.0分)</w:t>
            </w:r>
            <w:r>
              <w:rPr/>
              <w:t>，（等次分值选择：</w:t>
            </w:r>
            <w:r>
              <w:rPr/>
              <w:t>0.0;</w:t>
            </w:r>
            <w:r>
              <w:rPr/>
              <w:t>1.0;</w:t>
            </w:r>
            <w:r>
              <w:rPr/>
              <w:t>4.0;</w:t>
            </w:r>
            <w:r>
              <w:rPr/>
              <w:t>7.0;</w:t>
            </w:r>
            <w:r>
              <w:rPr/>
              <w:t>10.0;</w:t>
            </w:r>
            <w:r>
              <w:rPr/>
              <w:t>）</w:t>
            </w:r>
          </w:p>
        </w:tc>
        <w:tc>
          <w:tcPr>
            <w:tcW w:type="dxa" w:w="5076"/>
          </w:tcPr>
          <w:p>
            <w:pPr>
              <w:jc w:val="left"/>
            </w:pPr>
            <w:r>
              <w:rPr/>
              <w:t>根据各投标人提供的总体实施方案（包括但不限于劳动力投入计划及保证措施、与采购人的协调、时间响应、施工技术及程序、熟悉户外广告设施养护翻新、钢结构养护、电气设施维修等工作的及其解决措施等内容）的科学性、安全性、可行性、完整性等综合评审： （1）实施方案非常详细、完整，可行、有针对性，有利于项目实施的得10分； （2）实施方案比较详细完整、可行，较利于项目实施的得7分； （3）实施方案基本可行，基本满足项目实施需要的得4分； （4）实施方案不完整，项目实施困难的得1分； （5）未提供实施方案的得0分。</w:t>
            </w:r>
          </w:p>
        </w:tc>
      </w:tr>
      <w:tr>
        <w:tc>
          <w:tcPr>
            <w:tcW w:type="dxa" w:w="922"/>
            <w:gridSpan w:val="2"/>
            <w:vMerge/>
          </w:tcPr>
          <w:p/>
        </w:tc>
        <w:tc>
          <w:tcPr>
            <w:tcW w:type="dxa" w:w="2307"/>
          </w:tcPr>
          <w:p>
            <w:pPr>
              <w:jc w:val="left"/>
            </w:pPr>
            <w:r>
              <w:rPr/>
              <w:t>设备配置方案 (5.0分)</w:t>
            </w:r>
            <w:r>
              <w:rPr/>
              <w:t>，（等次分值选择：</w:t>
            </w:r>
            <w:r>
              <w:rPr/>
              <w:t>0.0;</w:t>
            </w:r>
            <w:r>
              <w:rPr/>
              <w:t>1.0;</w:t>
            </w:r>
            <w:r>
              <w:rPr/>
              <w:t>2.0;</w:t>
            </w:r>
            <w:r>
              <w:rPr/>
              <w:t>3.0;</w:t>
            </w:r>
            <w:r>
              <w:rPr/>
              <w:t>5.0;</w:t>
            </w:r>
            <w:r>
              <w:rPr/>
              <w:t>）</w:t>
            </w:r>
          </w:p>
        </w:tc>
        <w:tc>
          <w:tcPr>
            <w:tcW w:type="dxa" w:w="5076"/>
          </w:tcPr>
          <w:p>
            <w:pPr>
              <w:jc w:val="left"/>
            </w:pPr>
            <w:r>
              <w:rPr/>
              <w:t>根据投标投入本项目设备的种类、数量、配套性及设备性能进行综合评审： （1）投入本项目设备的种类、数量多、配套性及设备性能好得5分； （2）投入本项目设备的种类、数量较多、配套性及设备性能较好得3分； （3）投入本项目设备的种类、数量一般、配套性及设备性能一般得2分； （4）投入本项目设备的种类、数量少、配套性及设备性能差得1分； （5）未提供设备配置方案的得0分。</w:t>
            </w:r>
          </w:p>
        </w:tc>
      </w:tr>
      <w:tr>
        <w:tc>
          <w:tcPr>
            <w:tcW w:type="dxa" w:w="922"/>
            <w:gridSpan w:val="2"/>
            <w:vMerge/>
          </w:tcPr>
          <w:p/>
        </w:tc>
        <w:tc>
          <w:tcPr>
            <w:tcW w:type="dxa" w:w="2307"/>
          </w:tcPr>
          <w:p>
            <w:pPr>
              <w:jc w:val="left"/>
            </w:pPr>
            <w:r>
              <w:rPr/>
              <w:t>应急方案 (7.0分)</w:t>
            </w:r>
            <w:r>
              <w:rPr/>
              <w:t>，（等次分值选择：</w:t>
            </w:r>
            <w:r>
              <w:rPr/>
              <w:t>0.0;</w:t>
            </w:r>
            <w:r>
              <w:rPr/>
              <w:t>1.0;</w:t>
            </w:r>
            <w:r>
              <w:rPr/>
              <w:t>3.0;</w:t>
            </w:r>
            <w:r>
              <w:rPr/>
              <w:t>5.0;</w:t>
            </w:r>
            <w:r>
              <w:rPr/>
              <w:t>7.0;</w:t>
            </w:r>
            <w:r>
              <w:rPr/>
              <w:t>）</w:t>
            </w:r>
          </w:p>
        </w:tc>
        <w:tc>
          <w:tcPr>
            <w:tcW w:type="dxa" w:w="5076"/>
          </w:tcPr>
          <w:p>
            <w:pPr>
              <w:jc w:val="left"/>
            </w:pPr>
            <w:r>
              <w:rPr/>
              <w:t>根据投标人提供的安全防护、应急设备、应急处理措施是否完善和是否具有有效的保障措施（含响应速度、出动人数及车辆等）进行综合评审： （1）实施方案非常详细、完整，安全措施非常可靠、稳固的，得7分； （2）实施方案较为完整，安全措施较为稳固的得5分； （3）实施方案基本完整，安全措施基本稳固的得3分； （4）实施方案不完整，安全措施欠可靠，稳固的得1分； （5）未提供应急方案的得0分。</w:t>
            </w:r>
          </w:p>
        </w:tc>
      </w:tr>
      <w:tr>
        <w:tc>
          <w:tcPr>
            <w:tcW w:type="dxa" w:w="922"/>
            <w:gridSpan w:val="2"/>
            <w:vMerge/>
          </w:tcPr>
          <w:p/>
        </w:tc>
        <w:tc>
          <w:tcPr>
            <w:tcW w:type="dxa" w:w="2307"/>
          </w:tcPr>
          <w:p>
            <w:pPr>
              <w:jc w:val="left"/>
            </w:pPr>
            <w:r>
              <w:rPr/>
              <w:t>质量保证措施 (8.0分)</w:t>
            </w:r>
            <w:r>
              <w:rPr/>
              <w:t>，（等次分值选择：</w:t>
            </w:r>
            <w:r>
              <w:rPr/>
              <w:t>0.0;</w:t>
            </w:r>
            <w:r>
              <w:rPr/>
              <w:t>2.0;</w:t>
            </w:r>
            <w:r>
              <w:rPr/>
              <w:t>4.0;</w:t>
            </w:r>
            <w:r>
              <w:rPr/>
              <w:t>6.0;</w:t>
            </w:r>
            <w:r>
              <w:rPr/>
              <w:t>8.0;</w:t>
            </w:r>
            <w:r>
              <w:rPr/>
              <w:t>）</w:t>
            </w:r>
          </w:p>
        </w:tc>
        <w:tc>
          <w:tcPr>
            <w:tcW w:type="dxa" w:w="5076"/>
          </w:tcPr>
          <w:p>
            <w:pPr>
              <w:jc w:val="left"/>
            </w:pPr>
            <w:r>
              <w:rPr/>
              <w:t>根据投标人制定的质量保证措施进行综合评审： （1）质量保证措施描述详尽合理，具有较强的可操作性，得8分； （2）质量保证措施较完善，描述较详，操作性较好的，得6分； （3）质量保证措施一般，描述一般，基本可操作，得4分； （4）质量保证措施较差，可操作性不强，得2分； （5）未提供质量保证措施的得0分</w:t>
            </w:r>
          </w:p>
        </w:tc>
      </w:tr>
      <w:tr>
        <w:tc>
          <w:tcPr>
            <w:tcW w:type="dxa" w:w="922"/>
            <w:gridSpan w:val="2"/>
            <w:vMerge/>
          </w:tcPr>
          <w:p/>
        </w:tc>
        <w:tc>
          <w:tcPr>
            <w:tcW w:type="dxa" w:w="2307"/>
          </w:tcPr>
          <w:p>
            <w:pPr>
              <w:jc w:val="left"/>
            </w:pPr>
            <w:r>
              <w:rPr/>
              <w:t>合理优化建议 (9.0分)</w:t>
            </w:r>
            <w:r>
              <w:rPr/>
              <w:t>，（等次分值选择：</w:t>
            </w:r>
            <w:r>
              <w:rPr/>
              <w:t>0.0;</w:t>
            </w:r>
            <w:r>
              <w:rPr/>
              <w:t>2.0;</w:t>
            </w:r>
            <w:r>
              <w:rPr/>
              <w:t>5.0;</w:t>
            </w:r>
            <w:r>
              <w:rPr/>
              <w:t>9.0;</w:t>
            </w:r>
            <w:r>
              <w:rPr/>
              <w:t>）</w:t>
            </w:r>
          </w:p>
        </w:tc>
        <w:tc>
          <w:tcPr>
            <w:tcW w:type="dxa" w:w="5076"/>
          </w:tcPr>
          <w:p>
            <w:pPr>
              <w:jc w:val="left"/>
            </w:pPr>
            <w:r>
              <w:rPr/>
              <w:t>根据投标人承诺合同签订后提供针对本项目的市属户外公益广告设施现状提出合理优化建议方案的内容进行评审： （1）承诺的合理优化建议方案中包括详细效果设计方案（不少于3款造型，含效果图）、实施计划、各分项计划推进时间表的，得9分； （2）承诺的合理优化建议方案中缺少以下任一项内容：详细效果设计方案（不少于3款造型，含效果图）、实施计划、各分项计划推进时间表的，得5分； （3）承诺的合理优化建议方案中缺少以下任两项内容：详细效果设计方案（不少于3款造型，含效果图）、实施计划、各分项计划推进时间表的，得2分； （4）未承诺或其他情况不得分。 【注：须提供单独承诺函，承诺函格式自拟，无提供不得分。该承诺函将作为合同组成部分，采购人对其进行考核验收。】</w:t>
            </w:r>
          </w:p>
        </w:tc>
      </w:tr>
      <w:tr>
        <w:tc>
          <w:tcPr>
            <w:tcW w:type="dxa" w:w="922"/>
            <w:gridSpan w:val="2"/>
            <w:vMerge/>
          </w:tcPr>
          <w:p/>
        </w:tc>
        <w:tc>
          <w:tcPr>
            <w:tcW w:type="dxa" w:w="2307"/>
          </w:tcPr>
          <w:p>
            <w:pPr>
              <w:jc w:val="left"/>
            </w:pPr>
            <w:r>
              <w:rPr/>
              <w:t>拟投入人员配备情况 (15.0分)</w:t>
            </w:r>
          </w:p>
        </w:tc>
        <w:tc>
          <w:tcPr>
            <w:tcW w:type="dxa" w:w="5076"/>
          </w:tcPr>
          <w:p>
            <w:pPr>
              <w:jc w:val="left"/>
            </w:pPr>
            <w:r>
              <w:rPr/>
              <w:t>以下各评分项须在满足招标文件用户需求书中“人员配置要求”的前提下进行评分： （1）投标人每额外增加一个具有特种作业操作证（高处作业）人员得3分，最高得3分。 （2）投标人每额外增加一个具有特种作业操作证（电工作业）人员得3分，最高得3分。 （3）投标人每额外增加一个具有特种作业操作证（焊接与热切割作业）人员得3分，最高得3分。 （4）投标人每额外增加一个专职资料员得1分，最高得2分。 （5）投标人每额外增加一个巡查人员得1分，最高得2分。 （6）投标人拟投入本项目施工安全管理人员（项目负责人、技术人员除外），每投入1名得1分，最高的2分。 【注：以上人员须提供投标人为其缴纳距开标前六个月（不含开标当月）内任意一个月的社保或商业保险证明材料复印件并加盖投标人公章，特种作业人员还须提供有效期内的证书复印件，否则不得分。（以上评标标准，投标人以联合体形式参加投标的，联合体各方中有任何一方符合上述得分标准的均可得分）】</w:t>
            </w:r>
          </w:p>
        </w:tc>
      </w:tr>
      <w:tr>
        <w:tc>
          <w:tcPr>
            <w:tcW w:type="dxa" w:w="922"/>
            <w:gridSpan w:val="2"/>
            <w:vMerge/>
          </w:tcPr>
          <w:p/>
        </w:tc>
        <w:tc>
          <w:tcPr>
            <w:tcW w:type="dxa" w:w="2307"/>
          </w:tcPr>
          <w:p>
            <w:pPr>
              <w:jc w:val="left"/>
            </w:pPr>
            <w:r>
              <w:rPr/>
              <w:t>投入设备情况 (6.0分)</w:t>
            </w:r>
          </w:p>
        </w:tc>
        <w:tc>
          <w:tcPr>
            <w:tcW w:type="dxa" w:w="5076"/>
          </w:tcPr>
          <w:p>
            <w:pPr>
              <w:jc w:val="left"/>
            </w:pPr>
            <w:r>
              <w:rPr/>
              <w:t>以下各评分项须在满足招标文件用户需求中对设备配置要求的前提下进行评分： （1）投标人每额外增加一台高空作业车辆的得2分，最高得2分； （2）投标人每额外增加一台巡查车辆的得1分，最高得2分。 （3）投标人每额外增加一台施工压尾车（防撞缓冲车）的得2分，最高得2分。 【注：1.以上车辆属于自有的，必须提供有效期内车辆行驶证；2.属于租赁车辆的必须提供租赁合同（租赁期限覆盖本项目服务期限）及有效期内行驶证。上述须附相应的有效证明材料复印件并加盖投标人公章，否则不得分。（以上评标标准，投标人以联合体形式参加投标的，联合体各方中有任何一方符合上述得分标准的均可得分）】</w:t>
            </w:r>
          </w:p>
        </w:tc>
      </w:tr>
      <w:tr>
        <w:tc>
          <w:tcPr>
            <w:tcW w:type="dxa" w:w="922"/>
            <w:gridSpan w:val="2"/>
            <w:vMerge w:val="restart"/>
          </w:tcPr>
          <w:p>
            <w:pPr>
              <w:jc w:val="center"/>
            </w:pPr>
            <w:r>
              <w:rPr/>
              <w:t>商务部分</w:t>
            </w:r>
          </w:p>
        </w:tc>
        <w:tc>
          <w:tcPr>
            <w:tcW w:type="dxa" w:w="2307"/>
          </w:tcPr>
          <w:p>
            <w:pPr>
              <w:jc w:val="left"/>
            </w:pPr>
            <w:r>
              <w:rPr/>
              <w:t>管理体系认证 (6.0分)</w:t>
            </w:r>
          </w:p>
        </w:tc>
        <w:tc>
          <w:tcPr>
            <w:tcW w:type="dxa" w:w="5076"/>
          </w:tcPr>
          <w:p>
            <w:pPr>
              <w:jc w:val="left"/>
            </w:pPr>
            <w:r>
              <w:rPr/>
              <w:t>供应商具有国家认证认可监督管理部门批准设立的认证机构颁发的有效期内的：质量管理体系认证证书、职业健康安全管理体系认证证书、环境管理体系认证证书，每提供一个证书得2分，最高得6分。 【注：提供证书复印件加盖投标人公章，否则不得分。（以上评标标准，投标人以联合体形式参加投标的，联合体各方中有任何一方符合上述得分标准的均可得分）】</w:t>
            </w:r>
          </w:p>
        </w:tc>
      </w:tr>
      <w:tr>
        <w:tc>
          <w:tcPr>
            <w:tcW w:type="dxa" w:w="922"/>
            <w:gridSpan w:val="2"/>
            <w:vMerge/>
          </w:tcPr>
          <w:p/>
        </w:tc>
        <w:tc>
          <w:tcPr>
            <w:tcW w:type="dxa" w:w="2307"/>
          </w:tcPr>
          <w:p>
            <w:pPr>
              <w:jc w:val="left"/>
            </w:pPr>
            <w:r>
              <w:rPr/>
              <w:t>项目业绩 (18.0分)</w:t>
            </w:r>
          </w:p>
        </w:tc>
        <w:tc>
          <w:tcPr>
            <w:tcW w:type="dxa" w:w="5076"/>
          </w:tcPr>
          <w:p>
            <w:pPr>
              <w:jc w:val="left"/>
            </w:pPr>
            <w:r>
              <w:rPr/>
              <w:t>（1）投标人2019年1月1日至今签订的户外广告牌维护类或钢结构维修类项目业绩，每提供一个项目业绩得3分，最高得12分。 （2）投标人2019年1月1日至今签订的户外广告牌建设施工项目业绩的，每提供一个项目业绩得2分，最高得6分。 【注：须提供合同复印件加盖投标人公章，否则不得分。（以上评标标准，投标人以联合体形式参加投标的，联合体各方中有任何一方符合上述得分标准的均可得分）】</w:t>
            </w:r>
          </w:p>
        </w:tc>
      </w:tr>
      <w:tr>
        <w:tc>
          <w:tcPr>
            <w:tcW w:type="dxa" w:w="922"/>
            <w:gridSpan w:val="2"/>
            <w:vMerge/>
          </w:tcPr>
          <w:p/>
        </w:tc>
        <w:tc>
          <w:tcPr>
            <w:tcW w:type="dxa" w:w="2307"/>
          </w:tcPr>
          <w:p>
            <w:pPr>
              <w:jc w:val="left"/>
            </w:pPr>
            <w:r>
              <w:rPr/>
              <w:t>服务响应时间 (3.0分)</w:t>
            </w:r>
          </w:p>
        </w:tc>
        <w:tc>
          <w:tcPr>
            <w:tcW w:type="dxa" w:w="5076"/>
          </w:tcPr>
          <w:p>
            <w:pPr>
              <w:jc w:val="left"/>
            </w:pPr>
            <w:r>
              <w:rPr/>
              <w:t>根据投标人提供的服务响应时间承诺进行评审： （1）承诺在接到采购人通知后1小时（含）内到现场的，得3分； （2）承诺在接到采购人通知后2小时（含）内到现场的，得2分； （3）承诺在接到采购人通知后3小时（含）内到现场的，得1分； （4）未承诺或承诺在接到采购人通知后超过3小时到现场的，不得分。 【注：须提供单独服务承诺书，并加盖投标人公章，否则不得分。】</w:t>
            </w:r>
          </w:p>
        </w:tc>
      </w:tr>
      <w:tr>
        <w:tc>
          <w:tcPr>
            <w:tcW w:type="dxa" w:w="922"/>
            <w:gridSpan w:val="2"/>
            <w:vMerge/>
          </w:tcPr>
          <w:p/>
        </w:tc>
        <w:tc>
          <w:tcPr>
            <w:tcW w:type="dxa" w:w="2307"/>
          </w:tcPr>
          <w:p>
            <w:pPr>
              <w:jc w:val="left"/>
            </w:pPr>
            <w:r>
              <w:rPr/>
              <w:t>承诺事项 (3.0分)</w:t>
            </w:r>
          </w:p>
        </w:tc>
        <w:tc>
          <w:tcPr>
            <w:tcW w:type="dxa" w:w="5076"/>
          </w:tcPr>
          <w:p>
            <w:pPr>
              <w:jc w:val="left"/>
            </w:pPr>
            <w:r>
              <w:rPr/>
              <w:t>承诺事项：承诺按合同规定时间完成项目移交手续；承诺妥善处理员工去留问题和劳资纠纷。 （1）投标人的承诺函中包括上述一项承诺事项得1.5分，最高得3分。 （2）未提供承诺函或承诺函内容不包括上述事项得0分。 【注：须提供单独承诺书，并加盖投标人公章，否则不得分。】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ind w:firstLine="480"/>
        <w:jc w:val="both"/>
      </w:pPr>
    </w:p>
    <w:p>
      <w:pPr>
        <w:jc w:val="center"/>
      </w:pPr>
      <w:r>
        <w:rPr>
          <w:b/>
          <w:sz w:val="56"/>
        </w:rPr>
        <w:t>东莞市直管道路市属户外公益广告设施日常维护项目</w:t>
      </w:r>
    </w:p>
    <w:p>
      <w:pPr>
        <w:jc w:val="center"/>
      </w:pPr>
      <w:r>
        <w:rPr/>
        <w:t xml:space="preserve"> </w:t>
      </w:r>
    </w:p>
    <w:p>
      <w:pPr>
        <w:jc w:val="center"/>
      </w:pPr>
      <w:r>
        <w:rPr/>
        <w:t xml:space="preserve"> </w:t>
      </w:r>
    </w:p>
    <w:p>
      <w:pPr>
        <w:ind w:firstLine="3614"/>
      </w:pPr>
      <w:r>
        <w:rPr>
          <w:b/>
          <w:sz w:val="72"/>
        </w:rPr>
        <w:t>合</w:t>
      </w:r>
    </w:p>
    <w:p>
      <w:pPr>
        <w:ind w:firstLine="3614"/>
      </w:pPr>
      <w:r>
        <w:rPr/>
        <w:t xml:space="preserve"> </w:t>
      </w:r>
    </w:p>
    <w:p/>
    <w:p>
      <w:pPr>
        <w:ind w:firstLine="3614"/>
      </w:pPr>
      <w:r>
        <w:rPr>
          <w:b/>
          <w:sz w:val="72"/>
        </w:rPr>
        <w:t>同</w:t>
      </w:r>
    </w:p>
    <w:p>
      <w:pPr>
        <w:ind w:firstLine="3614"/>
      </w:pPr>
      <w:r>
        <w:rPr/>
        <w:t xml:space="preserve"> </w:t>
      </w:r>
    </w:p>
    <w:p/>
    <w:p>
      <w:pPr>
        <w:ind w:firstLine="3614"/>
      </w:pPr>
      <w:r>
        <w:rPr>
          <w:b/>
          <w:sz w:val="72"/>
        </w:rPr>
        <w:t>书</w:t>
      </w:r>
    </w:p>
    <w:p>
      <w:pPr>
        <w:ind w:firstLine="3614"/>
      </w:pPr>
      <w:r>
        <w:rPr/>
        <w:t xml:space="preserve"> </w:t>
      </w:r>
    </w:p>
    <w:p>
      <w:pPr>
        <w:ind w:firstLine="3614"/>
      </w:pPr>
      <w:r>
        <w:rPr/>
        <w:t xml:space="preserve"> </w:t>
      </w:r>
    </w:p>
    <w:p>
      <w:pPr>
        <w:ind w:firstLine="3614"/>
      </w:pPr>
      <w:r>
        <w:rPr/>
        <w:t xml:space="preserve"> </w:t>
      </w:r>
    </w:p>
    <w:p>
      <w:pPr>
        <w:ind w:firstLine="3614"/>
      </w:pPr>
      <w:r>
        <w:rPr/>
        <w:t xml:space="preserve"> </w:t>
      </w:r>
    </w:p>
    <w:p>
      <w:pPr>
        <w:ind w:firstLine="3614"/>
      </w:pPr>
      <w:r>
        <w:rPr/>
        <w:t xml:space="preserve"> </w:t>
      </w:r>
    </w:p>
    <w:p/>
    <w:p>
      <w:pPr>
        <w:jc w:val="left"/>
      </w:pPr>
    </w:p>
    <w:p>
      <w:pPr>
        <w:jc w:val="left"/>
      </w:pPr>
    </w:p>
    <w:p>
      <w:pPr>
        <w:jc w:val="left"/>
      </w:pPr>
      <w:r>
        <w:rPr>
          <w:b/>
          <w:sz w:val="28"/>
        </w:rPr>
        <w:t>甲方：</w:t>
      </w:r>
      <w:r>
        <w:rPr>
          <w:b/>
          <w:u w:val="single"/>
        </w:rPr>
        <w:t xml:space="preserve">                                     </w:t>
      </w:r>
    </w:p>
    <w:p>
      <w:pPr>
        <w:jc w:val="left"/>
      </w:pPr>
      <w:r>
        <w:rPr>
          <w:b/>
          <w:sz w:val="28"/>
        </w:rPr>
        <w:t>乙方：</w:t>
      </w:r>
      <w:r>
        <w:rPr>
          <w:b/>
          <w:u w:val="single"/>
        </w:rPr>
        <w:t xml:space="preserve">                                     </w:t>
      </w:r>
    </w:p>
    <w:p>
      <w:pPr>
        <w:numPr>
          <w:ilvl w:val="0"/>
          <w:numId w:val="1"/>
        </w:numPr>
      </w:pPr>
    </w:p>
    <w:p/>
    <w:p>
      <w:pPr>
        <w:jc w:val="center"/>
      </w:pPr>
      <w:r>
        <w:rPr>
          <w:b/>
          <w:sz w:val="32"/>
        </w:rPr>
        <w:t>第一章</w:t>
      </w:r>
      <w:r>
        <w:rPr>
          <w:b/>
          <w:sz w:val="32"/>
        </w:rPr>
        <w:t>总</w:t>
      </w:r>
      <w:r>
        <w:rPr>
          <w:b/>
          <w:sz w:val="32"/>
        </w:rPr>
        <w:t xml:space="preserve"> </w:t>
      </w:r>
      <w:r>
        <w:rPr>
          <w:b/>
          <w:sz w:val="32"/>
        </w:rPr>
        <w:t>则</w:t>
      </w:r>
    </w:p>
    <w:p>
      <w:pPr>
        <w:ind w:firstLine="420"/>
        <w:jc w:val="both"/>
      </w:pPr>
      <w:r>
        <w:rPr>
          <w:sz w:val="21"/>
        </w:rPr>
        <w:t>一、本合同当事人</w:t>
      </w:r>
    </w:p>
    <w:p>
      <w:pPr>
        <w:ind w:firstLine="422"/>
        <w:jc w:val="both"/>
      </w:pPr>
      <w:r>
        <w:rPr>
          <w:b/>
          <w:sz w:val="21"/>
        </w:rPr>
        <w:t>委托方（以下简称甲方）：</w:t>
      </w:r>
      <w:r>
        <w:rPr>
          <w:b/>
          <w:sz w:val="21"/>
          <w:u w:val="single"/>
        </w:rPr>
        <w:t xml:space="preserve">                         </w:t>
      </w:r>
    </w:p>
    <w:p>
      <w:pPr>
        <w:ind w:firstLine="422"/>
        <w:jc w:val="both"/>
      </w:pPr>
      <w:r>
        <w:rPr>
          <w:b/>
          <w:sz w:val="21"/>
        </w:rPr>
        <w:t>受托方（以下简称乙方）：</w:t>
      </w:r>
      <w:r>
        <w:rPr>
          <w:b/>
          <w:sz w:val="21"/>
          <w:u w:val="single"/>
        </w:rPr>
        <w:t xml:space="preserve">                         </w:t>
      </w:r>
    </w:p>
    <w:p>
      <w:pPr>
        <w:ind w:firstLine="420"/>
        <w:jc w:val="both"/>
      </w:pPr>
      <w:r>
        <w:rPr>
          <w:sz w:val="21"/>
        </w:rPr>
        <w:t>二、为保障东莞市户外公益广告牌设施能正常、安全、有效地运行，提升我市城市环境，根据国家有关法律法规，在自愿、平等、协商一致的基础上，甲方委托乙方就市属户外公益广告设施实行日常养护、维修工作，订立本合同。</w:t>
      </w:r>
    </w:p>
    <w:p>
      <w:pPr>
        <w:ind w:firstLine="420"/>
        <w:jc w:val="both"/>
      </w:pPr>
      <w:r>
        <w:rPr>
          <w:sz w:val="21"/>
        </w:rPr>
        <w:t>三、乙方提供服务的受益人为本项目的甲方，甲乙双方均应对履行本合同承担相应的责任。</w:t>
      </w:r>
    </w:p>
    <w:p>
      <w:pPr>
        <w:jc w:val="center"/>
      </w:pPr>
    </w:p>
    <w:p>
      <w:pPr>
        <w:jc w:val="center"/>
      </w:pPr>
      <w:r>
        <w:rPr>
          <w:b/>
          <w:sz w:val="32"/>
        </w:rPr>
        <w:t>第二章</w:t>
      </w:r>
      <w:r>
        <w:rPr>
          <w:b/>
          <w:sz w:val="32"/>
        </w:rPr>
        <w:t>项目内容</w:t>
      </w:r>
    </w:p>
    <w:p>
      <w:pPr>
        <w:ind w:firstLine="420"/>
        <w:jc w:val="both"/>
      </w:pPr>
      <w:r>
        <w:rPr>
          <w:sz w:val="21"/>
        </w:rPr>
        <w:t>一、养护范围：</w:t>
      </w:r>
    </w:p>
    <w:p>
      <w:pPr>
        <w:ind w:firstLine="420"/>
        <w:jc w:val="both"/>
      </w:pPr>
      <w:r>
        <w:rPr>
          <w:sz w:val="21"/>
        </w:rPr>
        <w:t>1、范围包括：港口大道与东江路交汇处三面翻落地广告牌、东莞大道与黄金路交汇处三面翻落地广告牌、水乡大道与道洪路交汇处三面翻落地牌、楼宇标识牌，市中心广场公益宣传栏及市民服务中心室外广场宣传栏设施、公益小品、玉兰花钢结构设施等</w:t>
      </w:r>
      <w:r>
        <w:rPr>
          <w:sz w:val="21"/>
        </w:rPr>
        <w:t>，具体养护数量以实际情况为准。</w:t>
      </w:r>
    </w:p>
    <w:p>
      <w:pPr>
        <w:ind w:firstLine="420"/>
        <w:jc w:val="both"/>
      </w:pPr>
      <w:r>
        <w:rPr>
          <w:sz w:val="21"/>
        </w:rPr>
        <w:t>巡查范围及内容：东莞大道、松山湖大道（含八一路、鸿福东路）、环城路、环城路北环段、市中心广场及市民服务中心等路段的户外广告牌运行情况，其中重点巡查长度约</w:t>
      </w:r>
      <w:r>
        <w:rPr>
          <w:sz w:val="21"/>
        </w:rPr>
        <w:t>72公里，常规巡查长度以上述路段总公里数为准。</w:t>
      </w:r>
    </w:p>
    <w:p>
      <w:pPr>
        <w:ind w:firstLine="420"/>
        <w:jc w:val="both"/>
      </w:pPr>
      <w:r>
        <w:rPr>
          <w:sz w:val="21"/>
        </w:rPr>
        <w:t>2、养护内容：</w:t>
      </w:r>
    </w:p>
    <w:p>
      <w:pPr>
        <w:ind w:firstLine="420"/>
        <w:jc w:val="both"/>
      </w:pPr>
      <w:r>
        <w:rPr>
          <w:sz w:val="21"/>
        </w:rPr>
        <w:t>（</w:t>
      </w:r>
      <w:r>
        <w:rPr>
          <w:sz w:val="21"/>
        </w:rPr>
        <w:t>1）</w:t>
      </w:r>
      <w:r>
        <w:rPr>
          <w:sz w:val="21"/>
        </w:rPr>
        <w:t>日常巡查部分：</w:t>
      </w:r>
    </w:p>
    <w:p>
      <w:pPr>
        <w:ind w:firstLine="420"/>
        <w:jc w:val="both"/>
      </w:pPr>
      <w:r>
        <w:rPr>
          <w:sz w:val="21"/>
        </w:rPr>
        <w:t>①</w:t>
      </w:r>
      <w:r>
        <w:rPr>
          <w:sz w:val="21"/>
        </w:rPr>
        <w:t>对市直管路段的户外广告牌运行情况做好日常巡查和记录工作，巡查范围包括：</w:t>
      </w:r>
      <w:r>
        <w:rPr>
          <w:sz w:val="21"/>
        </w:rPr>
        <w:t>东莞大道、松山湖大道（含八一路、鸿福东路）、环城路（含北环段、石鼓连接线等）等市直管道路及市中心广场、市民服务中心室外广场范围内的户外广告设施的设置情况，重点巡查长度约</w:t>
      </w:r>
      <w:r>
        <w:rPr>
          <w:sz w:val="21"/>
        </w:rPr>
        <w:t>72公里，常规巡查长度以上述路段总公里数为准。</w:t>
      </w:r>
      <w:r>
        <w:rPr>
          <w:b/>
          <w:sz w:val="21"/>
        </w:rPr>
        <w:t>巡查要求：</w:t>
      </w:r>
      <w:r>
        <w:rPr>
          <w:sz w:val="21"/>
        </w:rPr>
        <w:t>乙方应每两天对养护范围内的户外广告牌设置情况进行一次日常巡查，特殊天气需每天进行巡查，每周上报巡查报告给甲方备案。</w:t>
      </w:r>
    </w:p>
    <w:p>
      <w:pPr>
        <w:ind w:firstLine="420"/>
        <w:jc w:val="both"/>
      </w:pPr>
      <w:r>
        <w:rPr>
          <w:sz w:val="21"/>
        </w:rPr>
        <w:t>②</w:t>
      </w:r>
      <w:r>
        <w:rPr>
          <w:sz w:val="21"/>
        </w:rPr>
        <w:t>巡查内容包括：目测设施整体垂直度，整体稳定性；目测电气设施运行情况；检查广告牌周边环境情况（是否存在周边施工作业、降水作业）；目测结构表面是否存在油漆脱皮、龟裂、钢结构表面是否锈蚀；目测地锚螺栓是否存在松动、变形、锈蚀等。</w:t>
      </w:r>
    </w:p>
    <w:p>
      <w:pPr>
        <w:ind w:firstLine="420"/>
        <w:jc w:val="both"/>
      </w:pPr>
      <w:r>
        <w:rPr>
          <w:sz w:val="21"/>
        </w:rPr>
        <w:t>（</w:t>
      </w:r>
      <w:r>
        <w:rPr>
          <w:sz w:val="21"/>
        </w:rPr>
        <w:t>2）</w:t>
      </w:r>
      <w:r>
        <w:rPr>
          <w:sz w:val="21"/>
        </w:rPr>
        <w:t>广告设施安全检测部分：</w:t>
      </w:r>
    </w:p>
    <w:p>
      <w:pPr>
        <w:ind w:firstLine="420"/>
        <w:jc w:val="both"/>
      </w:pPr>
      <w:r>
        <w:rPr>
          <w:sz w:val="21"/>
        </w:rPr>
        <w:t>检测鉴定内容参照《城市户外广告和招牌设施技术标准》（</w:t>
      </w:r>
      <w:r>
        <w:rPr>
          <w:sz w:val="21"/>
        </w:rPr>
        <w:t>CJJ/T 149-2021）和《户外广告设施钢结构技术规程》（CECS 148:2003）的规定要求，户外广告牌须每年进行安全检测，出具专业完善的安全检测报告；待检测鉴定完成后，应提供病害图片外，绘制病害分布图和构件详图，并提供对病害部位维修方案。</w:t>
      </w:r>
    </w:p>
    <w:p>
      <w:pPr>
        <w:ind w:firstLine="420"/>
        <w:jc w:val="both"/>
      </w:pPr>
      <w:r>
        <w:rPr>
          <w:sz w:val="21"/>
        </w:rPr>
        <w:t>检测内容包括：基础及地脚螺栓、锚固螺栓及被依附体、构件及连接、面板及围护、构架防腐、电气及照明（电气控制系统、照明系统、霓虹灯装置）及防雷设施等，检测鉴定内容不仅限于上述内容，具体检测内容应根据甲方要求为准。</w:t>
      </w:r>
    </w:p>
    <w:p>
      <w:pPr>
        <w:ind w:firstLine="420"/>
        <w:jc w:val="both"/>
      </w:pPr>
      <w:r>
        <w:rPr>
          <w:sz w:val="21"/>
        </w:rPr>
        <w:t>3、</w:t>
      </w:r>
      <w:r>
        <w:rPr>
          <w:sz w:val="21"/>
        </w:rPr>
        <w:t>广告牌设施（含钢结构、电气设施、膜结构等）养护维修部分：</w:t>
      </w:r>
    </w:p>
    <w:p>
      <w:pPr>
        <w:ind w:firstLine="420"/>
        <w:jc w:val="both"/>
      </w:pPr>
      <w:r>
        <w:rPr>
          <w:sz w:val="21"/>
        </w:rPr>
        <w:t>（</w:t>
      </w:r>
      <w:r>
        <w:rPr>
          <w:sz w:val="21"/>
        </w:rPr>
        <w:t>1）日常养护部分参照《城市户外广告和招牌设施技术标准》（CJJ/T 149-2021）的要求，乙方需定期对钢结构涂装表面进行清洗及油漆翻新。具体要求为：</w:t>
      </w:r>
    </w:p>
    <w:p>
      <w:pPr>
        <w:ind w:firstLine="420"/>
        <w:jc w:val="both"/>
      </w:pPr>
      <w:r>
        <w:rPr>
          <w:sz w:val="21"/>
        </w:rPr>
        <w:t>①养护期第一年对养护范围内的设施进行一次全面的油漆翻新；养护期第二年和第三年分别对设施涂装表面进行一次油漆翻新。</w:t>
      </w:r>
    </w:p>
    <w:p>
      <w:pPr>
        <w:ind w:firstLine="420"/>
        <w:jc w:val="both"/>
      </w:pPr>
      <w:r>
        <w:rPr>
          <w:sz w:val="21"/>
        </w:rPr>
        <w:t>②养护期内对设施涂装表面进行不少于8次清洗工作。</w:t>
      </w:r>
    </w:p>
    <w:p>
      <w:pPr>
        <w:ind w:firstLine="420"/>
        <w:jc w:val="both"/>
      </w:pPr>
      <w:r>
        <w:rPr>
          <w:sz w:val="21"/>
        </w:rPr>
        <w:t>③每季度对设施上的灯具灯头护罩进行清洗翻新，出现损坏应及时进行更换。</w:t>
      </w:r>
    </w:p>
    <w:p>
      <w:pPr>
        <w:ind w:firstLine="420"/>
        <w:jc w:val="both"/>
      </w:pPr>
      <w:r>
        <w:rPr>
          <w:sz w:val="21"/>
        </w:rPr>
        <w:t>④按供电部门有关规定，每年2次对设备设施的电缆、灯具、箱变定期进行检测；每年重大节假日（元旦、春节、五一、国庆）前5天内，应进行常规电缆、灯具检查。</w:t>
      </w:r>
    </w:p>
    <w:p>
      <w:pPr>
        <w:ind w:firstLine="420"/>
        <w:jc w:val="both"/>
      </w:pPr>
      <w:r>
        <w:rPr>
          <w:sz w:val="21"/>
        </w:rPr>
        <w:t>（</w:t>
      </w:r>
      <w:r>
        <w:rPr>
          <w:sz w:val="21"/>
        </w:rPr>
        <w:t>2）定期对养护范围内的设施进行维修，如钢结构部分发生损坏或被盗被损时，应及时按原状结构进行修复，保持结构完好。广告设施维修内容包括但不限于：钢结构设施的所有构件（含滚动轴等）、</w:t>
      </w:r>
      <w:r>
        <w:rPr>
          <w:sz w:val="21"/>
        </w:rPr>
        <w:t>膜结构</w:t>
      </w:r>
      <w:r>
        <w:rPr>
          <w:sz w:val="21"/>
        </w:rPr>
        <w:t>、低压配电设施、低压电线电缆（含电缆管道）的损坏更换及被盗修复，上述维修内容最终按实际发生维修量进行结算，维修金额以市财政投资审核办公室或符合国家规定资质条件的社会中介机构审核的价格为准。具体维修要求按照设计图纸的要求为准。</w:t>
      </w:r>
    </w:p>
    <w:p>
      <w:pPr>
        <w:ind w:firstLine="420"/>
        <w:jc w:val="both"/>
      </w:pPr>
      <w:r>
        <w:rPr>
          <w:color w:val="000000"/>
          <w:sz w:val="21"/>
        </w:rPr>
        <w:t>4、乙方须进行亮点打造（含宣传栏升级改造），升级改造数量不少于</w:t>
      </w:r>
      <w:r>
        <w:rPr>
          <w:color w:val="000000"/>
          <w:sz w:val="21"/>
        </w:rPr>
        <w:t>3</w:t>
      </w:r>
      <w:r>
        <w:rPr>
          <w:color w:val="000000"/>
          <w:sz w:val="21"/>
        </w:rPr>
        <w:t>处以及做好后续的养护维护工作。造型设计效果可参考附件。</w:t>
      </w:r>
    </w:p>
    <w:p>
      <w:pPr>
        <w:ind w:firstLine="420"/>
        <w:jc w:val="both"/>
      </w:pPr>
      <w:r>
        <w:rPr>
          <w:sz w:val="21"/>
        </w:rPr>
        <w:t>5、乙方在服务期内进行与投放方案对应的优化工作。</w:t>
      </w:r>
    </w:p>
    <w:p>
      <w:pPr>
        <w:ind w:firstLine="422"/>
        <w:jc w:val="both"/>
      </w:pPr>
      <w:r>
        <w:rPr>
          <w:b/>
          <w:sz w:val="21"/>
        </w:rPr>
        <w:t>如上述概况与实际情况有出入，以实际情况为准。</w:t>
      </w:r>
    </w:p>
    <w:p>
      <w:pPr>
        <w:ind w:firstLine="420"/>
        <w:jc w:val="both"/>
      </w:pPr>
      <w:r>
        <w:rPr>
          <w:sz w:val="21"/>
        </w:rPr>
        <w:t>二</w:t>
      </w:r>
      <w:r>
        <w:rPr>
          <w:sz w:val="21"/>
        </w:rPr>
        <w:t>、其他管理服务事项：甲方要求养护的其他事项。</w:t>
      </w:r>
    </w:p>
    <w:p>
      <w:pPr>
        <w:jc w:val="center"/>
      </w:pPr>
    </w:p>
    <w:p>
      <w:pPr>
        <w:jc w:val="center"/>
      </w:pPr>
      <w:r>
        <w:rPr>
          <w:b/>
          <w:sz w:val="32"/>
        </w:rPr>
        <w:t>第三章</w:t>
      </w:r>
      <w:r>
        <w:rPr>
          <w:b/>
          <w:sz w:val="32"/>
        </w:rPr>
        <w:t>合同期限</w:t>
      </w:r>
    </w:p>
    <w:p>
      <w:pPr>
        <w:ind w:firstLine="420"/>
      </w:pPr>
      <w:r>
        <w:rPr>
          <w:sz w:val="21"/>
        </w:rPr>
        <w:t>本合同养护期从</w:t>
      </w:r>
      <w:r>
        <w:rPr>
          <w:u w:val="single"/>
        </w:rPr>
        <w:t xml:space="preserve">    </w:t>
      </w:r>
      <w:r>
        <w:rPr>
          <w:sz w:val="21"/>
        </w:rPr>
        <w:t>年</w:t>
      </w:r>
      <w:r>
        <w:rPr>
          <w:u w:val="single"/>
        </w:rPr>
        <w:t xml:space="preserve">   </w:t>
      </w:r>
      <w:r>
        <w:rPr>
          <w:sz w:val="21"/>
        </w:rPr>
        <w:t>月</w:t>
      </w:r>
      <w:r>
        <w:rPr>
          <w:u w:val="single"/>
        </w:rPr>
        <w:t xml:space="preserve">   </w:t>
      </w:r>
      <w:r>
        <w:rPr>
          <w:sz w:val="21"/>
        </w:rPr>
        <w:t>日起至</w:t>
      </w:r>
      <w:r>
        <w:rPr>
          <w:u w:val="single"/>
        </w:rPr>
        <w:t xml:space="preserve">    </w:t>
      </w:r>
      <w:r>
        <w:rPr>
          <w:sz w:val="21"/>
        </w:rPr>
        <w:t>年</w:t>
      </w:r>
      <w:r>
        <w:rPr>
          <w:u w:val="single"/>
        </w:rPr>
        <w:t xml:space="preserve">   </w:t>
      </w:r>
      <w:r>
        <w:rPr>
          <w:sz w:val="21"/>
        </w:rPr>
        <w:t>月</w:t>
      </w:r>
      <w:r>
        <w:rPr>
          <w:u w:val="single"/>
        </w:rPr>
        <w:t xml:space="preserve">   </w:t>
      </w:r>
      <w:r>
        <w:rPr>
          <w:sz w:val="21"/>
        </w:rPr>
        <w:t>日止，共</w:t>
      </w:r>
      <w:r>
        <w:rPr>
          <w:u w:val="single"/>
        </w:rPr>
        <w:t xml:space="preserve">    </w:t>
      </w:r>
      <w:r>
        <w:rPr>
          <w:sz w:val="21"/>
        </w:rPr>
        <w:t>年。（本项目实行每年一签，根据上个合同期内的考核情况签定下一份合同。第一份合同的服务期为</w:t>
      </w:r>
      <w:r>
        <w:rPr>
          <w:u w:val="single"/>
        </w:rPr>
        <w:t xml:space="preserve">   </w:t>
      </w:r>
      <w:r>
        <w:rPr>
          <w:sz w:val="21"/>
        </w:rPr>
        <w:t>年</w:t>
      </w:r>
      <w:r>
        <w:rPr>
          <w:u w:val="single"/>
        </w:rPr>
        <w:t xml:space="preserve">   </w:t>
      </w:r>
      <w:r>
        <w:rPr>
          <w:sz w:val="21"/>
        </w:rPr>
        <w:t>月</w:t>
      </w:r>
      <w:r>
        <w:rPr>
          <w:u w:val="single"/>
        </w:rPr>
        <w:t xml:space="preserve">   </w:t>
      </w:r>
      <w:r>
        <w:rPr>
          <w:sz w:val="21"/>
        </w:rPr>
        <w:t>日至</w:t>
      </w:r>
      <w:r>
        <w:rPr>
          <w:u w:val="single"/>
        </w:rPr>
        <w:t xml:space="preserve">   </w:t>
      </w:r>
      <w:r>
        <w:rPr>
          <w:sz w:val="21"/>
        </w:rPr>
        <w:t>年</w:t>
      </w:r>
      <w:r>
        <w:rPr>
          <w:u w:val="single"/>
        </w:rPr>
        <w:t xml:space="preserve">   </w:t>
      </w:r>
      <w:r>
        <w:rPr>
          <w:sz w:val="21"/>
        </w:rPr>
        <w:t>月</w:t>
      </w:r>
      <w:r>
        <w:rPr>
          <w:u w:val="single"/>
        </w:rPr>
        <w:t xml:space="preserve">   </w:t>
      </w:r>
      <w:r>
        <w:rPr>
          <w:sz w:val="21"/>
        </w:rPr>
        <w:t>日止，第二份合同的服务期为</w:t>
      </w:r>
      <w:r>
        <w:rPr>
          <w:u w:val="single"/>
        </w:rPr>
        <w:t xml:space="preserve">   </w:t>
      </w:r>
      <w:r>
        <w:rPr>
          <w:sz w:val="21"/>
        </w:rPr>
        <w:t>年</w:t>
      </w:r>
      <w:r>
        <w:rPr>
          <w:u w:val="single"/>
        </w:rPr>
        <w:t xml:space="preserve">   </w:t>
      </w:r>
      <w:r>
        <w:rPr>
          <w:sz w:val="21"/>
        </w:rPr>
        <w:t>月</w:t>
      </w:r>
      <w:r>
        <w:rPr>
          <w:u w:val="single"/>
        </w:rPr>
        <w:t xml:space="preserve">   </w:t>
      </w:r>
      <w:r>
        <w:rPr>
          <w:sz w:val="21"/>
        </w:rPr>
        <w:t>日至</w:t>
      </w:r>
      <w:r>
        <w:rPr>
          <w:u w:val="single"/>
        </w:rPr>
        <w:t xml:space="preserve">    </w:t>
      </w:r>
      <w:r>
        <w:rPr>
          <w:sz w:val="21"/>
        </w:rPr>
        <w:t>年</w:t>
      </w:r>
      <w:r>
        <w:rPr>
          <w:u w:val="single"/>
        </w:rPr>
        <w:t xml:space="preserve">   </w:t>
      </w:r>
      <w:r>
        <w:rPr>
          <w:sz w:val="21"/>
        </w:rPr>
        <w:t>月</w:t>
      </w:r>
      <w:r>
        <w:rPr>
          <w:u w:val="single"/>
        </w:rPr>
        <w:t xml:space="preserve">   </w:t>
      </w:r>
      <w:r>
        <w:rPr>
          <w:sz w:val="21"/>
        </w:rPr>
        <w:t>日止，第三份合同的服务期为</w:t>
      </w:r>
      <w:r>
        <w:rPr>
          <w:u w:val="single"/>
        </w:rPr>
        <w:t xml:space="preserve">    </w:t>
      </w:r>
      <w:r>
        <w:rPr>
          <w:sz w:val="21"/>
        </w:rPr>
        <w:t>年</w:t>
      </w:r>
      <w:r>
        <w:rPr>
          <w:u w:val="single"/>
        </w:rPr>
        <w:t xml:space="preserve">    </w:t>
      </w:r>
      <w:r>
        <w:rPr>
          <w:sz w:val="21"/>
        </w:rPr>
        <w:t>月</w:t>
      </w:r>
      <w:r>
        <w:rPr>
          <w:u w:val="single"/>
        </w:rPr>
        <w:t xml:space="preserve">    </w:t>
      </w:r>
      <w:r>
        <w:rPr>
          <w:sz w:val="21"/>
        </w:rPr>
        <w:t>日至</w:t>
      </w:r>
      <w:r>
        <w:rPr>
          <w:u w:val="single"/>
        </w:rPr>
        <w:t xml:space="preserve">   </w:t>
      </w:r>
      <w:r>
        <w:rPr>
          <w:sz w:val="21"/>
        </w:rPr>
        <w:t>年</w:t>
      </w:r>
      <w:r>
        <w:rPr>
          <w:u w:val="single"/>
        </w:rPr>
        <w:t xml:space="preserve">   </w:t>
      </w:r>
      <w:r>
        <w:rPr>
          <w:sz w:val="21"/>
        </w:rPr>
        <w:t>月</w:t>
      </w:r>
      <w:r>
        <w:rPr>
          <w:u w:val="single"/>
        </w:rPr>
        <w:t xml:space="preserve">   </w:t>
      </w:r>
      <w:r>
        <w:rPr>
          <w:sz w:val="21"/>
        </w:rPr>
        <w:t>日止）。具体履约要求见本合同</w:t>
      </w:r>
      <w:r>
        <w:rPr>
          <w:sz w:val="21"/>
        </w:rPr>
        <w:t>“考核办法”。如乙方违反本合同相关约定，甲方有权单方面终止合同，依法将余下养护工作委托给其它符合要求的单位进行实施。</w:t>
      </w:r>
    </w:p>
    <w:p>
      <w:pPr>
        <w:ind w:firstLine="420"/>
      </w:pPr>
    </w:p>
    <w:p>
      <w:pPr>
        <w:jc w:val="center"/>
      </w:pPr>
      <w:r>
        <w:rPr>
          <w:b/>
          <w:sz w:val="32"/>
        </w:rPr>
        <w:t>第四章</w:t>
      </w:r>
      <w:r>
        <w:rPr>
          <w:b/>
          <w:sz w:val="32"/>
        </w:rPr>
        <w:t>双方权利义务</w:t>
      </w:r>
    </w:p>
    <w:p>
      <w:pPr>
        <w:ind w:firstLine="420"/>
        <w:jc w:val="both"/>
      </w:pPr>
      <w:r>
        <w:rPr>
          <w:sz w:val="21"/>
        </w:rPr>
        <w:t>一、甲方权利义务：</w:t>
      </w:r>
    </w:p>
    <w:p>
      <w:pPr>
        <w:ind w:firstLine="420"/>
        <w:jc w:val="both"/>
      </w:pPr>
      <w:r>
        <w:rPr>
          <w:sz w:val="21"/>
        </w:rPr>
        <w:t>1、代表甲方的合法权益。</w:t>
      </w:r>
    </w:p>
    <w:p>
      <w:pPr>
        <w:ind w:firstLine="420"/>
        <w:jc w:val="both"/>
      </w:pPr>
      <w:r>
        <w:rPr>
          <w:sz w:val="21"/>
        </w:rPr>
        <w:t>2、审查乙方制定的养护管理制度。</w:t>
      </w:r>
    </w:p>
    <w:p>
      <w:pPr>
        <w:ind w:firstLine="420"/>
        <w:jc w:val="both"/>
      </w:pPr>
      <w:r>
        <w:rPr>
          <w:sz w:val="21"/>
        </w:rPr>
        <w:t>3、检查监督乙方管理工作的实施与制度执行情况。</w:t>
      </w:r>
    </w:p>
    <w:p>
      <w:pPr>
        <w:ind w:firstLine="420"/>
        <w:jc w:val="both"/>
      </w:pPr>
      <w:r>
        <w:rPr>
          <w:sz w:val="21"/>
        </w:rPr>
        <w:t>4、负责核准由养护单位、监理单位提出的施工方案和施工时间。</w:t>
      </w:r>
    </w:p>
    <w:p>
      <w:pPr>
        <w:ind w:firstLine="420"/>
        <w:jc w:val="both"/>
      </w:pPr>
      <w:r>
        <w:rPr>
          <w:sz w:val="21"/>
        </w:rPr>
        <w:t>5、对养护单位做好日常监督。</w:t>
      </w:r>
    </w:p>
    <w:p>
      <w:pPr>
        <w:ind w:firstLine="420"/>
        <w:jc w:val="both"/>
      </w:pPr>
      <w:r>
        <w:rPr>
          <w:sz w:val="21"/>
        </w:rPr>
        <w:t>6、参与养护现场签证、施工验收等工作。</w:t>
      </w:r>
    </w:p>
    <w:p>
      <w:pPr>
        <w:ind w:firstLine="420"/>
        <w:jc w:val="both"/>
      </w:pPr>
      <w:r>
        <w:rPr>
          <w:sz w:val="21"/>
        </w:rPr>
        <w:t>7、根据《东莞市直管道路市属户外公益广告设施日常维护项目考核评分表》的要求，定期对乙方的服务质量进行评分，按评分结果向乙方支付相应的养护费用。</w:t>
      </w:r>
    </w:p>
    <w:p>
      <w:pPr>
        <w:ind w:firstLine="420"/>
        <w:jc w:val="both"/>
      </w:pPr>
      <w:r>
        <w:rPr>
          <w:color w:val="000000"/>
          <w:sz w:val="21"/>
        </w:rPr>
        <w:t>8</w:t>
      </w:r>
      <w:r>
        <w:rPr>
          <w:color w:val="000000"/>
          <w:sz w:val="21"/>
        </w:rPr>
        <w:t>、本项目甲方与乙方逐年签订合同，甲方可根据乙方当年的服务质量决定是否和乙方续签来年的合同。</w:t>
      </w:r>
    </w:p>
    <w:p>
      <w:pPr>
        <w:ind w:firstLine="420"/>
        <w:jc w:val="both"/>
      </w:pPr>
      <w:r>
        <w:rPr>
          <w:sz w:val="21"/>
        </w:rPr>
        <w:t>9</w:t>
      </w:r>
      <w:r>
        <w:rPr>
          <w:sz w:val="21"/>
        </w:rPr>
        <w:t>、招标文件约定的甲方其余权利义务，以及如乙方出现重大失误或严重违约的，可取消乙方的履约资格。</w:t>
      </w:r>
    </w:p>
    <w:p>
      <w:pPr>
        <w:ind w:firstLine="420"/>
        <w:jc w:val="both"/>
      </w:pPr>
      <w:r>
        <w:rPr>
          <w:sz w:val="21"/>
        </w:rPr>
        <w:t>二、乙方权利义务</w:t>
      </w:r>
    </w:p>
    <w:p>
      <w:pPr>
        <w:ind w:firstLine="420"/>
        <w:jc w:val="both"/>
      </w:pPr>
      <w:r>
        <w:rPr>
          <w:sz w:val="21"/>
        </w:rPr>
        <w:t>1、根据有关法律法规及本合同的约定，制订本项目的养护管理制度。</w:t>
      </w:r>
    </w:p>
    <w:p>
      <w:pPr>
        <w:ind w:firstLine="420"/>
        <w:jc w:val="both"/>
      </w:pPr>
      <w:r>
        <w:rPr>
          <w:sz w:val="21"/>
        </w:rPr>
        <w:t>2、按照招标文件及合同约定的要求，做好日常养护、管理工作。</w:t>
      </w:r>
    </w:p>
    <w:p>
      <w:pPr>
        <w:ind w:firstLine="420"/>
        <w:jc w:val="both"/>
      </w:pPr>
      <w:r>
        <w:rPr>
          <w:sz w:val="21"/>
        </w:rPr>
        <w:t>3、发现问题应及时做出反应，及时向甲方报告。</w:t>
      </w:r>
    </w:p>
    <w:p>
      <w:pPr>
        <w:ind w:firstLine="420"/>
        <w:jc w:val="both"/>
      </w:pPr>
      <w:r>
        <w:rPr>
          <w:sz w:val="21"/>
        </w:rPr>
        <w:t>4、未经甲方书面同意，乙方不得将本合同标的项目责任转让给第三方施工单位；未经甲方同意，乙方不得随意分包或转包养护管理事宜（招标文件约定的专业性检测工作除外）。</w:t>
      </w:r>
    </w:p>
    <w:p>
      <w:pPr>
        <w:ind w:firstLine="420"/>
        <w:jc w:val="both"/>
      </w:pPr>
      <w:r>
        <w:rPr>
          <w:sz w:val="21"/>
        </w:rPr>
        <w:t>5、在日常管理过程中，如出现无法解决的问题，乙方应及时向甲方反映。</w:t>
      </w:r>
    </w:p>
    <w:p>
      <w:pPr>
        <w:ind w:firstLine="420"/>
        <w:jc w:val="both"/>
      </w:pPr>
      <w:r>
        <w:rPr>
          <w:sz w:val="21"/>
        </w:rPr>
        <w:t>6、甲方提出的有关技术方面的问题，乙方应作出有根据的解释。</w:t>
      </w:r>
    </w:p>
    <w:p>
      <w:pPr>
        <w:ind w:firstLine="420"/>
        <w:jc w:val="both"/>
      </w:pPr>
      <w:r>
        <w:rPr>
          <w:sz w:val="21"/>
        </w:rPr>
        <w:t>7、本合同终止时，乙方必须向甲方移交其使用的全部档案资料。</w:t>
      </w:r>
    </w:p>
    <w:p>
      <w:pPr>
        <w:ind w:firstLine="420"/>
        <w:jc w:val="both"/>
      </w:pPr>
      <w:r>
        <w:rPr>
          <w:sz w:val="21"/>
        </w:rPr>
        <w:t>8、招标文件约定的乙方其余权利义务。</w:t>
      </w:r>
    </w:p>
    <w:p>
      <w:pPr>
        <w:jc w:val="both"/>
      </w:pPr>
    </w:p>
    <w:p>
      <w:pPr>
        <w:jc w:val="center"/>
      </w:pPr>
      <w:r>
        <w:rPr>
          <w:b/>
          <w:sz w:val="32"/>
        </w:rPr>
        <w:t>第五章</w:t>
      </w:r>
      <w:r>
        <w:rPr>
          <w:b/>
          <w:sz w:val="32"/>
        </w:rPr>
        <w:t>服务质量</w:t>
      </w:r>
    </w:p>
    <w:p>
      <w:pPr>
        <w:ind w:firstLine="420"/>
        <w:jc w:val="both"/>
      </w:pPr>
      <w:r>
        <w:rPr>
          <w:sz w:val="21"/>
        </w:rPr>
        <w:t>一、乙方必须按照下列约定，完成日常养护工作：</w:t>
      </w:r>
    </w:p>
    <w:p>
      <w:pPr>
        <w:ind w:firstLine="420"/>
        <w:jc w:val="left"/>
      </w:pPr>
      <w:r>
        <w:rPr>
          <w:sz w:val="21"/>
        </w:rPr>
        <w:t>1、乙方应根据合同要求，在规定时间内完成养护任务，保证市属户外广告牌设施能安全有效运行；在养护期内设施出现损坏需要维修的，乙方应尽快开展维修工作。</w:t>
      </w:r>
    </w:p>
    <w:p>
      <w:pPr>
        <w:ind w:firstLine="420"/>
        <w:jc w:val="left"/>
      </w:pPr>
      <w:r>
        <w:rPr>
          <w:sz w:val="21"/>
        </w:rPr>
        <w:t>2、乙方应根据合同要求，每周二提交上周的巡查记录报告（下称“周报”）到甲方备案；每月10日前将上个月的巡查报告（下称“月报”）等资料上报甲方备案。</w:t>
      </w:r>
    </w:p>
    <w:p>
      <w:pPr>
        <w:ind w:firstLine="420"/>
        <w:jc w:val="left"/>
      </w:pPr>
      <w:r>
        <w:rPr>
          <w:sz w:val="21"/>
        </w:rPr>
        <w:t>3、乙方应在合同签订后1个月内根据招标文件的要求，配置齐全相关的人员和设备，落实项目负责人，具体分工明细表应报甲方存档备案。</w:t>
      </w:r>
    </w:p>
    <w:p>
      <w:pPr>
        <w:ind w:firstLine="420"/>
        <w:jc w:val="both"/>
      </w:pPr>
      <w:r>
        <w:rPr>
          <w:color w:val="000000"/>
          <w:sz w:val="21"/>
        </w:rPr>
        <w:t>4、乙方须编制养护实施方案，列明保证质量、安全、文明施工的措施；乙方应根据甲方确认的实施方案编制养护计划，必须按时按质完成此项计划。乙方须次月</w:t>
      </w:r>
      <w:r>
        <w:rPr>
          <w:color w:val="000000"/>
          <w:sz w:val="21"/>
        </w:rPr>
        <w:t>10</w:t>
      </w:r>
      <w:r>
        <w:rPr>
          <w:color w:val="000000"/>
          <w:sz w:val="21"/>
        </w:rPr>
        <w:t>号前向甲方和监理单位提交本月养护出勤记录和下月养护计划（包括出勤人员、设备投入安排、出勤时间、现场负责人联系方式等）。</w:t>
      </w:r>
    </w:p>
    <w:p>
      <w:pPr>
        <w:ind w:firstLine="420"/>
        <w:jc w:val="left"/>
      </w:pPr>
      <w:r>
        <w:rPr>
          <w:sz w:val="21"/>
        </w:rPr>
        <w:t>5</w:t>
      </w:r>
      <w:r>
        <w:rPr>
          <w:sz w:val="21"/>
        </w:rPr>
        <w:t>、乙方应建立符合本项目各项要求的质量管理体系、制度（包括日常管养办法、应急抢险预案、安全生产制度等），发现问题要及时记录和维修，如因各种原因出现损坏的，必须在</w:t>
      </w:r>
      <w:r>
        <w:rPr>
          <w:sz w:val="21"/>
        </w:rPr>
        <w:t>72小时内修复，将相关情况形成报告报给甲方。</w:t>
      </w:r>
    </w:p>
    <w:p>
      <w:pPr>
        <w:ind w:firstLine="420"/>
        <w:jc w:val="left"/>
      </w:pPr>
      <w:r>
        <w:rPr>
          <w:sz w:val="21"/>
        </w:rPr>
        <w:t>6</w:t>
      </w:r>
      <w:r>
        <w:rPr>
          <w:sz w:val="21"/>
        </w:rPr>
        <w:t>、乙方应</w:t>
      </w:r>
      <w:r>
        <w:rPr>
          <w:sz w:val="21"/>
        </w:rPr>
        <w:t>自觉接受甲方以及有关部门的监督管理，必须无条件服从甲方以及有关部门组织的突击性任务及迎检活动，按时、按标准、按要求完成采购人所分配的工作，突击性任务及迎检活动安排所涉及的工作配合费用已包含在合同价款中，甲方无需另外支付费用。</w:t>
      </w:r>
    </w:p>
    <w:p>
      <w:pPr>
        <w:ind w:firstLine="420"/>
        <w:jc w:val="left"/>
      </w:pPr>
      <w:r>
        <w:rPr>
          <w:sz w:val="21"/>
        </w:rPr>
        <w:t>7</w:t>
      </w:r>
      <w:r>
        <w:rPr>
          <w:sz w:val="21"/>
        </w:rPr>
        <w:t>、乙方必须积极响应并接受市领导及市民群众的监督检查，发现问题应及时进行处理。</w:t>
      </w:r>
      <w:r>
        <w:rPr>
          <w:sz w:val="21"/>
        </w:rPr>
        <w:t>在合同期间，乙方应自觉接受采购人、广大市民、新闻工作者以及有关部门的监督管理，必须按时按要求完成东莞市</w:t>
      </w:r>
      <w:r>
        <w:rPr>
          <w:sz w:val="21"/>
        </w:rPr>
        <w:t>12345 政府服务热线诉求拟办单和数字城管相关案件。</w:t>
      </w:r>
    </w:p>
    <w:p>
      <w:pPr>
        <w:jc w:val="both"/>
      </w:pPr>
      <w:r>
        <w:rPr>
          <w:color w:val="000000"/>
          <w:sz w:val="21"/>
        </w:rPr>
        <w:t xml:space="preserve">    </w:t>
      </w:r>
      <w:r>
        <w:rPr>
          <w:color w:val="000000"/>
          <w:sz w:val="21"/>
        </w:rPr>
        <w:t>8</w:t>
      </w:r>
      <w:r>
        <w:rPr>
          <w:color w:val="000000"/>
          <w:sz w:val="21"/>
        </w:rPr>
        <w:t>、本项目所采用的材料、设备必须满足国家有关技术操作规程的要求；在正式开工前必须编制专项施工方案，报甲方及监理单位批准后方可组织开展工作。</w:t>
      </w:r>
    </w:p>
    <w:p>
      <w:pPr>
        <w:jc w:val="both"/>
      </w:pPr>
      <w:r>
        <w:rPr>
          <w:sz w:val="21"/>
        </w:rPr>
        <w:t xml:space="preserve"> </w:t>
      </w:r>
      <w:r>
        <w:rPr>
          <w:sz w:val="21"/>
        </w:rPr>
        <w:t xml:space="preserve">   9</w:t>
      </w:r>
      <w:r>
        <w:rPr>
          <w:sz w:val="21"/>
        </w:rPr>
        <w:t>、</w:t>
      </w:r>
      <w:r>
        <w:rPr>
          <w:sz w:val="21"/>
        </w:rPr>
        <w:t xml:space="preserve"> </w:t>
      </w:r>
      <w:r>
        <w:rPr>
          <w:sz w:val="21"/>
        </w:rPr>
        <w:t>乙方购买的材料必须符合设计和规范要求，必须保证所有材料货物采用优等品，同时要求所用材料要有生产厂家的产品生产许可证和国家质检部门的检验合格证。甲方可随时对乙方所购买的材料、设备进行监检查。乙方应承担该检验合格与用材不符之风险，并对因材料质量问题引发的事故承担全部赔偿责任。</w:t>
      </w:r>
    </w:p>
    <w:p>
      <w:pPr>
        <w:ind w:firstLine="420"/>
        <w:jc w:val="both"/>
      </w:pPr>
      <w:r>
        <w:rPr>
          <w:sz w:val="21"/>
        </w:rPr>
        <w:t>10</w:t>
      </w:r>
      <w:r>
        <w:rPr>
          <w:sz w:val="21"/>
        </w:rPr>
        <w:t>、乙方必须按采购文件要求及投标承诺配备充足的设备及聘请足额人员专用于本项目。服务期间，乙方必须因应作业量的增加而相应增加作业人员、作业车辆和作业机械、工具等以满足作业的需要，确保作业质量。乙方自行到有关部门申报有关用工手续、员工劳动保险等手续，定期组织工作人员进行学习，提高业务水平。</w:t>
      </w:r>
    </w:p>
    <w:p>
      <w:pPr>
        <w:ind w:firstLine="420"/>
        <w:jc w:val="both"/>
      </w:pPr>
      <w:r>
        <w:rPr>
          <w:sz w:val="21"/>
        </w:rPr>
        <w:t>11</w:t>
      </w:r>
      <w:r>
        <w:rPr>
          <w:sz w:val="21"/>
        </w:rPr>
        <w:t>、</w:t>
      </w:r>
      <w:r>
        <w:rPr>
          <w:sz w:val="21"/>
        </w:rPr>
        <w:t>项目负责人要落实岗位责任制，须专职全面负责本项目。制定相应日常工作的各种管理制度，如养护工人管理制度、车辆管理制度、作业持证上岗制度等，以此加强日常巡查。如发现他人在养护范围内乱倾倒垃圾的行为，</w:t>
      </w:r>
      <w:r>
        <w:rPr>
          <w:sz w:val="21"/>
        </w:rPr>
        <w:t>乙方</w:t>
      </w:r>
      <w:r>
        <w:rPr>
          <w:sz w:val="21"/>
        </w:rPr>
        <w:t>应配合做好有关制止工作，并向属地执法部门报告。</w:t>
      </w:r>
    </w:p>
    <w:p>
      <w:pPr>
        <w:ind w:firstLine="420"/>
        <w:jc w:val="both"/>
      </w:pPr>
      <w:r>
        <w:rPr>
          <w:sz w:val="21"/>
        </w:rPr>
        <w:t>12</w:t>
      </w:r>
      <w:r>
        <w:rPr>
          <w:sz w:val="21"/>
        </w:rPr>
        <w:t>、乙方更换项目经理或主要技术人员须报甲方同意后方可进行更换，同时须上报更换人信息报甲方备案。乙方替换人员的专业要相符，等级应不低于被替换人员；本工程项目的项目经理不得同时担任其它工程的工作。</w:t>
      </w:r>
    </w:p>
    <w:p>
      <w:pPr>
        <w:ind w:firstLine="420"/>
        <w:jc w:val="both"/>
      </w:pPr>
      <w:r>
        <w:rPr>
          <w:sz w:val="21"/>
        </w:rPr>
        <w:t>1</w:t>
      </w:r>
      <w:r>
        <w:rPr>
          <w:sz w:val="21"/>
        </w:rPr>
        <w:t>3</w:t>
      </w:r>
      <w:r>
        <w:rPr>
          <w:sz w:val="21"/>
        </w:rPr>
        <w:t>、服务期内，甲方有权根据市城管局及其他部门等相关文件规定对乙方投入的作业人员和作业车辆进行信息化管理，乙方在投标时应提前考虑有关设备成本投入并无条件服从，相关接入信息化平台的硬件设施投入费用由乙方负责。</w:t>
      </w:r>
    </w:p>
    <w:p>
      <w:pPr>
        <w:ind w:firstLine="420"/>
        <w:jc w:val="both"/>
      </w:pPr>
      <w:r>
        <w:rPr>
          <w:sz w:val="21"/>
        </w:rPr>
        <w:t>1</w:t>
      </w:r>
      <w:r>
        <w:rPr>
          <w:sz w:val="21"/>
        </w:rPr>
        <w:t>4</w:t>
      </w:r>
      <w:r>
        <w:rPr>
          <w:sz w:val="21"/>
        </w:rPr>
        <w:t>、乙方必须落实安全生产措施，应按甲方以及有关部门的要求配备相关安全警示标志及设施，做好每次上岗前的安全培训与提示，在进行施工作业时，现场一定要做好安全措施后才能进场施工，为上岗工人配置统一的工作服和反光袖套，自行解决安全作业问题；在施工过程中产生的淤泥垃圾等，需即时清理，不能污染路面；临时施工用电的电源、水源由乙方自行解决。</w:t>
      </w:r>
    </w:p>
    <w:p>
      <w:pPr>
        <w:ind w:firstLine="420"/>
        <w:jc w:val="both"/>
      </w:pPr>
      <w:r>
        <w:rPr>
          <w:sz w:val="21"/>
        </w:rPr>
        <w:t>1</w:t>
      </w:r>
      <w:r>
        <w:rPr>
          <w:sz w:val="21"/>
        </w:rPr>
        <w:t>5</w:t>
      </w:r>
      <w:r>
        <w:rPr>
          <w:sz w:val="21"/>
        </w:rPr>
        <w:t>、乙方应确保在履约期间无安全事故发生。如因措施不当、管理疏漏、广告牌及相关零部件倒塌、脱落等各种原因造成乙方职工、雇员或任何其他人人身或财产损害的，由乙方承担全部责任。如甲方在前述情形中实际承担了责任的，乙方同意无条件赔偿甲方的一切损失（包括但不限于相关的赔偿费用、诉讼费、鉴定费、公证费、律师费、差旅费等所有费用）。</w:t>
      </w:r>
    </w:p>
    <w:p>
      <w:pPr>
        <w:ind w:firstLine="420"/>
        <w:jc w:val="both"/>
      </w:pPr>
      <w:r>
        <w:rPr>
          <w:color w:val="000000"/>
          <w:sz w:val="21"/>
        </w:rPr>
        <w:t>1</w:t>
      </w:r>
      <w:r>
        <w:rPr>
          <w:color w:val="000000"/>
          <w:sz w:val="21"/>
        </w:rPr>
        <w:t>6</w:t>
      </w:r>
      <w:r>
        <w:rPr>
          <w:color w:val="000000"/>
          <w:sz w:val="21"/>
        </w:rPr>
        <w:t>、服务期间，乙方必须按规定为员工购买社会保险和商业保险，特别要购买人身意外伤害和死亡保险。任何因中标人原因或其他不可预见因素造成第三方的人员伤亡或财产损失等一概由乙方负责解决，并承担相关一切的经济责任和法律责任（包括治安、交通、防火等安全案件、劳资纠纷事件等）。</w:t>
      </w:r>
    </w:p>
    <w:p>
      <w:pPr>
        <w:ind w:firstLine="420"/>
        <w:jc w:val="both"/>
      </w:pPr>
      <w:r>
        <w:rPr>
          <w:sz w:val="21"/>
        </w:rPr>
        <w:t>1</w:t>
      </w:r>
      <w:r>
        <w:rPr>
          <w:sz w:val="21"/>
        </w:rPr>
        <w:t>7</w:t>
      </w:r>
      <w:r>
        <w:rPr>
          <w:sz w:val="21"/>
        </w:rPr>
        <w:t>、乙方要严格遵守有关建设工程管理规定，具备与之相符的技术素质，切实履行职责，加强进度、安全、质量的全方位管理，建立健全各管理体系，规范施工；对施工现场及操作过程应采取必要的安全技术措施，杜绝一切安全事故发生。</w:t>
      </w:r>
    </w:p>
    <w:p>
      <w:pPr>
        <w:ind w:firstLine="420"/>
        <w:jc w:val="both"/>
      </w:pPr>
      <w:r>
        <w:rPr>
          <w:sz w:val="21"/>
        </w:rPr>
        <w:t>18</w:t>
      </w:r>
      <w:r>
        <w:rPr>
          <w:sz w:val="21"/>
        </w:rPr>
        <w:t>、在施工过程中安装人员产生的纠纷或因各种原因造成第三方损失的，由乙方自行负责解决，涉及相关费用由投标人负责，与甲方无关。</w:t>
      </w:r>
    </w:p>
    <w:p>
      <w:pPr>
        <w:ind w:firstLine="420"/>
        <w:jc w:val="both"/>
      </w:pPr>
      <w:r>
        <w:rPr>
          <w:sz w:val="21"/>
        </w:rPr>
        <w:t>19</w:t>
      </w:r>
      <w:r>
        <w:rPr>
          <w:sz w:val="21"/>
        </w:rPr>
        <w:t>、规范开展高空作业工作，高空作业要使用升降车，不得站在车辆车厢、驾驶舱顶部，要严格执行</w:t>
      </w:r>
      <w:r>
        <w:rPr>
          <w:sz w:val="21"/>
        </w:rPr>
        <w:t>“双报备”、高处作业做到“五个必须”（必须培训持证上岗、必须实行作业审批、必须做好个人防护、必须落实工程措施、必须安排专人监护）。维修时要做好安全防护措施，占道作业时要做好警示标志及雪糕筒的摆放。</w:t>
      </w:r>
    </w:p>
    <w:p>
      <w:pPr>
        <w:ind w:firstLine="420"/>
        <w:jc w:val="both"/>
      </w:pPr>
      <w:r>
        <w:rPr>
          <w:sz w:val="21"/>
        </w:rPr>
        <w:t>20</w:t>
      </w:r>
      <w:r>
        <w:rPr>
          <w:sz w:val="21"/>
        </w:rPr>
        <w:t>、所有养护设施不得出现乱张贴、乱涂鸦，设施表面出现脱漆等情况，乙方应及时对其进行翻新，保持户外广告设施的清洁美观。</w:t>
      </w:r>
    </w:p>
    <w:p>
      <w:pPr>
        <w:ind w:firstLine="420"/>
        <w:jc w:val="both"/>
      </w:pPr>
      <w:r>
        <w:rPr>
          <w:sz w:val="21"/>
        </w:rPr>
        <w:t>21</w:t>
      </w:r>
      <w:r>
        <w:rPr>
          <w:sz w:val="21"/>
        </w:rPr>
        <w:t>、乙方应确保具备承接项目实施的资质，派出的安装、养护服务人员应具备相关的专业知识、施工资质及技术水平，持证上岗，有足够能力完成安装、养护工作。</w:t>
      </w:r>
    </w:p>
    <w:p>
      <w:pPr>
        <w:ind w:firstLine="420"/>
        <w:jc w:val="both"/>
      </w:pPr>
      <w:r>
        <w:rPr>
          <w:sz w:val="21"/>
        </w:rPr>
        <w:t>22</w:t>
      </w:r>
      <w:r>
        <w:rPr>
          <w:sz w:val="21"/>
        </w:rPr>
        <w:t>、如因乙方未按照合同要求进行保养造成损坏的，属乙方责任。</w:t>
      </w:r>
    </w:p>
    <w:p>
      <w:pPr>
        <w:ind w:firstLine="420"/>
        <w:jc w:val="both"/>
      </w:pPr>
      <w:r>
        <w:rPr>
          <w:sz w:val="21"/>
        </w:rPr>
        <w:t>23</w:t>
      </w:r>
      <w:r>
        <w:rPr>
          <w:sz w:val="21"/>
        </w:rPr>
        <w:t>、乙方需在进场养护后</w:t>
      </w:r>
      <w:r>
        <w:rPr>
          <w:sz w:val="21"/>
        </w:rPr>
        <w:t>1个月内提交养护设施的位置分布图到甲方备案。</w:t>
      </w:r>
    </w:p>
    <w:p>
      <w:pPr>
        <w:jc w:val="both"/>
      </w:pPr>
      <w:r>
        <w:rPr>
          <w:color w:val="000000"/>
          <w:sz w:val="21"/>
        </w:rPr>
        <w:t xml:space="preserve"> </w:t>
      </w:r>
      <w:r>
        <w:rPr>
          <w:color w:val="000000"/>
          <w:sz w:val="21"/>
        </w:rPr>
        <w:t xml:space="preserve">   24</w:t>
      </w:r>
      <w:r>
        <w:rPr>
          <w:color w:val="000000"/>
          <w:sz w:val="21"/>
        </w:rPr>
        <w:t>、乙方应确保项目工作必须符合相关法律法规的管理规定，并由乙方负责在项目实施前办理相关的报批手续，否则由此引发的法律责任、行政责任由乙方负责承担，并且乙方须承担违约责任及赔偿由此导致甲方的损失。</w:t>
      </w:r>
    </w:p>
    <w:p>
      <w:pPr>
        <w:jc w:val="both"/>
      </w:pPr>
      <w:r>
        <w:rPr>
          <w:sz w:val="21"/>
        </w:rPr>
        <w:t xml:space="preserve"> </w:t>
      </w:r>
      <w:r>
        <w:rPr>
          <w:sz w:val="21"/>
        </w:rPr>
        <w:t xml:space="preserve">   25</w:t>
      </w:r>
      <w:r>
        <w:rPr>
          <w:sz w:val="21"/>
        </w:rPr>
        <w:t>、严格按国家现行的设计、施工、安装标准及技术规范，严格按图施工，质量验收标准按国家规定标准执行。如因质量问题或投标人自身管理原因使得安装工作受到影响或造成责任事故的，概由投标人承担。</w:t>
      </w:r>
    </w:p>
    <w:p>
      <w:pPr>
        <w:ind w:firstLine="420"/>
        <w:jc w:val="both"/>
      </w:pPr>
      <w:r>
        <w:rPr>
          <w:color w:val="000000"/>
          <w:sz w:val="21"/>
        </w:rPr>
        <w:t>2</w:t>
      </w:r>
      <w:r>
        <w:rPr>
          <w:color w:val="000000"/>
          <w:sz w:val="21"/>
        </w:rPr>
        <w:t>6</w:t>
      </w:r>
      <w:r>
        <w:rPr>
          <w:color w:val="000000"/>
          <w:sz w:val="21"/>
        </w:rPr>
        <w:t>、甲方有权在工作时间内进入投标人的工作地点对合同约定的相关条款进行监督，以便更好了解、检查其质量计划及其它与质量相关的实施情况。</w:t>
      </w:r>
    </w:p>
    <w:p>
      <w:pPr>
        <w:ind w:firstLine="420"/>
        <w:jc w:val="both"/>
      </w:pPr>
      <w:r>
        <w:rPr>
          <w:sz w:val="21"/>
        </w:rPr>
        <w:t>2</w:t>
      </w:r>
      <w:r>
        <w:rPr>
          <w:sz w:val="21"/>
        </w:rPr>
        <w:t>7</w:t>
      </w:r>
      <w:r>
        <w:rPr>
          <w:sz w:val="21"/>
        </w:rPr>
        <w:t>、服务期内，若发生特殊情况须延长处理时间的，乙方须将有关情况反馈甲方并提出延期申请，经甲方同意后，方可延长处理时间，并不扣取乙方相关服务费及考评分值。</w:t>
      </w:r>
    </w:p>
    <w:p>
      <w:pPr>
        <w:ind w:firstLine="420"/>
        <w:jc w:val="both"/>
      </w:pPr>
      <w:r>
        <w:rPr>
          <w:sz w:val="21"/>
        </w:rPr>
        <w:t>28</w:t>
      </w:r>
      <w:r>
        <w:rPr>
          <w:sz w:val="21"/>
        </w:rPr>
        <w:t>、本项目养护用电未经甲方以及有关部门的同意，乙方不得擅自接驳市政用电线路，一经发现按偷电处理，除扣减乙方相应的养护经费外，并按规定对乙方予以处理，情况严重者，甲方有权单方面终止合同。</w:t>
      </w:r>
    </w:p>
    <w:p>
      <w:pPr>
        <w:ind w:firstLine="420"/>
        <w:jc w:val="both"/>
      </w:pPr>
      <w:r>
        <w:rPr>
          <w:sz w:val="21"/>
        </w:rPr>
        <w:t>29</w:t>
      </w:r>
      <w:r>
        <w:rPr>
          <w:sz w:val="21"/>
        </w:rPr>
        <w:t>、乙方应按照国家现行相关规范要求施工，随时接受甲方及监理单位的检查，甲方及监理单位有权在工作时间内进入乙方的工作地点对其文件和设施实行与合同有关的质保监查，以便检查其质保手册，质量计划及其它与质量相关的文件的实施情况。如施工与规范要求不相符的，乙方必须按甲方及监理单位的要求进行返工修复，并承担因自身原因导致返工、修复等全部费用。</w:t>
      </w:r>
    </w:p>
    <w:p>
      <w:pPr>
        <w:ind w:firstLine="420"/>
        <w:jc w:val="both"/>
      </w:pPr>
      <w:r>
        <w:rPr>
          <w:sz w:val="21"/>
        </w:rPr>
        <w:t>30</w:t>
      </w:r>
      <w:r>
        <w:rPr>
          <w:sz w:val="21"/>
        </w:rPr>
        <w:t>、甲方定期组织工作会议，以便于本节内容的具体落实。</w:t>
      </w:r>
    </w:p>
    <w:p>
      <w:pPr>
        <w:ind w:firstLine="420"/>
        <w:jc w:val="both"/>
      </w:pPr>
      <w:r>
        <w:rPr>
          <w:sz w:val="21"/>
        </w:rPr>
        <w:t>二、材料及施工要求</w:t>
      </w:r>
    </w:p>
    <w:p>
      <w:pPr>
        <w:ind w:firstLine="420"/>
        <w:jc w:val="both"/>
      </w:pPr>
      <w:r>
        <w:rPr>
          <w:sz w:val="21"/>
        </w:rPr>
        <w:t>1、本项目必须使用的所有材料以及全部费用都由乙方计入投标报价，养护费部分的全部费用为一次包干，后期不再增加任何费用；维修部分的费用按照市财政局年度预算资金进行安排。</w:t>
      </w:r>
    </w:p>
    <w:p>
      <w:pPr>
        <w:ind w:firstLine="420"/>
        <w:jc w:val="both"/>
      </w:pPr>
      <w:r>
        <w:rPr>
          <w:sz w:val="21"/>
        </w:rPr>
        <w:t>2、乙方必须按招标文件或图纸的要求，购买的材料、设备必须符合设计和规范，在施工中将选用的材料样板送监理单位审核确认后方可订货；甲方可随时对乙方所购买的材料、设备进行监督、检查。</w:t>
      </w:r>
    </w:p>
    <w:p>
      <w:pPr>
        <w:ind w:firstLine="420"/>
        <w:jc w:val="both"/>
      </w:pPr>
      <w:r>
        <w:rPr>
          <w:sz w:val="21"/>
        </w:rPr>
        <w:t>3、施工现场材料堆放地、现场施工管理和施工人员作业场地要全围闭，施工现场的围闭应按照实际情况实施。</w:t>
      </w:r>
    </w:p>
    <w:p>
      <w:pPr>
        <w:ind w:firstLine="420"/>
        <w:jc w:val="left"/>
      </w:pPr>
      <w:r>
        <w:rPr>
          <w:sz w:val="21"/>
        </w:rPr>
        <w:t>4、施工现场的建筑垃圾及泥浆清运由乙方负责。</w:t>
      </w:r>
    </w:p>
    <w:p>
      <w:pPr>
        <w:ind w:firstLine="420"/>
        <w:jc w:val="both"/>
      </w:pPr>
      <w:r>
        <w:rPr>
          <w:sz w:val="21"/>
        </w:rPr>
        <w:t>5、施工现场地表土及垃圾、建(构)筑物基础、地表杂草灌木、树木清除及外运等工作，由乙方负责。</w:t>
      </w:r>
    </w:p>
    <w:p>
      <w:pPr>
        <w:ind w:firstLine="420"/>
        <w:jc w:val="both"/>
      </w:pPr>
      <w:r>
        <w:rPr>
          <w:sz w:val="21"/>
        </w:rPr>
        <w:t>6、文明安全施工、雨季施工、工程管理、现场临时设施、卫生排污、工程保险等所需的各种费用，施工范围要采用招标文件要求设置标准围护，规范书写告示标语，竣工后拆运清除。必须严格执行《东莞市建设工程文明施工管理规定》《安全文明施工管理细则》，应按照不低于甲方提供的《安全文明施工方案说明》的要求进行安全文明施工。</w:t>
      </w:r>
    </w:p>
    <w:p>
      <w:pPr>
        <w:ind w:firstLine="420"/>
        <w:jc w:val="both"/>
      </w:pPr>
      <w:r>
        <w:rPr>
          <w:sz w:val="21"/>
        </w:rPr>
        <w:t>7、乙方应根据国家、省、市有关防火、爆破和施工安全以及文明施工、环卫和城管等规定，建立规章制度和防护措施，并承担由于自身措施不力造成事故责任及其费用。</w:t>
      </w:r>
    </w:p>
    <w:p>
      <w:pPr>
        <w:ind w:firstLine="420"/>
        <w:jc w:val="both"/>
      </w:pPr>
      <w:r>
        <w:rPr>
          <w:sz w:val="21"/>
        </w:rPr>
        <w:t>8、施工现场应制定严格的防火措施及灭火方案，并配备一定数量的灭火器材。在易于发生火灾的地方进行焊接施工时应采取严格的防范措施。</w:t>
      </w:r>
    </w:p>
    <w:p>
      <w:pPr>
        <w:ind w:firstLine="420"/>
        <w:jc w:val="both"/>
      </w:pPr>
      <w:r>
        <w:rPr>
          <w:sz w:val="21"/>
        </w:rPr>
        <w:t>9、</w:t>
      </w:r>
      <w:r>
        <w:rPr>
          <w:sz w:val="21"/>
        </w:rPr>
        <w:t>乙方在合同签订后一个月内，须按招标文件的要求及投标文件的承诺做好服务技术方案和质量实施方案，向甲方提交本年度养护工作计划，并于每月</w:t>
      </w:r>
      <w:r>
        <w:rPr>
          <w:sz w:val="21"/>
        </w:rPr>
        <w:t>10</w:t>
      </w:r>
      <w:r>
        <w:rPr>
          <w:sz w:val="21"/>
        </w:rPr>
        <w:t>日前提交当月自查报告、安全生产工作记录、养护工作记录表和下月的工作实施计划。年度工作计划和月工作实施方案经甲方审核修改后实施。乙方要按工作进度填写好《日常养护作业记录表》，作为考评依据。</w:t>
      </w:r>
    </w:p>
    <w:p>
      <w:pPr>
        <w:ind w:firstLine="420"/>
        <w:jc w:val="both"/>
      </w:pPr>
    </w:p>
    <w:p>
      <w:pPr>
        <w:jc w:val="center"/>
      </w:pPr>
      <w:r>
        <w:rPr>
          <w:b/>
          <w:sz w:val="32"/>
        </w:rPr>
        <w:t>第六章</w:t>
      </w:r>
      <w:r>
        <w:rPr>
          <w:b/>
          <w:sz w:val="32"/>
        </w:rPr>
        <w:t>项目费用</w:t>
      </w:r>
    </w:p>
    <w:p>
      <w:pPr>
        <w:ind w:firstLine="420"/>
        <w:jc w:val="both"/>
      </w:pPr>
      <w:r>
        <w:rPr>
          <w:sz w:val="21"/>
        </w:rPr>
        <w:t>一、合同价格及支付</w:t>
      </w:r>
    </w:p>
    <w:p>
      <w:pPr>
        <w:ind w:firstLine="420"/>
        <w:jc w:val="both"/>
      </w:pPr>
      <w:r>
        <w:rPr>
          <w:sz w:val="21"/>
        </w:rPr>
        <w:t>本合同总价为</w:t>
      </w:r>
      <w:r>
        <w:rPr>
          <w:sz w:val="21"/>
          <w:u w:val="single"/>
        </w:rPr>
        <w:t xml:space="preserve">          </w:t>
      </w:r>
      <w:r>
        <w:rPr>
          <w:sz w:val="21"/>
        </w:rPr>
        <w:t>元（大写人民币</w:t>
      </w:r>
      <w:r>
        <w:rPr>
          <w:sz w:val="21"/>
          <w:u w:val="single"/>
        </w:rPr>
        <w:t xml:space="preserve">               </w:t>
      </w:r>
      <w:r>
        <w:rPr>
          <w:sz w:val="21"/>
        </w:rPr>
        <w:t>），具体分项如下：</w:t>
      </w:r>
    </w:p>
    <w:p>
      <w:pPr>
        <w:ind w:firstLine="420"/>
        <w:jc w:val="both"/>
      </w:pPr>
      <w:r>
        <w:rPr>
          <w:sz w:val="21"/>
        </w:rPr>
        <w:t>1、日常养护部分：养护费总价款为</w:t>
      </w:r>
      <w:r>
        <w:rPr>
          <w:sz w:val="21"/>
          <w:u w:val="single"/>
        </w:rPr>
        <w:t>￥</w:t>
      </w:r>
      <w:r>
        <w:rPr>
          <w:sz w:val="21"/>
          <w:u w:val="single"/>
        </w:rPr>
        <w:t xml:space="preserve">        </w:t>
      </w:r>
      <w:r>
        <w:rPr>
          <w:sz w:val="21"/>
        </w:rPr>
        <w:t>元（大写人民币</w:t>
      </w:r>
      <w:r>
        <w:rPr>
          <w:sz w:val="21"/>
          <w:u w:val="single"/>
        </w:rPr>
        <w:t xml:space="preserve">             </w:t>
      </w:r>
      <w:r>
        <w:rPr>
          <w:sz w:val="21"/>
        </w:rPr>
        <w:t>），月养护费（含日常巡查费用、</w:t>
      </w:r>
      <w:r>
        <w:rPr>
          <w:sz w:val="21"/>
        </w:rPr>
        <w:t>广告牌设施（含钢结构、电气设施等）日常养护</w:t>
      </w:r>
      <w:r>
        <w:rPr>
          <w:sz w:val="21"/>
        </w:rPr>
        <w:t>）按养护费总价款</w:t>
      </w:r>
      <w:r>
        <w:rPr>
          <w:sz w:val="21"/>
        </w:rPr>
        <w:t>÷36个月进行计算，每月养护费为</w:t>
      </w:r>
      <w:r>
        <w:rPr>
          <w:sz w:val="21"/>
          <w:u w:val="single"/>
        </w:rPr>
        <w:t xml:space="preserve">           </w:t>
      </w:r>
      <w:r>
        <w:rPr>
          <w:sz w:val="21"/>
        </w:rPr>
        <w:t>元，合同生效后第二个月起每月</w:t>
      </w:r>
      <w:r>
        <w:rPr>
          <w:sz w:val="21"/>
        </w:rPr>
        <w:t>20日前，甲方向乙方支付上月的养护费。</w:t>
      </w:r>
    </w:p>
    <w:p>
      <w:pPr>
        <w:ind w:firstLine="420"/>
        <w:jc w:val="both"/>
      </w:pPr>
      <w:r>
        <w:rPr>
          <w:sz w:val="21"/>
        </w:rPr>
        <w:t>2、维修部分：维修费暂</w:t>
      </w:r>
      <w:r>
        <w:rPr>
          <w:sz w:val="21"/>
        </w:rPr>
        <w:t>时</w:t>
      </w:r>
      <w:r>
        <w:rPr>
          <w:sz w:val="21"/>
        </w:rPr>
        <w:t>定价为</w:t>
      </w:r>
      <w:r>
        <w:rPr>
          <w:sz w:val="21"/>
          <w:u w:val="single"/>
        </w:rPr>
        <w:t>人民币</w:t>
      </w:r>
      <w:r>
        <w:rPr>
          <w:sz w:val="21"/>
          <w:u w:val="single"/>
        </w:rPr>
        <w:t xml:space="preserve">            </w:t>
      </w:r>
      <w:r>
        <w:rPr>
          <w:sz w:val="21"/>
        </w:rPr>
        <w:t>元（大写人民币</w:t>
      </w:r>
      <w:r>
        <w:rPr>
          <w:sz w:val="21"/>
          <w:u w:val="single"/>
        </w:rPr>
        <w:t xml:space="preserve">               </w:t>
      </w:r>
      <w:r>
        <w:rPr>
          <w:sz w:val="21"/>
        </w:rPr>
        <w:t>），相关维修费用按市财政投资审核办公室或符合国家规定资质条件的社会中介机构审核的价格为准，总维修费用最高不得超过</w:t>
      </w:r>
      <w:r>
        <w:rPr>
          <w:sz w:val="21"/>
          <w:u w:val="single"/>
        </w:rPr>
        <w:t>人民币</w:t>
      </w:r>
      <w:r>
        <w:rPr>
          <w:sz w:val="21"/>
          <w:u w:val="single"/>
        </w:rPr>
        <w:t xml:space="preserve">            </w:t>
      </w:r>
      <w:r>
        <w:rPr>
          <w:sz w:val="21"/>
        </w:rPr>
        <w:t>元，每期支付时以最终的审核结果作为支付依据，不得提前支付维修费用。结构设施维修的结算原则如下：</w:t>
      </w:r>
    </w:p>
    <w:p>
      <w:pPr>
        <w:ind w:firstLine="420"/>
        <w:jc w:val="both"/>
      </w:pPr>
      <w:r>
        <w:rPr>
          <w:sz w:val="21"/>
        </w:rPr>
        <w:t>（</w:t>
      </w:r>
      <w:r>
        <w:rPr>
          <w:sz w:val="21"/>
        </w:rPr>
        <w:t>1）维修工程量以实际发生工程量且经甲方及监理单位的签证资料为准。</w:t>
      </w:r>
    </w:p>
    <w:p>
      <w:pPr>
        <w:ind w:firstLine="420"/>
        <w:jc w:val="both"/>
      </w:pPr>
      <w:r>
        <w:rPr>
          <w:sz w:val="21"/>
        </w:rPr>
        <w:t>（</w:t>
      </w:r>
      <w:r>
        <w:rPr>
          <w:sz w:val="21"/>
        </w:rPr>
        <w:t>2）维修综合单价以市财政投资审核办公室或符合国家规定资质条件的社会中介机构审定的清单综合单价为准。</w:t>
      </w:r>
    </w:p>
    <w:p>
      <w:pPr>
        <w:ind w:firstLine="420"/>
        <w:jc w:val="both"/>
      </w:pPr>
      <w:r>
        <w:rPr>
          <w:sz w:val="21"/>
        </w:rPr>
        <w:t>（</w:t>
      </w:r>
      <w:r>
        <w:rPr>
          <w:sz w:val="21"/>
        </w:rPr>
        <w:t>3）计费程序的规费、税金和单列文明施工费、措施其他项目费等按维修当月东莞市造价管理站相关规定执行。</w:t>
      </w:r>
    </w:p>
    <w:p>
      <w:pPr>
        <w:ind w:firstLine="420"/>
        <w:jc w:val="both"/>
      </w:pPr>
      <w:r>
        <w:rPr>
          <w:sz w:val="21"/>
        </w:rPr>
        <w:t>3、经双方同意，上述养护费总价款及每月养护费用支付标准非固定不变价，应经甲方及监理单位按约定现场考核评分后最终确定。月度综合考评总分达90分或以上的，全额领取当月养护费；89分以下80分以上的，按每月养护费用乘以当月所得分数（折换为百分比）为当月实际养护费用（例如：每月养护费用为10000元的，当月考评得分为85分，则当月养护费为10000元×85%=8500元）；属差的（79分或以下的），甲方不支付当月养护费。合同期内月考核评分出现3次属差的，甲方有权单方面解除合同，并对乙方处合同总价的10%罚款处理。</w:t>
      </w:r>
    </w:p>
    <w:p>
      <w:pPr>
        <w:ind w:firstLine="420"/>
        <w:jc w:val="both"/>
      </w:pPr>
      <w:r>
        <w:rPr>
          <w:sz w:val="21"/>
        </w:rPr>
        <w:t>4、每月的养护费在支付前须经甲方及监理单位现场考核评分后方可支付。</w:t>
      </w:r>
    </w:p>
    <w:p>
      <w:pPr>
        <w:ind w:firstLine="420"/>
        <w:jc w:val="both"/>
      </w:pPr>
      <w:r>
        <w:rPr>
          <w:sz w:val="21"/>
        </w:rPr>
        <w:t>5、安全检测费用为</w:t>
      </w:r>
      <w:r>
        <w:rPr>
          <w:sz w:val="21"/>
          <w:u w:val="single"/>
        </w:rPr>
        <w:t xml:space="preserve">            </w:t>
      </w:r>
      <w:r>
        <w:rPr>
          <w:sz w:val="21"/>
        </w:rPr>
        <w:t>元（大写人民币</w:t>
      </w:r>
      <w:r>
        <w:rPr>
          <w:sz w:val="21"/>
          <w:u w:val="single"/>
        </w:rPr>
        <w:t xml:space="preserve">             </w:t>
      </w:r>
      <w:r>
        <w:rPr>
          <w:sz w:val="21"/>
        </w:rPr>
        <w:t>），广告牌设施应按要求定期进行检测，在提供检测报告后支付检测费用，不得提前支付检测费用。</w:t>
      </w:r>
    </w:p>
    <w:p>
      <w:pPr>
        <w:ind w:firstLine="420"/>
        <w:jc w:val="both"/>
      </w:pPr>
      <w:r>
        <w:rPr>
          <w:sz w:val="21"/>
        </w:rPr>
        <w:t>6、本合同的养护费由政府拨款，如因政策的影响，拨款未能及时到位，乙方不得以此为由而不履行本合同规定的义务，否则甲方按规定扣罚。</w:t>
      </w:r>
    </w:p>
    <w:p>
      <w:pPr>
        <w:ind w:firstLine="420"/>
        <w:jc w:val="both"/>
      </w:pPr>
      <w:r>
        <w:rPr>
          <w:sz w:val="21"/>
        </w:rPr>
        <w:t>二、履约保证金：</w:t>
      </w:r>
    </w:p>
    <w:p>
      <w:pPr>
        <w:ind w:firstLine="420"/>
        <w:jc w:val="both"/>
      </w:pPr>
      <w:r>
        <w:rPr>
          <w:sz w:val="21"/>
        </w:rPr>
        <w:t>1、乙方在领取中标通知书前，向甲方提交中标价5%的履约保证金</w:t>
      </w:r>
      <w:r>
        <w:rPr>
          <w:sz w:val="21"/>
        </w:rPr>
        <w:t>，</w:t>
      </w:r>
      <w:r>
        <w:rPr>
          <w:sz w:val="21"/>
        </w:rPr>
        <w:t>履约保证金可采用保证金（银行转账、电汇）方式</w:t>
      </w:r>
      <w:r>
        <w:rPr>
          <w:sz w:val="21"/>
        </w:rPr>
        <w:t>，</w:t>
      </w:r>
      <w:r>
        <w:rPr>
          <w:sz w:val="21"/>
        </w:rPr>
        <w:t>或采用不可撤销银行履约保函原件。</w:t>
      </w:r>
    </w:p>
    <w:p>
      <w:pPr>
        <w:ind w:firstLine="420"/>
        <w:jc w:val="both"/>
      </w:pPr>
      <w:r>
        <w:rPr>
          <w:sz w:val="21"/>
        </w:rPr>
        <w:t>2、提供担保</w:t>
      </w:r>
      <w:r>
        <w:rPr>
          <w:sz w:val="21"/>
        </w:rPr>
        <w:t>函</w:t>
      </w:r>
      <w:r>
        <w:rPr>
          <w:sz w:val="21"/>
        </w:rPr>
        <w:t>的机构须经甲方同意的国内机构，执行本款时所发生的费用由乙方负担。</w:t>
      </w:r>
    </w:p>
    <w:p>
      <w:pPr>
        <w:ind w:firstLine="420"/>
        <w:jc w:val="both"/>
      </w:pPr>
      <w:r>
        <w:rPr>
          <w:sz w:val="21"/>
        </w:rPr>
        <w:t>3、合同执行期内，乙方根据合同要求完成养护服务，并修补了任何缺陷之前，履约担保一直有效。</w:t>
      </w:r>
    </w:p>
    <w:p>
      <w:pPr>
        <w:jc w:val="both"/>
      </w:pPr>
    </w:p>
    <w:p>
      <w:pPr>
        <w:jc w:val="center"/>
      </w:pPr>
      <w:r>
        <w:rPr>
          <w:b/>
          <w:sz w:val="32"/>
        </w:rPr>
        <w:t>第七章</w:t>
      </w:r>
      <w:r>
        <w:rPr>
          <w:b/>
          <w:sz w:val="32"/>
        </w:rPr>
        <w:t xml:space="preserve"> </w:t>
      </w:r>
      <w:r>
        <w:rPr>
          <w:b/>
          <w:sz w:val="32"/>
        </w:rPr>
        <w:t>其它约定</w:t>
      </w:r>
    </w:p>
    <w:p>
      <w:pPr>
        <w:ind w:firstLine="420"/>
        <w:jc w:val="both"/>
      </w:pPr>
      <w:r>
        <w:rPr>
          <w:sz w:val="21"/>
        </w:rPr>
        <w:t>一、协调与联络</w:t>
      </w:r>
    </w:p>
    <w:p>
      <w:pPr>
        <w:ind w:firstLine="420"/>
        <w:jc w:val="both"/>
      </w:pPr>
      <w:r>
        <w:rPr>
          <w:sz w:val="21"/>
        </w:rPr>
        <w:t>1、为保证项目质量、进度、安全、文明施工等各方面达到</w:t>
      </w:r>
      <w:r>
        <w:rPr>
          <w:sz w:val="21"/>
        </w:rPr>
        <w:t>甲方</w:t>
      </w:r>
      <w:r>
        <w:rPr>
          <w:sz w:val="21"/>
        </w:rPr>
        <w:t>的要求，</w:t>
      </w:r>
      <w:r>
        <w:rPr>
          <w:sz w:val="21"/>
        </w:rPr>
        <w:t>乙方</w:t>
      </w:r>
      <w:r>
        <w:rPr>
          <w:sz w:val="21"/>
        </w:rPr>
        <w:t>进场施工必须服从甲方和监理单位的管理。</w:t>
      </w:r>
    </w:p>
    <w:p>
      <w:pPr>
        <w:ind w:firstLine="420"/>
        <w:jc w:val="both"/>
      </w:pPr>
      <w:r>
        <w:rPr>
          <w:color w:val="000000"/>
          <w:sz w:val="21"/>
        </w:rPr>
        <w:t>2、在合同期内，因政府部门规划建设及政策变化等原因需调整服务范围或者提前终止合同时，乙方应服从大局，由此造成的经济损失，甲方不负违约责任。</w:t>
      </w:r>
    </w:p>
    <w:p>
      <w:pPr>
        <w:ind w:firstLine="420"/>
        <w:jc w:val="both"/>
      </w:pPr>
      <w:r>
        <w:rPr>
          <w:sz w:val="21"/>
        </w:rPr>
        <w:t>3</w:t>
      </w:r>
      <w:r>
        <w:rPr>
          <w:sz w:val="21"/>
        </w:rPr>
        <w:t>、为有效合作，顺利执行合同，双方应于合同生效后</w:t>
      </w:r>
      <w:r>
        <w:rPr>
          <w:sz w:val="21"/>
        </w:rPr>
        <w:t>5天内将各自的项目管理机构提供给对方，同时双方需委派各自的项目负责人及其授权范围。</w:t>
      </w:r>
    </w:p>
    <w:p>
      <w:pPr>
        <w:ind w:firstLine="420"/>
        <w:jc w:val="both"/>
      </w:pPr>
      <w:r>
        <w:rPr>
          <w:sz w:val="21"/>
        </w:rPr>
        <w:t>4</w:t>
      </w:r>
      <w:r>
        <w:rPr>
          <w:sz w:val="21"/>
        </w:rPr>
        <w:t>、乙方</w:t>
      </w:r>
      <w:r>
        <w:rPr>
          <w:sz w:val="21"/>
        </w:rPr>
        <w:t>不得代表</w:t>
      </w:r>
      <w:r>
        <w:rPr>
          <w:sz w:val="21"/>
        </w:rPr>
        <w:t>甲方</w:t>
      </w:r>
      <w:r>
        <w:rPr>
          <w:sz w:val="21"/>
        </w:rPr>
        <w:t>或以</w:t>
      </w:r>
      <w:r>
        <w:rPr>
          <w:sz w:val="21"/>
        </w:rPr>
        <w:t>甲方</w:t>
      </w:r>
      <w:r>
        <w:rPr>
          <w:sz w:val="21"/>
        </w:rPr>
        <w:t>名义向其他单位或个人作出任何承诺，否则一切后果由</w:t>
      </w:r>
      <w:r>
        <w:rPr>
          <w:sz w:val="21"/>
        </w:rPr>
        <w:t>乙方</w:t>
      </w:r>
      <w:r>
        <w:rPr>
          <w:sz w:val="21"/>
        </w:rPr>
        <w:t>承担。</w:t>
      </w:r>
    </w:p>
    <w:p>
      <w:pPr>
        <w:ind w:firstLine="420"/>
        <w:jc w:val="both"/>
      </w:pPr>
      <w:r>
        <w:rPr>
          <w:sz w:val="21"/>
        </w:rPr>
        <w:t>5</w:t>
      </w:r>
      <w:r>
        <w:rPr>
          <w:sz w:val="21"/>
        </w:rPr>
        <w:t>、为更好地执行本合同，在合同执行过程中，如果双方或任何一方认为合同的履行有严重分歧而该种分歧在工作例会上以不能得到解决，可提议召开争端处理会议，会议地点也由双方协商确定，费用由各方自己负担。</w:t>
      </w:r>
    </w:p>
    <w:p>
      <w:pPr>
        <w:ind w:firstLine="420"/>
        <w:jc w:val="both"/>
      </w:pPr>
      <w:r>
        <w:rPr>
          <w:color w:val="000000"/>
          <w:sz w:val="21"/>
        </w:rPr>
        <w:t>6</w:t>
      </w:r>
      <w:r>
        <w:rPr>
          <w:color w:val="000000"/>
          <w:sz w:val="21"/>
        </w:rPr>
        <w:t>、中标人应严格遵守国家法律、法规的规定，做好社会治安综合治理等工作。不得违反国家法律、法规的规定。如中标人员工有违法乱纪行为，中标人承担一切经济责任和法律责任。</w:t>
      </w:r>
    </w:p>
    <w:p>
      <w:pPr>
        <w:ind w:firstLine="420"/>
        <w:jc w:val="both"/>
      </w:pPr>
      <w:r>
        <w:rPr>
          <w:sz w:val="21"/>
        </w:rPr>
        <w:t>7</w:t>
      </w:r>
      <w:r>
        <w:rPr>
          <w:sz w:val="21"/>
        </w:rPr>
        <w:t>、中标人需按《中华人民共和国民法典》等法律要求保障员工的合法权益。</w:t>
      </w:r>
    </w:p>
    <w:p>
      <w:pPr>
        <w:ind w:firstLine="420"/>
        <w:jc w:val="both"/>
      </w:pPr>
      <w:r>
        <w:rPr>
          <w:color w:val="000000"/>
          <w:sz w:val="21"/>
        </w:rPr>
        <w:t>8</w:t>
      </w:r>
      <w:r>
        <w:rPr>
          <w:color w:val="000000"/>
          <w:sz w:val="21"/>
        </w:rPr>
        <w:t>、项目执行过程中，如需甲方配合办理相关手续，或提供相关服务条件，均须在投标文件中详细说明，例如临时场地租用，临时用电电源接入，与甲方沟通协调等相关事宜，以便于甲方决定是否接受或提前准备，所涉及的费用均由乙方承担。</w:t>
      </w:r>
    </w:p>
    <w:p>
      <w:pPr>
        <w:ind w:firstLine="420"/>
        <w:jc w:val="both"/>
      </w:pPr>
      <w:r>
        <w:rPr>
          <w:sz w:val="21"/>
        </w:rPr>
        <w:t>9</w:t>
      </w:r>
      <w:r>
        <w:rPr>
          <w:sz w:val="21"/>
        </w:rPr>
        <w:t>、由于承包范围内的养护设施被盗或损坏或操作不当而导致他人死伤或造成其他损失的，由乙方负责赔偿和承担一切责任。</w:t>
      </w:r>
    </w:p>
    <w:p>
      <w:pPr>
        <w:ind w:firstLine="420"/>
        <w:jc w:val="both"/>
      </w:pPr>
      <w:r>
        <w:rPr>
          <w:color w:val="000000"/>
          <w:sz w:val="21"/>
        </w:rPr>
        <w:t>10</w:t>
      </w:r>
      <w:r>
        <w:rPr>
          <w:color w:val="000000"/>
          <w:sz w:val="21"/>
        </w:rPr>
        <w:t>、乙方按实际要求配足作业人员，配员不能低于该路段的最低配员标准。说明：招标文件要求的作业人员数量配置为最低要求，乙方在确认中标资格后，且乙方与甲方签订合同之前将作业人员相关资料</w:t>
      </w:r>
      <w:r>
        <w:rPr>
          <w:color w:val="000000"/>
          <w:sz w:val="21"/>
        </w:rPr>
        <w:t>(包括人员名单、已聘用人员劳动合同及社保证明、新聘用员工资料等)提交甲方及监理单位备案，作业司机、突发事件的临时应急队伍等作业人员年龄须 55 周岁以下。</w:t>
      </w:r>
    </w:p>
    <w:p>
      <w:pPr>
        <w:ind w:firstLine="420"/>
        <w:jc w:val="both"/>
      </w:pPr>
      <w:r>
        <w:rPr>
          <w:color w:val="000000"/>
          <w:sz w:val="21"/>
        </w:rPr>
        <w:t>11</w:t>
      </w:r>
      <w:r>
        <w:rPr>
          <w:color w:val="000000"/>
          <w:sz w:val="21"/>
        </w:rPr>
        <w:t>、</w:t>
      </w:r>
      <w:r>
        <w:rPr>
          <w:color w:val="000000"/>
          <w:sz w:val="21"/>
        </w:rPr>
        <w:t>服务期内，若乙方的服务效果未达到招标文件要求的质量标准，乙方须无条件服从甲方的要求增加设备及人员，直至达到招标文件要求的质量标准为止。</w:t>
      </w:r>
    </w:p>
    <w:p>
      <w:pPr>
        <w:ind w:firstLine="420"/>
        <w:jc w:val="both"/>
      </w:pPr>
      <w:r>
        <w:rPr>
          <w:sz w:val="21"/>
        </w:rPr>
        <w:t>二、</w:t>
      </w:r>
      <w:r>
        <w:rPr>
          <w:sz w:val="21"/>
        </w:rPr>
        <w:t>现场管理</w:t>
      </w:r>
    </w:p>
    <w:p>
      <w:pPr>
        <w:ind w:firstLine="420"/>
        <w:jc w:val="both"/>
      </w:pPr>
      <w:r>
        <w:rPr>
          <w:sz w:val="21"/>
        </w:rPr>
        <w:t>1、为便于管理，甲方和乙方在项目期间的联络，应通过指定的乙方和甲方的全权代表进行。</w:t>
      </w:r>
    </w:p>
    <w:p>
      <w:pPr>
        <w:ind w:firstLine="420"/>
        <w:jc w:val="both"/>
      </w:pPr>
      <w:r>
        <w:rPr>
          <w:sz w:val="21"/>
        </w:rPr>
        <w:t>2、乙方必须做到文明施工，凡施工过程中产生的淤泥垃圾等，应即时清理，不能污染周边环境。乙方在接到甲方通知2小时内未进行清洁或清洁不到位的，甲方将委托其他单位清洁，所产生的费用在乙方的保证金或合同价款中扣除。</w:t>
      </w:r>
    </w:p>
    <w:p>
      <w:pPr>
        <w:ind w:firstLine="420"/>
        <w:jc w:val="both"/>
      </w:pPr>
      <w:r>
        <w:rPr>
          <w:sz w:val="21"/>
        </w:rPr>
        <w:t>三、不可抗力</w:t>
      </w:r>
    </w:p>
    <w:p>
      <w:pPr>
        <w:ind w:firstLine="420"/>
        <w:jc w:val="left"/>
      </w:pPr>
      <w:r>
        <w:rPr>
          <w:sz w:val="21"/>
        </w:rPr>
        <w:t>1、不可抗力的认定标准：</w:t>
      </w:r>
    </w:p>
    <w:p>
      <w:pPr>
        <w:ind w:firstLine="420"/>
        <w:jc w:val="left"/>
      </w:pPr>
      <w:r>
        <w:rPr>
          <w:sz w:val="21"/>
        </w:rPr>
        <w:t>（</w:t>
      </w:r>
      <w:r>
        <w:rPr>
          <w:sz w:val="21"/>
        </w:rPr>
        <w:t>1）7级以上的地震；</w:t>
      </w:r>
    </w:p>
    <w:p>
      <w:pPr>
        <w:ind w:firstLine="420"/>
        <w:jc w:val="left"/>
      </w:pPr>
      <w:r>
        <w:rPr>
          <w:sz w:val="21"/>
        </w:rPr>
        <w:t>（</w:t>
      </w:r>
      <w:r>
        <w:rPr>
          <w:sz w:val="21"/>
        </w:rPr>
        <w:t>2）10级以上持续3天的台风；</w:t>
      </w:r>
    </w:p>
    <w:p>
      <w:pPr>
        <w:ind w:firstLine="420"/>
        <w:jc w:val="left"/>
      </w:pPr>
      <w:r>
        <w:rPr>
          <w:sz w:val="21"/>
        </w:rPr>
        <w:t>（</w:t>
      </w:r>
      <w:r>
        <w:rPr>
          <w:sz w:val="21"/>
        </w:rPr>
        <w:t>3）300mm以上的持续48小时的大雨、暴雨；</w:t>
      </w:r>
    </w:p>
    <w:p>
      <w:pPr>
        <w:ind w:firstLine="420"/>
        <w:jc w:val="left"/>
      </w:pPr>
      <w:r>
        <w:rPr>
          <w:sz w:val="21"/>
        </w:rPr>
        <w:t>（</w:t>
      </w:r>
      <w:r>
        <w:rPr>
          <w:sz w:val="21"/>
        </w:rPr>
        <w:t>4）50年以上未发生过、持续5天的高温天气；</w:t>
      </w:r>
    </w:p>
    <w:p>
      <w:pPr>
        <w:ind w:firstLine="420"/>
        <w:jc w:val="left"/>
      </w:pPr>
      <w:r>
        <w:rPr>
          <w:sz w:val="21"/>
        </w:rPr>
        <w:t>（</w:t>
      </w:r>
      <w:r>
        <w:rPr>
          <w:sz w:val="21"/>
        </w:rPr>
        <w:t>5）自然原因发生的火灾；</w:t>
      </w:r>
    </w:p>
    <w:p>
      <w:pPr>
        <w:ind w:firstLine="420"/>
        <w:jc w:val="left"/>
      </w:pPr>
      <w:r>
        <w:rPr>
          <w:sz w:val="21"/>
        </w:rPr>
        <w:t>（</w:t>
      </w:r>
      <w:r>
        <w:rPr>
          <w:sz w:val="21"/>
        </w:rPr>
        <w:t>6）国家相关法规；</w:t>
      </w:r>
    </w:p>
    <w:p>
      <w:pPr>
        <w:ind w:firstLine="420"/>
        <w:jc w:val="left"/>
      </w:pPr>
      <w:r>
        <w:rPr>
          <w:sz w:val="21"/>
        </w:rPr>
        <w:t>（</w:t>
      </w:r>
      <w:r>
        <w:rPr>
          <w:sz w:val="21"/>
        </w:rPr>
        <w:t>7）其它不可抗力原因。</w:t>
      </w:r>
    </w:p>
    <w:p>
      <w:pPr>
        <w:ind w:firstLine="420"/>
        <w:jc w:val="left"/>
      </w:pPr>
      <w:r>
        <w:rPr>
          <w:sz w:val="21"/>
        </w:rPr>
        <w:t>2、不可抗力事件发生后，乙方应立即通知甲方和监理单位并采取有效措施。不可抗力事件结束后48小时内乙方应向甲方和监理单位通报受害情况和损失情况。若不可抗力事件持续发生，乙方应每隔2天向甲方和监理单位报告受害情况；不可抗力事件持续后14天内，乙方向监理单位提交相关巡查维修报告及有关资料。</w:t>
      </w:r>
    </w:p>
    <w:p>
      <w:pPr>
        <w:ind w:firstLine="420"/>
        <w:jc w:val="left"/>
      </w:pPr>
      <w:r>
        <w:rPr>
          <w:sz w:val="21"/>
        </w:rPr>
        <w:t>3、因不可抗力事件导致的费用及延误的工期由双方按以下方法分别承担：</w:t>
      </w:r>
    </w:p>
    <w:p>
      <w:pPr>
        <w:ind w:firstLine="420"/>
        <w:jc w:val="left"/>
      </w:pPr>
      <w:r>
        <w:rPr>
          <w:sz w:val="21"/>
        </w:rPr>
        <w:t>（</w:t>
      </w:r>
      <w:r>
        <w:rPr>
          <w:sz w:val="21"/>
        </w:rPr>
        <w:t>1）双方机械设备损失及停工损失，由乙方承担；</w:t>
      </w:r>
    </w:p>
    <w:p>
      <w:pPr>
        <w:ind w:firstLine="420"/>
        <w:jc w:val="left"/>
      </w:pPr>
      <w:r>
        <w:rPr>
          <w:sz w:val="21"/>
        </w:rPr>
        <w:t>（</w:t>
      </w:r>
      <w:r>
        <w:rPr>
          <w:sz w:val="21"/>
        </w:rPr>
        <w:t>2）停工期间，乙方应要求所有管理人员和施工人员离开现场，如为进行有效撤离的导致发生安全事故的，所有责任由乙方承担；</w:t>
      </w:r>
    </w:p>
    <w:p>
      <w:pPr>
        <w:ind w:firstLine="420"/>
        <w:jc w:val="left"/>
      </w:pPr>
      <w:r>
        <w:rPr>
          <w:sz w:val="21"/>
        </w:rPr>
        <w:t>（</w:t>
      </w:r>
      <w:r>
        <w:rPr>
          <w:sz w:val="21"/>
        </w:rPr>
        <w:t>3）项目所需清理、修复费用，由乙方承担；</w:t>
      </w:r>
    </w:p>
    <w:p>
      <w:pPr>
        <w:ind w:firstLine="420"/>
        <w:jc w:val="left"/>
      </w:pPr>
      <w:r>
        <w:rPr>
          <w:sz w:val="21"/>
        </w:rPr>
        <w:t>（</w:t>
      </w:r>
      <w:r>
        <w:rPr>
          <w:sz w:val="21"/>
        </w:rPr>
        <w:t>4）延误的工期相应顺延。</w:t>
      </w:r>
    </w:p>
    <w:p>
      <w:pPr>
        <w:ind w:firstLine="420"/>
        <w:jc w:val="left"/>
      </w:pPr>
      <w:r>
        <w:rPr>
          <w:sz w:val="21"/>
        </w:rPr>
        <w:t>4、因合同一方延迟履行合同后发生不可抗力的，不能免除延迟履行方的相应责任，并按合同总价款的10%进行处罚。</w:t>
      </w:r>
    </w:p>
    <w:p>
      <w:pPr>
        <w:ind w:firstLine="420"/>
        <w:jc w:val="left"/>
      </w:pPr>
    </w:p>
    <w:p>
      <w:pPr>
        <w:jc w:val="center"/>
      </w:pPr>
      <w:r>
        <w:rPr>
          <w:b/>
          <w:sz w:val="32"/>
        </w:rPr>
        <w:t>第八章</w:t>
      </w:r>
      <w:r>
        <w:rPr>
          <w:b/>
          <w:sz w:val="32"/>
        </w:rPr>
        <w:t>违约责任</w:t>
      </w:r>
    </w:p>
    <w:p>
      <w:pPr>
        <w:ind w:firstLine="420"/>
        <w:jc w:val="both"/>
      </w:pPr>
      <w:r>
        <w:rPr>
          <w:sz w:val="21"/>
        </w:rPr>
        <w:t>一、《东莞市市属户外公益广告设施日常养护项目现场考核评分表》是合同的有效组成部分。</w:t>
      </w:r>
    </w:p>
    <w:p>
      <w:pPr>
        <w:ind w:firstLine="420"/>
        <w:jc w:val="both"/>
      </w:pPr>
      <w:r>
        <w:rPr>
          <w:sz w:val="21"/>
        </w:rPr>
        <w:t>二、乙方在进行日常养护工作时，必须按国家有关规定做好安全措施，做到文明施工。施工过程中产生的淤泥垃圾等，应即时清理，不能污染周边环境。乙方在接到甲方的通知</w:t>
      </w:r>
      <w:r>
        <w:rPr>
          <w:sz w:val="21"/>
        </w:rPr>
        <w:t>2小时内未进行清洁或清洁不够彻底的，甲方将委托其他单位清洁，所产生的费用在乙方的合同价款中扣除，并罚款2000元/次。</w:t>
      </w:r>
    </w:p>
    <w:p>
      <w:pPr>
        <w:jc w:val="both"/>
      </w:pPr>
      <w:r>
        <w:rPr>
          <w:color w:val="000000"/>
          <w:sz w:val="21"/>
        </w:rPr>
        <w:t xml:space="preserve">    </w:t>
      </w:r>
      <w:r>
        <w:rPr>
          <w:color w:val="000000"/>
          <w:sz w:val="21"/>
        </w:rPr>
        <w:t>三、在合同期内，乙方因各种原因造成第三方的人身财产损失的，由乙方独自承担其法律和经济责任，与甲方无关。</w:t>
      </w:r>
    </w:p>
    <w:p>
      <w:pPr>
        <w:ind w:firstLine="420"/>
        <w:jc w:val="both"/>
      </w:pPr>
      <w:r>
        <w:rPr>
          <w:sz w:val="21"/>
        </w:rPr>
        <w:t>四、本合同出现以下情况之一时，甲方可以单方面解除合同而无须向乙方支付任何费用或承担其他的任何责任，解除本合同后若本项目还有后续未签订合同，不再续签后续合同，由此产生的经济损失和法律责任均全部由乙方承担，乙方拖欠员工工资等费用，甲方有权代为垫付，并在养护费中抵扣：</w:t>
      </w:r>
    </w:p>
    <w:p>
      <w:pPr>
        <w:ind w:firstLine="420"/>
        <w:jc w:val="both"/>
      </w:pPr>
      <w:r>
        <w:rPr>
          <w:sz w:val="21"/>
        </w:rPr>
        <w:t>1、乙方违反本合同约定或擅自提前终止合同导致未能实现合同目的的，乙方处应按照其他特别约定承担违约责任外，还应向甲方支付合同总价款10%的违约金。包括但不限于因乙方在本项目中操作不当、管理疏漏等各种原因，发生安全生产事故造成1人以上（含1人）死亡或3人以上（含3人）重伤，并负主要责任，或隐瞒上报重大事故，且采取消极态度进行事故处理的等情况的，甲方有权单方面解除合同，并保留法律追究责任。因违反合同约定或擅自提前终止合同造成甲方经济损失的，乙方应负责全部赔偿，并向甲方支付损失总额30%的违约金。</w:t>
      </w:r>
    </w:p>
    <w:p>
      <w:pPr>
        <w:ind w:firstLine="420"/>
        <w:jc w:val="both"/>
      </w:pPr>
      <w:r>
        <w:rPr>
          <w:sz w:val="21"/>
        </w:rPr>
        <w:t>2、如因乙方自身管理原因导致管养范围内的市属户外公益广告设施受到影响或造成事故的，一概由乙方承担相关法律责任。</w:t>
      </w:r>
    </w:p>
    <w:p>
      <w:pPr>
        <w:ind w:firstLine="420"/>
        <w:jc w:val="both"/>
      </w:pPr>
      <w:r>
        <w:rPr>
          <w:sz w:val="21"/>
        </w:rPr>
        <w:t>3、无故停工且累计7天以上的。</w:t>
      </w:r>
    </w:p>
    <w:p>
      <w:pPr>
        <w:ind w:firstLine="420"/>
        <w:jc w:val="both"/>
      </w:pPr>
      <w:r>
        <w:rPr>
          <w:sz w:val="21"/>
        </w:rPr>
        <w:t>4、合同期内月度考评连续三个月考评为“差”的。</w:t>
      </w:r>
    </w:p>
    <w:p>
      <w:pPr>
        <w:ind w:firstLine="420"/>
        <w:jc w:val="both"/>
      </w:pPr>
      <w:r>
        <w:rPr>
          <w:sz w:val="21"/>
        </w:rPr>
        <w:t>5、合同期内未按整改通知书要求落实整改超过 3 次的。</w:t>
      </w:r>
    </w:p>
    <w:p>
      <w:pPr>
        <w:ind w:firstLine="420"/>
        <w:jc w:val="both"/>
      </w:pPr>
      <w:r>
        <w:rPr>
          <w:sz w:val="21"/>
        </w:rPr>
        <w:t>6、乙方应积极配合甲方做好养护范围内的市属户外公益广告设施的养护工作，响应并接受市民群众及市领导的监督检查，必须随时随地接受监督，若受到市领导批评或受到市民累计投诉达3次以上的，经调查认定情况属实的，处以罚款2000元/次，甲方有权要求终止合同，并追究乙方违约责任。</w:t>
      </w:r>
    </w:p>
    <w:p>
      <w:pPr>
        <w:ind w:firstLine="420"/>
        <w:jc w:val="both"/>
      </w:pPr>
      <w:r>
        <w:rPr>
          <w:sz w:val="21"/>
        </w:rPr>
        <w:t>7、乙方任一个月未按时足额发放员工工资（含加班工资）的人数达3人以上（含3人）的，或乙方拖欠员工工资（含加班工资）达一个月以上的，或乙方拖欠员工工资金额（含加班工资）达伍仟元以上的，或东莞市最低工资标准发生变化，乙方拒绝根据有关规定予以相应调整的。</w:t>
      </w:r>
    </w:p>
    <w:p>
      <w:pPr>
        <w:ind w:firstLine="420"/>
        <w:jc w:val="both"/>
      </w:pPr>
      <w:r>
        <w:rPr>
          <w:sz w:val="21"/>
        </w:rPr>
        <w:t>8、合同履行期间，因乙方违反劳动管理方面的法律、法规、规章及其他一般规范性文件引起上访事件或劳资纠纷案件败诉事件的。</w:t>
      </w:r>
    </w:p>
    <w:p>
      <w:pPr>
        <w:ind w:firstLine="420"/>
        <w:jc w:val="both"/>
      </w:pPr>
      <w:r>
        <w:rPr>
          <w:sz w:val="21"/>
        </w:rPr>
        <w:t>9、乙方被行政机关行政处理（包括但不限于罚款、通报批评等）达3次。</w:t>
      </w:r>
    </w:p>
    <w:p>
      <w:pPr>
        <w:ind w:firstLine="420"/>
        <w:jc w:val="both"/>
      </w:pPr>
      <w:r>
        <w:rPr>
          <w:sz w:val="21"/>
        </w:rPr>
        <w:t>10、乙方违反法律、法规、规章和其它相关规范性文件的规定，影响本合同履行的。</w:t>
      </w:r>
    </w:p>
    <w:p>
      <w:pPr>
        <w:ind w:firstLine="420"/>
        <w:jc w:val="both"/>
      </w:pPr>
      <w:r>
        <w:rPr>
          <w:sz w:val="21"/>
        </w:rPr>
        <w:t>11、在迎检活动中，由于乙方巡查不到位等原因造成迎检所在项目不合格的，扣减一个月养护费，如累计有二次迎检工作因巡查不到位等原因造成迎检所在项目不合格的，甲方有权单方面终止合同，并对乙方处以合同总价款的3%作为罚款处理。</w:t>
      </w:r>
    </w:p>
    <w:p>
      <w:pPr>
        <w:ind w:firstLine="420"/>
        <w:jc w:val="both"/>
      </w:pPr>
      <w:r>
        <w:rPr>
          <w:sz w:val="21"/>
        </w:rPr>
        <w:t>12、乙方应保证本项目相关工作人员能按招标文件的要求进行配置，同时本项目的项目经理不得同时担任同类型的其他工程项目，否则将视为违约，甲方有权按有关规定进行处罚，保留终止合同的权利。</w:t>
      </w:r>
    </w:p>
    <w:p>
      <w:pPr>
        <w:ind w:firstLine="420"/>
        <w:jc w:val="both"/>
      </w:pPr>
      <w:r>
        <w:rPr>
          <w:sz w:val="21"/>
        </w:rPr>
        <w:t>13、实施过程中，乙方必须根据承包合同中的各项条款履行职责，如发现乙方因组织措施不当、计划不落实、管理不严、实施方案中所列人员、机械设备（工作）与现场实际不符，导致养护质量达不到要求的，当月考评即为差；经甲方多次沟通后且乙方仍不改正的，属情况严重，甲方有权单方面终止合同。</w:t>
      </w:r>
    </w:p>
    <w:p>
      <w:pPr>
        <w:ind w:firstLine="420"/>
        <w:jc w:val="both"/>
      </w:pPr>
      <w:r>
        <w:rPr>
          <w:sz w:val="21"/>
        </w:rPr>
        <w:t>14、如甲方发现乙方有监守自盗等不良行为的，甲方有权单方面终止合同，乙方按违约责任向甲方支付违约金5万元至10万元不等，并承担修复责任、赔偿损失责任及法律责任。</w:t>
      </w:r>
    </w:p>
    <w:p>
      <w:pPr>
        <w:jc w:val="both"/>
      </w:pPr>
      <w:r>
        <w:rPr>
          <w:color w:val="000000"/>
          <w:sz w:val="21"/>
        </w:rPr>
        <w:t xml:space="preserve">    </w:t>
      </w:r>
      <w:r>
        <w:rPr>
          <w:color w:val="000000"/>
          <w:sz w:val="21"/>
        </w:rPr>
        <w:t>15、未经甲方书面同意，乙方不得单方面转让、转包、分包本合同内的所有项目内容（专业分包除外），如有发现，甲方有权单方解除合同，并有权要求乙方按合同总额的30%支付违约金。</w:t>
      </w:r>
    </w:p>
    <w:p>
      <w:pPr>
        <w:ind w:firstLine="420"/>
        <w:jc w:val="both"/>
      </w:pPr>
      <w:r>
        <w:rPr>
          <w:color w:val="000000"/>
          <w:sz w:val="21"/>
        </w:rPr>
        <w:t>16、招标文件中涉及的终止合同的事由。</w:t>
      </w:r>
    </w:p>
    <w:p>
      <w:pPr>
        <w:ind w:firstLine="420"/>
        <w:jc w:val="both"/>
      </w:pPr>
      <w:r>
        <w:rPr>
          <w:color w:val="000000"/>
          <w:sz w:val="21"/>
        </w:rPr>
        <w:t>17、法律、法规、规章和规范性文件规定的终止合同的事由。</w:t>
      </w:r>
    </w:p>
    <w:p>
      <w:pPr>
        <w:jc w:val="both"/>
      </w:pPr>
    </w:p>
    <w:p>
      <w:pPr>
        <w:jc w:val="center"/>
      </w:pPr>
      <w:r>
        <w:rPr>
          <w:b/>
          <w:sz w:val="32"/>
        </w:rPr>
        <w:t>第九章</w:t>
      </w:r>
      <w:r>
        <w:rPr>
          <w:b/>
          <w:sz w:val="32"/>
        </w:rPr>
        <w:t xml:space="preserve"> </w:t>
      </w:r>
      <w:r>
        <w:rPr>
          <w:b/>
          <w:sz w:val="32"/>
        </w:rPr>
        <w:t>附</w:t>
      </w:r>
      <w:r>
        <w:rPr>
          <w:b/>
          <w:sz w:val="32"/>
        </w:rPr>
        <w:t xml:space="preserve">  </w:t>
      </w:r>
      <w:r>
        <w:rPr>
          <w:b/>
          <w:sz w:val="32"/>
        </w:rPr>
        <w:t>则</w:t>
      </w:r>
    </w:p>
    <w:p>
      <w:pPr>
        <w:ind w:firstLine="420"/>
        <w:jc w:val="both"/>
      </w:pPr>
      <w:r>
        <w:rPr>
          <w:sz w:val="21"/>
        </w:rPr>
        <w:t>一、本合同在履行过程中发生争议的，双方应协商解决；协商不成的，任何一方均可向甲方所在地人民法院提出诉讼。</w:t>
      </w:r>
    </w:p>
    <w:p>
      <w:pPr>
        <w:ind w:firstLine="420"/>
        <w:jc w:val="both"/>
      </w:pPr>
      <w:r>
        <w:rPr>
          <w:sz w:val="21"/>
        </w:rPr>
        <w:t>二、下述文件是构成合同不可分割的部分，具有同等的法律效力，应一并阅读和理解。</w:t>
      </w:r>
    </w:p>
    <w:p>
      <w:pPr>
        <w:ind w:firstLine="420"/>
        <w:jc w:val="both"/>
      </w:pPr>
      <w:r>
        <w:rPr>
          <w:sz w:val="21"/>
        </w:rPr>
        <w:t>（一）中标通知书；</w:t>
      </w:r>
    </w:p>
    <w:p>
      <w:pPr>
        <w:ind w:firstLine="420"/>
        <w:jc w:val="both"/>
      </w:pPr>
      <w:r>
        <w:rPr>
          <w:sz w:val="21"/>
        </w:rPr>
        <w:t>（二）招标文件及附件；</w:t>
      </w:r>
    </w:p>
    <w:p>
      <w:pPr>
        <w:ind w:firstLine="420"/>
        <w:jc w:val="both"/>
      </w:pPr>
      <w:r>
        <w:rPr>
          <w:sz w:val="21"/>
        </w:rPr>
        <w:t>（三）投标文件及附件；</w:t>
      </w:r>
    </w:p>
    <w:p>
      <w:pPr>
        <w:ind w:firstLine="420"/>
        <w:jc w:val="both"/>
      </w:pPr>
      <w:r>
        <w:rPr>
          <w:sz w:val="21"/>
        </w:rPr>
        <w:t>（四）经双方协商一致达成的补充协议。</w:t>
      </w:r>
    </w:p>
    <w:p>
      <w:pPr>
        <w:ind w:firstLine="420"/>
        <w:jc w:val="both"/>
      </w:pPr>
      <w:r>
        <w:rPr>
          <w:sz w:val="21"/>
        </w:rPr>
        <w:t>三、本合同执行期间，如遇不可抗力，致使合同无法履行时，双方应按本合同约定及有关法律规定及时协商处理。</w:t>
      </w:r>
    </w:p>
    <w:p>
      <w:pPr>
        <w:ind w:firstLine="420"/>
        <w:jc w:val="both"/>
      </w:pPr>
      <w:r>
        <w:rPr>
          <w:sz w:val="21"/>
        </w:rPr>
        <w:t>四、本合同一式柒份，均具有同等法律效力。甲方执肆份，乙方执叁份（其中一份送采购代理机构备案），自甲乙双方签字、乙方履约保证金或履约保函提交之日起生效。合同期满本合同自然终止。</w:t>
      </w:r>
    </w:p>
    <w:p>
      <w:pPr>
        <w:jc w:val="both"/>
      </w:pPr>
    </w:p>
    <w:p>
      <w:pPr>
        <w:jc w:val="both"/>
      </w:pPr>
      <w:r>
        <w:rPr>
          <w:sz w:val="21"/>
        </w:rPr>
        <w:t>甲</w:t>
      </w:r>
      <w:r>
        <w:rPr>
          <w:sz w:val="21"/>
        </w:rPr>
        <w:t>方（盖章）：</w:t>
      </w:r>
      <w:r>
        <w:rPr>
          <w:sz w:val="21"/>
        </w:rPr>
        <w:t xml:space="preserve">                                 </w:t>
      </w:r>
      <w:r>
        <w:rPr>
          <w:sz w:val="21"/>
        </w:rPr>
        <w:t>乙</w:t>
      </w:r>
      <w:r>
        <w:rPr>
          <w:sz w:val="21"/>
        </w:rPr>
        <w:t>方（盖章）：</w:t>
      </w:r>
      <w:r>
        <w:rPr>
          <w:b/>
          <w:sz w:val="21"/>
        </w:rPr>
        <w:t xml:space="preserve"> </w:t>
      </w:r>
    </w:p>
    <w:p>
      <w:pPr>
        <w:jc w:val="both"/>
      </w:pPr>
      <w:r>
        <w:rPr>
          <w:sz w:val="21"/>
        </w:rPr>
        <w:t>代表人（签字）：</w:t>
      </w:r>
      <w:r>
        <w:rPr>
          <w:sz w:val="21"/>
        </w:rPr>
        <w:t xml:space="preserve">                                </w:t>
      </w:r>
      <w:r>
        <w:rPr>
          <w:sz w:val="21"/>
        </w:rPr>
        <w:t>代表人（签字）：</w:t>
      </w:r>
    </w:p>
    <w:p>
      <w:pPr>
        <w:jc w:val="both"/>
      </w:pPr>
      <w:r>
        <w:rPr>
          <w:sz w:val="21"/>
        </w:rPr>
        <w:t>地</w:t>
      </w:r>
      <w:r>
        <w:rPr>
          <w:sz w:val="21"/>
        </w:rPr>
        <w:t xml:space="preserve"> </w:t>
      </w:r>
      <w:r>
        <w:rPr>
          <w:sz w:val="21"/>
        </w:rPr>
        <w:t>址：</w:t>
      </w:r>
      <w:r>
        <w:rPr>
          <w:sz w:val="21"/>
        </w:rPr>
        <w:t xml:space="preserve">                                       </w:t>
      </w:r>
      <w:r>
        <w:rPr>
          <w:sz w:val="21"/>
        </w:rPr>
        <w:t>地</w:t>
      </w:r>
      <w:r>
        <w:rPr>
          <w:sz w:val="21"/>
        </w:rPr>
        <w:t xml:space="preserve"> </w:t>
      </w:r>
      <w:r>
        <w:rPr>
          <w:sz w:val="21"/>
        </w:rPr>
        <w:t>址：</w:t>
      </w:r>
      <w:r>
        <w:rPr>
          <w:sz w:val="21"/>
        </w:rPr>
        <w:t xml:space="preserve">  </w:t>
      </w:r>
    </w:p>
    <w:p>
      <w:pPr>
        <w:ind w:firstLine="5040"/>
        <w:jc w:val="both"/>
      </w:pPr>
      <w:r>
        <w:rPr>
          <w:sz w:val="21"/>
        </w:rPr>
        <w:t>账户名：</w:t>
      </w:r>
    </w:p>
    <w:p>
      <w:pPr>
        <w:ind w:firstLine="5040"/>
        <w:jc w:val="both"/>
      </w:pPr>
      <w:r>
        <w:rPr>
          <w:sz w:val="21"/>
        </w:rPr>
        <w:t>开户银行：</w:t>
      </w:r>
    </w:p>
    <w:p>
      <w:pPr>
        <w:ind w:firstLine="5040"/>
        <w:jc w:val="both"/>
      </w:pPr>
      <w:r>
        <w:rPr>
          <w:sz w:val="21"/>
        </w:rPr>
        <w:t>账</w:t>
      </w:r>
      <w:r>
        <w:rPr>
          <w:sz w:val="21"/>
        </w:rPr>
        <w:t xml:space="preserve"> </w:t>
      </w:r>
      <w:r>
        <w:rPr>
          <w:sz w:val="21"/>
        </w:rPr>
        <w:t>号：</w:t>
      </w:r>
    </w:p>
    <w:p>
      <w:pPr>
        <w:ind w:firstLine="5040"/>
        <w:jc w:val="both"/>
      </w:pPr>
      <w:r>
        <w:rPr>
          <w:sz w:val="21"/>
        </w:rPr>
        <w:t>统一社会信用代码：</w:t>
      </w:r>
    </w:p>
    <w:p>
      <w:pPr>
        <w:ind w:firstLine="5040"/>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p>
    <w:p/>
    <w:p/>
    <w:p>
      <w:r>
        <w:rPr/>
        <w:t xml:space="preserve"> </w:t>
      </w:r>
    </w:p>
    <w:p>
      <w:pPr>
        <w:jc w:val="both"/>
      </w:pPr>
      <w:r>
        <w:rPr>
          <w:sz w:val="21"/>
        </w:rPr>
        <w:t>附件：</w:t>
      </w:r>
      <w:r>
        <w:rPr>
          <w:sz w:val="21"/>
        </w:rPr>
        <w:t>1、《现场考核评分标准》</w:t>
      </w:r>
    </w:p>
    <w:p>
      <w:pPr>
        <w:ind w:firstLine="630"/>
        <w:jc w:val="both"/>
      </w:pPr>
      <w:r>
        <w:rPr>
          <w:sz w:val="21"/>
        </w:rPr>
        <w:t>2、现场点位图（详见采购公告附件）</w:t>
      </w:r>
    </w:p>
    <w:p>
      <w:pPr>
        <w:jc w:val="center"/>
      </w:pPr>
    </w:p>
    <w:p>
      <w:pPr>
        <w:jc w:val="center"/>
      </w:pPr>
      <w:r>
        <w:rPr>
          <w:b/>
          <w:sz w:val="36"/>
        </w:rPr>
        <w:t>东莞市直管道路市属户外公益广告设施日常</w:t>
      </w:r>
    </w:p>
    <w:p>
      <w:pPr>
        <w:jc w:val="center"/>
      </w:pPr>
      <w:r>
        <w:rPr>
          <w:b/>
          <w:sz w:val="36"/>
        </w:rPr>
        <w:t>维护项目考核评分表</w:t>
      </w:r>
    </w:p>
    <w:p>
      <w:pPr>
        <w:jc w:val="center"/>
      </w:pPr>
      <w:r>
        <w:rPr>
          <w:sz w:val="22"/>
        </w:rPr>
        <w:t>（考核时间段：</w:t>
      </w:r>
      <w:r>
        <w:rPr>
          <w:u w:val="single"/>
        </w:rPr>
        <w:t xml:space="preserve">    </w:t>
      </w:r>
      <w:r>
        <w:rPr>
          <w:sz w:val="22"/>
        </w:rPr>
        <w:t>年</w:t>
      </w:r>
      <w:r>
        <w:rPr>
          <w:u w:val="single"/>
        </w:rPr>
        <w:t xml:space="preserve">   </w:t>
      </w:r>
      <w:r>
        <w:rPr>
          <w:sz w:val="22"/>
        </w:rPr>
        <w:t>月</w:t>
      </w:r>
      <w:r>
        <w:rPr>
          <w:u w:val="single"/>
        </w:rPr>
        <w:t xml:space="preserve">   </w:t>
      </w:r>
      <w:r>
        <w:rPr>
          <w:sz w:val="22"/>
        </w:rPr>
        <w:t>日</w:t>
      </w:r>
      <w:r>
        <w:rPr>
          <w:sz w:val="22"/>
        </w:rPr>
        <w:t>—</w:t>
      </w:r>
      <w:r>
        <w:rPr>
          <w:u w:val="single"/>
        </w:rPr>
        <w:t xml:space="preserve">   </w:t>
      </w:r>
      <w:r>
        <w:rPr>
          <w:sz w:val="22"/>
        </w:rPr>
        <w:t>年</w:t>
      </w:r>
      <w:r>
        <w:rPr>
          <w:u w:val="single"/>
        </w:rPr>
        <w:t xml:space="preserve">   </w:t>
      </w:r>
      <w:r>
        <w:rPr>
          <w:sz w:val="22"/>
        </w:rPr>
        <w:t>月</w:t>
      </w:r>
      <w:r>
        <w:rPr>
          <w:u w:val="single"/>
        </w:rPr>
        <w:t xml:space="preserve">   </w:t>
      </w:r>
      <w:r>
        <w:rPr>
          <w:sz w:val="22"/>
        </w:rPr>
        <w:t>日）</w:t>
      </w:r>
    </w:p>
    <w:p>
      <w:pPr>
        <w:jc w:val="both"/>
      </w:pPr>
    </w:p>
    <w:p>
      <w:pPr>
        <w:jc w:val="both"/>
      </w:pPr>
      <w:r>
        <w:rPr>
          <w:b/>
          <w:sz w:val="21"/>
        </w:rPr>
        <w:t>一、</w:t>
      </w:r>
      <w:r>
        <w:rPr>
          <w:b/>
          <w:sz w:val="21"/>
        </w:rPr>
        <w:t>总则</w:t>
      </w:r>
    </w:p>
    <w:p>
      <w:pPr>
        <w:ind w:firstLine="420"/>
        <w:jc w:val="both"/>
      </w:pPr>
      <w:r>
        <w:rPr>
          <w:sz w:val="21"/>
        </w:rPr>
        <w:t>1、甲方和监理单位对乙方实行不定时、不定点检查，每月按百分制打分，共分3个档次，分别为：优良（100分—90分）、中（89分—80分）、差（79分以下）。</w:t>
      </w:r>
    </w:p>
    <w:p>
      <w:pPr>
        <w:ind w:firstLine="420"/>
        <w:jc w:val="both"/>
      </w:pPr>
      <w:r>
        <w:rPr>
          <w:sz w:val="21"/>
        </w:rPr>
        <w:t>2、当月评分总分在90分或以上的，全额领取当月养护费；89分及以下的，按所得分值占总养护费比例领取当月养护费，例如得分89分，则领取当月养护费的89%，如此类推；月度综合考评总分在79分及以下的属差，扣减当月的全额养护费处理。</w:t>
      </w:r>
    </w:p>
    <w:p>
      <w:pPr>
        <w:ind w:firstLine="420"/>
        <w:jc w:val="both"/>
      </w:pPr>
      <w:r>
        <w:rPr>
          <w:sz w:val="21"/>
        </w:rPr>
        <w:t>3、合同期内月度综合考评属差的累计达三次，甲方有权单方面解除合同，并有权要求乙方按合同总价的10%支付违约金。</w:t>
      </w:r>
    </w:p>
    <w:p>
      <w:pPr>
        <w:jc w:val="both"/>
      </w:pPr>
      <w:r>
        <w:rPr>
          <w:sz w:val="21"/>
        </w:rPr>
        <w:t>二、</w:t>
      </w:r>
      <w:r>
        <w:rPr>
          <w:b/>
          <w:sz w:val="21"/>
        </w:rPr>
        <w:t>评分标准，总分</w:t>
      </w:r>
      <w:r>
        <w:rPr>
          <w:b/>
          <w:sz w:val="21"/>
        </w:rPr>
        <w:t>100分</w:t>
      </w:r>
    </w:p>
    <w:tbl>
      <w:tblPr>
        <w:tblW w:w="0" w:type="auto"/>
        <w:tblBorders>
          <w:top w:val="none" w:color="000000" w:sz="4"/>
          <w:left w:val="none" w:color="000000" w:sz="4"/>
          <w:bottom w:val="none" w:color="000000" w:sz="4"/>
          <w:right w:val="none" w:color="000000" w:sz="4"/>
          <w:insideH w:val="none"/>
          <w:insideV w:val="none"/>
        </w:tblBorders>
      </w:tblPr>
      <w:tblGrid>
        <w:gridCol w:w="463"/>
        <w:gridCol w:w="885"/>
        <w:gridCol w:w="1660"/>
        <w:gridCol w:w="2072"/>
        <w:gridCol w:w="2488"/>
        <w:gridCol w:w="738"/>
      </w:tblGrid>
      <w:tr>
        <w:tc>
          <w:tcPr>
            <w:tcW w:type="dxa" w:w="46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885"/>
            <w:tcBorders>
              <w:top w:val="single" w:color="000000" w:sz="4"/>
              <w:left w:val="single" w:color="000000" w:sz="4"/>
              <w:bottom w:val="single" w:color="000000" w:sz="4"/>
              <w:right w:val="single" w:color="000000" w:sz="4"/>
            </w:tcBorders>
            <w:vAlign w:val="top"/>
          </w:tcPr>
          <w:p>
            <w:pPr>
              <w:jc w:val="center"/>
            </w:pPr>
            <w:r>
              <w:rPr>
                <w:b/>
                <w:sz w:val="21"/>
              </w:rPr>
              <w:t>项目</w:t>
            </w:r>
          </w:p>
        </w:tc>
        <w:tc>
          <w:tcPr>
            <w:tcW w:type="dxa" w:w="1660"/>
            <w:tcBorders>
              <w:top w:val="single" w:color="000000" w:sz="4"/>
              <w:left w:val="single" w:color="000000" w:sz="4"/>
              <w:bottom w:val="single" w:color="000000" w:sz="4"/>
              <w:right w:val="single" w:color="000000" w:sz="4"/>
            </w:tcBorders>
            <w:vAlign w:val="top"/>
          </w:tcPr>
          <w:p>
            <w:pPr>
              <w:jc w:val="center"/>
            </w:pPr>
            <w:r>
              <w:rPr>
                <w:b/>
                <w:sz w:val="21"/>
              </w:rPr>
              <w:t>分项</w:t>
            </w:r>
          </w:p>
        </w:tc>
        <w:tc>
          <w:tcPr>
            <w:tcW w:type="dxa" w:w="2072"/>
            <w:tcBorders>
              <w:top w:val="single" w:color="000000" w:sz="4"/>
              <w:left w:val="single" w:color="000000" w:sz="4"/>
              <w:bottom w:val="single" w:color="000000" w:sz="4"/>
              <w:right w:val="single" w:color="000000" w:sz="4"/>
            </w:tcBorders>
            <w:vAlign w:val="top"/>
          </w:tcPr>
          <w:p>
            <w:pPr>
              <w:jc w:val="center"/>
            </w:pPr>
            <w:r>
              <w:rPr>
                <w:b/>
                <w:sz w:val="21"/>
              </w:rPr>
              <w:t>扣分标准</w:t>
            </w:r>
          </w:p>
        </w:tc>
        <w:tc>
          <w:tcPr>
            <w:tcW w:type="dxa" w:w="2488"/>
            <w:tcBorders>
              <w:top w:val="single" w:color="000000" w:sz="4"/>
              <w:left w:val="single" w:color="000000" w:sz="4"/>
              <w:bottom w:val="single" w:color="000000" w:sz="4"/>
              <w:right w:val="single" w:color="000000" w:sz="4"/>
            </w:tcBorders>
            <w:vAlign w:val="top"/>
          </w:tcPr>
          <w:p>
            <w:pPr>
              <w:jc w:val="center"/>
            </w:pPr>
            <w:r>
              <w:rPr>
                <w:b/>
                <w:sz w:val="21"/>
              </w:rPr>
              <w:t>考核标准</w:t>
            </w:r>
          </w:p>
        </w:tc>
        <w:tc>
          <w:tcPr>
            <w:tcW w:type="dxa" w:w="738"/>
            <w:tcBorders>
              <w:top w:val="single" w:color="000000" w:sz="4"/>
              <w:left w:val="single" w:color="000000" w:sz="4"/>
              <w:bottom w:val="single" w:color="000000" w:sz="4"/>
              <w:right w:val="single" w:color="000000" w:sz="4"/>
            </w:tcBorders>
            <w:vAlign w:val="top"/>
          </w:tcPr>
          <w:p>
            <w:pPr>
              <w:jc w:val="center"/>
            </w:pPr>
            <w:r>
              <w:rPr>
                <w:b/>
                <w:sz w:val="21"/>
              </w:rPr>
              <w:t>扣分</w:t>
            </w:r>
          </w:p>
        </w:tc>
      </w:tr>
      <w:tr>
        <w:tc>
          <w:tcPr>
            <w:tcW w:type="dxa" w:w="46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85"/>
            <w:tcBorders>
              <w:top w:val="none" w:color="000000" w:sz="4"/>
              <w:left w:val="single" w:color="000000" w:sz="4"/>
              <w:bottom w:val="single" w:color="000000" w:sz="4"/>
              <w:right w:val="single" w:color="000000" w:sz="4"/>
            </w:tcBorders>
            <w:vAlign w:val="top"/>
          </w:tcPr>
          <w:p>
            <w:pPr>
              <w:jc w:val="center"/>
            </w:pPr>
            <w:r>
              <w:rPr>
                <w:sz w:val="21"/>
              </w:rPr>
              <w:t>考勤</w:t>
            </w:r>
          </w:p>
          <w:p>
            <w:pPr>
              <w:jc w:val="center"/>
            </w:pPr>
            <w:r>
              <w:rPr>
                <w:sz w:val="21"/>
              </w:rPr>
              <w:t>情况</w:t>
            </w:r>
          </w:p>
        </w:tc>
        <w:tc>
          <w:tcPr>
            <w:tcW w:type="dxa" w:w="1660"/>
            <w:tcBorders>
              <w:top w:val="none" w:color="000000" w:sz="4"/>
              <w:left w:val="single" w:color="000000" w:sz="4"/>
              <w:bottom w:val="single" w:color="000000" w:sz="4"/>
              <w:right w:val="single" w:color="000000" w:sz="4"/>
            </w:tcBorders>
            <w:vAlign w:val="top"/>
          </w:tcPr>
          <w:p>
            <w:pPr>
              <w:jc w:val="center"/>
            </w:pPr>
            <w:r>
              <w:rPr>
                <w:sz w:val="21"/>
              </w:rPr>
              <w:t>养护团队</w:t>
            </w:r>
          </w:p>
          <w:p>
            <w:pPr>
              <w:jc w:val="center"/>
            </w:pPr>
            <w:r>
              <w:rPr>
                <w:sz w:val="21"/>
              </w:rPr>
              <w:t>人员考勤</w:t>
            </w:r>
          </w:p>
        </w:tc>
        <w:tc>
          <w:tcPr>
            <w:tcW w:type="dxa" w:w="2072"/>
            <w:tcBorders>
              <w:top w:val="none" w:color="000000" w:sz="4"/>
              <w:left w:val="single" w:color="000000" w:sz="4"/>
              <w:bottom w:val="single" w:color="000000" w:sz="4"/>
              <w:right w:val="single" w:color="000000" w:sz="4"/>
            </w:tcBorders>
            <w:vAlign w:val="top"/>
          </w:tcPr>
          <w:p>
            <w:pPr>
              <w:jc w:val="both"/>
            </w:pPr>
            <w:r>
              <w:rPr>
                <w:sz w:val="20"/>
              </w:rPr>
              <w:t>巡查人员需每日巡查到位，每发现一次人员巡查未到位的，项目负责人扣</w:t>
            </w:r>
            <w:r>
              <w:rPr>
                <w:sz w:val="20"/>
              </w:rPr>
              <w:t>2分/次，其他人员扣1.5分/次</w:t>
            </w:r>
          </w:p>
        </w:tc>
        <w:tc>
          <w:tcPr>
            <w:tcW w:type="dxa" w:w="2488"/>
            <w:tcBorders>
              <w:top w:val="none" w:color="000000" w:sz="4"/>
              <w:left w:val="single" w:color="000000" w:sz="4"/>
              <w:bottom w:val="single" w:color="000000" w:sz="4"/>
              <w:right w:val="single" w:color="000000" w:sz="4"/>
            </w:tcBorders>
            <w:vAlign w:val="top"/>
          </w:tcPr>
          <w:p>
            <w:pPr>
              <w:jc w:val="both"/>
            </w:pPr>
            <w:r>
              <w:rPr>
                <w:sz w:val="21"/>
              </w:rPr>
              <w:t>根据每周提交的巡查人员排班表，每日随机考勤</w:t>
            </w:r>
          </w:p>
        </w:tc>
        <w:tc>
          <w:tcPr>
            <w:tcW w:type="dxa" w:w="738"/>
            <w:tcBorders>
              <w:top w:val="none" w:color="000000" w:sz="4"/>
              <w:left w:val="single" w:color="000000" w:sz="4"/>
              <w:bottom w:val="single" w:color="000000" w:sz="4"/>
              <w:right w:val="single" w:color="000000" w:sz="4"/>
            </w:tcBorders>
            <w:vAlign w:val="top"/>
          </w:tcPr>
          <w:p>
            <w:pPr>
              <w:jc w:val="center"/>
            </w:pPr>
          </w:p>
        </w:tc>
      </w:tr>
      <w:tr>
        <w:tc>
          <w:tcPr>
            <w:tcW w:type="dxa" w:w="463"/>
            <w:vMerge w:val="restart"/>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85"/>
            <w:vMerge w:val="restart"/>
            <w:tcBorders>
              <w:top w:val="none" w:color="000000" w:sz="4"/>
              <w:left w:val="single" w:color="000000" w:sz="4"/>
              <w:bottom w:val="single" w:color="000000" w:sz="4"/>
              <w:right w:val="single" w:color="000000" w:sz="4"/>
            </w:tcBorders>
            <w:vAlign w:val="top"/>
          </w:tcPr>
          <w:p>
            <w:pPr>
              <w:jc w:val="center"/>
            </w:pPr>
            <w:r>
              <w:rPr>
                <w:sz w:val="21"/>
              </w:rPr>
              <w:t>亮灯</w:t>
            </w:r>
          </w:p>
          <w:p>
            <w:pPr>
              <w:jc w:val="center"/>
            </w:pPr>
            <w:r>
              <w:rPr>
                <w:sz w:val="21"/>
              </w:rPr>
              <w:t>情况</w:t>
            </w:r>
          </w:p>
        </w:tc>
        <w:tc>
          <w:tcPr>
            <w:tcW w:type="dxa" w:w="1660"/>
            <w:tcBorders>
              <w:top w:val="none" w:color="000000" w:sz="4"/>
              <w:left w:val="single" w:color="000000" w:sz="4"/>
              <w:bottom w:val="single" w:color="000000" w:sz="4"/>
              <w:right w:val="single" w:color="000000" w:sz="4"/>
            </w:tcBorders>
            <w:vAlign w:val="top"/>
          </w:tcPr>
          <w:p>
            <w:pPr>
              <w:jc w:val="center"/>
            </w:pPr>
          </w:p>
        </w:tc>
        <w:tc>
          <w:tcPr>
            <w:tcW w:type="dxa" w:w="2072"/>
            <w:tcBorders>
              <w:top w:val="none" w:color="000000" w:sz="4"/>
              <w:left w:val="single" w:color="000000" w:sz="4"/>
              <w:bottom w:val="single" w:color="000000" w:sz="4"/>
              <w:right w:val="single" w:color="000000" w:sz="4"/>
            </w:tcBorders>
            <w:vAlign w:val="top"/>
          </w:tcPr>
          <w:p>
            <w:pPr>
              <w:jc w:val="both"/>
            </w:pPr>
            <w:r>
              <w:rPr>
                <w:sz w:val="21"/>
              </w:rPr>
              <w:t>每盏</w:t>
            </w:r>
            <w:r>
              <w:rPr>
                <w:sz w:val="21"/>
              </w:rPr>
              <w:t>0.1分；连续或规则出现灭灯的，每处扣3分</w:t>
            </w:r>
          </w:p>
        </w:tc>
        <w:tc>
          <w:tcPr>
            <w:tcW w:type="dxa" w:w="2488"/>
            <w:tcBorders>
              <w:top w:val="none" w:color="000000" w:sz="4"/>
              <w:left w:val="single" w:color="000000" w:sz="4"/>
              <w:bottom w:val="single" w:color="000000" w:sz="4"/>
              <w:right w:val="single" w:color="000000" w:sz="4"/>
            </w:tcBorders>
            <w:vAlign w:val="top"/>
          </w:tcPr>
          <w:p>
            <w:pPr>
              <w:jc w:val="both"/>
            </w:pPr>
            <w:r>
              <w:rPr>
                <w:sz w:val="21"/>
              </w:rPr>
              <w:t>发现灭灯且未向甲方报备的；连续或规则灭灯（</w:t>
            </w:r>
            <w:r>
              <w:rPr>
                <w:sz w:val="21"/>
              </w:rPr>
              <w:t>5盏以上）的，发现即扣分</w:t>
            </w:r>
          </w:p>
        </w:tc>
        <w:tc>
          <w:tcPr>
            <w:tcW w:type="dxa" w:w="738"/>
            <w:tcBorders>
              <w:top w:val="none" w:color="000000" w:sz="4"/>
              <w:left w:val="single" w:color="000000" w:sz="4"/>
              <w:bottom w:val="single" w:color="000000" w:sz="4"/>
              <w:right w:val="single" w:color="000000" w:sz="4"/>
            </w:tcBorders>
            <w:vAlign w:val="top"/>
          </w:tcPr>
          <w:p>
            <w:pPr>
              <w:jc w:val="center"/>
            </w:pPr>
          </w:p>
        </w:tc>
      </w:tr>
      <w:tr>
        <w:tc>
          <w:tcPr>
            <w:tcW w:type="dxa" w:w="463"/>
            <w:vMerge/>
            <w:tcBorders>
              <w:top w:val="none" w:color="000000" w:sz="4"/>
              <w:left w:val="single" w:color="000000" w:sz="4"/>
              <w:bottom w:val="single" w:color="000000" w:sz="4"/>
              <w:right w:val="single" w:color="000000" w:sz="4"/>
            </w:tcBorders>
          </w:tcPr>
          <w:p/>
        </w:tc>
        <w:tc>
          <w:tcPr>
            <w:tcW w:type="dxa" w:w="885"/>
            <w:vMerge/>
            <w:tcBorders>
              <w:top w:val="none" w:color="000000" w:sz="4"/>
              <w:left w:val="single" w:color="000000" w:sz="4"/>
              <w:bottom w:val="single" w:color="000000" w:sz="4"/>
              <w:right w:val="single" w:color="000000" w:sz="4"/>
            </w:tcBorders>
          </w:tcPr>
          <w:p/>
        </w:tc>
        <w:tc>
          <w:tcPr>
            <w:tcW w:type="dxa" w:w="1660"/>
            <w:tcBorders>
              <w:top w:val="none" w:color="000000" w:sz="4"/>
              <w:left w:val="single" w:color="000000" w:sz="4"/>
              <w:bottom w:val="single" w:color="000000" w:sz="4"/>
              <w:right w:val="single" w:color="000000" w:sz="4"/>
            </w:tcBorders>
            <w:vAlign w:val="top"/>
          </w:tcPr>
          <w:p>
            <w:pPr>
              <w:jc w:val="center"/>
            </w:pPr>
          </w:p>
        </w:tc>
        <w:tc>
          <w:tcPr>
            <w:tcW w:type="dxa" w:w="2072"/>
            <w:tcBorders>
              <w:top w:val="none" w:color="000000" w:sz="4"/>
              <w:left w:val="single" w:color="000000" w:sz="4"/>
              <w:bottom w:val="single" w:color="000000" w:sz="4"/>
              <w:right w:val="single" w:color="000000" w:sz="4"/>
            </w:tcBorders>
            <w:vAlign w:val="top"/>
          </w:tcPr>
          <w:p>
            <w:pPr>
              <w:jc w:val="center"/>
            </w:pPr>
            <w:r>
              <w:rPr>
                <w:sz w:val="21"/>
              </w:rPr>
              <w:t>亮灯率每降低</w:t>
            </w:r>
            <w:r>
              <w:rPr>
                <w:sz w:val="21"/>
              </w:rPr>
              <w:t>1%（不足 1%按照 1%计算）扣 5 分</w:t>
            </w:r>
          </w:p>
        </w:tc>
        <w:tc>
          <w:tcPr>
            <w:tcW w:type="dxa" w:w="2488"/>
            <w:tcBorders>
              <w:top w:val="none" w:color="000000" w:sz="4"/>
              <w:left w:val="single" w:color="000000" w:sz="4"/>
              <w:bottom w:val="single" w:color="000000" w:sz="4"/>
              <w:right w:val="single" w:color="000000" w:sz="4"/>
            </w:tcBorders>
            <w:vAlign w:val="top"/>
          </w:tcPr>
          <w:p>
            <w:pPr>
              <w:jc w:val="both"/>
            </w:pPr>
            <w:r>
              <w:rPr>
                <w:sz w:val="21"/>
              </w:rPr>
              <w:t>广告设施亮灯率不低于</w:t>
            </w:r>
            <w:r>
              <w:rPr>
                <w:sz w:val="21"/>
              </w:rPr>
              <w:t>99%</w:t>
            </w:r>
          </w:p>
        </w:tc>
        <w:tc>
          <w:tcPr>
            <w:tcW w:type="dxa" w:w="738"/>
            <w:tcBorders>
              <w:top w:val="none" w:color="000000" w:sz="4"/>
              <w:left w:val="single" w:color="000000" w:sz="4"/>
              <w:bottom w:val="single" w:color="000000" w:sz="4"/>
              <w:right w:val="single" w:color="000000" w:sz="4"/>
            </w:tcBorders>
            <w:vAlign w:val="top"/>
          </w:tcPr>
          <w:p>
            <w:pPr>
              <w:jc w:val="center"/>
            </w:pPr>
          </w:p>
        </w:tc>
      </w:tr>
      <w:tr>
        <w:tc>
          <w:tcPr>
            <w:tcW w:type="dxa" w:w="46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85"/>
            <w:tcBorders>
              <w:top w:val="none" w:color="000000" w:sz="4"/>
              <w:left w:val="single" w:color="000000" w:sz="4"/>
              <w:bottom w:val="single" w:color="000000" w:sz="4"/>
              <w:right w:val="single" w:color="000000" w:sz="4"/>
            </w:tcBorders>
            <w:vAlign w:val="top"/>
          </w:tcPr>
          <w:p>
            <w:pPr>
              <w:jc w:val="center"/>
            </w:pPr>
            <w:r>
              <w:rPr>
                <w:sz w:val="21"/>
              </w:rPr>
              <w:t>维修时效、工作完成情况</w:t>
            </w:r>
          </w:p>
        </w:tc>
        <w:tc>
          <w:tcPr>
            <w:tcW w:type="dxa" w:w="1660"/>
            <w:tcBorders>
              <w:top w:val="none" w:color="000000" w:sz="4"/>
              <w:left w:val="single" w:color="000000" w:sz="4"/>
              <w:bottom w:val="single" w:color="000000" w:sz="4"/>
              <w:right w:val="single" w:color="000000" w:sz="4"/>
            </w:tcBorders>
            <w:vAlign w:val="top"/>
          </w:tcPr>
          <w:p>
            <w:pPr>
              <w:jc w:val="center"/>
            </w:pPr>
            <w:r>
              <w:rPr>
                <w:sz w:val="21"/>
              </w:rPr>
              <w:t>电气设施</w:t>
            </w:r>
          </w:p>
          <w:p>
            <w:pPr>
              <w:jc w:val="center"/>
            </w:pPr>
            <w:r>
              <w:rPr>
                <w:sz w:val="21"/>
              </w:rPr>
              <w:t>故障</w:t>
            </w:r>
          </w:p>
        </w:tc>
        <w:tc>
          <w:tcPr>
            <w:tcW w:type="dxa" w:w="2072"/>
            <w:tcBorders>
              <w:top w:val="none" w:color="000000" w:sz="4"/>
              <w:left w:val="single" w:color="000000" w:sz="4"/>
              <w:bottom w:val="single" w:color="000000" w:sz="4"/>
              <w:right w:val="single" w:color="000000" w:sz="4"/>
            </w:tcBorders>
            <w:vAlign w:val="top"/>
          </w:tcPr>
          <w:p>
            <w:pPr>
              <w:jc w:val="center"/>
            </w:pPr>
            <w:r>
              <w:rPr>
                <w:sz w:val="21"/>
              </w:rPr>
              <w:t>3分/次</w:t>
            </w:r>
          </w:p>
        </w:tc>
        <w:tc>
          <w:tcPr>
            <w:tcW w:type="dxa" w:w="2488"/>
            <w:tcBorders>
              <w:top w:val="none" w:color="000000" w:sz="4"/>
              <w:left w:val="single" w:color="000000" w:sz="4"/>
              <w:bottom w:val="single" w:color="000000" w:sz="4"/>
              <w:right w:val="single" w:color="000000" w:sz="4"/>
            </w:tcBorders>
            <w:vAlign w:val="top"/>
          </w:tcPr>
          <w:p>
            <w:pPr>
              <w:jc w:val="both"/>
            </w:pPr>
            <w:r>
              <w:rPr>
                <w:sz w:val="21"/>
              </w:rPr>
              <w:t>自甲方或监理单位发现后，</w:t>
            </w:r>
            <w:r>
              <w:rPr>
                <w:sz w:val="21"/>
              </w:rPr>
              <w:t>6小时内未修复的</w:t>
            </w:r>
          </w:p>
          <w:p>
            <w:pPr>
              <w:jc w:val="both"/>
            </w:pPr>
            <w:r>
              <w:rPr>
                <w:sz w:val="21"/>
              </w:rPr>
              <w:t>（属养护单位自身责任问题，且未向甲方或监理单位上报维修计划的）</w:t>
            </w:r>
          </w:p>
        </w:tc>
        <w:tc>
          <w:tcPr>
            <w:tcW w:type="dxa" w:w="738"/>
            <w:tcBorders>
              <w:top w:val="none" w:color="000000" w:sz="4"/>
              <w:left w:val="single" w:color="000000" w:sz="4"/>
              <w:bottom w:val="single" w:color="000000" w:sz="4"/>
              <w:right w:val="single" w:color="000000" w:sz="4"/>
            </w:tcBorders>
            <w:vAlign w:val="top"/>
          </w:tcPr>
          <w:p>
            <w:pPr>
              <w:jc w:val="center"/>
            </w:pPr>
          </w:p>
        </w:tc>
      </w:tr>
      <w:tr>
        <w:tc>
          <w:tcPr>
            <w:tcW w:type="dxa" w:w="463"/>
            <w:vMerge w:val="restart"/>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85"/>
            <w:vMerge w:val="restart"/>
            <w:tcBorders>
              <w:top w:val="none" w:color="000000" w:sz="4"/>
              <w:left w:val="single" w:color="000000" w:sz="4"/>
              <w:bottom w:val="single" w:color="000000" w:sz="4"/>
              <w:right w:val="single" w:color="000000" w:sz="4"/>
            </w:tcBorders>
            <w:vAlign w:val="top"/>
          </w:tcPr>
          <w:p>
            <w:pPr>
              <w:jc w:val="center"/>
            </w:pPr>
            <w:r>
              <w:rPr>
                <w:sz w:val="21"/>
              </w:rPr>
              <w:t>维修时效、工作完成情况</w:t>
            </w:r>
          </w:p>
        </w:tc>
        <w:tc>
          <w:tcPr>
            <w:tcW w:type="dxa" w:w="1660"/>
            <w:tcBorders>
              <w:top w:val="none" w:color="000000" w:sz="4"/>
              <w:left w:val="single" w:color="000000" w:sz="4"/>
              <w:bottom w:val="single" w:color="000000" w:sz="4"/>
              <w:right w:val="single" w:color="000000" w:sz="4"/>
            </w:tcBorders>
            <w:vAlign w:val="top"/>
          </w:tcPr>
          <w:p>
            <w:pPr>
              <w:jc w:val="center"/>
            </w:pPr>
            <w:r>
              <w:rPr>
                <w:sz w:val="21"/>
              </w:rPr>
              <w:t>广告设施</w:t>
            </w:r>
          </w:p>
          <w:p>
            <w:pPr>
              <w:jc w:val="center"/>
            </w:pPr>
            <w:r>
              <w:rPr>
                <w:sz w:val="21"/>
              </w:rPr>
              <w:t>牌面故障</w:t>
            </w:r>
          </w:p>
        </w:tc>
        <w:tc>
          <w:tcPr>
            <w:tcW w:type="dxa" w:w="2072"/>
            <w:tcBorders>
              <w:top w:val="none" w:color="000000" w:sz="4"/>
              <w:left w:val="single" w:color="000000" w:sz="4"/>
              <w:bottom w:val="single" w:color="000000" w:sz="4"/>
              <w:right w:val="single" w:color="000000" w:sz="4"/>
            </w:tcBorders>
            <w:vAlign w:val="top"/>
          </w:tcPr>
          <w:p>
            <w:pPr>
              <w:jc w:val="center"/>
            </w:pPr>
            <w:r>
              <w:rPr>
                <w:sz w:val="21"/>
              </w:rPr>
              <w:t>4分/次</w:t>
            </w:r>
          </w:p>
        </w:tc>
        <w:tc>
          <w:tcPr>
            <w:tcW w:type="dxa" w:w="2488"/>
            <w:tcBorders>
              <w:top w:val="none" w:color="000000" w:sz="4"/>
              <w:left w:val="single" w:color="000000" w:sz="4"/>
              <w:bottom w:val="single" w:color="000000" w:sz="4"/>
              <w:right w:val="single" w:color="000000" w:sz="4"/>
            </w:tcBorders>
            <w:vAlign w:val="top"/>
          </w:tcPr>
          <w:p>
            <w:pPr>
              <w:jc w:val="both"/>
            </w:pPr>
            <w:r>
              <w:rPr>
                <w:sz w:val="21"/>
              </w:rPr>
              <w:t>自甲方或监理单位发现后，</w:t>
            </w:r>
            <w:r>
              <w:rPr>
                <w:sz w:val="21"/>
              </w:rPr>
              <w:t>24小时内未修复的</w:t>
            </w:r>
          </w:p>
          <w:p>
            <w:pPr>
              <w:jc w:val="both"/>
            </w:pPr>
            <w:r>
              <w:rPr>
                <w:sz w:val="21"/>
              </w:rPr>
              <w:t>（属养护单位自身责任问题，且未向甲方或监理单位上报维修计划的）</w:t>
            </w:r>
          </w:p>
        </w:tc>
        <w:tc>
          <w:tcPr>
            <w:tcW w:type="dxa" w:w="738"/>
            <w:tcBorders>
              <w:top w:val="none" w:color="000000" w:sz="4"/>
              <w:left w:val="single" w:color="000000" w:sz="4"/>
              <w:bottom w:val="single" w:color="000000" w:sz="4"/>
              <w:right w:val="single" w:color="000000" w:sz="4"/>
            </w:tcBorders>
            <w:vAlign w:val="top"/>
          </w:tcPr>
          <w:p>
            <w:pPr>
              <w:jc w:val="center"/>
            </w:pPr>
          </w:p>
        </w:tc>
      </w:tr>
      <w:tr>
        <w:tc>
          <w:tcPr>
            <w:tcW w:type="dxa" w:w="463"/>
            <w:vMerge/>
            <w:tcBorders>
              <w:top w:val="none" w:color="000000" w:sz="4"/>
              <w:left w:val="single" w:color="000000" w:sz="4"/>
              <w:bottom w:val="single" w:color="000000" w:sz="4"/>
              <w:right w:val="single" w:color="000000" w:sz="4"/>
            </w:tcBorders>
          </w:tcPr>
          <w:p/>
        </w:tc>
        <w:tc>
          <w:tcPr>
            <w:tcW w:type="dxa" w:w="885"/>
            <w:vMerge/>
            <w:tcBorders>
              <w:top w:val="none" w:color="000000" w:sz="4"/>
              <w:left w:val="single" w:color="000000" w:sz="4"/>
              <w:bottom w:val="single" w:color="000000" w:sz="4"/>
              <w:right w:val="single" w:color="000000" w:sz="4"/>
            </w:tcBorders>
          </w:tcPr>
          <w:p/>
        </w:tc>
        <w:tc>
          <w:tcPr>
            <w:tcW w:type="dxa" w:w="1660"/>
            <w:tcBorders>
              <w:top w:val="none" w:color="000000" w:sz="4"/>
              <w:left w:val="single" w:color="000000" w:sz="4"/>
              <w:bottom w:val="single" w:color="000000" w:sz="4"/>
              <w:right w:val="single" w:color="000000" w:sz="4"/>
            </w:tcBorders>
            <w:vAlign w:val="top"/>
          </w:tcPr>
          <w:p>
            <w:pPr>
              <w:jc w:val="center"/>
            </w:pPr>
            <w:r>
              <w:rPr>
                <w:sz w:val="21"/>
              </w:rPr>
              <w:t>临时性突击</w:t>
            </w:r>
          </w:p>
          <w:p>
            <w:pPr>
              <w:jc w:val="center"/>
            </w:pPr>
            <w:r>
              <w:rPr>
                <w:sz w:val="21"/>
              </w:rPr>
              <w:t>任务</w:t>
            </w:r>
          </w:p>
        </w:tc>
        <w:tc>
          <w:tcPr>
            <w:tcW w:type="dxa" w:w="2072"/>
            <w:tcBorders>
              <w:top w:val="none" w:color="000000" w:sz="4"/>
              <w:left w:val="single" w:color="000000" w:sz="4"/>
              <w:bottom w:val="single" w:color="000000" w:sz="4"/>
              <w:right w:val="single" w:color="000000" w:sz="4"/>
            </w:tcBorders>
            <w:vAlign w:val="top"/>
          </w:tcPr>
          <w:p>
            <w:pPr>
              <w:jc w:val="center"/>
            </w:pPr>
            <w:r>
              <w:rPr>
                <w:sz w:val="21"/>
              </w:rPr>
              <w:t>10分/次</w:t>
            </w:r>
          </w:p>
        </w:tc>
        <w:tc>
          <w:tcPr>
            <w:tcW w:type="dxa" w:w="2488"/>
            <w:tcBorders>
              <w:top w:val="none" w:color="000000" w:sz="4"/>
              <w:left w:val="single" w:color="000000" w:sz="4"/>
              <w:bottom w:val="single" w:color="000000" w:sz="4"/>
              <w:right w:val="single" w:color="000000" w:sz="4"/>
            </w:tcBorders>
            <w:vAlign w:val="top"/>
          </w:tcPr>
          <w:p>
            <w:pPr>
              <w:jc w:val="center"/>
            </w:pPr>
            <w:r>
              <w:rPr>
                <w:sz w:val="21"/>
              </w:rPr>
              <w:t>未按甲方要求和时间配合落实，且发现问题的</w:t>
            </w:r>
          </w:p>
        </w:tc>
        <w:tc>
          <w:tcPr>
            <w:tcW w:type="dxa" w:w="738"/>
            <w:tcBorders>
              <w:top w:val="none" w:color="000000" w:sz="4"/>
              <w:left w:val="single" w:color="000000" w:sz="4"/>
              <w:bottom w:val="single" w:color="000000" w:sz="4"/>
              <w:right w:val="single" w:color="000000" w:sz="4"/>
            </w:tcBorders>
            <w:vAlign w:val="top"/>
          </w:tcPr>
          <w:p>
            <w:pPr>
              <w:jc w:val="center"/>
            </w:pPr>
          </w:p>
        </w:tc>
      </w:tr>
      <w:tr>
        <w:tc>
          <w:tcPr>
            <w:tcW w:type="dxa" w:w="463"/>
            <w:vMerge/>
            <w:tcBorders>
              <w:top w:val="none" w:color="000000" w:sz="4"/>
              <w:left w:val="single" w:color="000000" w:sz="4"/>
              <w:bottom w:val="single" w:color="000000" w:sz="4"/>
              <w:right w:val="single" w:color="000000" w:sz="4"/>
            </w:tcBorders>
          </w:tcPr>
          <w:p/>
        </w:tc>
        <w:tc>
          <w:tcPr>
            <w:tcW w:type="dxa" w:w="885"/>
            <w:vMerge/>
            <w:tcBorders>
              <w:top w:val="none" w:color="000000" w:sz="4"/>
              <w:left w:val="single" w:color="000000" w:sz="4"/>
              <w:bottom w:val="single" w:color="000000" w:sz="4"/>
              <w:right w:val="single" w:color="000000" w:sz="4"/>
            </w:tcBorders>
          </w:tcPr>
          <w:p/>
        </w:tc>
        <w:tc>
          <w:tcPr>
            <w:tcW w:type="dxa" w:w="1660"/>
            <w:tcBorders>
              <w:top w:val="none" w:color="000000" w:sz="4"/>
              <w:left w:val="single" w:color="000000" w:sz="4"/>
              <w:bottom w:val="single" w:color="000000" w:sz="4"/>
              <w:right w:val="single" w:color="000000" w:sz="4"/>
            </w:tcBorders>
            <w:vAlign w:val="top"/>
          </w:tcPr>
          <w:p>
            <w:pPr>
              <w:jc w:val="center"/>
            </w:pPr>
            <w:r>
              <w:rPr>
                <w:sz w:val="21"/>
              </w:rPr>
              <w:t>维修工作</w:t>
            </w:r>
          </w:p>
          <w:p>
            <w:pPr>
              <w:jc w:val="center"/>
            </w:pPr>
            <w:r>
              <w:rPr>
                <w:sz w:val="21"/>
              </w:rPr>
              <w:t>质量</w:t>
            </w:r>
          </w:p>
        </w:tc>
        <w:tc>
          <w:tcPr>
            <w:tcW w:type="dxa" w:w="2072"/>
            <w:tcBorders>
              <w:top w:val="none" w:color="000000" w:sz="4"/>
              <w:left w:val="single" w:color="000000" w:sz="4"/>
              <w:bottom w:val="single" w:color="000000" w:sz="4"/>
              <w:right w:val="single" w:color="000000" w:sz="4"/>
            </w:tcBorders>
            <w:vAlign w:val="top"/>
          </w:tcPr>
          <w:p>
            <w:pPr>
              <w:jc w:val="center"/>
            </w:pPr>
            <w:r>
              <w:rPr>
                <w:sz w:val="21"/>
              </w:rPr>
              <w:t>5分/次</w:t>
            </w:r>
          </w:p>
        </w:tc>
        <w:tc>
          <w:tcPr>
            <w:tcW w:type="dxa" w:w="2488"/>
            <w:tcBorders>
              <w:top w:val="none" w:color="000000" w:sz="4"/>
              <w:left w:val="single" w:color="000000" w:sz="4"/>
              <w:bottom w:val="single" w:color="000000" w:sz="4"/>
              <w:right w:val="single" w:color="000000" w:sz="4"/>
            </w:tcBorders>
            <w:vAlign w:val="top"/>
          </w:tcPr>
          <w:p>
            <w:pPr>
              <w:jc w:val="center"/>
            </w:pPr>
            <w:r>
              <w:rPr>
                <w:sz w:val="21"/>
              </w:rPr>
              <w:t>未按规范或要求进行维修的</w:t>
            </w:r>
          </w:p>
        </w:tc>
        <w:tc>
          <w:tcPr>
            <w:tcW w:type="dxa" w:w="738"/>
            <w:tcBorders>
              <w:top w:val="none" w:color="000000" w:sz="4"/>
              <w:left w:val="single" w:color="000000" w:sz="4"/>
              <w:bottom w:val="single" w:color="000000" w:sz="4"/>
              <w:right w:val="single" w:color="000000" w:sz="4"/>
            </w:tcBorders>
            <w:vAlign w:val="top"/>
          </w:tcPr>
          <w:p>
            <w:pPr>
              <w:jc w:val="center"/>
            </w:pPr>
          </w:p>
        </w:tc>
      </w:tr>
      <w:tr>
        <w:tc>
          <w:tcPr>
            <w:tcW w:type="dxa" w:w="463"/>
            <w:vMerge/>
            <w:tcBorders>
              <w:top w:val="none" w:color="000000" w:sz="4"/>
              <w:left w:val="single" w:color="000000" w:sz="4"/>
              <w:bottom w:val="single" w:color="000000" w:sz="4"/>
              <w:right w:val="single" w:color="000000" w:sz="4"/>
            </w:tcBorders>
          </w:tcPr>
          <w:p/>
        </w:tc>
        <w:tc>
          <w:tcPr>
            <w:tcW w:type="dxa" w:w="885"/>
            <w:vMerge/>
            <w:tcBorders>
              <w:top w:val="none" w:color="000000" w:sz="4"/>
              <w:left w:val="single" w:color="000000" w:sz="4"/>
              <w:bottom w:val="single" w:color="000000" w:sz="4"/>
              <w:right w:val="single" w:color="000000" w:sz="4"/>
            </w:tcBorders>
          </w:tcPr>
          <w:p/>
        </w:tc>
        <w:tc>
          <w:tcPr>
            <w:tcW w:type="dxa" w:w="1660"/>
            <w:tcBorders>
              <w:top w:val="none" w:color="000000" w:sz="4"/>
              <w:left w:val="single" w:color="000000" w:sz="4"/>
              <w:bottom w:val="single" w:color="000000" w:sz="4"/>
              <w:right w:val="single" w:color="000000" w:sz="4"/>
            </w:tcBorders>
            <w:vAlign w:val="top"/>
          </w:tcPr>
          <w:p>
            <w:pPr>
              <w:jc w:val="center"/>
            </w:pPr>
            <w:r>
              <w:rPr>
                <w:sz w:val="21"/>
              </w:rPr>
              <w:t>养护响应</w:t>
            </w:r>
          </w:p>
        </w:tc>
        <w:tc>
          <w:tcPr>
            <w:tcW w:type="dxa" w:w="2072"/>
            <w:tcBorders>
              <w:top w:val="none" w:color="000000" w:sz="4"/>
              <w:left w:val="single" w:color="000000" w:sz="4"/>
              <w:bottom w:val="single" w:color="000000" w:sz="4"/>
              <w:right w:val="single" w:color="000000" w:sz="4"/>
            </w:tcBorders>
            <w:vAlign w:val="top"/>
          </w:tcPr>
          <w:p>
            <w:pPr>
              <w:jc w:val="center"/>
            </w:pPr>
            <w:r>
              <w:rPr>
                <w:sz w:val="21"/>
              </w:rPr>
              <w:t>2分/次</w:t>
            </w:r>
          </w:p>
        </w:tc>
        <w:tc>
          <w:tcPr>
            <w:tcW w:type="dxa" w:w="2488"/>
            <w:tcBorders>
              <w:top w:val="none" w:color="000000" w:sz="4"/>
              <w:left w:val="single" w:color="000000" w:sz="4"/>
              <w:bottom w:val="single" w:color="000000" w:sz="4"/>
              <w:right w:val="single" w:color="000000" w:sz="4"/>
            </w:tcBorders>
            <w:vAlign w:val="top"/>
          </w:tcPr>
          <w:p>
            <w:pPr>
              <w:jc w:val="center"/>
            </w:pPr>
            <w:r>
              <w:rPr>
                <w:sz w:val="20"/>
              </w:rPr>
              <w:t>因养护单位工作不到位而被甲方或监理单位发出整改通知书要求进行整改的</w:t>
            </w:r>
          </w:p>
        </w:tc>
        <w:tc>
          <w:tcPr>
            <w:tcW w:type="dxa" w:w="738"/>
            <w:tcBorders>
              <w:top w:val="none" w:color="000000" w:sz="4"/>
              <w:left w:val="single" w:color="000000" w:sz="4"/>
              <w:bottom w:val="single" w:color="000000" w:sz="4"/>
              <w:right w:val="single" w:color="000000" w:sz="4"/>
            </w:tcBorders>
            <w:vAlign w:val="top"/>
          </w:tcPr>
          <w:p>
            <w:pPr>
              <w:jc w:val="center"/>
            </w:pPr>
          </w:p>
        </w:tc>
      </w:tr>
      <w:tr>
        <w:tc>
          <w:tcPr>
            <w:tcW w:type="dxa" w:w="463"/>
            <w:vMerge w:val="restart"/>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85"/>
            <w:vMerge w:val="restart"/>
            <w:tcBorders>
              <w:top w:val="none" w:color="000000" w:sz="4"/>
              <w:left w:val="single" w:color="000000" w:sz="4"/>
              <w:bottom w:val="single" w:color="000000" w:sz="4"/>
              <w:right w:val="single" w:color="000000" w:sz="4"/>
            </w:tcBorders>
            <w:vAlign w:val="top"/>
          </w:tcPr>
          <w:p>
            <w:pPr>
              <w:jc w:val="center"/>
            </w:pPr>
            <w:r>
              <w:rPr>
                <w:sz w:val="21"/>
              </w:rPr>
              <w:t>投诉及处理情况</w:t>
            </w:r>
          </w:p>
        </w:tc>
        <w:tc>
          <w:tcPr>
            <w:tcW w:type="dxa" w:w="1660"/>
            <w:tcBorders>
              <w:top w:val="none" w:color="000000" w:sz="4"/>
              <w:left w:val="single" w:color="000000" w:sz="4"/>
              <w:bottom w:val="single" w:color="000000" w:sz="4"/>
              <w:right w:val="single" w:color="000000" w:sz="4"/>
            </w:tcBorders>
            <w:vAlign w:val="top"/>
          </w:tcPr>
          <w:p>
            <w:pPr>
              <w:jc w:val="center"/>
            </w:pPr>
            <w:r>
              <w:rPr>
                <w:sz w:val="21"/>
              </w:rPr>
              <w:t>接到</w:t>
            </w:r>
            <w:r>
              <w:rPr>
                <w:sz w:val="21"/>
              </w:rPr>
              <w:t>12345政府热线</w:t>
            </w:r>
            <w:r>
              <w:rPr>
                <w:sz w:val="21"/>
              </w:rPr>
              <w:t>或</w:t>
            </w:r>
            <w:r>
              <w:rPr>
                <w:sz w:val="21"/>
              </w:rPr>
              <w:t>公众号、东莞城管微信公众号、阳光热线及其他途径接到的投诉</w:t>
            </w:r>
          </w:p>
        </w:tc>
        <w:tc>
          <w:tcPr>
            <w:tcW w:type="dxa" w:w="2072"/>
            <w:tcBorders>
              <w:top w:val="none" w:color="000000" w:sz="4"/>
              <w:left w:val="single" w:color="000000" w:sz="4"/>
              <w:bottom w:val="single" w:color="000000" w:sz="4"/>
              <w:right w:val="single" w:color="000000" w:sz="4"/>
            </w:tcBorders>
            <w:vAlign w:val="top"/>
          </w:tcPr>
          <w:p>
            <w:pPr>
              <w:jc w:val="center"/>
            </w:pPr>
            <w:r>
              <w:rPr>
                <w:sz w:val="21"/>
              </w:rPr>
              <w:t>3分/次</w:t>
            </w:r>
          </w:p>
        </w:tc>
        <w:tc>
          <w:tcPr>
            <w:tcW w:type="dxa" w:w="2488"/>
            <w:tcBorders>
              <w:top w:val="none" w:color="000000" w:sz="4"/>
              <w:left w:val="single" w:color="000000" w:sz="4"/>
              <w:bottom w:val="single" w:color="000000" w:sz="4"/>
              <w:right w:val="single" w:color="000000" w:sz="4"/>
            </w:tcBorders>
            <w:vAlign w:val="top"/>
          </w:tcPr>
          <w:p>
            <w:pPr>
              <w:jc w:val="center"/>
            </w:pPr>
            <w:r>
              <w:rPr>
                <w:sz w:val="21"/>
              </w:rPr>
              <w:t>因维护方责任被投诉的，经核实后扣分</w:t>
            </w:r>
          </w:p>
        </w:tc>
        <w:tc>
          <w:tcPr>
            <w:tcW w:type="dxa" w:w="738"/>
            <w:tcBorders>
              <w:top w:val="none" w:color="000000" w:sz="4"/>
              <w:left w:val="single" w:color="000000" w:sz="4"/>
              <w:bottom w:val="single" w:color="000000" w:sz="4"/>
              <w:right w:val="single" w:color="000000" w:sz="4"/>
            </w:tcBorders>
            <w:vAlign w:val="top"/>
          </w:tcPr>
          <w:p>
            <w:pPr>
              <w:jc w:val="center"/>
            </w:pPr>
          </w:p>
        </w:tc>
      </w:tr>
      <w:tr>
        <w:tc>
          <w:tcPr>
            <w:tcW w:type="dxa" w:w="463"/>
            <w:vMerge/>
            <w:tcBorders>
              <w:top w:val="none" w:color="000000" w:sz="4"/>
              <w:left w:val="single" w:color="000000" w:sz="4"/>
              <w:bottom w:val="single" w:color="000000" w:sz="4"/>
              <w:right w:val="single" w:color="000000" w:sz="4"/>
            </w:tcBorders>
          </w:tcPr>
          <w:p/>
        </w:tc>
        <w:tc>
          <w:tcPr>
            <w:tcW w:type="dxa" w:w="885"/>
            <w:vMerge/>
            <w:tcBorders>
              <w:top w:val="none" w:color="000000" w:sz="4"/>
              <w:left w:val="single" w:color="000000" w:sz="4"/>
              <w:bottom w:val="single" w:color="000000" w:sz="4"/>
              <w:right w:val="single" w:color="000000" w:sz="4"/>
            </w:tcBorders>
          </w:tcPr>
          <w:p/>
        </w:tc>
        <w:tc>
          <w:tcPr>
            <w:tcW w:type="dxa" w:w="1660"/>
            <w:tcBorders>
              <w:top w:val="none" w:color="000000" w:sz="4"/>
              <w:left w:val="single" w:color="000000" w:sz="4"/>
              <w:bottom w:val="single" w:color="000000" w:sz="4"/>
              <w:right w:val="single" w:color="000000" w:sz="4"/>
            </w:tcBorders>
            <w:vAlign w:val="top"/>
          </w:tcPr>
          <w:p>
            <w:pPr>
              <w:jc w:val="center"/>
            </w:pPr>
            <w:r>
              <w:rPr>
                <w:sz w:val="21"/>
              </w:rPr>
              <w:t>投诉未在规定时间内解决的</w:t>
            </w:r>
          </w:p>
        </w:tc>
        <w:tc>
          <w:tcPr>
            <w:tcW w:type="dxa" w:w="2072"/>
            <w:tcBorders>
              <w:top w:val="none" w:color="000000" w:sz="4"/>
              <w:left w:val="single" w:color="000000" w:sz="4"/>
              <w:bottom w:val="single" w:color="000000" w:sz="4"/>
              <w:right w:val="single" w:color="000000" w:sz="4"/>
            </w:tcBorders>
            <w:vAlign w:val="top"/>
          </w:tcPr>
          <w:p>
            <w:pPr>
              <w:jc w:val="center"/>
            </w:pPr>
            <w:r>
              <w:rPr>
                <w:sz w:val="21"/>
              </w:rPr>
              <w:t>5分/次</w:t>
            </w:r>
          </w:p>
        </w:tc>
        <w:tc>
          <w:tcPr>
            <w:tcW w:type="dxa" w:w="2488"/>
            <w:tcBorders>
              <w:top w:val="none" w:color="000000" w:sz="4"/>
              <w:left w:val="single" w:color="000000" w:sz="4"/>
              <w:bottom w:val="single" w:color="000000" w:sz="4"/>
              <w:right w:val="single" w:color="000000" w:sz="4"/>
            </w:tcBorders>
            <w:vAlign w:val="top"/>
          </w:tcPr>
          <w:p>
            <w:pPr>
              <w:jc w:val="center"/>
            </w:pPr>
          </w:p>
        </w:tc>
        <w:tc>
          <w:tcPr>
            <w:tcW w:type="dxa" w:w="738"/>
            <w:tcBorders>
              <w:top w:val="none" w:color="000000" w:sz="4"/>
              <w:left w:val="single" w:color="000000" w:sz="4"/>
              <w:bottom w:val="single" w:color="000000" w:sz="4"/>
              <w:right w:val="single" w:color="000000" w:sz="4"/>
            </w:tcBorders>
            <w:vAlign w:val="top"/>
          </w:tcPr>
          <w:p>
            <w:pPr>
              <w:jc w:val="center"/>
            </w:pPr>
          </w:p>
        </w:tc>
      </w:tr>
      <w:tr>
        <w:tc>
          <w:tcPr>
            <w:tcW w:type="dxa" w:w="463"/>
            <w:vMerge w:val="restart"/>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85"/>
            <w:vMerge w:val="restart"/>
            <w:tcBorders>
              <w:top w:val="none" w:color="000000" w:sz="4"/>
              <w:left w:val="single" w:color="000000" w:sz="4"/>
              <w:bottom w:val="single" w:color="000000" w:sz="4"/>
              <w:right w:val="single" w:color="000000" w:sz="4"/>
            </w:tcBorders>
            <w:vAlign w:val="top"/>
          </w:tcPr>
          <w:p>
            <w:pPr>
              <w:jc w:val="center"/>
            </w:pPr>
            <w:r>
              <w:rPr>
                <w:sz w:val="21"/>
              </w:rPr>
              <w:t>清洗及油漆翻新</w:t>
            </w:r>
          </w:p>
        </w:tc>
        <w:tc>
          <w:tcPr>
            <w:tcW w:type="dxa" w:w="1660"/>
            <w:tcBorders>
              <w:top w:val="none" w:color="000000" w:sz="4"/>
              <w:left w:val="single" w:color="000000" w:sz="4"/>
              <w:bottom w:val="single" w:color="000000" w:sz="4"/>
              <w:right w:val="single" w:color="000000" w:sz="4"/>
            </w:tcBorders>
            <w:vAlign w:val="top"/>
          </w:tcPr>
          <w:p>
            <w:pPr>
              <w:jc w:val="center"/>
            </w:pPr>
            <w:r>
              <w:rPr>
                <w:sz w:val="20"/>
              </w:rPr>
              <w:t>清理设施表面的乱张贴</w:t>
            </w:r>
          </w:p>
        </w:tc>
        <w:tc>
          <w:tcPr>
            <w:tcW w:type="dxa" w:w="2072"/>
            <w:tcBorders>
              <w:top w:val="none" w:color="000000" w:sz="4"/>
              <w:left w:val="single" w:color="000000" w:sz="4"/>
              <w:bottom w:val="single" w:color="000000" w:sz="4"/>
              <w:right w:val="single" w:color="000000" w:sz="4"/>
            </w:tcBorders>
            <w:vAlign w:val="top"/>
          </w:tcPr>
          <w:p>
            <w:pPr>
              <w:jc w:val="center"/>
            </w:pPr>
            <w:r>
              <w:rPr>
                <w:sz w:val="21"/>
              </w:rPr>
              <w:t>0.5分/张</w:t>
            </w:r>
          </w:p>
        </w:tc>
        <w:tc>
          <w:tcPr>
            <w:tcW w:type="dxa" w:w="2488"/>
            <w:tcBorders>
              <w:top w:val="none" w:color="000000" w:sz="4"/>
              <w:left w:val="single" w:color="000000" w:sz="4"/>
              <w:bottom w:val="single" w:color="000000" w:sz="4"/>
              <w:right w:val="single" w:color="000000" w:sz="4"/>
            </w:tcBorders>
            <w:vAlign w:val="top"/>
          </w:tcPr>
          <w:p>
            <w:pPr>
              <w:jc w:val="center"/>
            </w:pPr>
            <w:r>
              <w:rPr>
                <w:sz w:val="21"/>
              </w:rPr>
              <w:t>检查发现现场有</w:t>
            </w:r>
            <w:r>
              <w:rPr>
                <w:sz w:val="21"/>
              </w:rPr>
              <w:t>5处乱张贴或以上的，即扣分</w:t>
            </w:r>
          </w:p>
        </w:tc>
        <w:tc>
          <w:tcPr>
            <w:tcW w:type="dxa" w:w="738"/>
            <w:tcBorders>
              <w:top w:val="none" w:color="000000" w:sz="4"/>
              <w:left w:val="single" w:color="000000" w:sz="4"/>
              <w:bottom w:val="single" w:color="000000" w:sz="4"/>
              <w:right w:val="single" w:color="000000" w:sz="4"/>
            </w:tcBorders>
            <w:vAlign w:val="top"/>
          </w:tcPr>
          <w:p>
            <w:pPr>
              <w:jc w:val="center"/>
            </w:pPr>
          </w:p>
        </w:tc>
      </w:tr>
      <w:tr>
        <w:tc>
          <w:tcPr>
            <w:tcW w:type="dxa" w:w="463"/>
            <w:vMerge/>
            <w:tcBorders>
              <w:top w:val="none" w:color="000000" w:sz="4"/>
              <w:left w:val="single" w:color="000000" w:sz="4"/>
              <w:bottom w:val="single" w:color="000000" w:sz="4"/>
              <w:right w:val="single" w:color="000000" w:sz="4"/>
            </w:tcBorders>
          </w:tcPr>
          <w:p/>
        </w:tc>
        <w:tc>
          <w:tcPr>
            <w:tcW w:type="dxa" w:w="885"/>
            <w:vMerge/>
            <w:tcBorders>
              <w:top w:val="none" w:color="000000" w:sz="4"/>
              <w:left w:val="single" w:color="000000" w:sz="4"/>
              <w:bottom w:val="single" w:color="000000" w:sz="4"/>
              <w:right w:val="single" w:color="000000" w:sz="4"/>
            </w:tcBorders>
          </w:tcPr>
          <w:p/>
        </w:tc>
        <w:tc>
          <w:tcPr>
            <w:tcW w:type="dxa" w:w="1660"/>
            <w:tcBorders>
              <w:top w:val="none" w:color="000000" w:sz="4"/>
              <w:left w:val="single" w:color="000000" w:sz="4"/>
              <w:bottom w:val="single" w:color="000000" w:sz="4"/>
              <w:right w:val="single" w:color="000000" w:sz="4"/>
            </w:tcBorders>
            <w:vAlign w:val="top"/>
          </w:tcPr>
          <w:p>
            <w:pPr>
              <w:jc w:val="center"/>
            </w:pPr>
            <w:r>
              <w:rPr>
                <w:sz w:val="21"/>
              </w:rPr>
              <w:t>设施清洗</w:t>
            </w:r>
          </w:p>
        </w:tc>
        <w:tc>
          <w:tcPr>
            <w:tcW w:type="dxa" w:w="2072"/>
            <w:tcBorders>
              <w:top w:val="none" w:color="000000" w:sz="4"/>
              <w:left w:val="single" w:color="000000" w:sz="4"/>
              <w:bottom w:val="single" w:color="000000" w:sz="4"/>
              <w:right w:val="single" w:color="000000" w:sz="4"/>
            </w:tcBorders>
            <w:vAlign w:val="top"/>
          </w:tcPr>
          <w:p>
            <w:pPr>
              <w:jc w:val="center"/>
            </w:pPr>
            <w:r>
              <w:rPr>
                <w:sz w:val="21"/>
              </w:rPr>
              <w:t>3分/次</w:t>
            </w:r>
          </w:p>
        </w:tc>
        <w:tc>
          <w:tcPr>
            <w:tcW w:type="dxa" w:w="2488"/>
            <w:tcBorders>
              <w:top w:val="none" w:color="000000" w:sz="4"/>
              <w:left w:val="single" w:color="000000" w:sz="4"/>
              <w:bottom w:val="single" w:color="000000" w:sz="4"/>
              <w:right w:val="single" w:color="000000" w:sz="4"/>
            </w:tcBorders>
            <w:vAlign w:val="top"/>
          </w:tcPr>
          <w:p>
            <w:pPr>
              <w:jc w:val="center"/>
            </w:pPr>
            <w:r>
              <w:rPr>
                <w:sz w:val="21"/>
              </w:rPr>
              <w:t>未按合同要求落实年度</w:t>
            </w:r>
          </w:p>
          <w:p>
            <w:pPr>
              <w:jc w:val="center"/>
            </w:pPr>
            <w:r>
              <w:rPr>
                <w:sz w:val="21"/>
              </w:rPr>
              <w:t>设施清洗工作的</w:t>
            </w:r>
          </w:p>
        </w:tc>
        <w:tc>
          <w:tcPr>
            <w:tcW w:type="dxa" w:w="738"/>
            <w:tcBorders>
              <w:top w:val="none" w:color="000000" w:sz="4"/>
              <w:left w:val="single" w:color="000000" w:sz="4"/>
              <w:bottom w:val="single" w:color="000000" w:sz="4"/>
              <w:right w:val="single" w:color="000000" w:sz="4"/>
            </w:tcBorders>
            <w:vAlign w:val="top"/>
          </w:tcPr>
          <w:p>
            <w:pPr>
              <w:jc w:val="center"/>
            </w:pPr>
          </w:p>
        </w:tc>
      </w:tr>
      <w:tr>
        <w:tc>
          <w:tcPr>
            <w:tcW w:type="dxa" w:w="463"/>
            <w:vMerge/>
            <w:tcBorders>
              <w:top w:val="none" w:color="000000" w:sz="4"/>
              <w:left w:val="single" w:color="000000" w:sz="4"/>
              <w:bottom w:val="single" w:color="000000" w:sz="4"/>
              <w:right w:val="single" w:color="000000" w:sz="4"/>
            </w:tcBorders>
          </w:tcPr>
          <w:p/>
        </w:tc>
        <w:tc>
          <w:tcPr>
            <w:tcW w:type="dxa" w:w="885"/>
            <w:vMerge/>
            <w:tcBorders>
              <w:top w:val="none" w:color="000000" w:sz="4"/>
              <w:left w:val="single" w:color="000000" w:sz="4"/>
              <w:bottom w:val="single" w:color="000000" w:sz="4"/>
              <w:right w:val="single" w:color="000000" w:sz="4"/>
            </w:tcBorders>
          </w:tcPr>
          <w:p/>
        </w:tc>
        <w:tc>
          <w:tcPr>
            <w:tcW w:type="dxa" w:w="1660"/>
            <w:tcBorders>
              <w:top w:val="none" w:color="000000" w:sz="4"/>
              <w:left w:val="single" w:color="000000" w:sz="4"/>
              <w:bottom w:val="single" w:color="000000" w:sz="4"/>
              <w:right w:val="single" w:color="000000" w:sz="4"/>
            </w:tcBorders>
            <w:vAlign w:val="top"/>
          </w:tcPr>
          <w:p>
            <w:pPr>
              <w:jc w:val="center"/>
            </w:pPr>
            <w:r>
              <w:rPr>
                <w:sz w:val="21"/>
              </w:rPr>
              <w:t>油漆翻新</w:t>
            </w:r>
          </w:p>
        </w:tc>
        <w:tc>
          <w:tcPr>
            <w:tcW w:type="dxa" w:w="2072"/>
            <w:tcBorders>
              <w:top w:val="none" w:color="000000" w:sz="4"/>
              <w:left w:val="single" w:color="000000" w:sz="4"/>
              <w:bottom w:val="single" w:color="000000" w:sz="4"/>
              <w:right w:val="single" w:color="000000" w:sz="4"/>
            </w:tcBorders>
            <w:vAlign w:val="top"/>
          </w:tcPr>
          <w:p>
            <w:pPr>
              <w:jc w:val="center"/>
            </w:pPr>
            <w:r>
              <w:rPr>
                <w:sz w:val="21"/>
              </w:rPr>
              <w:t>5分/次</w:t>
            </w:r>
          </w:p>
        </w:tc>
        <w:tc>
          <w:tcPr>
            <w:tcW w:type="dxa" w:w="2488"/>
            <w:tcBorders>
              <w:top w:val="none" w:color="000000" w:sz="4"/>
              <w:left w:val="single" w:color="000000" w:sz="4"/>
              <w:bottom w:val="single" w:color="000000" w:sz="4"/>
              <w:right w:val="single" w:color="000000" w:sz="4"/>
            </w:tcBorders>
            <w:vAlign w:val="top"/>
          </w:tcPr>
          <w:p>
            <w:pPr>
              <w:jc w:val="center"/>
            </w:pPr>
            <w:r>
              <w:rPr>
                <w:sz w:val="21"/>
              </w:rPr>
              <w:t>未按合同和规范要求，落实设施油漆翻新工作的</w:t>
            </w:r>
          </w:p>
        </w:tc>
        <w:tc>
          <w:tcPr>
            <w:tcW w:type="dxa" w:w="738"/>
            <w:tcBorders>
              <w:top w:val="none" w:color="000000" w:sz="4"/>
              <w:left w:val="single" w:color="000000" w:sz="4"/>
              <w:bottom w:val="single" w:color="000000" w:sz="4"/>
              <w:right w:val="single" w:color="000000" w:sz="4"/>
            </w:tcBorders>
            <w:vAlign w:val="top"/>
          </w:tcPr>
          <w:p>
            <w:pPr>
              <w:jc w:val="center"/>
            </w:pPr>
          </w:p>
        </w:tc>
      </w:tr>
      <w:tr>
        <w:tc>
          <w:tcPr>
            <w:tcW w:type="dxa" w:w="463"/>
            <w:vMerge w:val="restart"/>
            <w:tcBorders>
              <w:top w:val="none" w:color="000000" w:sz="4"/>
              <w:left w:val="single" w:color="000000" w:sz="4"/>
              <w:bottom w:val="single" w:color="000000" w:sz="4"/>
              <w:right w:val="single" w:color="000000" w:sz="4"/>
            </w:tcBorders>
            <w:vAlign w:val="top"/>
          </w:tcPr>
          <w:p>
            <w:pPr>
              <w:jc w:val="center"/>
            </w:pPr>
            <w:r>
              <w:rPr>
                <w:sz w:val="21"/>
              </w:rPr>
              <w:t>6</w:t>
            </w:r>
          </w:p>
        </w:tc>
        <w:tc>
          <w:tcPr>
            <w:tcW w:type="dxa" w:w="885"/>
            <w:vMerge w:val="restart"/>
            <w:tcBorders>
              <w:top w:val="none" w:color="000000" w:sz="4"/>
              <w:left w:val="single" w:color="000000" w:sz="4"/>
              <w:bottom w:val="single" w:color="000000" w:sz="4"/>
              <w:right w:val="single" w:color="000000" w:sz="4"/>
            </w:tcBorders>
            <w:vAlign w:val="top"/>
          </w:tcPr>
          <w:p>
            <w:pPr>
              <w:jc w:val="center"/>
            </w:pPr>
            <w:r>
              <w:rPr>
                <w:sz w:val="21"/>
              </w:rPr>
              <w:t>文明施工、安全施工</w:t>
            </w:r>
          </w:p>
        </w:tc>
        <w:tc>
          <w:tcPr>
            <w:tcW w:type="dxa" w:w="1660"/>
            <w:tcBorders>
              <w:top w:val="none" w:color="000000" w:sz="4"/>
              <w:left w:val="single" w:color="000000" w:sz="4"/>
              <w:bottom w:val="single" w:color="000000" w:sz="4"/>
              <w:right w:val="single" w:color="000000" w:sz="4"/>
            </w:tcBorders>
            <w:vAlign w:val="top"/>
          </w:tcPr>
          <w:p>
            <w:pPr>
              <w:jc w:val="center"/>
            </w:pPr>
            <w:r>
              <w:rPr>
                <w:sz w:val="20"/>
              </w:rPr>
              <w:t>施工人员需持证上岗、穿着反光衣、佩戴安全帽</w:t>
            </w:r>
          </w:p>
        </w:tc>
        <w:tc>
          <w:tcPr>
            <w:tcW w:type="dxa" w:w="2072"/>
            <w:tcBorders>
              <w:top w:val="none" w:color="000000" w:sz="4"/>
              <w:left w:val="single" w:color="000000" w:sz="4"/>
              <w:bottom w:val="single" w:color="000000" w:sz="4"/>
              <w:right w:val="single" w:color="000000" w:sz="4"/>
            </w:tcBorders>
            <w:vAlign w:val="top"/>
          </w:tcPr>
          <w:p>
            <w:pPr>
              <w:jc w:val="center"/>
            </w:pPr>
            <w:r>
              <w:rPr>
                <w:sz w:val="21"/>
              </w:rPr>
              <w:t>2分/次</w:t>
            </w:r>
          </w:p>
        </w:tc>
        <w:tc>
          <w:tcPr>
            <w:tcW w:type="dxa" w:w="2488"/>
            <w:tcBorders>
              <w:top w:val="none" w:color="000000" w:sz="4"/>
              <w:left w:val="single" w:color="000000" w:sz="4"/>
              <w:bottom w:val="single" w:color="000000" w:sz="4"/>
              <w:right w:val="single" w:color="000000" w:sz="4"/>
            </w:tcBorders>
            <w:vAlign w:val="top"/>
          </w:tcPr>
          <w:p>
            <w:pPr>
              <w:jc w:val="center"/>
            </w:pPr>
            <w:r>
              <w:rPr>
                <w:sz w:val="21"/>
              </w:rPr>
              <w:t>未持证上岗的，或未穿着反光衣的，或未佩戴安全帽等情况的，发现其中一项即扣分</w:t>
            </w:r>
          </w:p>
        </w:tc>
        <w:tc>
          <w:tcPr>
            <w:tcW w:type="dxa" w:w="738"/>
            <w:tcBorders>
              <w:top w:val="none" w:color="000000" w:sz="4"/>
              <w:left w:val="single" w:color="000000" w:sz="4"/>
              <w:bottom w:val="single" w:color="000000" w:sz="4"/>
              <w:right w:val="single" w:color="000000" w:sz="4"/>
            </w:tcBorders>
            <w:vAlign w:val="top"/>
          </w:tcPr>
          <w:p>
            <w:pPr>
              <w:jc w:val="center"/>
            </w:pPr>
          </w:p>
        </w:tc>
      </w:tr>
      <w:tr>
        <w:tc>
          <w:tcPr>
            <w:tcW w:type="dxa" w:w="463"/>
            <w:vMerge/>
            <w:tcBorders>
              <w:top w:val="none" w:color="000000" w:sz="4"/>
              <w:left w:val="single" w:color="000000" w:sz="4"/>
              <w:bottom w:val="single" w:color="000000" w:sz="4"/>
              <w:right w:val="single" w:color="000000" w:sz="4"/>
            </w:tcBorders>
          </w:tcPr>
          <w:p/>
        </w:tc>
        <w:tc>
          <w:tcPr>
            <w:tcW w:type="dxa" w:w="885"/>
            <w:vMerge/>
            <w:tcBorders>
              <w:top w:val="none" w:color="000000" w:sz="4"/>
              <w:left w:val="single" w:color="000000" w:sz="4"/>
              <w:bottom w:val="single" w:color="000000" w:sz="4"/>
              <w:right w:val="single" w:color="000000" w:sz="4"/>
            </w:tcBorders>
          </w:tcPr>
          <w:p/>
        </w:tc>
        <w:tc>
          <w:tcPr>
            <w:tcW w:type="dxa" w:w="1660"/>
            <w:tcBorders>
              <w:top w:val="none" w:color="000000" w:sz="4"/>
              <w:left w:val="single" w:color="000000" w:sz="4"/>
              <w:bottom w:val="single" w:color="000000" w:sz="4"/>
              <w:right w:val="single" w:color="000000" w:sz="4"/>
            </w:tcBorders>
            <w:vAlign w:val="top"/>
          </w:tcPr>
          <w:p>
            <w:pPr>
              <w:jc w:val="center"/>
            </w:pPr>
            <w:r>
              <w:rPr>
                <w:sz w:val="20"/>
              </w:rPr>
              <w:t>需按照要求进行高空作业</w:t>
            </w:r>
          </w:p>
        </w:tc>
        <w:tc>
          <w:tcPr>
            <w:tcW w:type="dxa" w:w="2072"/>
            <w:tcBorders>
              <w:top w:val="none" w:color="000000" w:sz="4"/>
              <w:left w:val="single" w:color="000000" w:sz="4"/>
              <w:bottom w:val="single" w:color="000000" w:sz="4"/>
              <w:right w:val="single" w:color="000000" w:sz="4"/>
            </w:tcBorders>
            <w:vAlign w:val="top"/>
          </w:tcPr>
          <w:p>
            <w:pPr>
              <w:jc w:val="center"/>
            </w:pPr>
            <w:r>
              <w:rPr>
                <w:sz w:val="21"/>
              </w:rPr>
              <w:t>5分/次</w:t>
            </w:r>
          </w:p>
        </w:tc>
        <w:tc>
          <w:tcPr>
            <w:tcW w:type="dxa" w:w="2488"/>
            <w:tcBorders>
              <w:top w:val="none" w:color="000000" w:sz="4"/>
              <w:left w:val="single" w:color="000000" w:sz="4"/>
              <w:bottom w:val="single" w:color="000000" w:sz="4"/>
              <w:right w:val="single" w:color="000000" w:sz="4"/>
            </w:tcBorders>
            <w:vAlign w:val="top"/>
          </w:tcPr>
          <w:p>
            <w:pPr>
              <w:jc w:val="both"/>
            </w:pPr>
            <w:r>
              <w:rPr>
                <w:sz w:val="21"/>
              </w:rPr>
              <w:t>未按要求进行高空作业的，发现即扣分。如高空作业时未按要求佩戴高空作业安全绳等情况（包括但不限于上述情况的）</w:t>
            </w:r>
          </w:p>
        </w:tc>
        <w:tc>
          <w:tcPr>
            <w:tcW w:type="dxa" w:w="738"/>
            <w:tcBorders>
              <w:top w:val="none" w:color="000000" w:sz="4"/>
              <w:left w:val="single" w:color="000000" w:sz="4"/>
              <w:bottom w:val="single" w:color="000000" w:sz="4"/>
              <w:right w:val="single" w:color="000000" w:sz="4"/>
            </w:tcBorders>
            <w:vAlign w:val="top"/>
          </w:tcPr>
          <w:p>
            <w:pPr>
              <w:jc w:val="center"/>
            </w:pPr>
          </w:p>
        </w:tc>
      </w:tr>
      <w:tr>
        <w:tc>
          <w:tcPr>
            <w:tcW w:type="dxa" w:w="463"/>
            <w:vMerge/>
            <w:tcBorders>
              <w:top w:val="none" w:color="000000" w:sz="4"/>
              <w:left w:val="single" w:color="000000" w:sz="4"/>
              <w:bottom w:val="single" w:color="000000" w:sz="4"/>
              <w:right w:val="single" w:color="000000" w:sz="4"/>
            </w:tcBorders>
          </w:tcPr>
          <w:p/>
        </w:tc>
        <w:tc>
          <w:tcPr>
            <w:tcW w:type="dxa" w:w="885"/>
            <w:vMerge/>
            <w:tcBorders>
              <w:top w:val="none" w:color="000000" w:sz="4"/>
              <w:left w:val="single" w:color="000000" w:sz="4"/>
              <w:bottom w:val="single" w:color="000000" w:sz="4"/>
              <w:right w:val="single" w:color="000000" w:sz="4"/>
            </w:tcBorders>
          </w:tcPr>
          <w:p/>
        </w:tc>
        <w:tc>
          <w:tcPr>
            <w:tcW w:type="dxa" w:w="1660"/>
            <w:tcBorders>
              <w:top w:val="none" w:color="000000" w:sz="4"/>
              <w:left w:val="single" w:color="000000" w:sz="4"/>
              <w:bottom w:val="single" w:color="000000" w:sz="4"/>
              <w:right w:val="single" w:color="000000" w:sz="4"/>
            </w:tcBorders>
            <w:vAlign w:val="top"/>
          </w:tcPr>
          <w:p>
            <w:pPr>
              <w:jc w:val="center"/>
            </w:pPr>
            <w:r>
              <w:rPr>
                <w:sz w:val="21"/>
              </w:rPr>
              <w:t>养护现场安全</w:t>
            </w:r>
          </w:p>
          <w:p>
            <w:pPr>
              <w:jc w:val="center"/>
            </w:pPr>
            <w:r>
              <w:rPr>
                <w:sz w:val="21"/>
              </w:rPr>
              <w:t>规范操作</w:t>
            </w:r>
          </w:p>
        </w:tc>
        <w:tc>
          <w:tcPr>
            <w:tcW w:type="dxa" w:w="2072"/>
            <w:tcBorders>
              <w:top w:val="none" w:color="000000" w:sz="4"/>
              <w:left w:val="single" w:color="000000" w:sz="4"/>
              <w:bottom w:val="single" w:color="000000" w:sz="4"/>
              <w:right w:val="single" w:color="000000" w:sz="4"/>
            </w:tcBorders>
            <w:vAlign w:val="top"/>
          </w:tcPr>
          <w:p>
            <w:pPr>
              <w:jc w:val="center"/>
            </w:pPr>
            <w:r>
              <w:rPr>
                <w:sz w:val="21"/>
              </w:rPr>
              <w:t>5分/次</w:t>
            </w:r>
          </w:p>
        </w:tc>
        <w:tc>
          <w:tcPr>
            <w:tcW w:type="dxa" w:w="2488"/>
            <w:tcBorders>
              <w:top w:val="none" w:color="000000" w:sz="4"/>
              <w:left w:val="single" w:color="000000" w:sz="4"/>
              <w:bottom w:val="single" w:color="000000" w:sz="4"/>
              <w:right w:val="single" w:color="000000" w:sz="4"/>
            </w:tcBorders>
            <w:vAlign w:val="top"/>
          </w:tcPr>
          <w:p>
            <w:pPr>
              <w:jc w:val="both"/>
            </w:pPr>
            <w:r>
              <w:rPr>
                <w:sz w:val="21"/>
              </w:rPr>
              <w:t>未按安全规范操作施工的发现即扣分。如现场施工（维修）期间，未按要求做好现场围挡、配备安全员等情况（包括但不限于上述情况的）</w:t>
            </w:r>
          </w:p>
        </w:tc>
        <w:tc>
          <w:tcPr>
            <w:tcW w:type="dxa" w:w="738"/>
            <w:tcBorders>
              <w:top w:val="none" w:color="000000" w:sz="4"/>
              <w:left w:val="single" w:color="000000" w:sz="4"/>
              <w:bottom w:val="single" w:color="000000" w:sz="4"/>
              <w:right w:val="single" w:color="000000" w:sz="4"/>
            </w:tcBorders>
            <w:vAlign w:val="top"/>
          </w:tcPr>
          <w:p>
            <w:pPr>
              <w:jc w:val="center"/>
            </w:pPr>
          </w:p>
        </w:tc>
      </w:tr>
      <w:tr>
        <w:tc>
          <w:tcPr>
            <w:tcW w:type="dxa" w:w="463"/>
            <w:vMerge/>
            <w:tcBorders>
              <w:top w:val="none" w:color="000000" w:sz="4"/>
              <w:left w:val="single" w:color="000000" w:sz="4"/>
              <w:bottom w:val="single" w:color="000000" w:sz="4"/>
              <w:right w:val="single" w:color="000000" w:sz="4"/>
            </w:tcBorders>
          </w:tcPr>
          <w:p/>
        </w:tc>
        <w:tc>
          <w:tcPr>
            <w:tcW w:type="dxa" w:w="885"/>
            <w:vMerge/>
            <w:tcBorders>
              <w:top w:val="none" w:color="000000" w:sz="4"/>
              <w:left w:val="single" w:color="000000" w:sz="4"/>
              <w:bottom w:val="single" w:color="000000" w:sz="4"/>
              <w:right w:val="single" w:color="000000" w:sz="4"/>
            </w:tcBorders>
          </w:tcPr>
          <w:p/>
        </w:tc>
        <w:tc>
          <w:tcPr>
            <w:tcW w:type="dxa" w:w="1660"/>
            <w:tcBorders>
              <w:top w:val="none" w:color="000000" w:sz="4"/>
              <w:left w:val="single" w:color="000000" w:sz="4"/>
              <w:bottom w:val="single" w:color="000000" w:sz="4"/>
              <w:right w:val="single" w:color="000000" w:sz="4"/>
            </w:tcBorders>
            <w:vAlign w:val="top"/>
          </w:tcPr>
          <w:p>
            <w:pPr>
              <w:jc w:val="center"/>
            </w:pPr>
            <w:r>
              <w:rPr>
                <w:sz w:val="21"/>
              </w:rPr>
              <w:t>不文明施工</w:t>
            </w:r>
          </w:p>
        </w:tc>
        <w:tc>
          <w:tcPr>
            <w:tcW w:type="dxa" w:w="2072"/>
            <w:tcBorders>
              <w:top w:val="none" w:color="000000" w:sz="4"/>
              <w:left w:val="single" w:color="000000" w:sz="4"/>
              <w:bottom w:val="single" w:color="000000" w:sz="4"/>
              <w:right w:val="single" w:color="000000" w:sz="4"/>
            </w:tcBorders>
            <w:vAlign w:val="top"/>
          </w:tcPr>
          <w:p>
            <w:pPr>
              <w:jc w:val="center"/>
            </w:pPr>
            <w:r>
              <w:rPr>
                <w:sz w:val="21"/>
              </w:rPr>
              <w:t>5分/次</w:t>
            </w:r>
          </w:p>
        </w:tc>
        <w:tc>
          <w:tcPr>
            <w:tcW w:type="dxa" w:w="2488"/>
            <w:tcBorders>
              <w:top w:val="none" w:color="000000" w:sz="4"/>
              <w:left w:val="single" w:color="000000" w:sz="4"/>
              <w:bottom w:val="single" w:color="000000" w:sz="4"/>
              <w:right w:val="single" w:color="000000" w:sz="4"/>
            </w:tcBorders>
            <w:vAlign w:val="top"/>
          </w:tcPr>
          <w:p>
            <w:pPr>
              <w:jc w:val="left"/>
            </w:pPr>
            <w:r>
              <w:rPr>
                <w:sz w:val="21"/>
              </w:rPr>
              <w:t>施工现场的余泥渣土未及时清理运走，导致施工现场及周边环境恶劣的，发现即扣分</w:t>
            </w:r>
          </w:p>
        </w:tc>
        <w:tc>
          <w:tcPr>
            <w:tcW w:type="dxa" w:w="738"/>
            <w:tcBorders>
              <w:top w:val="none" w:color="000000" w:sz="4"/>
              <w:left w:val="single" w:color="000000" w:sz="4"/>
              <w:bottom w:val="single" w:color="000000" w:sz="4"/>
              <w:right w:val="single" w:color="000000" w:sz="4"/>
            </w:tcBorders>
            <w:vAlign w:val="top"/>
          </w:tcPr>
          <w:p>
            <w:pPr>
              <w:jc w:val="center"/>
            </w:pPr>
          </w:p>
        </w:tc>
      </w:tr>
      <w:tr>
        <w:tc>
          <w:tcPr>
            <w:tcW w:type="dxa" w:w="463"/>
            <w:vMerge/>
            <w:tcBorders>
              <w:top w:val="none" w:color="000000" w:sz="4"/>
              <w:left w:val="single" w:color="000000" w:sz="4"/>
              <w:bottom w:val="single" w:color="000000" w:sz="4"/>
              <w:right w:val="single" w:color="000000" w:sz="4"/>
            </w:tcBorders>
          </w:tcPr>
          <w:p/>
        </w:tc>
        <w:tc>
          <w:tcPr>
            <w:tcW w:type="dxa" w:w="885"/>
            <w:vMerge/>
            <w:tcBorders>
              <w:top w:val="none" w:color="000000" w:sz="4"/>
              <w:left w:val="single" w:color="000000" w:sz="4"/>
              <w:bottom w:val="single" w:color="000000" w:sz="4"/>
              <w:right w:val="single" w:color="000000" w:sz="4"/>
            </w:tcBorders>
          </w:tcPr>
          <w:p/>
        </w:tc>
        <w:tc>
          <w:tcPr>
            <w:tcW w:type="dxa" w:w="1660"/>
            <w:tcBorders>
              <w:top w:val="none" w:color="000000" w:sz="4"/>
              <w:left w:val="single" w:color="000000" w:sz="4"/>
              <w:bottom w:val="single" w:color="000000" w:sz="4"/>
              <w:right w:val="single" w:color="000000" w:sz="4"/>
            </w:tcBorders>
            <w:vAlign w:val="top"/>
          </w:tcPr>
          <w:p>
            <w:pPr>
              <w:jc w:val="center"/>
            </w:pPr>
            <w:r>
              <w:rPr>
                <w:sz w:val="21"/>
              </w:rPr>
              <w:t>出现安全责任事故（不包括重伤、死亡）</w:t>
            </w:r>
          </w:p>
        </w:tc>
        <w:tc>
          <w:tcPr>
            <w:tcW w:type="dxa" w:w="2072"/>
            <w:tcBorders>
              <w:top w:val="none" w:color="000000" w:sz="4"/>
              <w:left w:val="single" w:color="000000" w:sz="4"/>
              <w:bottom w:val="single" w:color="000000" w:sz="4"/>
              <w:right w:val="single" w:color="000000" w:sz="4"/>
            </w:tcBorders>
            <w:vAlign w:val="top"/>
          </w:tcPr>
          <w:p>
            <w:pPr>
              <w:jc w:val="center"/>
            </w:pPr>
            <w:r>
              <w:rPr>
                <w:sz w:val="21"/>
              </w:rPr>
              <w:t>10分/次</w:t>
            </w:r>
          </w:p>
        </w:tc>
        <w:tc>
          <w:tcPr>
            <w:tcW w:type="dxa" w:w="2488"/>
            <w:tcBorders>
              <w:top w:val="none" w:color="000000" w:sz="4"/>
              <w:left w:val="single" w:color="000000" w:sz="4"/>
              <w:bottom w:val="single" w:color="000000" w:sz="4"/>
              <w:right w:val="single" w:color="000000" w:sz="4"/>
            </w:tcBorders>
            <w:vAlign w:val="top"/>
          </w:tcPr>
          <w:p>
            <w:pPr>
              <w:jc w:val="center"/>
            </w:pPr>
          </w:p>
        </w:tc>
        <w:tc>
          <w:tcPr>
            <w:tcW w:type="dxa" w:w="738"/>
            <w:tcBorders>
              <w:top w:val="none" w:color="000000" w:sz="4"/>
              <w:left w:val="single" w:color="000000" w:sz="4"/>
              <w:bottom w:val="single" w:color="000000" w:sz="4"/>
              <w:right w:val="single" w:color="000000" w:sz="4"/>
            </w:tcBorders>
            <w:vAlign w:val="top"/>
          </w:tcPr>
          <w:p>
            <w:pPr>
              <w:jc w:val="center"/>
            </w:pPr>
          </w:p>
        </w:tc>
      </w:tr>
      <w:tr>
        <w:tc>
          <w:tcPr>
            <w:tcW w:type="dxa" w:w="46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885"/>
            <w:tcBorders>
              <w:top w:val="none" w:color="000000" w:sz="4"/>
              <w:left w:val="single" w:color="000000" w:sz="4"/>
              <w:bottom w:val="single" w:color="000000" w:sz="4"/>
              <w:right w:val="single" w:color="000000" w:sz="4"/>
            </w:tcBorders>
            <w:vAlign w:val="top"/>
          </w:tcPr>
          <w:p>
            <w:pPr>
              <w:jc w:val="center"/>
            </w:pPr>
            <w:r>
              <w:rPr>
                <w:sz w:val="21"/>
              </w:rPr>
              <w:t>维护档案报表</w:t>
            </w:r>
          </w:p>
        </w:tc>
        <w:tc>
          <w:tcPr>
            <w:tcW w:type="dxa" w:w="1660"/>
            <w:tcBorders>
              <w:top w:val="none" w:color="000000" w:sz="4"/>
              <w:left w:val="single" w:color="000000" w:sz="4"/>
              <w:bottom w:val="single" w:color="000000" w:sz="4"/>
              <w:right w:val="single" w:color="000000" w:sz="4"/>
            </w:tcBorders>
            <w:vAlign w:val="top"/>
          </w:tcPr>
          <w:p>
            <w:pPr>
              <w:jc w:val="center"/>
            </w:pPr>
            <w:r>
              <w:rPr>
                <w:sz w:val="21"/>
              </w:rPr>
              <w:t>维护档案资料</w:t>
            </w:r>
          </w:p>
          <w:p>
            <w:pPr>
              <w:jc w:val="center"/>
            </w:pPr>
            <w:r>
              <w:rPr>
                <w:sz w:val="21"/>
              </w:rPr>
              <w:t>情况填报情况</w:t>
            </w:r>
          </w:p>
        </w:tc>
        <w:tc>
          <w:tcPr>
            <w:tcW w:type="dxa" w:w="2072"/>
            <w:tcBorders>
              <w:top w:val="none" w:color="000000" w:sz="4"/>
              <w:left w:val="single" w:color="000000" w:sz="4"/>
              <w:bottom w:val="single" w:color="000000" w:sz="4"/>
              <w:right w:val="single" w:color="000000" w:sz="4"/>
            </w:tcBorders>
            <w:vAlign w:val="top"/>
          </w:tcPr>
          <w:p>
            <w:pPr>
              <w:jc w:val="center"/>
            </w:pPr>
            <w:r>
              <w:rPr>
                <w:sz w:val="21"/>
              </w:rPr>
              <w:t>1分/次</w:t>
            </w:r>
          </w:p>
        </w:tc>
        <w:tc>
          <w:tcPr>
            <w:tcW w:type="dxa" w:w="2488"/>
            <w:tcBorders>
              <w:top w:val="none" w:color="000000" w:sz="4"/>
              <w:left w:val="single" w:color="000000" w:sz="4"/>
              <w:bottom w:val="single" w:color="000000" w:sz="4"/>
              <w:right w:val="single" w:color="000000" w:sz="4"/>
            </w:tcBorders>
            <w:vAlign w:val="top"/>
          </w:tcPr>
          <w:p>
            <w:pPr>
              <w:jc w:val="center"/>
            </w:pPr>
            <w:r>
              <w:rPr>
                <w:sz w:val="21"/>
              </w:rPr>
              <w:t>维护档案资料不齐，填写不规范、未按时报送</w:t>
            </w:r>
          </w:p>
        </w:tc>
        <w:tc>
          <w:tcPr>
            <w:tcW w:type="dxa" w:w="738"/>
            <w:tcBorders>
              <w:top w:val="none" w:color="000000" w:sz="4"/>
              <w:left w:val="single" w:color="000000" w:sz="4"/>
              <w:bottom w:val="single" w:color="000000" w:sz="4"/>
              <w:right w:val="single" w:color="000000" w:sz="4"/>
            </w:tcBorders>
            <w:vAlign w:val="top"/>
          </w:tcPr>
          <w:p>
            <w:pPr>
              <w:jc w:val="center"/>
            </w:pPr>
          </w:p>
        </w:tc>
      </w:tr>
      <w:tr>
        <w:tc>
          <w:tcPr>
            <w:tcW w:type="dxa" w:w="1348"/>
            <w:gridSpan w:val="2"/>
            <w:tcBorders>
              <w:top w:val="none" w:color="000000" w:sz="4"/>
              <w:left w:val="single" w:color="000000" w:sz="4"/>
              <w:bottom w:val="single" w:color="000000" w:sz="4"/>
              <w:right w:val="single" w:color="000000" w:sz="4"/>
            </w:tcBorders>
            <w:vAlign w:val="top"/>
          </w:tcPr>
          <w:p>
            <w:pPr>
              <w:jc w:val="center"/>
            </w:pPr>
          </w:p>
        </w:tc>
        <w:tc>
          <w:tcPr>
            <w:tcW w:type="dxa" w:w="6958"/>
            <w:gridSpan w:val="4"/>
            <w:tcBorders>
              <w:top w:val="none" w:color="000000" w:sz="4"/>
              <w:left w:val="single" w:color="000000" w:sz="4"/>
              <w:bottom w:val="single" w:color="000000" w:sz="4"/>
              <w:right w:val="single" w:color="000000" w:sz="4"/>
            </w:tcBorders>
            <w:vAlign w:val="top"/>
          </w:tcPr>
          <w:p>
            <w:pPr>
              <w:jc w:val="left"/>
            </w:pPr>
            <w:r>
              <w:rPr>
                <w:sz w:val="21"/>
              </w:rPr>
              <w:t>本期扣分小计：</w:t>
            </w:r>
          </w:p>
        </w:tc>
      </w:tr>
      <w:tr>
        <w:tc>
          <w:tcPr>
            <w:tcW w:type="dxa" w:w="1348"/>
            <w:gridSpan w:val="2"/>
            <w:tcBorders>
              <w:top w:val="none" w:color="000000" w:sz="4"/>
              <w:left w:val="single" w:color="000000" w:sz="4"/>
              <w:bottom w:val="single" w:color="000000" w:sz="4"/>
              <w:right w:val="single" w:color="000000" w:sz="4"/>
            </w:tcBorders>
            <w:vAlign w:val="top"/>
          </w:tcPr>
          <w:p>
            <w:pPr>
              <w:jc w:val="center"/>
            </w:pPr>
          </w:p>
        </w:tc>
        <w:tc>
          <w:tcPr>
            <w:tcW w:type="dxa" w:w="6958"/>
            <w:gridSpan w:val="4"/>
            <w:tcBorders>
              <w:top w:val="none" w:color="000000" w:sz="4"/>
              <w:left w:val="single" w:color="000000" w:sz="4"/>
              <w:bottom w:val="single" w:color="000000" w:sz="4"/>
              <w:right w:val="single" w:color="000000" w:sz="4"/>
            </w:tcBorders>
            <w:vAlign w:val="top"/>
          </w:tcPr>
          <w:p>
            <w:pPr>
              <w:jc w:val="left"/>
            </w:pPr>
            <w:r>
              <w:rPr>
                <w:sz w:val="21"/>
              </w:rPr>
              <w:t>考核得分（</w:t>
            </w:r>
            <w:r>
              <w:rPr>
                <w:sz w:val="21"/>
              </w:rPr>
              <w:t xml:space="preserve">   </w:t>
            </w:r>
            <w:r>
              <w:rPr>
                <w:sz w:val="21"/>
              </w:rPr>
              <w:t>分）</w:t>
            </w:r>
            <w:r>
              <w:rPr>
                <w:sz w:val="21"/>
              </w:rPr>
              <w:t>= 总分（100分）— 本期扣分（    分）</w:t>
            </w:r>
          </w:p>
        </w:tc>
      </w:tr>
    </w:tbl>
    <w:p>
      <w:pPr>
        <w:jc w:val="both"/>
      </w:pPr>
    </w:p>
    <w:p>
      <w:pPr>
        <w:jc w:val="both"/>
      </w:pPr>
    </w:p>
    <w:p>
      <w:pPr>
        <w:jc w:val="both"/>
      </w:pPr>
      <w:r>
        <w:rPr>
          <w:sz w:val="21"/>
        </w:rPr>
        <w:t>甲方单位（盖章）：</w:t>
      </w:r>
    </w:p>
    <w:p>
      <w:pPr>
        <w:jc w:val="both"/>
      </w:pPr>
    </w:p>
    <w:p>
      <w:pPr>
        <w:jc w:val="both"/>
      </w:pPr>
    </w:p>
    <w:p>
      <w:pPr>
        <w:jc w:val="both"/>
      </w:pPr>
      <w:r>
        <w:rPr>
          <w:sz w:val="21"/>
        </w:rPr>
        <w:t>监理单位（签名盖章）：</w:t>
      </w:r>
    </w:p>
    <w:p>
      <w:pPr>
        <w:jc w:val="both"/>
      </w:pPr>
    </w:p>
    <w:p>
      <w:pPr>
        <w:jc w:val="both"/>
      </w:pPr>
    </w:p>
    <w:p>
      <w:pPr>
        <w:jc w:val="both"/>
      </w:pPr>
      <w:r>
        <w:rPr>
          <w:sz w:val="21"/>
        </w:rPr>
        <w:t>乙方单位（签名盖章）：</w:t>
      </w:r>
    </w:p>
    <w:p>
      <w:pPr>
        <w:jc w:val="both"/>
      </w:pPr>
    </w:p>
    <w:p>
      <w:pPr>
        <w:jc w:val="both"/>
      </w:pPr>
    </w:p>
    <w:p>
      <w:pPr>
        <w:jc w:val="both"/>
      </w:pPr>
    </w:p>
    <w:p>
      <w:pPr>
        <w:jc w:val="both"/>
      </w:pPr>
    </w:p>
    <w:p>
      <w:pPr>
        <w:jc w:val="both"/>
      </w:pPr>
    </w:p>
    <w:p>
      <w:pPr>
        <w:jc w:val="left"/>
      </w:pPr>
      <w:r>
        <w:rPr>
          <w:sz w:val="24"/>
        </w:rPr>
        <w:t>其他附件：</w:t>
      </w:r>
    </w:p>
    <w:p>
      <w:pPr>
        <w:jc w:val="center"/>
      </w:pPr>
      <w:r>
        <w:rPr>
          <w:sz w:val="32"/>
        </w:rPr>
        <w:t>市属户外公益广告设施日常巡查记录表</w:t>
      </w:r>
    </w:p>
    <w:p>
      <w:pPr>
        <w:jc w:val="center"/>
      </w:pPr>
      <w:r>
        <w:rPr>
          <w:sz w:val="32"/>
        </w:rPr>
        <w:t>（</w:t>
      </w:r>
      <w:r>
        <w:rPr>
          <w:sz w:val="32"/>
        </w:rPr>
        <w:t xml:space="preserve">  </w:t>
      </w:r>
      <w:r>
        <w:rPr>
          <w:sz w:val="32"/>
        </w:rPr>
        <w:t>年</w:t>
      </w:r>
      <w:r>
        <w:rPr>
          <w:sz w:val="32"/>
        </w:rPr>
        <w:t xml:space="preserve">   </w:t>
      </w:r>
      <w:r>
        <w:rPr>
          <w:sz w:val="32"/>
        </w:rPr>
        <w:t>月）</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1915"/>
        <w:gridCol w:w="6391"/>
      </w:tblGrid>
      <w:tr>
        <w:tc>
          <w:tcPr>
            <w:tcW w:type="dxa" w:w="1915"/>
            <w:tcBorders>
              <w:top w:val="single" w:color="000000" w:sz="4"/>
              <w:left w:val="single" w:color="000000" w:sz="4"/>
              <w:bottom w:val="single" w:color="000000" w:sz="4"/>
              <w:right w:val="single" w:color="000000" w:sz="4"/>
            </w:tcBorders>
            <w:vAlign w:val="top"/>
          </w:tcPr>
          <w:p>
            <w:pPr>
              <w:jc w:val="center"/>
            </w:pPr>
            <w:r>
              <w:rPr>
                <w:sz w:val="24"/>
              </w:rPr>
              <w:t>巡查日期</w:t>
            </w:r>
          </w:p>
        </w:tc>
        <w:tc>
          <w:tcPr>
            <w:tcW w:type="dxa" w:w="6391"/>
            <w:tcBorders>
              <w:top w:val="single" w:color="000000" w:sz="4"/>
              <w:left w:val="single" w:color="000000" w:sz="4"/>
              <w:bottom w:val="single" w:color="000000" w:sz="4"/>
              <w:right w:val="single" w:color="000000" w:sz="4"/>
            </w:tcBorders>
            <w:vAlign w:val="top"/>
          </w:tcPr>
          <w:p>
            <w:pPr>
              <w:jc w:val="center"/>
            </w:pPr>
            <w:r>
              <w:rPr>
                <w:sz w:val="24"/>
              </w:rPr>
              <w:t>月</w:t>
            </w:r>
            <w:r>
              <w:rPr>
                <w:sz w:val="24"/>
              </w:rPr>
              <w:t xml:space="preserve">  </w:t>
            </w:r>
            <w:r>
              <w:rPr>
                <w:sz w:val="24"/>
              </w:rPr>
              <w:t>日</w:t>
            </w:r>
            <w:r>
              <w:rPr>
                <w:sz w:val="24"/>
              </w:rPr>
              <w:t xml:space="preserve">    </w:t>
            </w:r>
            <w:r>
              <w:rPr>
                <w:sz w:val="24"/>
              </w:rPr>
              <w:t>时</w:t>
            </w:r>
            <w:r>
              <w:rPr>
                <w:sz w:val="24"/>
              </w:rPr>
              <w:t>至</w:t>
            </w:r>
            <w:r>
              <w:rPr>
                <w:sz w:val="24"/>
              </w:rPr>
              <w:t xml:space="preserve">   </w:t>
            </w:r>
            <w:r>
              <w:rPr>
                <w:sz w:val="24"/>
              </w:rPr>
              <w:t>时</w:t>
            </w:r>
          </w:p>
        </w:tc>
      </w:tr>
      <w:tr>
        <w:tc>
          <w:tcPr>
            <w:tcW w:type="dxa" w:w="1915"/>
            <w:tcBorders>
              <w:top w:val="none" w:color="000000" w:sz="4"/>
              <w:left w:val="single" w:color="000000" w:sz="4"/>
              <w:bottom w:val="single" w:color="000000" w:sz="4"/>
              <w:right w:val="single" w:color="000000" w:sz="4"/>
            </w:tcBorders>
            <w:vAlign w:val="top"/>
          </w:tcPr>
          <w:p>
            <w:pPr>
              <w:jc w:val="center"/>
            </w:pPr>
            <w:r>
              <w:rPr>
                <w:sz w:val="24"/>
              </w:rPr>
              <w:t>巡查地点</w:t>
            </w:r>
            <w:r>
              <w:rPr>
                <w:sz w:val="24"/>
              </w:rPr>
              <w:t>/路段</w:t>
            </w:r>
          </w:p>
        </w:tc>
        <w:tc>
          <w:tcPr>
            <w:tcW w:type="dxa" w:w="6391"/>
            <w:tcBorders>
              <w:top w:val="none" w:color="000000" w:sz="4"/>
              <w:left w:val="single" w:color="000000" w:sz="4"/>
              <w:bottom w:val="single" w:color="000000" w:sz="4"/>
              <w:right w:val="single" w:color="000000" w:sz="4"/>
            </w:tcBorders>
            <w:vAlign w:val="top"/>
          </w:tcPr>
          <w:p>
            <w:pPr>
              <w:jc w:val="center"/>
            </w:pPr>
          </w:p>
        </w:tc>
      </w:tr>
      <w:tr>
        <w:tc>
          <w:tcPr>
            <w:tcW w:type="dxa" w:w="1915"/>
            <w:tcBorders>
              <w:top w:val="none" w:color="000000" w:sz="4"/>
              <w:left w:val="single" w:color="000000" w:sz="4"/>
              <w:bottom w:val="single" w:color="000000" w:sz="4"/>
              <w:right w:val="single" w:color="000000" w:sz="4"/>
            </w:tcBorders>
            <w:vAlign w:val="top"/>
          </w:tcPr>
          <w:p>
            <w:pPr>
              <w:jc w:val="center"/>
            </w:pPr>
            <w:r>
              <w:rPr>
                <w:sz w:val="24"/>
              </w:rPr>
              <w:t>巡查情况</w:t>
            </w:r>
          </w:p>
        </w:tc>
        <w:tc>
          <w:tcPr>
            <w:tcW w:type="dxa" w:w="6391"/>
            <w:tcBorders>
              <w:top w:val="none" w:color="000000" w:sz="4"/>
              <w:left w:val="single" w:color="000000" w:sz="4"/>
              <w:bottom w:val="single" w:color="000000" w:sz="4"/>
              <w:right w:val="single" w:color="000000" w:sz="4"/>
            </w:tcBorders>
            <w:vAlign w:val="top"/>
          </w:tcPr>
          <w:p>
            <w:pPr>
              <w:jc w:val="center"/>
            </w:pPr>
          </w:p>
        </w:tc>
      </w:tr>
      <w:tr>
        <w:tc>
          <w:tcPr>
            <w:tcW w:type="dxa" w:w="1915"/>
            <w:tcBorders>
              <w:top w:val="none" w:color="000000" w:sz="4"/>
              <w:left w:val="single" w:color="000000" w:sz="4"/>
              <w:bottom w:val="single" w:color="000000" w:sz="4"/>
              <w:right w:val="single" w:color="000000" w:sz="4"/>
            </w:tcBorders>
            <w:vAlign w:val="top"/>
          </w:tcPr>
          <w:p>
            <w:pPr>
              <w:jc w:val="center"/>
            </w:pPr>
            <w:r>
              <w:rPr>
                <w:sz w:val="24"/>
              </w:rPr>
              <w:t>巡查人员</w:t>
            </w:r>
          </w:p>
        </w:tc>
        <w:tc>
          <w:tcPr>
            <w:tcW w:type="dxa" w:w="6391"/>
            <w:tcBorders>
              <w:top w:val="none" w:color="000000" w:sz="4"/>
              <w:left w:val="single" w:color="000000" w:sz="4"/>
              <w:bottom w:val="single" w:color="000000" w:sz="4"/>
              <w:right w:val="single" w:color="000000" w:sz="4"/>
            </w:tcBorders>
            <w:vAlign w:val="top"/>
          </w:tcPr>
          <w:p>
            <w:pPr>
              <w:jc w:val="center"/>
            </w:pPr>
          </w:p>
        </w:tc>
      </w:tr>
    </w:tbl>
    <w:p>
      <w:pPr>
        <w:jc w:val="both"/>
      </w:pPr>
      <w:r>
        <w:rPr>
          <w:sz w:val="24"/>
        </w:rPr>
        <w:t>说明：由养护单位填写，后附巡查图片，每周报监理单位汇总，甲方单位存档</w:t>
      </w:r>
    </w:p>
    <w:p>
      <w:pPr>
        <w:jc w:val="both"/>
      </w:pPr>
    </w:p>
    <w:p>
      <w:pPr>
        <w:jc w:val="both"/>
      </w:pPr>
    </w:p>
    <w:p/>
    <w:p/>
    <w:p>
      <w:r>
        <w:rPr/>
        <w:t xml:space="preserve"> </w:t>
      </w:r>
    </w:p>
    <w:p>
      <w:pPr>
        <w:jc w:val="center"/>
      </w:pPr>
      <w:r>
        <w:rPr>
          <w:sz w:val="32"/>
        </w:rPr>
        <w:t>维修情况登记表</w:t>
      </w:r>
    </w:p>
    <w:p>
      <w:pPr>
        <w:jc w:val="center"/>
      </w:pPr>
      <w:r>
        <w:rPr>
          <w:sz w:val="24"/>
        </w:rPr>
        <w:t xml:space="preserve">                                           </w:t>
      </w:r>
      <w:r>
        <w:rPr>
          <w:sz w:val="24"/>
        </w:rPr>
        <w:t>编号：</w:t>
      </w:r>
    </w:p>
    <w:tbl>
      <w:tblPr>
        <w:tblW w:w="0" w:type="auto"/>
        <w:tblBorders>
          <w:top w:val="none" w:color="000000" w:sz="4"/>
          <w:left w:val="none" w:color="000000" w:sz="4"/>
          <w:bottom w:val="none" w:color="000000" w:sz="4"/>
          <w:right w:val="none" w:color="000000" w:sz="4"/>
          <w:insideH w:val="none"/>
          <w:insideV w:val="none"/>
        </w:tblBorders>
      </w:tblPr>
      <w:tblGrid>
        <w:gridCol w:w="1394"/>
        <w:gridCol w:w="2759"/>
        <w:gridCol w:w="1145"/>
        <w:gridCol w:w="3008"/>
      </w:tblGrid>
      <w:tr>
        <w:tc>
          <w:tcPr>
            <w:tcW w:type="dxa" w:w="1394"/>
            <w:tcBorders>
              <w:top w:val="single" w:color="000000" w:sz="4"/>
              <w:left w:val="single" w:color="000000" w:sz="4"/>
              <w:bottom w:val="single" w:color="000000" w:sz="4"/>
              <w:right w:val="single" w:color="000000" w:sz="4"/>
            </w:tcBorders>
            <w:vAlign w:val="top"/>
          </w:tcPr>
          <w:p>
            <w:pPr>
              <w:jc w:val="center"/>
            </w:pPr>
            <w:r>
              <w:rPr>
                <w:sz w:val="24"/>
              </w:rPr>
              <w:t>时间</w:t>
            </w:r>
          </w:p>
        </w:tc>
        <w:tc>
          <w:tcPr>
            <w:tcW w:type="dxa" w:w="2759"/>
            <w:tcBorders>
              <w:top w:val="single" w:color="000000" w:sz="4"/>
              <w:left w:val="single" w:color="000000" w:sz="4"/>
              <w:bottom w:val="single" w:color="000000" w:sz="4"/>
              <w:right w:val="single" w:color="000000" w:sz="4"/>
            </w:tcBorders>
            <w:vAlign w:val="top"/>
          </w:tcPr>
          <w:p>
            <w:pPr>
              <w:jc w:val="both"/>
            </w:pPr>
          </w:p>
        </w:tc>
        <w:tc>
          <w:tcPr>
            <w:tcW w:type="dxa" w:w="1145"/>
            <w:tcBorders>
              <w:top w:val="single" w:color="000000" w:sz="4"/>
              <w:left w:val="single" w:color="000000" w:sz="4"/>
              <w:bottom w:val="single" w:color="000000" w:sz="4"/>
              <w:right w:val="single" w:color="000000" w:sz="4"/>
            </w:tcBorders>
            <w:vAlign w:val="top"/>
          </w:tcPr>
          <w:p>
            <w:pPr>
              <w:jc w:val="center"/>
            </w:pPr>
            <w:r>
              <w:rPr>
                <w:sz w:val="24"/>
              </w:rPr>
              <w:t>位置</w:t>
            </w:r>
          </w:p>
        </w:tc>
        <w:tc>
          <w:tcPr>
            <w:tcW w:type="dxa" w:w="3008"/>
            <w:tcBorders>
              <w:top w:val="single" w:color="000000" w:sz="4"/>
              <w:left w:val="single" w:color="000000" w:sz="4"/>
              <w:bottom w:val="single" w:color="000000" w:sz="4"/>
              <w:right w:val="single" w:color="000000" w:sz="4"/>
            </w:tcBorders>
            <w:vAlign w:val="top"/>
          </w:tcPr>
          <w:p>
            <w:pPr>
              <w:jc w:val="both"/>
            </w:pPr>
          </w:p>
        </w:tc>
      </w:tr>
      <w:tr>
        <w:tc>
          <w:tcPr>
            <w:tcW w:type="dxa" w:w="1394"/>
            <w:tcBorders>
              <w:top w:val="none" w:color="000000" w:sz="4"/>
              <w:left w:val="single" w:color="000000" w:sz="4"/>
              <w:bottom w:val="single" w:color="000000" w:sz="4"/>
              <w:right w:val="single" w:color="000000" w:sz="4"/>
            </w:tcBorders>
            <w:vAlign w:val="top"/>
          </w:tcPr>
          <w:p>
            <w:pPr>
              <w:jc w:val="center"/>
            </w:pPr>
            <w:r>
              <w:rPr>
                <w:sz w:val="24"/>
              </w:rPr>
              <w:t>维修人员</w:t>
            </w:r>
          </w:p>
        </w:tc>
        <w:tc>
          <w:tcPr>
            <w:tcW w:type="dxa" w:w="6912"/>
            <w:gridSpan w:val="3"/>
            <w:tcBorders>
              <w:top w:val="none" w:color="000000" w:sz="4"/>
              <w:left w:val="single" w:color="000000" w:sz="4"/>
              <w:bottom w:val="single" w:color="000000" w:sz="4"/>
              <w:right w:val="single" w:color="000000" w:sz="4"/>
            </w:tcBorders>
            <w:vAlign w:val="top"/>
          </w:tcPr>
          <w:p>
            <w:pPr>
              <w:jc w:val="both"/>
            </w:pPr>
          </w:p>
        </w:tc>
      </w:tr>
      <w:tr>
        <w:tc>
          <w:tcPr>
            <w:tcW w:type="dxa" w:w="1394"/>
            <w:vMerge w:val="restart"/>
            <w:tcBorders>
              <w:top w:val="none" w:color="000000" w:sz="4"/>
              <w:left w:val="single" w:color="000000" w:sz="4"/>
              <w:bottom w:val="single" w:color="000000" w:sz="4"/>
              <w:right w:val="single" w:color="000000" w:sz="4"/>
            </w:tcBorders>
            <w:vAlign w:val="top"/>
          </w:tcPr>
          <w:p>
            <w:pPr>
              <w:jc w:val="center"/>
            </w:pPr>
            <w:r>
              <w:rPr>
                <w:sz w:val="24"/>
              </w:rPr>
              <w:t>事故情况</w:t>
            </w:r>
          </w:p>
        </w:tc>
        <w:tc>
          <w:tcPr>
            <w:tcW w:type="dxa" w:w="6912"/>
            <w:gridSpan w:val="3"/>
            <w:tcBorders>
              <w:top w:val="none" w:color="000000" w:sz="4"/>
              <w:left w:val="single" w:color="000000" w:sz="4"/>
              <w:bottom w:val="single" w:color="000000" w:sz="4"/>
              <w:right w:val="single" w:color="000000" w:sz="4"/>
            </w:tcBorders>
            <w:vAlign w:val="top"/>
          </w:tcPr>
          <w:p>
            <w:pPr>
              <w:jc w:val="both"/>
            </w:pPr>
            <w:r>
              <w:rPr>
                <w:sz w:val="24"/>
              </w:rPr>
              <w:t>情况简述：</w:t>
            </w:r>
          </w:p>
        </w:tc>
      </w:tr>
      <w:tr>
        <w:tc>
          <w:tcPr>
            <w:tcW w:type="dxa" w:w="1394"/>
            <w:vMerge/>
            <w:tcBorders>
              <w:top w:val="none" w:color="000000" w:sz="4"/>
              <w:left w:val="single" w:color="000000" w:sz="4"/>
              <w:bottom w:val="single" w:color="000000" w:sz="4"/>
              <w:right w:val="single" w:color="000000" w:sz="4"/>
            </w:tcBorders>
          </w:tcPr>
          <w:p/>
        </w:tc>
        <w:tc>
          <w:tcPr>
            <w:tcW w:type="dxa" w:w="6912"/>
            <w:gridSpan w:val="3"/>
            <w:tcBorders>
              <w:top w:val="none" w:color="000000" w:sz="4"/>
              <w:left w:val="single" w:color="000000" w:sz="4"/>
              <w:bottom w:val="single" w:color="000000" w:sz="4"/>
              <w:right w:val="single" w:color="000000" w:sz="4"/>
            </w:tcBorders>
            <w:vAlign w:val="top"/>
          </w:tcPr>
          <w:p>
            <w:pPr>
              <w:jc w:val="both"/>
            </w:pPr>
            <w:r>
              <w:rPr>
                <w:sz w:val="24"/>
              </w:rPr>
              <w:t>故障图片编号：</w:t>
            </w:r>
          </w:p>
        </w:tc>
      </w:tr>
      <w:tr>
        <w:tc>
          <w:tcPr>
            <w:tcW w:type="dxa" w:w="1394"/>
            <w:vMerge w:val="restart"/>
            <w:tcBorders>
              <w:top w:val="none" w:color="000000" w:sz="4"/>
              <w:left w:val="single" w:color="000000" w:sz="4"/>
              <w:bottom w:val="single" w:color="000000" w:sz="4"/>
              <w:right w:val="single" w:color="000000" w:sz="4"/>
            </w:tcBorders>
            <w:vAlign w:val="top"/>
          </w:tcPr>
          <w:p>
            <w:pPr>
              <w:jc w:val="center"/>
            </w:pPr>
            <w:r>
              <w:rPr>
                <w:sz w:val="24"/>
              </w:rPr>
              <w:t>维修方案</w:t>
            </w:r>
          </w:p>
        </w:tc>
        <w:tc>
          <w:tcPr>
            <w:tcW w:type="dxa" w:w="6912"/>
            <w:gridSpan w:val="3"/>
            <w:tcBorders>
              <w:top w:val="none" w:color="000000" w:sz="4"/>
              <w:left w:val="single" w:color="000000" w:sz="4"/>
              <w:bottom w:val="single" w:color="000000" w:sz="4"/>
              <w:right w:val="single" w:color="000000" w:sz="4"/>
            </w:tcBorders>
            <w:vAlign w:val="top"/>
          </w:tcPr>
          <w:p>
            <w:pPr>
              <w:jc w:val="both"/>
            </w:pPr>
            <w:r>
              <w:rPr>
                <w:sz w:val="24"/>
              </w:rPr>
              <w:t>维修方案：</w:t>
            </w:r>
          </w:p>
        </w:tc>
      </w:tr>
      <w:tr>
        <w:tc>
          <w:tcPr>
            <w:tcW w:type="dxa" w:w="1394"/>
            <w:vMerge/>
            <w:tcBorders>
              <w:top w:val="none" w:color="000000" w:sz="4"/>
              <w:left w:val="single" w:color="000000" w:sz="4"/>
              <w:bottom w:val="single" w:color="000000" w:sz="4"/>
              <w:right w:val="single" w:color="000000" w:sz="4"/>
            </w:tcBorders>
          </w:tcPr>
          <w:p/>
        </w:tc>
        <w:tc>
          <w:tcPr>
            <w:tcW w:type="dxa" w:w="6912"/>
            <w:gridSpan w:val="3"/>
            <w:tcBorders>
              <w:top w:val="none" w:color="000000" w:sz="4"/>
              <w:left w:val="single" w:color="000000" w:sz="4"/>
              <w:bottom w:val="single" w:color="000000" w:sz="4"/>
              <w:right w:val="single" w:color="000000" w:sz="4"/>
            </w:tcBorders>
            <w:vAlign w:val="top"/>
          </w:tcPr>
          <w:p>
            <w:pPr>
              <w:jc w:val="both"/>
            </w:pPr>
            <w:r>
              <w:rPr>
                <w:sz w:val="24"/>
              </w:rPr>
              <w:t>预计修复时间：</w:t>
            </w:r>
          </w:p>
        </w:tc>
      </w:tr>
      <w:tr>
        <w:tc>
          <w:tcPr>
            <w:tcW w:type="dxa" w:w="1394"/>
            <w:vMerge w:val="restart"/>
            <w:tcBorders>
              <w:top w:val="none" w:color="000000" w:sz="4"/>
              <w:left w:val="single" w:color="000000" w:sz="4"/>
              <w:bottom w:val="single" w:color="000000" w:sz="4"/>
              <w:right w:val="single" w:color="000000" w:sz="4"/>
            </w:tcBorders>
            <w:vAlign w:val="top"/>
          </w:tcPr>
          <w:p>
            <w:pPr>
              <w:jc w:val="center"/>
            </w:pPr>
            <w:r>
              <w:rPr>
                <w:sz w:val="24"/>
              </w:rPr>
              <w:t>维修情况</w:t>
            </w:r>
          </w:p>
        </w:tc>
        <w:tc>
          <w:tcPr>
            <w:tcW w:type="dxa" w:w="6912"/>
            <w:gridSpan w:val="3"/>
            <w:tcBorders>
              <w:top w:val="none" w:color="000000" w:sz="4"/>
              <w:left w:val="single" w:color="000000" w:sz="4"/>
              <w:bottom w:val="single" w:color="000000" w:sz="4"/>
              <w:right w:val="single" w:color="000000" w:sz="4"/>
            </w:tcBorders>
            <w:vAlign w:val="top"/>
          </w:tcPr>
          <w:p>
            <w:pPr>
              <w:jc w:val="both"/>
            </w:pPr>
            <w:r>
              <w:rPr>
                <w:sz w:val="24"/>
              </w:rPr>
              <w:t>修复情况：</w:t>
            </w:r>
          </w:p>
        </w:tc>
      </w:tr>
      <w:tr>
        <w:tc>
          <w:tcPr>
            <w:tcW w:type="dxa" w:w="1394"/>
            <w:vMerge/>
            <w:tcBorders>
              <w:top w:val="none" w:color="000000" w:sz="4"/>
              <w:left w:val="single" w:color="000000" w:sz="4"/>
              <w:bottom w:val="single" w:color="000000" w:sz="4"/>
              <w:right w:val="single" w:color="000000" w:sz="4"/>
            </w:tcBorders>
          </w:tcPr>
          <w:p/>
        </w:tc>
        <w:tc>
          <w:tcPr>
            <w:tcW w:type="dxa" w:w="6912"/>
            <w:gridSpan w:val="3"/>
            <w:tcBorders>
              <w:top w:val="none" w:color="000000" w:sz="4"/>
              <w:left w:val="single" w:color="000000" w:sz="4"/>
              <w:bottom w:val="single" w:color="000000" w:sz="4"/>
              <w:right w:val="single" w:color="000000" w:sz="4"/>
            </w:tcBorders>
            <w:vAlign w:val="top"/>
          </w:tcPr>
          <w:p>
            <w:pPr>
              <w:jc w:val="both"/>
            </w:pPr>
            <w:r>
              <w:rPr>
                <w:sz w:val="24"/>
              </w:rPr>
              <w:t>修复完成时间：</w:t>
            </w:r>
          </w:p>
        </w:tc>
      </w:tr>
      <w:tr>
        <w:tc>
          <w:tcPr>
            <w:tcW w:type="dxa" w:w="1394"/>
            <w:vMerge/>
            <w:tcBorders>
              <w:top w:val="none" w:color="000000" w:sz="4"/>
              <w:left w:val="single" w:color="000000" w:sz="4"/>
              <w:bottom w:val="single" w:color="000000" w:sz="4"/>
              <w:right w:val="single" w:color="000000" w:sz="4"/>
            </w:tcBorders>
          </w:tcPr>
          <w:p/>
        </w:tc>
        <w:tc>
          <w:tcPr>
            <w:tcW w:type="dxa" w:w="6912"/>
            <w:gridSpan w:val="3"/>
            <w:tcBorders>
              <w:top w:val="none" w:color="000000" w:sz="4"/>
              <w:left w:val="single" w:color="000000" w:sz="4"/>
              <w:bottom w:val="single" w:color="000000" w:sz="4"/>
              <w:right w:val="single" w:color="000000" w:sz="4"/>
            </w:tcBorders>
            <w:vAlign w:val="top"/>
          </w:tcPr>
          <w:p>
            <w:pPr>
              <w:jc w:val="both"/>
            </w:pPr>
            <w:r>
              <w:rPr>
                <w:sz w:val="24"/>
              </w:rPr>
              <w:t>修复现场图片编号：</w:t>
            </w:r>
          </w:p>
        </w:tc>
      </w:tr>
      <w:tr>
        <w:tc>
          <w:tcPr>
            <w:tcW w:type="dxa" w:w="1394"/>
            <w:vMerge w:val="restart"/>
            <w:tcBorders>
              <w:top w:val="none" w:color="000000" w:sz="4"/>
              <w:left w:val="single" w:color="000000" w:sz="4"/>
              <w:bottom w:val="single" w:color="000000" w:sz="4"/>
              <w:right w:val="single" w:color="000000" w:sz="4"/>
            </w:tcBorders>
            <w:vAlign w:val="top"/>
          </w:tcPr>
          <w:p>
            <w:pPr>
              <w:jc w:val="both"/>
            </w:pPr>
            <w:r>
              <w:rPr>
                <w:sz w:val="24"/>
              </w:rPr>
              <w:t>故障修复情况确认</w:t>
            </w:r>
          </w:p>
        </w:tc>
        <w:tc>
          <w:tcPr>
            <w:tcW w:type="dxa" w:w="6912"/>
            <w:gridSpan w:val="3"/>
            <w:tcBorders>
              <w:top w:val="none" w:color="000000" w:sz="4"/>
              <w:left w:val="single" w:color="000000" w:sz="4"/>
              <w:bottom w:val="single" w:color="000000" w:sz="4"/>
              <w:right w:val="single" w:color="000000" w:sz="4"/>
            </w:tcBorders>
            <w:vAlign w:val="top"/>
          </w:tcPr>
          <w:p>
            <w:pPr>
              <w:jc w:val="both"/>
            </w:pPr>
            <w:r>
              <w:rPr>
                <w:sz w:val="24"/>
              </w:rPr>
              <w:t>维护完成情况：</w:t>
            </w:r>
          </w:p>
        </w:tc>
      </w:tr>
      <w:tr>
        <w:tc>
          <w:tcPr>
            <w:tcW w:type="dxa" w:w="1394"/>
            <w:vMerge/>
            <w:tcBorders>
              <w:top w:val="none" w:color="000000" w:sz="4"/>
              <w:left w:val="single" w:color="000000" w:sz="4"/>
              <w:bottom w:val="single" w:color="000000" w:sz="4"/>
              <w:right w:val="single" w:color="000000" w:sz="4"/>
            </w:tcBorders>
          </w:tcPr>
          <w:p/>
        </w:tc>
        <w:tc>
          <w:tcPr>
            <w:tcW w:type="dxa" w:w="6912"/>
            <w:gridSpan w:val="3"/>
            <w:tcBorders>
              <w:top w:val="none" w:color="000000" w:sz="4"/>
              <w:left w:val="single" w:color="000000" w:sz="4"/>
              <w:bottom w:val="single" w:color="000000" w:sz="4"/>
              <w:right w:val="single" w:color="000000" w:sz="4"/>
            </w:tcBorders>
            <w:vAlign w:val="top"/>
          </w:tcPr>
          <w:p>
            <w:pPr>
              <w:jc w:val="both"/>
            </w:pPr>
            <w:r>
              <w:rPr>
                <w:sz w:val="24"/>
              </w:rPr>
              <w:t>时效性：</w:t>
            </w:r>
          </w:p>
        </w:tc>
      </w:tr>
      <w:tr>
        <w:tc>
          <w:tcPr>
            <w:tcW w:type="dxa" w:w="1394"/>
            <w:tcBorders>
              <w:top w:val="none" w:color="000000" w:sz="4"/>
              <w:left w:val="single" w:color="000000" w:sz="4"/>
              <w:bottom w:val="single" w:color="000000" w:sz="4"/>
              <w:right w:val="single" w:color="000000" w:sz="4"/>
            </w:tcBorders>
            <w:vAlign w:val="top"/>
          </w:tcPr>
          <w:p>
            <w:pPr>
              <w:jc w:val="both"/>
            </w:pPr>
            <w:r>
              <w:rPr>
                <w:sz w:val="24"/>
              </w:rPr>
              <w:t>检查人员</w:t>
            </w:r>
          </w:p>
        </w:tc>
        <w:tc>
          <w:tcPr>
            <w:tcW w:type="dxa" w:w="6912"/>
            <w:gridSpan w:val="3"/>
            <w:tcBorders>
              <w:top w:val="none" w:color="000000" w:sz="4"/>
              <w:left w:val="single" w:color="000000" w:sz="4"/>
              <w:bottom w:val="single" w:color="000000" w:sz="4"/>
              <w:right w:val="single" w:color="000000" w:sz="4"/>
            </w:tcBorders>
            <w:vAlign w:val="top"/>
          </w:tcPr>
          <w:p>
            <w:pPr>
              <w:jc w:val="both"/>
            </w:pPr>
          </w:p>
        </w:tc>
      </w:tr>
    </w:tbl>
    <w:p>
      <w:pPr>
        <w:jc w:val="both"/>
      </w:pPr>
      <w:r>
        <w:rPr>
          <w:sz w:val="24"/>
        </w:rPr>
        <w:t>说明：本表由养护单位填写，监理单位核实，报甲方单位存档</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441901-2023-04980</w:t>
      </w:r>
    </w:p>
    <w:p>
      <w:pPr>
        <w:jc w:val="center"/>
      </w:pPr>
      <w:r>
        <w:rPr>
          <w:b/>
          <w:sz w:val="24"/>
        </w:rPr>
        <w:t>采购项目编号：</w:t>
      </w:r>
      <w:r>
        <w:rPr>
          <w:b/>
          <w:sz w:val="24"/>
        </w:rPr>
        <w:t>441901-2023-04980</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东莞市直管道路市属户外公益广告设施日常维护项目</w:t>
      </w:r>
      <w:r>
        <w:rPr>
          <w:u w:val="single"/>
        </w:rPr>
        <w:t>”</w:t>
      </w:r>
      <w:r>
        <w:rPr/>
        <w:t>项目的招标[采购项目编号为：</w:t>
      </w:r>
      <w:r>
        <w:rPr>
          <w:u w:val="single"/>
        </w:rPr>
        <w:t>441901-2023-04980</w:t>
      </w:r>
      <w:r>
        <w:rPr/>
        <w:t>]，我方愿参与投标。</w:t>
      </w:r>
    </w:p>
    <w:p>
      <w:pPr>
        <w:ind w:firstLine="480"/>
      </w:pPr>
      <w:r>
        <w:rPr/>
        <w:t>我方确认收到贵方提供的</w:t>
      </w:r>
      <w:r>
        <w:rPr>
          <w:u w:val="single"/>
        </w:rPr>
        <w:t>“</w:t>
      </w:r>
      <w:r>
        <w:rPr>
          <w:u w:val="single"/>
        </w:rPr>
        <w:t>东莞市直管道路市属户外公益广告设施日常维护项目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东莞市直管道路市属户外公益广告设施日常维护项目</w:t>
      </w:r>
      <w:r>
        <w:rPr/>
        <w:t>”项目采购[采购项目编号为</w:t>
      </w:r>
      <w:r>
        <w:rPr/>
        <w:t>441901-2023-04980</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东莞市广告灯饰管理中心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东莞市直管道路市属户外公益广告设施日常维护项目</w:t>
      </w:r>
      <w:r>
        <w:rPr/>
        <w:t>招标中获中标（采购项目编号：</w:t>
      </w:r>
      <w:r>
        <w:rPr/>
        <w:t>441901-2023-04980</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东莞市直管道路市属户外公益广告设施日常维护项目</w:t>
      </w:r>
      <w:r>
        <w:rPr/>
        <w:t>”项目（采购项目编号：</w:t>
      </w:r>
      <w:r>
        <w:rPr/>
        <w:t>441901-2023-04980</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jpeg" Type="http://schemas.openxmlformats.org/officeDocument/2006/relationships/image"/><Relationship Id="rId11" Target="media/image6.jpeg" Type="http://schemas.openxmlformats.org/officeDocument/2006/relationships/image"/><Relationship Id="rId12" Target="numbering.xml" Type="http://schemas.openxmlformats.org/officeDocument/2006/relationships/numbering"/><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 Id="rId7" Target="media/image2.png" Type="http://schemas.openxmlformats.org/officeDocument/2006/relationships/image"/><Relationship Id="rId8" Target="media/image3.jpeg" Type="http://schemas.openxmlformats.org/officeDocument/2006/relationships/image"/><Relationship Id="rId9" Target="media/image4.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