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441900014-2023-00282</w:t>
      </w:r>
    </w:p>
    <w:p>
      <w:pPr>
        <w:jc w:val="center"/>
      </w:pPr>
      <w:r>
        <w:rPr>
          <w:b/>
          <w:sz w:val="24"/>
        </w:rPr>
        <w:t>采购项目编号：</w:t>
      </w:r>
      <w:r>
        <w:rPr>
          <w:b/>
          <w:sz w:val="24"/>
        </w:rPr>
        <w:t>441900014-2023-00282</w:t>
      </w:r>
    </w:p>
    <w:p>
      <w:pPr>
        <w:jc w:val="center"/>
      </w:pPr>
      <w:r>
        <w:rPr>
          <w:b/>
          <w:sz w:val="24"/>
        </w:rPr>
        <w:t>项目名称：</w:t>
      </w:r>
      <w:r>
        <w:rPr>
          <w:b/>
          <w:sz w:val="24"/>
        </w:rPr>
        <w:t>横沥镇水边村育才路地块土壤污染状况初步调查项目</w:t>
      </w:r>
    </w:p>
    <w:p>
      <w:pPr>
        <w:jc w:val="center"/>
      </w:pPr>
      <w:r>
        <w:rPr>
          <w:b/>
          <w:sz w:val="24"/>
        </w:rPr>
        <w:t>采购人：</w:t>
      </w:r>
      <w:r>
        <w:rPr>
          <w:b/>
          <w:sz w:val="24"/>
        </w:rPr>
        <w:t>东莞市横沥镇规划管理所</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 磋商邀请</w:t>
      </w:r>
    </w:p>
    <w:p>
      <w:pPr>
        <w:ind w:firstLine="480"/>
      </w:pPr>
      <w:r>
        <w:rPr/>
        <w:t>广东政通招标有限公司</w:t>
      </w:r>
      <w:r>
        <w:rPr/>
        <w:t>受</w:t>
      </w:r>
      <w:r>
        <w:rPr/>
        <w:t>东莞市横沥镇规划管理所</w:t>
      </w:r>
      <w:r>
        <w:rPr/>
        <w:t>的委托，采用</w:t>
      </w:r>
      <w:r>
        <w:rPr/>
        <w:t>竞争性磋商</w:t>
      </w:r>
      <w:r>
        <w:rPr/>
        <w:t>方式组织采购</w:t>
      </w:r>
      <w:r>
        <w:rPr/>
        <w:t>横沥镇水边村育才路地块土壤污染状况初步调查项目</w:t>
      </w:r>
      <w:r>
        <w:rPr/>
        <w:t>。欢迎符合资格条件的供应商参加。</w:t>
      </w:r>
    </w:p>
    <w:p>
      <w:r>
        <w:rPr>
          <w:b/>
          <w:sz w:val="28"/>
        </w:rPr>
        <w:t>一.项目概述</w:t>
      </w:r>
    </w:p>
    <w:p>
      <w:r>
        <w:rPr>
          <w:b/>
          <w:sz w:val="24"/>
        </w:rPr>
        <w:t>1.名称与编号</w:t>
      </w:r>
    </w:p>
    <w:p>
      <w:pPr>
        <w:ind w:firstLine="480"/>
      </w:pPr>
      <w:r>
        <w:rPr/>
        <w:t>采购项目名称：</w:t>
      </w:r>
      <w:r>
        <w:rPr/>
        <w:t>横沥镇水边村育才路地块土壤污染状况初步调查项目</w:t>
      </w:r>
    </w:p>
    <w:p>
      <w:pPr>
        <w:ind w:firstLine="480"/>
      </w:pPr>
      <w:r>
        <w:rPr/>
        <w:t>采购计划编号：</w:t>
      </w:r>
      <w:r>
        <w:rPr/>
        <w:t>441900014-2023-00282</w:t>
      </w:r>
    </w:p>
    <w:p>
      <w:pPr>
        <w:ind w:firstLine="480"/>
      </w:pPr>
      <w:r>
        <w:rPr/>
        <w:t>采购项目编号：</w:t>
      </w:r>
      <w:r>
        <w:rPr/>
        <w:t>441900014-2023-00282</w:t>
      </w:r>
    </w:p>
    <w:p>
      <w:pPr>
        <w:ind w:firstLine="480"/>
      </w:pPr>
      <w:r>
        <w:rPr/>
        <w:t>采购方式：</w:t>
      </w:r>
      <w:r>
        <w:rPr/>
        <w:t>竞争性磋商</w:t>
      </w:r>
    </w:p>
    <w:p>
      <w:pPr>
        <w:ind w:firstLine="480"/>
      </w:pPr>
      <w:r>
        <w:rPr/>
        <w:t>预算金额：</w:t>
      </w:r>
      <w:r>
        <w:rPr/>
        <w:t>1,329,154.80</w:t>
      </w:r>
      <w:r>
        <w:rPr/>
        <w:t>元</w:t>
      </w:r>
    </w:p>
    <w:p>
      <w:r>
        <w:rPr>
          <w:b/>
          <w:sz w:val="24"/>
        </w:rPr>
        <w:t>2.项目内容及需求情况（采购项目技术规格、参数及要求）</w:t>
      </w:r>
    </w:p>
    <w:p>
      <w:pPr>
        <w:ind w:firstLine="480"/>
      </w:pPr>
    </w:p>
    <w:p/>
    <w:p>
      <w:r>
        <w:rPr/>
        <w:t>采购包1(横沥镇水边村育才路地块土壤污染状况初步调查项目):</w:t>
      </w:r>
    </w:p>
    <w:p>
      <w:r>
        <w:rPr/>
        <w:t>采购包预算金额：1,329,154.80元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其他服务</w:t>
            </w:r>
          </w:p>
        </w:tc>
        <w:tc>
          <w:tcPr>
            <w:tcW w:type="dxa" w:w="2052"/>
          </w:tcPr>
          <w:p>
            <w:r>
              <w:rPr/>
              <w:t>横沥镇水边村育才路地块土壤污染状况初步调查项目</w:t>
            </w:r>
          </w:p>
        </w:tc>
        <w:tc>
          <w:tcPr>
            <w:tcW w:type="dxa" w:w="977"/>
          </w:tcPr>
          <w:p>
            <w:r>
              <w:rPr/>
              <w:t>1(项)</w:t>
            </w:r>
          </w:p>
        </w:tc>
        <w:tc>
          <w:tcPr>
            <w:tcW w:type="dxa" w:w="977"/>
          </w:tcPr>
          <w:p>
            <w:r>
              <w:rPr/>
              <w:t>详见第二章</w:t>
            </w:r>
          </w:p>
        </w:tc>
        <w:tc>
          <w:tcPr>
            <w:tcW w:type="dxa" w:w="977"/>
          </w:tcPr>
          <w:p>
            <w:r>
              <w:rPr/>
              <w:t>1,329,154.80</w:t>
            </w:r>
          </w:p>
        </w:tc>
        <w:tc>
          <w:tcPr>
            <w:tcW w:type="dxa" w:w="977"/>
          </w:tcPr>
          <w:p>
            <w:r>
              <w:rPr/>
              <w:t>否</w:t>
            </w:r>
          </w:p>
        </w:tc>
      </w:tr>
    </w:tbl>
    <w:p/>
    <w:p>
      <w:r>
        <w:rPr/>
        <w:t>本采购包不接受联合体响应</w:t>
      </w:r>
    </w:p>
    <w:p/>
    <w:p>
      <w:r>
        <w:rPr/>
        <w:t>合同履行期限：合同签订并在接到采购人启动地块初步调查通知后60个自然日内向东莞市生态环境局提交合格的评审资料进行专家评审并通过专家评审最终获得东莞市生态环境局用地的复函意见。</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w:t>
      </w:r>
    </w:p>
    <w:p/>
    <w:p>
      <w:r>
        <w:rPr/>
        <w:t>3）具有良好的商业信誉和健全的财务会计制度：投标（响应）文件中提供《资格条件承诺函》。</w:t>
      </w:r>
    </w:p>
    <w:p/>
    <w:p>
      <w:r>
        <w:rPr/>
        <w:t>4）履行合同所必需的设备和专业技术能力：投标（响应）文件中提供《资格条件承诺函》。</w:t>
      </w:r>
    </w:p>
    <w:p/>
    <w:p>
      <w:r>
        <w:rPr/>
        <w:t>5）参加采购活动前3年内，在经营活动中没有重大违法记录：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采购包1（横沥镇水边村育才路地块土壤污染状况初步调查项目）：</w:t>
      </w:r>
      <w:r>
        <w:rPr/>
        <w:t>本项目不属于专门面向中小企业的采购项目。</w:t>
      </w:r>
    </w:p>
    <w:p/>
    <w:p>
      <w:r>
        <w:rPr>
          <w:b/>
          <w:sz w:val="24"/>
        </w:rPr>
        <w:t>3.本项目特定的资格要求：</w:t>
      </w:r>
    </w:p>
    <w:p>
      <w:pPr>
        <w:ind w:firstLine="480"/>
      </w:pPr>
    </w:p>
    <w:p/>
    <w:p>
      <w:r>
        <w:rPr/>
        <w:t>采购包1（横沥镇水边村育才路地块土壤污染状况初步调查项目）：</w:t>
      </w:r>
    </w:p>
    <w:p/>
    <w:p>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东莞市横沥镇规划管理所</w:t>
      </w:r>
    </w:p>
    <w:p>
      <w:pPr>
        <w:ind w:firstLine="480"/>
      </w:pPr>
      <w:r>
        <w:rPr/>
        <w:t>地址：</w:t>
      </w:r>
      <w:r>
        <w:rPr/>
        <w:t>东莞市横沥镇沿江路1号发展中心三楼314室</w:t>
      </w:r>
    </w:p>
    <w:p>
      <w:pPr>
        <w:ind w:firstLine="480"/>
      </w:pPr>
      <w:r>
        <w:rPr/>
        <w:t>联系方式：</w:t>
      </w:r>
      <w:r>
        <w:rPr/>
        <w:t>0769-83725828</w:t>
      </w:r>
    </w:p>
    <w:p>
      <w:r>
        <w:rPr>
          <w:b/>
          <w:sz w:val="24"/>
        </w:rPr>
        <w:t>2.采购代理机构信息</w:t>
      </w:r>
    </w:p>
    <w:p>
      <w:pPr>
        <w:ind w:firstLine="480"/>
      </w:pPr>
      <w:r>
        <w:rPr/>
        <w:t>名称：</w:t>
      </w:r>
      <w:r>
        <w:rPr/>
        <w:t>广东政通招标有限公司</w:t>
      </w:r>
    </w:p>
    <w:p>
      <w:pPr>
        <w:ind w:firstLine="480"/>
      </w:pPr>
      <w:r>
        <w:rPr/>
        <w:t>地址：</w:t>
      </w:r>
      <w:r>
        <w:rPr/>
        <w:t>广东省东莞市南城街道广东省东莞市南城街道鸿福路199号410、411室</w:t>
      </w:r>
    </w:p>
    <w:p>
      <w:pPr>
        <w:ind w:firstLine="480"/>
      </w:pPr>
      <w:r>
        <w:rPr/>
        <w:t>联系方式：</w:t>
      </w:r>
      <w:r>
        <w:rPr/>
        <w:t>0769-22881803</w:t>
      </w:r>
    </w:p>
    <w:p>
      <w:r>
        <w:rPr>
          <w:b/>
          <w:sz w:val="24"/>
        </w:rPr>
        <w:t>3.项目联系方式</w:t>
      </w:r>
    </w:p>
    <w:p>
      <w:pPr>
        <w:ind w:firstLine="480"/>
      </w:pPr>
      <w:r>
        <w:rPr/>
        <w:t>项目联系人：</w:t>
      </w:r>
      <w:r>
        <w:rPr/>
        <w:t>薛逸凡</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本项目为横沥镇水边村育才路地块土壤污染状况初步调查项目。</w:t>
      </w:r>
    </w:p>
    <w:p/>
    <w:p>
      <w:pPr>
        <w:ind w:firstLine="480"/>
      </w:pPr>
    </w:p>
    <w:p/>
    <w:p>
      <w:r>
        <w:rPr/>
        <w:t>采购包1（横沥镇水边村育才路地块土壤污染状况初步调查项目）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合同签订并在接到采购人启动地块初步调查通知后60个自然日内向东莞市生态环境局提交合格的评审资料进行专家评审并通过专家评审最终获得东莞市生态环境局用地的复函意见。</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1期：支付比例100%,1、首期费用：合同生效后，经采购人确认成交人设备、人员全部到位，进场钻探采样，并签署钻探采样工作确认书后10个工作日，采购人支付给成交人对应单个地块合同价的30%费用。 2、二期费用：成交人在每完成单个地块土壤环境初步调查报告并通过专家评审后10个工作日，采购人支付给成交人对应单个地块合同价的40%费用。 3、尾款：款项为根据采购人财审部门对单个地块工程结算审核价扣除前两期已支付金额差额部分，支付时间为在成交人取得单个地块环保主管部门出具的满足用地需要的初步调查报告复函后10个工作日，由采购人向成交人支付对应地块合同尾款。 4、每期付款，成交人需向采购人提供与当期付款等额的增值税普通发票（经税务局监制）。 5、因采购人使用的是财政资金，采购人上述规定的付款时间为向财政部门提出办理支付申请手续的时间（不含财政部门审核的时间），在规定时间内提出支付申请手续后即视为采购人已经按期支付。</w:t>
            </w:r>
          </w:p>
        </w:tc>
      </w:tr>
      <w:tr>
        <w:tc>
          <w:tcPr>
            <w:tcW w:type="dxa" w:w="4153"/>
          </w:tcPr>
          <w:p>
            <w:r>
              <w:rPr/>
              <w:t>验收要求</w:t>
            </w:r>
          </w:p>
        </w:tc>
        <w:tc>
          <w:tcPr>
            <w:tcW w:type="dxa" w:w="4153"/>
          </w:tcPr>
          <w:p/>
          <w:p/>
          <w:p/>
          <w:p>
            <w:r>
              <w:rPr/>
              <w:t>1期：按国家及相关行业标准进行验收。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合同条款，供应商实质响应合同各条款。</w:t>
            </w:r>
          </w:p>
          <w:p/>
          <w:p>
            <w:r>
              <w:rPr/>
              <w:t>报价内容，报价包括现场踏勘、人员访谈、资料收集、开井洗井、现场采样、保存、流转、实验室质量控制、平行样、全程序空白、实验室检测、数据处理、报告编制、组织专家评审、报告备案及合同实施过程中的不可预见费用等全部费用。</w:t>
            </w:r>
          </w:p>
          <w:p/>
          <w:p>
            <w:r>
              <w:rPr/>
              <w:t>售后服务要求，项目工作完成后，成交供应商要为采购人提供不少于1年售后服务。售后服务内容包括但不限于以下内容： （1）为采购人提供所有材料的正式纸质文件和电子档文件； （2）针对需要开展土壤污染状况详细调查的地块，与开展土壤污染状况详细调查的技术单位进行技术交底； （3）售后服务期内无偿为采购人提供咨询服务和按应采购人要求派工作人员参加相关会议。</w:t>
            </w:r>
          </w:p>
          <w:p/>
          <w:p>
            <w:r>
              <w:rPr/>
              <w:t>★检测要求，项目地块的检测工作，必须由具备资质认定标志(CMA）的检测单位完成。供应商自身不具备检测能力的项目，须由供应商委托具备资质认定标志（CMA）且具备检测相应项目检测能力的检测机构落实检测。所有检测报告须带有资质认定标志（CMA），数据须真实有效。注：供应商须在响应文件中提供承诺函并加盖供应商公章。</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横沥镇水边村育才路地块土壤污染状况初步调查项目</w:t>
            </w:r>
          </w:p>
        </w:tc>
        <w:tc>
          <w:tcPr>
            <w:tcW w:type="dxa" w:w="933"/>
          </w:tcPr>
          <w:p>
            <w:pPr>
              <w:jc w:val="left"/>
            </w:pPr>
            <w:r>
              <w:rPr/>
              <w:t>项</w:t>
            </w:r>
          </w:p>
        </w:tc>
        <w:tc>
          <w:tcPr>
            <w:tcW w:type="dxa" w:w="933"/>
          </w:tcPr>
          <w:p>
            <w:pPr>
              <w:jc w:val="right"/>
            </w:pPr>
            <w:r>
              <w:rPr/>
              <w:t>1.00</w:t>
            </w:r>
          </w:p>
        </w:tc>
        <w:tc>
          <w:tcPr>
            <w:tcW w:type="dxa" w:w="933"/>
          </w:tcPr>
          <w:p>
            <w:pPr>
              <w:jc w:val="right"/>
            </w:pPr>
            <w:r>
              <w:rPr/>
              <w:t>1,329,154.80</w:t>
            </w:r>
          </w:p>
        </w:tc>
        <w:tc>
          <w:tcPr>
            <w:tcW w:type="dxa" w:w="933"/>
          </w:tcPr>
          <w:p>
            <w:pPr>
              <w:jc w:val="right"/>
            </w:pPr>
            <w:r>
              <w:rPr/>
              <w:t>1,329,154.80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横沥镇水边村育才路地块土壤污染状况初步调查项目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2"/>
            </w:pPr>
            <w:r>
              <w:rPr>
                <w:b/>
                <w:sz w:val="21"/>
              </w:rPr>
              <w:t>一、项目概况</w:t>
            </w:r>
          </w:p>
          <w:p>
            <w:pPr>
              <w:ind w:firstLine="422"/>
            </w:pPr>
            <w:r>
              <w:rPr>
                <w:b/>
                <w:sz w:val="21"/>
              </w:rPr>
              <w:t>（一）项目背景</w:t>
            </w:r>
          </w:p>
          <w:p>
            <w:pPr>
              <w:ind w:firstLine="420"/>
            </w:pPr>
            <w:r>
              <w:rPr>
                <w:sz w:val="21"/>
              </w:rPr>
              <w:t>根据《国务院关于印发土壤污染防治行动计划的通知》（国发</w:t>
            </w:r>
            <w:r>
              <w:rPr>
                <w:sz w:val="21"/>
              </w:rPr>
              <w:t>[2016]31号）、《污染地块土壤环境管理办法（试行）》、《广东省人民政府关于印发广东省土壤污染防治行动计划实施方案的通知》（粤府[2016]145号）、《东莞市人民政府关于印发&lt;东莞市土壤污染防治行动计划工作方案&gt;的通知》（东府[2017]54号）等文件规定：“自2017年起，对拟收回土地使用权的有色金属冶炼、石油化工、化工、焦化、电镀、制革等行业企业用地，以及用途拟变更为居住和商业、学校、医疗、养老机构等公共设施的上述企业用地，由土地使用权人负责开展土壤环境状况调查评估：已收回的，由所在地市、县级人民政府负责开展调查评估。”</w:t>
            </w:r>
          </w:p>
          <w:p>
            <w:pPr>
              <w:ind w:firstLine="420"/>
            </w:pPr>
            <w:r>
              <w:rPr>
                <w:sz w:val="21"/>
              </w:rPr>
              <w:t>为加快推进土壤环境保护和综合治理工作，落实《土壤污染防治行动计划》和《广东省土壤污染防治行动计划实施方案》，保障人居环境安全，防止场地用地性质变化及后续开发利用过程中带来新的环境问题，东莞市环境保护局办公室发布《关于加强土壤环境调查环保管理的通知》（东环办</w:t>
            </w:r>
            <w:r>
              <w:rPr>
                <w:sz w:val="21"/>
              </w:rPr>
              <w:t>[2018]19号），东莞市环境保护局、 东莞市国土资源局、东莞市城乡规划局等部门联合发布《关于印发建设用地开发利用土壤环境管理实施方案（试行）》的通知（东环[2018]310号）及其附件，要求各环保分局要积极配合属地人民政府以及属地土地管理部门对重点行业企业用地和公用设施用地落实土地用途变更及流转的土壤环境调查评估制度，积极协调土地使用权人自行或委托第三方开展地块污染识别工作。</w:t>
            </w:r>
          </w:p>
          <w:p>
            <w:pPr>
              <w:ind w:firstLine="420"/>
            </w:pPr>
            <w:r>
              <w:rPr>
                <w:sz w:val="21"/>
              </w:rPr>
              <w:t>根据《关于加强土壤环境调查环保管理工作的通知》（东环办［</w:t>
            </w:r>
            <w:r>
              <w:rPr>
                <w:sz w:val="21"/>
              </w:rPr>
              <w:t>2018］19号）和《关于印发建设用地开发利用土壤环境管理实施方案（试行）》的通知（东环 [2018]310号）文件的明确要求“拟流转、出让或用途拟变更为商业和居住等敏感用地用途，以及学校、医疗机构、养老机构、幼儿园、福利机构等敏感公共设施用地的所有用地等属疑似污染地块”。因此本地块需要开展识别调查以判断本地块是否属于疑似污染地块，以及是否需要开展地块第二阶段场地环境调查和风险评估工作。</w:t>
            </w:r>
          </w:p>
          <w:p>
            <w:pPr>
              <w:ind w:firstLine="420"/>
            </w:pPr>
            <w:r>
              <w:rPr>
                <w:sz w:val="21"/>
              </w:rPr>
              <w:t>根据地块历史卫星图，历史上主要为荒地、东莞理工学校建设期间的项目部工棚等。本地块未来规划为二类居住用地。</w:t>
            </w:r>
          </w:p>
          <w:p>
            <w:pPr>
              <w:ind w:firstLine="422"/>
            </w:pPr>
            <w:r>
              <w:rPr>
                <w:b/>
                <w:sz w:val="21"/>
              </w:rPr>
              <w:t>（二）调查目的和原则</w:t>
            </w:r>
          </w:p>
          <w:p>
            <w:pPr>
              <w:ind w:firstLine="422"/>
            </w:pPr>
            <w:r>
              <w:rPr>
                <w:b/>
                <w:sz w:val="21"/>
              </w:rPr>
              <w:t>1、调查目的</w:t>
            </w:r>
          </w:p>
          <w:p>
            <w:pPr>
              <w:ind w:firstLine="420"/>
            </w:pPr>
            <w:r>
              <w:rPr>
                <w:sz w:val="21"/>
              </w:rPr>
              <w:t>为避免目标场地内可能存在的污染物对未来场地内及周边活动人员身体健康造成影响，通过对项目地块的历史经营和自然环境调查，明确地块生产活动等可能污染场地土壤的途径，识别目标场地可能存在的遗留土壤和地下水污染；通过开展现场钻探、采样分析和实验室检测，初步确定调查地块的土壤、地下水中主要的污染物种类和水平，以利于后续场地环境详细调查或场地开发利用决策提供依据。</w:t>
            </w:r>
          </w:p>
          <w:p>
            <w:pPr>
              <w:ind w:firstLine="420"/>
            </w:pPr>
            <w:r>
              <w:rPr>
                <w:sz w:val="21"/>
              </w:rPr>
              <w:t>本次土壤污染状况初步调查目的包括：</w:t>
            </w:r>
          </w:p>
          <w:p>
            <w:pPr>
              <w:ind w:firstLine="420"/>
            </w:pPr>
            <w:r>
              <w:rPr>
                <w:sz w:val="21"/>
              </w:rPr>
              <w:t>（</w:t>
            </w:r>
            <w:r>
              <w:rPr>
                <w:sz w:val="21"/>
              </w:rPr>
              <w:t>1）以资料收集、现场踏勘和人员访谈的方式对场地现状、历史用途进行调查分析，辨识该场地潜在的土壤和地下水环境污染物；</w:t>
            </w:r>
          </w:p>
          <w:p>
            <w:pPr>
              <w:ind w:firstLine="420"/>
            </w:pPr>
            <w:r>
              <w:rPr>
                <w:sz w:val="21"/>
              </w:rPr>
              <w:t>（</w:t>
            </w:r>
            <w:r>
              <w:rPr>
                <w:sz w:val="21"/>
              </w:rPr>
              <w:t>2）通过初步布点采样和实验室分析，确定场地是否存在污染、主要污染物种类、污染物浓度、污染的程度和污染范围等；</w:t>
            </w:r>
          </w:p>
          <w:p>
            <w:pPr>
              <w:ind w:firstLine="420"/>
            </w:pPr>
            <w:r>
              <w:rPr>
                <w:sz w:val="21"/>
              </w:rPr>
              <w:t>（</w:t>
            </w:r>
            <w:r>
              <w:rPr>
                <w:sz w:val="21"/>
              </w:rPr>
              <w:t>3）获取场地初步的污染特征，为后续的工作提供事实依据和技术支持；</w:t>
            </w:r>
          </w:p>
          <w:p>
            <w:pPr>
              <w:ind w:firstLine="420"/>
            </w:pPr>
            <w:r>
              <w:rPr>
                <w:sz w:val="21"/>
              </w:rPr>
              <w:t>（</w:t>
            </w:r>
            <w:r>
              <w:rPr>
                <w:sz w:val="21"/>
              </w:rPr>
              <w:t>4）为有关部门提供场地环境现状和未来利用的决策依据，避免场地内遗留污染物造成环境污染和经济损失，保障人民群众身体健康。</w:t>
            </w:r>
          </w:p>
          <w:p>
            <w:pPr>
              <w:ind w:firstLine="422"/>
            </w:pPr>
            <w:r>
              <w:rPr>
                <w:b/>
                <w:sz w:val="21"/>
              </w:rPr>
              <w:t>2、调查原则</w:t>
            </w:r>
          </w:p>
          <w:p>
            <w:pPr>
              <w:ind w:firstLine="420"/>
            </w:pPr>
            <w:r>
              <w:rPr>
                <w:sz w:val="21"/>
              </w:rPr>
              <w:t>为了提高场地环境调查结论的针对性、规范性和技术可行性，本次调查工作秉承以下原则进行：</w:t>
            </w:r>
          </w:p>
          <w:p>
            <w:pPr>
              <w:ind w:firstLine="420"/>
            </w:pPr>
            <w:r>
              <w:rPr>
                <w:sz w:val="21"/>
              </w:rPr>
              <w:t>（</w:t>
            </w:r>
            <w:r>
              <w:rPr>
                <w:sz w:val="21"/>
              </w:rPr>
              <w:t>1）针对性原则</w:t>
            </w:r>
          </w:p>
          <w:p>
            <w:pPr>
              <w:ind w:firstLine="420"/>
            </w:pPr>
            <w:r>
              <w:rPr>
                <w:sz w:val="21"/>
              </w:rPr>
              <w:t>针对场地的特征和潜在污染物特性，进行污染物浓度和空间分布调查，为场地的环境管理提供依据。</w:t>
            </w:r>
          </w:p>
          <w:p>
            <w:pPr>
              <w:ind w:firstLine="420"/>
            </w:pPr>
            <w:r>
              <w:rPr>
                <w:sz w:val="21"/>
              </w:rPr>
              <w:t>（</w:t>
            </w:r>
            <w:r>
              <w:rPr>
                <w:sz w:val="21"/>
              </w:rPr>
              <w:t>2）规范性原则</w:t>
            </w:r>
          </w:p>
          <w:p>
            <w:pPr>
              <w:ind w:firstLine="420"/>
            </w:pPr>
            <w:r>
              <w:rPr>
                <w:sz w:val="21"/>
              </w:rPr>
              <w:t>采用程序化和系统化的方式规范场地调查过程，保证调查过程的科学性和客观性。</w:t>
            </w:r>
          </w:p>
          <w:p>
            <w:pPr>
              <w:ind w:firstLine="420"/>
            </w:pPr>
            <w:r>
              <w:rPr>
                <w:sz w:val="21"/>
              </w:rPr>
              <w:t>（</w:t>
            </w:r>
            <w:r>
              <w:rPr>
                <w:sz w:val="21"/>
              </w:rPr>
              <w:t>3）可操作性原则</w:t>
            </w:r>
          </w:p>
          <w:p>
            <w:pPr>
              <w:ind w:firstLine="420"/>
            </w:pPr>
            <w:r>
              <w:rPr>
                <w:sz w:val="21"/>
              </w:rPr>
              <w:t>综合考虑调查方法、时间和经费等因素，结合当前科技发展和专业技术水平使调查过程切实可行。</w:t>
            </w:r>
          </w:p>
          <w:p>
            <w:pPr>
              <w:ind w:firstLine="422"/>
            </w:pPr>
            <w:r>
              <w:rPr>
                <w:b/>
                <w:sz w:val="21"/>
              </w:rPr>
              <w:t>3、调查依据</w:t>
            </w:r>
          </w:p>
          <w:p>
            <w:pPr>
              <w:ind w:firstLine="420"/>
            </w:pPr>
            <w:r>
              <w:rPr>
                <w:sz w:val="21"/>
              </w:rPr>
              <w:t>3.1法律法规和政策文件</w:t>
            </w:r>
          </w:p>
          <w:p>
            <w:pPr>
              <w:ind w:firstLine="420"/>
            </w:pPr>
            <w:r>
              <w:rPr>
                <w:sz w:val="21"/>
              </w:rPr>
              <w:t>（</w:t>
            </w:r>
            <w:r>
              <w:rPr>
                <w:sz w:val="21"/>
              </w:rPr>
              <w:t>1）《中华人民共和国土壤污染防治法》（2018 年 8 月）；</w:t>
            </w:r>
          </w:p>
          <w:p>
            <w:pPr>
              <w:ind w:firstLine="420"/>
            </w:pPr>
            <w:r>
              <w:rPr>
                <w:sz w:val="21"/>
              </w:rPr>
              <w:t>（</w:t>
            </w:r>
            <w:r>
              <w:rPr>
                <w:sz w:val="21"/>
              </w:rPr>
              <w:t>2）《中华人民共和国土地管理法》（2019年8月第三次修订）；</w:t>
            </w:r>
          </w:p>
          <w:p>
            <w:pPr>
              <w:ind w:firstLine="420"/>
            </w:pPr>
            <w:r>
              <w:rPr>
                <w:sz w:val="21"/>
              </w:rPr>
              <w:t>（</w:t>
            </w:r>
            <w:r>
              <w:rPr>
                <w:sz w:val="21"/>
              </w:rPr>
              <w:t>3）《中华人民共和国水污染防治法》（2017 年 6 月修订）；</w:t>
            </w:r>
          </w:p>
          <w:p>
            <w:pPr>
              <w:ind w:firstLine="420"/>
            </w:pPr>
            <w:r>
              <w:rPr>
                <w:sz w:val="21"/>
              </w:rPr>
              <w:t>（</w:t>
            </w:r>
            <w:r>
              <w:rPr>
                <w:sz w:val="21"/>
              </w:rPr>
              <w:t>4）《中华人民共和国环境影响评价法》（2018年 12月修订）；</w:t>
            </w:r>
          </w:p>
          <w:p>
            <w:pPr>
              <w:ind w:firstLine="420"/>
            </w:pPr>
            <w:r>
              <w:rPr>
                <w:sz w:val="21"/>
              </w:rPr>
              <w:t>（</w:t>
            </w:r>
            <w:r>
              <w:rPr>
                <w:sz w:val="21"/>
              </w:rPr>
              <w:t>5）《中华人民共和国环境保护法》（2014 年 4 月修订）；</w:t>
            </w:r>
          </w:p>
          <w:p>
            <w:pPr>
              <w:ind w:firstLine="420"/>
            </w:pPr>
            <w:r>
              <w:rPr>
                <w:sz w:val="21"/>
              </w:rPr>
              <w:t>（</w:t>
            </w:r>
            <w:r>
              <w:rPr>
                <w:sz w:val="21"/>
              </w:rPr>
              <w:t>6）《中华人民共和国固体废物污染环境防治法》（2020年 4月修订）；</w:t>
            </w:r>
          </w:p>
          <w:p>
            <w:pPr>
              <w:ind w:firstLine="420"/>
            </w:pPr>
            <w:r>
              <w:rPr>
                <w:sz w:val="21"/>
              </w:rPr>
              <w:t>（</w:t>
            </w:r>
            <w:r>
              <w:rPr>
                <w:sz w:val="21"/>
              </w:rPr>
              <w:t>7）《中华人民共和国大气污染防治法》（2018年10月修订）；</w:t>
            </w:r>
          </w:p>
          <w:p>
            <w:pPr>
              <w:ind w:firstLine="420"/>
            </w:pPr>
            <w:r>
              <w:rPr>
                <w:sz w:val="21"/>
              </w:rPr>
              <w:t>（</w:t>
            </w:r>
            <w:r>
              <w:rPr>
                <w:sz w:val="21"/>
              </w:rPr>
              <w:t>8</w:t>
            </w:r>
            <w:r>
              <w:rPr>
                <w:sz w:val="21"/>
              </w:rPr>
              <w:t>）《建设项目环境保护管理条例》（国务院令第</w:t>
            </w:r>
            <w:r>
              <w:rPr>
                <w:sz w:val="21"/>
              </w:rPr>
              <w:t>682 号）（2017 年修订）；</w:t>
            </w:r>
          </w:p>
          <w:p>
            <w:pPr>
              <w:ind w:firstLine="420"/>
            </w:pPr>
            <w:r>
              <w:rPr>
                <w:sz w:val="21"/>
              </w:rPr>
              <w:t>（</w:t>
            </w:r>
            <w:r>
              <w:rPr>
                <w:sz w:val="21"/>
              </w:rPr>
              <w:t>9</w:t>
            </w:r>
            <w:r>
              <w:rPr>
                <w:sz w:val="21"/>
              </w:rPr>
              <w:t>）《国务院关于印发土壤污染防治行动计划的通知》（国发〔</w:t>
            </w:r>
            <w:r>
              <w:rPr>
                <w:sz w:val="21"/>
              </w:rPr>
              <w:t>2016〕31 号）；</w:t>
            </w:r>
          </w:p>
          <w:p>
            <w:pPr>
              <w:ind w:firstLine="420"/>
            </w:pPr>
            <w:r>
              <w:rPr>
                <w:sz w:val="21"/>
              </w:rPr>
              <w:t>（</w:t>
            </w:r>
            <w:r>
              <w:rPr>
                <w:sz w:val="21"/>
              </w:rPr>
              <w:t>10</w:t>
            </w:r>
            <w:r>
              <w:rPr>
                <w:sz w:val="21"/>
              </w:rPr>
              <w:t>）《国务院办公厅关于推进城区老工业区搬迁改造的指导意见》（国办发〔</w:t>
            </w:r>
            <w:r>
              <w:rPr>
                <w:sz w:val="21"/>
              </w:rPr>
              <w:t>2014〕9 号）；</w:t>
            </w:r>
          </w:p>
          <w:p>
            <w:pPr>
              <w:ind w:firstLine="420"/>
            </w:pPr>
            <w:r>
              <w:rPr>
                <w:sz w:val="21"/>
              </w:rPr>
              <w:t>（</w:t>
            </w:r>
            <w:r>
              <w:rPr>
                <w:sz w:val="21"/>
              </w:rPr>
              <w:t>11）</w:t>
            </w:r>
            <w:r>
              <w:rPr>
                <w:sz w:val="21"/>
              </w:rPr>
              <w:t>《关于加强工业企业关停、搬迁及原址场地再开发利用过程中污染防治工作的通知》（环发〔</w:t>
            </w:r>
            <w:r>
              <w:rPr>
                <w:sz w:val="21"/>
              </w:rPr>
              <w:t>2014〕66 号）；</w:t>
            </w:r>
          </w:p>
          <w:p>
            <w:pPr>
              <w:ind w:firstLine="420"/>
            </w:pPr>
            <w:r>
              <w:rPr>
                <w:sz w:val="21"/>
              </w:rPr>
              <w:t>（</w:t>
            </w:r>
            <w:r>
              <w:rPr>
                <w:sz w:val="21"/>
              </w:rPr>
              <w:t>1</w:t>
            </w:r>
            <w:r>
              <w:rPr>
                <w:sz w:val="21"/>
              </w:rPr>
              <w:t>2</w:t>
            </w:r>
            <w:r>
              <w:rPr>
                <w:sz w:val="21"/>
              </w:rPr>
              <w:t>）《关于保障工业企业场地再开发利用环境安全的通知》（环发〔</w:t>
            </w:r>
            <w:r>
              <w:rPr>
                <w:sz w:val="21"/>
              </w:rPr>
              <w:t>2012〕140 号）；</w:t>
            </w:r>
          </w:p>
          <w:p>
            <w:pPr>
              <w:ind w:firstLine="420"/>
            </w:pPr>
            <w:r>
              <w:rPr>
                <w:sz w:val="21"/>
              </w:rPr>
              <w:t>（</w:t>
            </w:r>
            <w:r>
              <w:rPr>
                <w:sz w:val="21"/>
              </w:rPr>
              <w:t>1</w:t>
            </w:r>
            <w:r>
              <w:rPr>
                <w:sz w:val="21"/>
              </w:rPr>
              <w:t>3</w:t>
            </w:r>
            <w:r>
              <w:rPr>
                <w:sz w:val="21"/>
              </w:rPr>
              <w:t>）《污染地块土壤环境管理办法》（环保部令〔</w:t>
            </w:r>
            <w:r>
              <w:rPr>
                <w:sz w:val="21"/>
              </w:rPr>
              <w:t>2016〕42 号）；</w:t>
            </w:r>
          </w:p>
          <w:p>
            <w:pPr>
              <w:ind w:firstLine="420"/>
            </w:pPr>
            <w:r>
              <w:rPr>
                <w:sz w:val="21"/>
              </w:rPr>
              <w:t>（</w:t>
            </w:r>
            <w:r>
              <w:rPr>
                <w:sz w:val="21"/>
              </w:rPr>
              <w:t>1</w:t>
            </w:r>
            <w:r>
              <w:rPr>
                <w:sz w:val="21"/>
              </w:rPr>
              <w:t>4</w:t>
            </w:r>
            <w:r>
              <w:rPr>
                <w:sz w:val="21"/>
              </w:rPr>
              <w:t>）《广东省土壤环境保护和综合治理方案》（粤环〔</w:t>
            </w:r>
            <w:r>
              <w:rPr>
                <w:sz w:val="21"/>
              </w:rPr>
              <w:t>2014〕22 号）；</w:t>
            </w:r>
          </w:p>
          <w:p>
            <w:pPr>
              <w:ind w:firstLine="420"/>
            </w:pPr>
            <w:r>
              <w:rPr>
                <w:sz w:val="21"/>
              </w:rPr>
              <w:t>（</w:t>
            </w:r>
            <w:r>
              <w:rPr>
                <w:sz w:val="21"/>
              </w:rPr>
              <w:t>1</w:t>
            </w:r>
            <w:r>
              <w:rPr>
                <w:sz w:val="21"/>
              </w:rPr>
              <w:t>5</w:t>
            </w:r>
            <w:r>
              <w:rPr>
                <w:sz w:val="21"/>
              </w:rPr>
              <w:t>）《广东省人民政府关于印发广东省土壤污染防治行动计划实施方案的通知》粤府〔</w:t>
            </w:r>
            <w:r>
              <w:rPr>
                <w:sz w:val="21"/>
              </w:rPr>
              <w:t>2016〕145 号；</w:t>
            </w:r>
          </w:p>
          <w:p>
            <w:pPr>
              <w:ind w:firstLine="420"/>
            </w:pPr>
            <w:r>
              <w:rPr>
                <w:sz w:val="21"/>
              </w:rPr>
              <w:t>（</w:t>
            </w:r>
            <w:r>
              <w:rPr>
                <w:sz w:val="21"/>
              </w:rPr>
              <w:t>1</w:t>
            </w:r>
            <w:r>
              <w:rPr>
                <w:sz w:val="21"/>
              </w:rPr>
              <w:t>6</w:t>
            </w:r>
            <w:r>
              <w:rPr>
                <w:sz w:val="21"/>
              </w:rPr>
              <w:t>）《广东省环境保护厅关于印发广东省土壤环境保护和综合治理方案的通知》（粤环〔</w:t>
            </w:r>
            <w:r>
              <w:rPr>
                <w:sz w:val="21"/>
              </w:rPr>
              <w:t>2014〕22 号）；</w:t>
            </w:r>
          </w:p>
          <w:p>
            <w:pPr>
              <w:ind w:firstLine="420"/>
            </w:pPr>
            <w:r>
              <w:rPr>
                <w:sz w:val="21"/>
              </w:rPr>
              <w:t>（</w:t>
            </w:r>
            <w:r>
              <w:rPr>
                <w:sz w:val="21"/>
              </w:rPr>
              <w:t>1</w:t>
            </w:r>
            <w:r>
              <w:rPr>
                <w:sz w:val="21"/>
              </w:rPr>
              <w:t>7</w:t>
            </w:r>
            <w:r>
              <w:rPr>
                <w:sz w:val="21"/>
              </w:rPr>
              <w:t>）《广东省环境保护厅关于报送</w:t>
            </w:r>
            <w:r>
              <w:rPr>
                <w:sz w:val="21"/>
              </w:rPr>
              <w:t>&lt;广东省工业企业关停、搬迁及原址场地再开发利用过程中污染工作实施方案&gt;的函》（粤环函〔2014〕1290 号）；</w:t>
            </w:r>
          </w:p>
          <w:p>
            <w:pPr>
              <w:ind w:firstLine="420"/>
            </w:pPr>
            <w:r>
              <w:rPr>
                <w:sz w:val="21"/>
              </w:rPr>
              <w:t>（</w:t>
            </w:r>
            <w:r>
              <w:rPr>
                <w:sz w:val="21"/>
              </w:rPr>
              <w:t>18</w:t>
            </w:r>
            <w:r>
              <w:rPr>
                <w:sz w:val="21"/>
              </w:rPr>
              <w:t>）《广东省地下水功能区划》</w:t>
            </w:r>
            <w:r>
              <w:rPr>
                <w:sz w:val="21"/>
              </w:rPr>
              <w:t>(广东省水利厅，2009 年 8 月)；</w:t>
            </w:r>
          </w:p>
          <w:p>
            <w:pPr>
              <w:ind w:firstLine="420"/>
            </w:pPr>
            <w:r>
              <w:rPr>
                <w:sz w:val="21"/>
              </w:rPr>
              <w:t>（</w:t>
            </w:r>
            <w:r>
              <w:rPr>
                <w:sz w:val="21"/>
              </w:rPr>
              <w:t>19</w:t>
            </w:r>
            <w:r>
              <w:rPr>
                <w:sz w:val="21"/>
              </w:rPr>
              <w:t>）《广东省饮用水源水质保护条例》</w:t>
            </w:r>
            <w:r>
              <w:rPr>
                <w:sz w:val="21"/>
              </w:rPr>
              <w:t>(粤水规〔2007〕13 号，2018 年修订)；</w:t>
            </w:r>
          </w:p>
          <w:p>
            <w:pPr>
              <w:ind w:firstLine="420"/>
            </w:pPr>
            <w:r>
              <w:rPr>
                <w:sz w:val="21"/>
              </w:rPr>
              <w:t>（</w:t>
            </w:r>
            <w:r>
              <w:rPr>
                <w:sz w:val="21"/>
              </w:rPr>
              <w:t>2</w:t>
            </w:r>
            <w:r>
              <w:rPr>
                <w:sz w:val="21"/>
              </w:rPr>
              <w:t>0</w:t>
            </w:r>
            <w:r>
              <w:rPr>
                <w:sz w:val="21"/>
              </w:rPr>
              <w:t>）《广东省固体废物污染环境防治条例》</w:t>
            </w:r>
            <w:r>
              <w:rPr>
                <w:sz w:val="21"/>
              </w:rPr>
              <w:t>(2018 年 11 月第二次修正)；</w:t>
            </w:r>
          </w:p>
          <w:p>
            <w:pPr>
              <w:ind w:firstLine="420"/>
            </w:pPr>
            <w:r>
              <w:rPr>
                <w:sz w:val="21"/>
              </w:rPr>
              <w:t>（</w:t>
            </w:r>
            <w:r>
              <w:rPr>
                <w:sz w:val="21"/>
              </w:rPr>
              <w:t>21</w:t>
            </w:r>
            <w:r>
              <w:rPr>
                <w:sz w:val="21"/>
              </w:rPr>
              <w:t>）《东莞市建设用地开发利用土壤环境管理实施方案（试行）》（东环〔</w:t>
            </w:r>
            <w:r>
              <w:rPr>
                <w:sz w:val="21"/>
              </w:rPr>
              <w:t>2018〕310 号）；</w:t>
            </w:r>
          </w:p>
          <w:p>
            <w:pPr>
              <w:ind w:firstLine="420"/>
            </w:pPr>
            <w:r>
              <w:rPr>
                <w:sz w:val="21"/>
              </w:rPr>
              <w:t>（</w:t>
            </w:r>
            <w:r>
              <w:rPr>
                <w:sz w:val="21"/>
              </w:rPr>
              <w:t>2</w:t>
            </w:r>
            <w:r>
              <w:rPr>
                <w:sz w:val="21"/>
              </w:rPr>
              <w:t>2</w:t>
            </w:r>
            <w:r>
              <w:rPr>
                <w:sz w:val="21"/>
              </w:rPr>
              <w:t>）《关于加强土壤环境调查环保管理工作的通知》（东环办〔</w:t>
            </w:r>
            <w:r>
              <w:rPr>
                <w:sz w:val="21"/>
              </w:rPr>
              <w:t>2018〕19 号）；</w:t>
            </w:r>
          </w:p>
          <w:p>
            <w:pPr>
              <w:ind w:firstLine="420"/>
            </w:pPr>
            <w:r>
              <w:rPr>
                <w:sz w:val="21"/>
              </w:rPr>
              <w:t>（</w:t>
            </w:r>
            <w:r>
              <w:rPr>
                <w:sz w:val="21"/>
              </w:rPr>
              <w:t>23</w:t>
            </w:r>
            <w:r>
              <w:rPr>
                <w:sz w:val="21"/>
              </w:rPr>
              <w:t>）《关于印发广东省地下水保护与利用规划的通知》（粤水资源函〔</w:t>
            </w:r>
            <w:r>
              <w:rPr>
                <w:sz w:val="21"/>
              </w:rPr>
              <w:t>2011〕 377 号；</w:t>
            </w:r>
          </w:p>
          <w:p>
            <w:pPr>
              <w:ind w:firstLine="420"/>
            </w:pPr>
            <w:r>
              <w:rPr>
                <w:sz w:val="21"/>
              </w:rPr>
              <w:t>（</w:t>
            </w:r>
            <w:r>
              <w:rPr>
                <w:sz w:val="21"/>
              </w:rPr>
              <w:t>2</w:t>
            </w:r>
            <w:r>
              <w:rPr>
                <w:sz w:val="21"/>
              </w:rPr>
              <w:t>4</w:t>
            </w:r>
            <w:r>
              <w:rPr>
                <w:sz w:val="21"/>
              </w:rPr>
              <w:t>）《东莞市土壤污染防治行动计划工作方案》（东府</w:t>
            </w:r>
            <w:r>
              <w:rPr>
                <w:sz w:val="21"/>
              </w:rPr>
              <w:t>[2017]54 号），简 称“土十条”；</w:t>
            </w:r>
          </w:p>
          <w:p>
            <w:pPr>
              <w:ind w:firstLine="420"/>
            </w:pPr>
            <w:r>
              <w:rPr>
                <w:sz w:val="21"/>
              </w:rPr>
              <w:t>（</w:t>
            </w:r>
            <w:r>
              <w:rPr>
                <w:sz w:val="21"/>
              </w:rPr>
              <w:t>2</w:t>
            </w:r>
            <w:r>
              <w:rPr>
                <w:sz w:val="21"/>
              </w:rPr>
              <w:t>5</w:t>
            </w:r>
            <w:r>
              <w:rPr>
                <w:sz w:val="21"/>
              </w:rPr>
              <w:t>）关于印发《建设用地土壤污染状况调查、风险评估、风险管控及修复效果评估报告评审指南》的通知（环办土壤〔</w:t>
            </w:r>
            <w:r>
              <w:rPr>
                <w:sz w:val="21"/>
              </w:rPr>
              <w:t>2019〕63 号）；</w:t>
            </w:r>
          </w:p>
          <w:p>
            <w:pPr>
              <w:ind w:firstLine="420"/>
            </w:pPr>
            <w:r>
              <w:rPr>
                <w:sz w:val="21"/>
              </w:rPr>
              <w:t>（</w:t>
            </w:r>
            <w:r>
              <w:rPr>
                <w:sz w:val="21"/>
              </w:rPr>
              <w:t>2</w:t>
            </w:r>
            <w:r>
              <w:rPr>
                <w:sz w:val="21"/>
              </w:rPr>
              <w:t>6</w:t>
            </w:r>
            <w:r>
              <w:rPr>
                <w:sz w:val="21"/>
              </w:rPr>
              <w:t>）关于印发《地下水环境状况调查评价工作指南》等</w:t>
            </w:r>
            <w:r>
              <w:rPr>
                <w:sz w:val="21"/>
              </w:rPr>
              <w:t>4 项技术文件的通知（环办土壤函[2019]770 号）；</w:t>
            </w:r>
          </w:p>
          <w:p>
            <w:pPr>
              <w:ind w:firstLine="420"/>
            </w:pPr>
            <w:r>
              <w:rPr>
                <w:sz w:val="21"/>
              </w:rPr>
              <w:t>（</w:t>
            </w:r>
            <w:r>
              <w:rPr>
                <w:sz w:val="21"/>
              </w:rPr>
              <w:t>27</w:t>
            </w:r>
            <w:r>
              <w:rPr>
                <w:sz w:val="21"/>
              </w:rPr>
              <w:t>）东莞市生态环境局《关于进一步明晰东莞市土壤污染状况调查工作有关问题指引意见的通告》（</w:t>
            </w:r>
            <w:r>
              <w:rPr>
                <w:sz w:val="21"/>
              </w:rPr>
              <w:t>2019 年 11 月）；</w:t>
            </w:r>
          </w:p>
          <w:p>
            <w:pPr>
              <w:ind w:firstLine="420"/>
            </w:pPr>
            <w:r>
              <w:rPr>
                <w:sz w:val="21"/>
              </w:rPr>
              <w:t>（</w:t>
            </w:r>
            <w:r>
              <w:rPr>
                <w:sz w:val="21"/>
              </w:rPr>
              <w:t>28</w:t>
            </w:r>
            <w:r>
              <w:rPr>
                <w:sz w:val="21"/>
              </w:rPr>
              <w:t>）广东省生态环境厅办公室发布《关于明确我省重点行业企业用地污染状况调查样品检测分析方法的通知》（</w:t>
            </w:r>
            <w:r>
              <w:rPr>
                <w:sz w:val="21"/>
              </w:rPr>
              <w:t>2020 年 3 月）。</w:t>
            </w:r>
          </w:p>
          <w:p>
            <w:pPr>
              <w:ind w:firstLine="420"/>
            </w:pPr>
            <w:r>
              <w:rPr>
                <w:sz w:val="21"/>
              </w:rPr>
              <w:t>3.2标准规范和技术导则</w:t>
            </w:r>
          </w:p>
          <w:p>
            <w:pPr>
              <w:ind w:firstLine="420"/>
            </w:pPr>
            <w:r>
              <w:rPr>
                <w:sz w:val="21"/>
              </w:rPr>
              <w:t>（</w:t>
            </w:r>
            <w:r>
              <w:rPr>
                <w:sz w:val="21"/>
              </w:rPr>
              <w:t>1）《建设用地土壤污染风险管控和修复术语》（HJ682-2019）；</w:t>
            </w:r>
          </w:p>
          <w:p>
            <w:pPr>
              <w:ind w:firstLine="420"/>
            </w:pPr>
            <w:r>
              <w:rPr>
                <w:sz w:val="21"/>
              </w:rPr>
              <w:t>（</w:t>
            </w:r>
            <w:r>
              <w:rPr>
                <w:sz w:val="21"/>
              </w:rPr>
              <w:t>2）《建设用地土壤污染状况调查技术导则》（HJ25.1-2019）；</w:t>
            </w:r>
          </w:p>
          <w:p>
            <w:pPr>
              <w:ind w:firstLine="420"/>
            </w:pPr>
            <w:r>
              <w:rPr>
                <w:sz w:val="21"/>
              </w:rPr>
              <w:t>（</w:t>
            </w:r>
            <w:r>
              <w:rPr>
                <w:sz w:val="21"/>
              </w:rPr>
              <w:t>3）《建设用地土壤污染风险管控和修复监测技术导则》（HJ25.2-2019）；</w:t>
            </w:r>
          </w:p>
          <w:p>
            <w:pPr>
              <w:ind w:firstLine="420"/>
            </w:pPr>
            <w:r>
              <w:rPr>
                <w:sz w:val="21"/>
              </w:rPr>
              <w:t>（</w:t>
            </w:r>
            <w:r>
              <w:rPr>
                <w:sz w:val="21"/>
              </w:rPr>
              <w:t>4）《建设用地土壤风险评估技术导则》（HJ25.3-2019）；</w:t>
            </w:r>
          </w:p>
          <w:p>
            <w:pPr>
              <w:ind w:firstLine="420"/>
            </w:pPr>
            <w:r>
              <w:rPr>
                <w:sz w:val="21"/>
              </w:rPr>
              <w:t>（</w:t>
            </w:r>
            <w:r>
              <w:rPr>
                <w:sz w:val="21"/>
              </w:rPr>
              <w:t>5）《土壤环境监测技术规范》（HJ / T166-2004）；</w:t>
            </w:r>
          </w:p>
          <w:p>
            <w:pPr>
              <w:ind w:firstLine="420"/>
            </w:pPr>
            <w:r>
              <w:rPr>
                <w:sz w:val="21"/>
              </w:rPr>
              <w:t>（</w:t>
            </w:r>
            <w:r>
              <w:rPr>
                <w:sz w:val="21"/>
              </w:rPr>
              <w:t>6）《地下水环境监测技术规范》（HJ 164-2020）；</w:t>
            </w:r>
          </w:p>
          <w:p>
            <w:pPr>
              <w:ind w:firstLine="420"/>
            </w:pPr>
            <w:r>
              <w:rPr>
                <w:sz w:val="21"/>
              </w:rPr>
              <w:t>（</w:t>
            </w:r>
            <w:r>
              <w:rPr>
                <w:sz w:val="21"/>
              </w:rPr>
              <w:t>7）《环境检测分析方法标准制定技术导则》（HJ 168—2020）；</w:t>
            </w:r>
          </w:p>
          <w:p>
            <w:pPr>
              <w:ind w:firstLine="420"/>
            </w:pPr>
            <w:r>
              <w:rPr>
                <w:sz w:val="21"/>
              </w:rPr>
              <w:t>（</w:t>
            </w:r>
            <w:r>
              <w:rPr>
                <w:sz w:val="21"/>
              </w:rPr>
              <w:t>8）《城市用地分类与规划建设用地标准》（GB 50137-2011）；</w:t>
            </w:r>
          </w:p>
          <w:p>
            <w:pPr>
              <w:ind w:firstLine="420"/>
            </w:pPr>
            <w:r>
              <w:rPr>
                <w:sz w:val="21"/>
              </w:rPr>
              <w:t>（</w:t>
            </w:r>
            <w:r>
              <w:rPr>
                <w:sz w:val="21"/>
              </w:rPr>
              <w:t>9）《中国土壤元素背景值》（中国环境监测总站主编，中国环境科学出版社，1990）；</w:t>
            </w:r>
          </w:p>
          <w:p>
            <w:pPr>
              <w:ind w:firstLine="420"/>
            </w:pPr>
            <w:r>
              <w:rPr>
                <w:sz w:val="21"/>
              </w:rPr>
              <w:t>（</w:t>
            </w:r>
            <w:r>
              <w:rPr>
                <w:sz w:val="21"/>
              </w:rPr>
              <w:t>10）《土工试验方法标准》（GB/T 50123-2019）；</w:t>
            </w:r>
          </w:p>
          <w:p>
            <w:pPr>
              <w:ind w:firstLine="420"/>
            </w:pPr>
            <w:r>
              <w:rPr>
                <w:sz w:val="21"/>
              </w:rPr>
              <w:t>（</w:t>
            </w:r>
            <w:r>
              <w:rPr>
                <w:sz w:val="21"/>
              </w:rPr>
              <w:t>11）《地下水质量标准》（GB / T14848-2017）；</w:t>
            </w:r>
          </w:p>
          <w:p>
            <w:pPr>
              <w:ind w:firstLine="420"/>
            </w:pPr>
            <w:r>
              <w:rPr>
                <w:sz w:val="21"/>
              </w:rPr>
              <w:t>（</w:t>
            </w:r>
            <w:r>
              <w:rPr>
                <w:sz w:val="21"/>
              </w:rPr>
              <w:t>12）《生活饮用水卫生标准》（GB 5749-2006)；</w:t>
            </w:r>
          </w:p>
          <w:p>
            <w:pPr>
              <w:ind w:firstLine="420"/>
            </w:pPr>
            <w:r>
              <w:rPr>
                <w:sz w:val="21"/>
              </w:rPr>
              <w:t>（</w:t>
            </w:r>
            <w:r>
              <w:rPr>
                <w:sz w:val="21"/>
              </w:rPr>
              <w:t>13）《土壤环境质量 建设用地土壤污染风险管控标准（试行）》( GB36600—2018)；</w:t>
            </w:r>
          </w:p>
          <w:p>
            <w:pPr>
              <w:ind w:firstLine="420"/>
            </w:pPr>
            <w:r>
              <w:rPr>
                <w:sz w:val="21"/>
              </w:rPr>
              <w:t>（</w:t>
            </w:r>
            <w:r>
              <w:rPr>
                <w:sz w:val="21"/>
              </w:rPr>
              <w:t>14）《建设用地土壤环境调查评估技术指南》 （生态环境部公告 2017年 第72号）；</w:t>
            </w:r>
          </w:p>
          <w:p>
            <w:pPr>
              <w:ind w:firstLine="420"/>
            </w:pPr>
            <w:r>
              <w:rPr>
                <w:sz w:val="21"/>
              </w:rPr>
              <w:t>（</w:t>
            </w:r>
            <w:r>
              <w:rPr>
                <w:sz w:val="21"/>
              </w:rPr>
              <w:t>15）《地下水污染健康风险评估工作指南》（试行）（2019 年 9 月）；</w:t>
            </w:r>
          </w:p>
          <w:p>
            <w:pPr>
              <w:ind w:firstLine="420"/>
            </w:pPr>
            <w:r>
              <w:rPr>
                <w:sz w:val="21"/>
              </w:rPr>
              <w:t>（</w:t>
            </w:r>
            <w:r>
              <w:rPr>
                <w:sz w:val="21"/>
              </w:rPr>
              <w:t>16）《地下水污染修复（防控）工作指南（试行）》（2014 年 12 月）；</w:t>
            </w:r>
          </w:p>
          <w:p>
            <w:pPr>
              <w:ind w:firstLine="420"/>
            </w:pPr>
            <w:r>
              <w:rPr>
                <w:sz w:val="21"/>
              </w:rPr>
              <w:t>（</w:t>
            </w:r>
            <w:r>
              <w:rPr>
                <w:sz w:val="21"/>
              </w:rPr>
              <w:t>17）《地下水环境状况调查评价工作指南（试行）》（2019 年 9 月）；</w:t>
            </w:r>
          </w:p>
          <w:p>
            <w:pPr>
              <w:ind w:firstLine="420"/>
            </w:pPr>
            <w:r>
              <w:rPr>
                <w:sz w:val="21"/>
              </w:rPr>
              <w:t>（</w:t>
            </w:r>
            <w:r>
              <w:rPr>
                <w:sz w:val="21"/>
              </w:rPr>
              <w:t>18）《岩土工程勘察规范》（GB 50021-2009）；</w:t>
            </w:r>
          </w:p>
          <w:p>
            <w:pPr>
              <w:ind w:firstLine="420"/>
            </w:pPr>
            <w:r>
              <w:rPr>
                <w:sz w:val="21"/>
              </w:rPr>
              <w:t>（</w:t>
            </w:r>
            <w:r>
              <w:rPr>
                <w:sz w:val="21"/>
              </w:rPr>
              <w:t>19）《水文水井地质钻探规程》（DZ/T 0148-2014）</w:t>
            </w:r>
          </w:p>
          <w:p>
            <w:pPr>
              <w:ind w:firstLine="420"/>
            </w:pPr>
            <w:r>
              <w:rPr>
                <w:sz w:val="21"/>
              </w:rPr>
              <w:t>（</w:t>
            </w:r>
            <w:r>
              <w:rPr>
                <w:sz w:val="21"/>
              </w:rPr>
              <w:t>20）《水和废水监测分析方法》（第四版）；</w:t>
            </w:r>
          </w:p>
          <w:p>
            <w:pPr>
              <w:ind w:firstLine="420"/>
            </w:pPr>
            <w:r>
              <w:rPr>
                <w:sz w:val="21"/>
              </w:rPr>
              <w:t>（</w:t>
            </w:r>
            <w:r>
              <w:rPr>
                <w:sz w:val="21"/>
              </w:rPr>
              <w:t>21）《工业企业场地环境调查评估与修复工作指南》（试行）；</w:t>
            </w:r>
          </w:p>
          <w:p>
            <w:pPr>
              <w:ind w:firstLine="420"/>
            </w:pPr>
            <w:r>
              <w:rPr>
                <w:sz w:val="21"/>
              </w:rPr>
              <w:t>（</w:t>
            </w:r>
            <w:r>
              <w:rPr>
                <w:sz w:val="21"/>
              </w:rPr>
              <w:t>22）《工业固体废物采样制样技术规范》（HJ/T20-1998）；</w:t>
            </w:r>
          </w:p>
          <w:p>
            <w:pPr>
              <w:ind w:firstLine="420"/>
            </w:pPr>
            <w:r>
              <w:rPr>
                <w:sz w:val="21"/>
              </w:rPr>
              <w:t>（</w:t>
            </w:r>
            <w:r>
              <w:rPr>
                <w:sz w:val="21"/>
              </w:rPr>
              <w:t>23）《重点行业企业用地调查质量保证与质量控制技术规定（试行）》；</w:t>
            </w:r>
          </w:p>
          <w:p>
            <w:pPr>
              <w:ind w:firstLine="420"/>
            </w:pPr>
            <w:r>
              <w:rPr>
                <w:sz w:val="21"/>
              </w:rPr>
              <w:t>（</w:t>
            </w:r>
            <w:r>
              <w:rPr>
                <w:sz w:val="21"/>
              </w:rPr>
              <w:t>24）《东莞市建设用地场地环境调查工作评审技术要点》（东环办〔2019〕5 号）；</w:t>
            </w:r>
          </w:p>
          <w:p>
            <w:pPr>
              <w:ind w:firstLine="420"/>
            </w:pPr>
            <w:r>
              <w:rPr>
                <w:sz w:val="21"/>
              </w:rPr>
              <w:t>（</w:t>
            </w:r>
            <w:r>
              <w:rPr>
                <w:sz w:val="21"/>
              </w:rPr>
              <w:t>25）《广东省建设用地土壤污染状况调查、风险评估及效果评估报告技术审查要点（试行）》（粤环办〔2020〕67号）。</w:t>
            </w:r>
          </w:p>
          <w:p>
            <w:pPr>
              <w:ind w:firstLine="422"/>
            </w:pPr>
            <w:r>
              <w:rPr>
                <w:b/>
                <w:color w:val="000000"/>
                <w:sz w:val="21"/>
              </w:rPr>
              <w:t>二、地块概况</w:t>
            </w:r>
          </w:p>
          <w:p>
            <w:pPr>
              <w:ind w:firstLine="422"/>
            </w:pPr>
            <w:r>
              <w:rPr>
                <w:b/>
                <w:color w:val="000000"/>
                <w:sz w:val="21"/>
              </w:rPr>
              <w:t>（一）项目地理位置</w:t>
            </w:r>
          </w:p>
          <w:p>
            <w:pPr>
              <w:ind w:firstLine="420"/>
            </w:pPr>
            <w:r>
              <w:rPr>
                <w:color w:val="000000"/>
                <w:sz w:val="21"/>
              </w:rPr>
              <w:t>项目地块位于东莞市横沥镇水边村育才路</w:t>
            </w:r>
            <w:r>
              <w:rPr>
                <w:color w:val="000000"/>
                <w:sz w:val="21"/>
              </w:rPr>
              <w:t>，东至莞盛小学，西至东莞理工学校，南至育才路，北至空地</w:t>
            </w:r>
            <w:r>
              <w:rPr>
                <w:color w:val="000000"/>
                <w:sz w:val="21"/>
              </w:rPr>
              <w:t>，横沥镇水边村育才路地块总面积为</w:t>
            </w:r>
            <w:r>
              <w:rPr>
                <w:color w:val="000000"/>
                <w:sz w:val="21"/>
              </w:rPr>
              <w:t>76205.96㎡，地块位置如下图所示。</w:t>
            </w:r>
          </w:p>
          <w:p>
            <w:r>
              <w:drawing>
                <wp:inline distT="0" distR="0" distB="0" distL="0">
                  <wp:extent cx="3554729" cy="209177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091771"/>
                          </a:xfrm>
                          <a:prstGeom prst="rect">
                            <a:avLst/>
                          </a:prstGeom>
                        </pic:spPr>
                      </pic:pic>
                    </a:graphicData>
                  </a:graphic>
                </wp:inline>
              </w:drawing>
            </w:r>
          </w:p>
          <w:p>
            <w:pPr>
              <w:jc w:val="center"/>
            </w:pPr>
            <w:r>
              <w:rPr>
                <w:sz w:val="21"/>
              </w:rPr>
              <w:t>地块地理位置</w:t>
            </w:r>
          </w:p>
          <w:p>
            <w:pPr>
              <w:ind w:firstLine="422"/>
            </w:pPr>
            <w:r>
              <w:rPr>
                <w:b/>
                <w:color w:val="000000"/>
                <w:sz w:val="21"/>
              </w:rPr>
              <w:t>（二）地块未来规划</w:t>
            </w:r>
          </w:p>
          <w:p>
            <w:pPr>
              <w:ind w:firstLine="420"/>
            </w:pPr>
            <w:r>
              <w:rPr>
                <w:sz w:val="21"/>
              </w:rPr>
              <w:t>该地块规划用地类型为二类居住用地。根据《城市用地分类与规划建设用地标准》（</w:t>
            </w:r>
            <w:r>
              <w:rPr>
                <w:sz w:val="21"/>
              </w:rPr>
              <w:t>GB 50137-2011）和《土壤环境质量建设用地土壤污染风险管控标准（试行）》(GB 36600—2018)分类标准，土壤样品的评价标准选用《土壤环境质量建设用地土壤污染风险管控标准（试行）》(GB 36600—2018)第一类用地筛选值。</w:t>
            </w:r>
          </w:p>
          <w:p>
            <w:pPr>
              <w:ind w:firstLine="422"/>
            </w:pPr>
            <w:r>
              <w:rPr>
                <w:b/>
                <w:color w:val="000000"/>
                <w:sz w:val="21"/>
              </w:rPr>
              <w:t>三、</w:t>
            </w:r>
            <w:r>
              <w:rPr>
                <w:b/>
                <w:color w:val="000000"/>
                <w:sz w:val="21"/>
              </w:rPr>
              <w:t>具体要求</w:t>
            </w:r>
          </w:p>
          <w:p>
            <w:pPr>
              <w:ind w:firstLine="420"/>
            </w:pPr>
            <w:r>
              <w:rPr>
                <w:sz w:val="21"/>
              </w:rPr>
              <w:t>本项目主要根据国家环保部《建设用地土壤污染状况调查技术导则》（</w:t>
            </w:r>
            <w:r>
              <w:rPr>
                <w:sz w:val="21"/>
              </w:rPr>
              <w:t>HJ25.1-2019）、《建设用地土壤污染风险管控和修复监测技术导则》（HJ25.2-2019）、《工业企业地块环境调查评估与修复工作指南》和《建设用地土壤环境调查评估技术指南》，并结合国内主要土壤污染状况调查相关经验和地块的实际情况开展地块环境调查评估工作，并编制土壤污染状况初步调查报告。</w:t>
            </w:r>
          </w:p>
          <w:p>
            <w:pPr>
              <w:ind w:firstLine="420"/>
            </w:pPr>
            <w:r>
              <w:rPr>
                <w:sz w:val="21"/>
              </w:rPr>
              <w:t>本项目服务方式和内容包括：</w:t>
            </w:r>
          </w:p>
          <w:p>
            <w:pPr>
              <w:ind w:firstLine="422"/>
              <w:jc w:val="left"/>
            </w:pPr>
            <w:r>
              <w:rPr>
                <w:b/>
                <w:sz w:val="21"/>
              </w:rPr>
              <w:t>（一）第一阶段土壤污染状况调查</w:t>
            </w:r>
          </w:p>
          <w:p>
            <w:pPr>
              <w:ind w:firstLine="420"/>
              <w:jc w:val="left"/>
            </w:pPr>
            <w:r>
              <w:rPr>
                <w:sz w:val="21"/>
              </w:rPr>
              <w:t>场地环境污染识别阶段以资料收集、现场踏勘和人员访谈为主，通过污染识别调查建立初步场地污染概念模型。由于前期调查判断场地污染可能性较大，因此污染识别调查阶段应通过各种技术手段明确以下重点关注内容：</w:t>
            </w:r>
          </w:p>
          <w:p>
            <w:pPr>
              <w:ind w:firstLine="420"/>
              <w:jc w:val="left"/>
            </w:pPr>
            <w:r>
              <w:rPr>
                <w:sz w:val="21"/>
              </w:rPr>
              <w:t>1、确定疑似污染区域范围；</w:t>
            </w:r>
          </w:p>
          <w:p>
            <w:pPr>
              <w:ind w:firstLine="420"/>
              <w:jc w:val="left"/>
            </w:pPr>
            <w:r>
              <w:rPr>
                <w:sz w:val="21"/>
              </w:rPr>
              <w:t>2、确定疑似污染物类型。</w:t>
            </w:r>
          </w:p>
          <w:p>
            <w:pPr>
              <w:ind w:firstLine="420"/>
              <w:jc w:val="left"/>
            </w:pPr>
            <w:r>
              <w:rPr>
                <w:sz w:val="21"/>
              </w:rPr>
              <w:t>（</w:t>
            </w:r>
            <w:r>
              <w:rPr>
                <w:sz w:val="21"/>
              </w:rPr>
              <w:t>1）资料收集与分析</w:t>
            </w:r>
          </w:p>
          <w:p>
            <w:pPr>
              <w:ind w:firstLine="420"/>
              <w:jc w:val="left"/>
            </w:pPr>
            <w:r>
              <w:rPr>
                <w:sz w:val="21"/>
              </w:rPr>
              <w:t>资料的收集：</w:t>
            </w:r>
          </w:p>
          <w:p>
            <w:pPr>
              <w:ind w:firstLine="420"/>
              <w:jc w:val="left"/>
            </w:pPr>
            <w:r>
              <w:rPr>
                <w:sz w:val="21"/>
              </w:rPr>
              <w:t>主要包括：地块利用变迁资料、地块环境资料、地块相关记录、有关政府文件、以及地块所在区域的自然和社会信息。当调查地块与相邻地块存在相互污染的可能时，须调查相邻地块的相关记录和资料。</w:t>
            </w:r>
          </w:p>
          <w:p>
            <w:pPr>
              <w:ind w:firstLine="420"/>
              <w:jc w:val="left"/>
            </w:pPr>
            <w:r>
              <w:rPr>
                <w:sz w:val="21"/>
              </w:rPr>
              <w:t>地块利用变迁资料包括：用来辨识地块及其相邻地块的开发及活动状况的航片或卫星图片，地块的土地使用和规划资料，其它有助于评价地块污染的历史资料，如土地登记信息资料等。地块利用变迁过程中的地块内建筑、设施、工艺流程和生产污染等的变化情况。</w:t>
            </w:r>
          </w:p>
          <w:p>
            <w:pPr>
              <w:ind w:firstLine="420"/>
              <w:jc w:val="left"/>
            </w:pPr>
            <w:r>
              <w:rPr>
                <w:sz w:val="21"/>
              </w:rPr>
              <w:t>地块环境资料包括：地块土壤及地下水污染记录、地块危险废物堆放记录以及地块与自然保护区和水源地保护区等的位置关系等。</w:t>
            </w:r>
          </w:p>
          <w:p>
            <w:pPr>
              <w:ind w:firstLine="420"/>
              <w:jc w:val="left"/>
            </w:pPr>
            <w:r>
              <w:rPr>
                <w:sz w:val="21"/>
              </w:rPr>
              <w:t>地块相关记录包括：产品、原辅材料及中间体清单、平面布置图、工艺流程图、地下管线图、化学品储存及使用清单、泄漏记录、废物管理记录、地上及地下储罐清单、环境监测数据、环境影响报告书或表、环境审计报告和地勘报告等。</w:t>
            </w:r>
          </w:p>
          <w:p>
            <w:pPr>
              <w:ind w:firstLine="420"/>
              <w:jc w:val="left"/>
            </w:pPr>
            <w:r>
              <w:rPr>
                <w:sz w:val="21"/>
              </w:rPr>
              <w:t>由政府机关和权威机构所保存和发布的环境资料，如区域环境保护规划、环境质量公告、企业在政府部门相关环境备案和批复以及生态和水源保护区规划等。</w:t>
            </w:r>
          </w:p>
          <w:p>
            <w:pPr>
              <w:ind w:firstLine="420"/>
              <w:jc w:val="left"/>
            </w:pPr>
            <w:r>
              <w:rPr>
                <w:sz w:val="21"/>
              </w:rPr>
              <w:t>地块所在区域的自然和社会信息包括：自然信息包括地理位置图、地形、地貌、土壤、水文、地质和气象资料等；社会信息包括人口密度和分布，敏感目标分布，及土地利用方式，区域所在地的经济现状和发展规划，相关的国家和地方的政策、法规与标准，以及当地地方性疾病统计信息等。</w:t>
            </w:r>
          </w:p>
          <w:p>
            <w:pPr>
              <w:ind w:firstLine="420"/>
              <w:jc w:val="left"/>
            </w:pPr>
            <w:r>
              <w:rPr>
                <w:sz w:val="21"/>
              </w:rPr>
              <w:t>资料的分析：</w:t>
            </w:r>
          </w:p>
          <w:p>
            <w:pPr>
              <w:ind w:firstLine="420"/>
              <w:jc w:val="left"/>
            </w:pPr>
            <w:r>
              <w:rPr>
                <w:sz w:val="21"/>
              </w:rPr>
              <w:t>调查人员应根据专业知识和经验识别资料中的错误和不合理的信息，如资料缺失影响判断地块污染状况时，应在报告中说明。</w:t>
            </w:r>
          </w:p>
          <w:p>
            <w:pPr>
              <w:ind w:firstLine="420"/>
              <w:jc w:val="left"/>
            </w:pPr>
            <w:r>
              <w:rPr>
                <w:sz w:val="21"/>
              </w:rPr>
              <w:t>（</w:t>
            </w:r>
            <w:r>
              <w:rPr>
                <w:sz w:val="21"/>
              </w:rPr>
              <w:t>2）现场踏勘</w:t>
            </w:r>
          </w:p>
          <w:p>
            <w:pPr>
              <w:ind w:firstLine="420"/>
              <w:jc w:val="left"/>
            </w:pPr>
            <w:r>
              <w:rPr>
                <w:sz w:val="21"/>
              </w:rPr>
              <w:t>安全防护准备：在现场踏勘前，根据地块的具体情况掌握相应的安全卫生防护知识，并装备必要的防护用品。</w:t>
            </w:r>
          </w:p>
          <w:p>
            <w:pPr>
              <w:ind w:firstLine="420"/>
              <w:jc w:val="left"/>
            </w:pPr>
            <w:r>
              <w:rPr>
                <w:sz w:val="21"/>
              </w:rPr>
              <w:t>现场踏勘的范围：以地块内为主，并应包括地块的周围区域，周围区域的范围应由现场调查人员根据污染可能迁移的距离来判断。</w:t>
            </w:r>
          </w:p>
          <w:p>
            <w:pPr>
              <w:ind w:firstLine="420"/>
              <w:jc w:val="left"/>
            </w:pPr>
            <w:r>
              <w:rPr>
                <w:sz w:val="21"/>
              </w:rPr>
              <w:t>现场踏勘的主要内容：现场踏勘的主要内容包括：地块的现状与历史情况，相邻地块的现状与历史情况，周围区域的现状与历史情况，区域的地质、水文地质和地形的描述等。</w:t>
            </w:r>
          </w:p>
          <w:p>
            <w:pPr>
              <w:ind w:firstLine="420"/>
              <w:jc w:val="left"/>
            </w:pPr>
            <w:r>
              <w:rPr>
                <w:sz w:val="21"/>
              </w:rPr>
              <w:t>地块现状与历史情况：可能造成土壤和地下水污染的物质的使用、生产、贮存，三废处理与排放以及泄漏状况，地块过去使用中留下的可能造成土壤和地下水污染的异常迹象，如罐、槽泄漏以及废物临时堆放污染痕迹。</w:t>
            </w:r>
          </w:p>
          <w:p>
            <w:pPr>
              <w:ind w:firstLine="420"/>
              <w:jc w:val="left"/>
            </w:pPr>
            <w:r>
              <w:rPr>
                <w:sz w:val="21"/>
              </w:rPr>
              <w:t>相邻地块的现状与历史情况：相邻地块的使用现况与污染源，以及过去使用中留下的可能造成土壤和地下水污染的异常迹象，如罐、槽泄漏以及废物临时堆放污染痕迹。</w:t>
            </w:r>
          </w:p>
          <w:p>
            <w:pPr>
              <w:ind w:firstLine="420"/>
              <w:jc w:val="left"/>
            </w:pPr>
            <w:r>
              <w:rPr>
                <w:sz w:val="21"/>
              </w:rPr>
              <w:t>周围区域的现状与历史情况：对于周围区域目前或过去土地利用的类型，如住宅、商店和工厂等，应尽可能观察和记录；周围区域的废弃和正在使用的各类井，如水井等；污水处理和排放系统；化学品和废弃物的储存和处置设施；地面上的沟、河、池；地表水体、雨水排放和径流以及道路和公用设施。</w:t>
            </w:r>
          </w:p>
          <w:p>
            <w:pPr>
              <w:ind w:firstLine="420"/>
              <w:jc w:val="left"/>
            </w:pPr>
            <w:r>
              <w:rPr>
                <w:sz w:val="21"/>
              </w:rPr>
              <w:t>地质、水文地质和地形的描述：地块及其周围区域的地质、水文地质与地形应观察、记录，并加以分析，以协助判断周围污染物是否会迁移到调查地块，以及地块内污染物是否会迁移到地下水和地块之外。</w:t>
            </w:r>
          </w:p>
          <w:p>
            <w:pPr>
              <w:ind w:firstLine="420"/>
              <w:jc w:val="left"/>
            </w:pPr>
            <w:r>
              <w:rPr>
                <w:sz w:val="21"/>
              </w:rPr>
              <w:t>现场踏勘的重点：重点踏勘对象一般应包括：有毒有害物质的使用、处理、储存、处置；生产过程和设备，储槽与管线；恶臭、化学品味道和刺激性气味，污染和腐蚀的痕迹；排水管或渠、污水池或其它地表水体、废物堆放地、井等。</w:t>
            </w:r>
          </w:p>
          <w:p>
            <w:pPr>
              <w:ind w:firstLine="420"/>
              <w:jc w:val="left"/>
            </w:pPr>
            <w:r>
              <w:rPr>
                <w:sz w:val="21"/>
              </w:rPr>
              <w:t>同时应该观察和记录地块及周围是否有可能受污染物影响的居民区、学校、医院、饮用水源保护区以及其它公共场所等，并在报告中明确其与地块的位置关系。</w:t>
            </w:r>
          </w:p>
          <w:p>
            <w:pPr>
              <w:ind w:firstLine="420"/>
              <w:jc w:val="left"/>
            </w:pPr>
            <w:r>
              <w:rPr>
                <w:sz w:val="21"/>
              </w:rPr>
              <w:t>现场踏勘的方法：可通过对异常气味的辨识、摄影和照相、现场笔记等方式初步判断地块污染的状况。踏勘期间，可以使用现场快速测定仪器。</w:t>
            </w:r>
          </w:p>
          <w:p>
            <w:pPr>
              <w:ind w:firstLine="420"/>
              <w:jc w:val="left"/>
            </w:pPr>
            <w:r>
              <w:rPr>
                <w:sz w:val="21"/>
              </w:rPr>
              <w:t>（</w:t>
            </w:r>
            <w:r>
              <w:rPr>
                <w:sz w:val="21"/>
              </w:rPr>
              <w:t>3）人员访谈</w:t>
            </w:r>
          </w:p>
          <w:p>
            <w:pPr>
              <w:ind w:firstLine="420"/>
              <w:jc w:val="left"/>
            </w:pPr>
            <w:r>
              <w:rPr>
                <w:sz w:val="21"/>
              </w:rPr>
              <w:t>访谈内容：应包括资料收集和现场踏勘所涉及的疑问，以及信息补充和已有资料的考证。</w:t>
            </w:r>
          </w:p>
          <w:p>
            <w:pPr>
              <w:ind w:firstLine="420"/>
              <w:jc w:val="left"/>
            </w:pPr>
            <w:r>
              <w:rPr>
                <w:sz w:val="21"/>
              </w:rPr>
              <w:t>访谈对象：受访者为地块现状或历史的知情人，应包括：地块管理机构和地方政府的官员，环境保护行政主管部门的官员，地块过去和现在各阶段的使用者，以及地块所在地或熟悉地块的第三方，如相邻地块的工作人员和附近的居民。</w:t>
            </w:r>
          </w:p>
          <w:p>
            <w:pPr>
              <w:ind w:firstLine="420"/>
              <w:jc w:val="left"/>
            </w:pPr>
            <w:r>
              <w:rPr>
                <w:sz w:val="21"/>
              </w:rPr>
              <w:t>访谈方法：可采取当面交流、电话交流、电子或书面调查表等方式进行。</w:t>
            </w:r>
          </w:p>
          <w:p>
            <w:pPr>
              <w:ind w:firstLine="420"/>
              <w:jc w:val="left"/>
            </w:pPr>
            <w:r>
              <w:rPr>
                <w:sz w:val="21"/>
              </w:rPr>
              <w:t>内容整理：应对访谈内容进行整理，并对照已有资料，对其中可疑处和不完善处进行核实和补充，作为调查报告的附件。</w:t>
            </w:r>
          </w:p>
          <w:p>
            <w:pPr>
              <w:ind w:firstLine="420"/>
              <w:jc w:val="left"/>
            </w:pPr>
            <w:r>
              <w:rPr>
                <w:sz w:val="21"/>
              </w:rPr>
              <w:t>（</w:t>
            </w:r>
            <w:r>
              <w:rPr>
                <w:sz w:val="21"/>
              </w:rPr>
              <w:t>4）结论与分析</w:t>
            </w:r>
          </w:p>
          <w:p>
            <w:pPr>
              <w:ind w:firstLine="420"/>
              <w:jc w:val="left"/>
            </w:pPr>
            <w:r>
              <w:rPr>
                <w:sz w:val="21"/>
              </w:rPr>
              <w:t>本阶段调查结论应明确地块内及周围区域有无可能的污染源，并进行不确定性分析。若有可能的污染源，应说明可能的污染类型、污染状况和来源，并应提出第二阶段土壤污染状况调查的建议。</w:t>
            </w:r>
          </w:p>
          <w:p>
            <w:pPr>
              <w:ind w:firstLine="422"/>
              <w:jc w:val="left"/>
            </w:pPr>
            <w:r>
              <w:rPr>
                <w:b/>
                <w:sz w:val="21"/>
              </w:rPr>
              <w:t>（二）第二阶段土壤污染状况初步监测</w:t>
            </w:r>
          </w:p>
          <w:p>
            <w:pPr>
              <w:ind w:firstLine="420"/>
            </w:pPr>
            <w:r>
              <w:rPr>
                <w:color w:val="000000"/>
                <w:sz w:val="21"/>
              </w:rPr>
              <w:t>1、监测介质</w:t>
            </w:r>
          </w:p>
          <w:p>
            <w:pPr>
              <w:ind w:firstLine="420"/>
            </w:pPr>
            <w:r>
              <w:rPr>
                <w:color w:val="000000"/>
                <w:sz w:val="21"/>
              </w:rPr>
              <w:t>根据本次项目的现场情况以及地块历史使用情况，本项目的监测介质主要包括土壤，浅层地下水。</w:t>
            </w:r>
          </w:p>
          <w:p>
            <w:pPr>
              <w:ind w:firstLine="420"/>
            </w:pPr>
            <w:r>
              <w:rPr>
                <w:color w:val="000000"/>
                <w:sz w:val="21"/>
              </w:rPr>
              <w:t>2、布点采样计划</w:t>
            </w:r>
          </w:p>
          <w:p>
            <w:pPr>
              <w:ind w:firstLine="420"/>
            </w:pPr>
            <w:r>
              <w:rPr>
                <w:color w:val="000000"/>
                <w:sz w:val="21"/>
              </w:rPr>
              <w:t>根据《建设用地土壤污染状况调查技术导则》（</w:t>
            </w:r>
            <w:r>
              <w:rPr>
                <w:color w:val="000000"/>
                <w:sz w:val="21"/>
              </w:rPr>
              <w:t>HJ25.1-2019）和《建设用地土壤环境调查评估技术指南》（生态环境部公告2017年第72号）的要求，结合地块实际情况，采用系统布点法进行布点，具体如下：</w:t>
            </w:r>
          </w:p>
          <w:p>
            <w:pPr>
              <w:ind w:firstLine="420"/>
            </w:pPr>
            <w:r>
              <w:rPr>
                <w:color w:val="000000"/>
                <w:sz w:val="21"/>
              </w:rPr>
              <w:t>(1)土壤布点采样</w:t>
            </w:r>
          </w:p>
          <w:p>
            <w:pPr>
              <w:ind w:firstLine="420"/>
            </w:pPr>
            <w:r>
              <w:rPr>
                <w:color w:val="000000"/>
                <w:sz w:val="21"/>
              </w:rPr>
              <w:t>根据《建设用地土壤环境调查评估技术指南》</w:t>
            </w:r>
            <w:r>
              <w:rPr>
                <w:color w:val="000000"/>
                <w:sz w:val="21"/>
              </w:rPr>
              <w:t>(环保部公告2017年第72号)要求：初步调查阶段，地块面积≤5000㎡，土壤采样点位数不少于3个；地块面积＞5000㎡，土壤采样点位数不少于6个，并可根据实际情况酌情增加。</w:t>
            </w:r>
          </w:p>
          <w:p>
            <w:pPr>
              <w:ind w:firstLine="420"/>
            </w:pPr>
            <w:r>
              <w:rPr>
                <w:color w:val="000000"/>
                <w:sz w:val="21"/>
              </w:rPr>
              <w:t>①结合场区资料及生产工艺，采用专业判断法在地块重点关注区域进行采样点的布设，明确场区的污染物种类及污染情况；</w:t>
            </w:r>
          </w:p>
          <w:p>
            <w:pPr>
              <w:ind w:firstLine="420"/>
            </w:pPr>
            <w:r>
              <w:rPr>
                <w:color w:val="000000"/>
                <w:sz w:val="21"/>
              </w:rPr>
              <w:t>②同一土层至少采集1个土壤样品，并现场使用XRF(X-射线荧光分析仪)和PID(便携式挥发性有机物分析仪)辅助判断具体的采样深度，尽量采集设备读数高、土壤颜色异常的土壤区段，以保证采集具有代表性的土壤样品；</w:t>
            </w:r>
          </w:p>
          <w:p>
            <w:pPr>
              <w:ind w:firstLine="420"/>
            </w:pPr>
            <w:r>
              <w:rPr>
                <w:color w:val="000000"/>
                <w:sz w:val="21"/>
              </w:rPr>
              <w:t>③土壤最大采样深度主要参考场内岩石层深度及场内异常土层深度；</w:t>
            </w:r>
          </w:p>
          <w:p>
            <w:pPr>
              <w:ind w:firstLine="420"/>
            </w:pPr>
            <w:r>
              <w:rPr>
                <w:color w:val="000000"/>
                <w:sz w:val="21"/>
              </w:rPr>
              <w:t>④现场采样时根据实际情况(如建筑物、土壤质地等因素)对采样点位置和深度进行适当调整。</w:t>
            </w:r>
          </w:p>
          <w:p>
            <w:pPr>
              <w:ind w:firstLine="420"/>
            </w:pPr>
            <w:r>
              <w:rPr>
                <w:color w:val="000000"/>
                <w:sz w:val="21"/>
              </w:rPr>
              <w:t>本次调查除在地块范围内采集样品外，将在地块周边受人为活动干扰较少的区域设置土壤背景对照点并采集土样分析，布设一个对照点。为评估从采样到样品运输、贮存和数据分析等不同阶段的质量控制效果，本项目在现场采样过程中设定现场质量控制样品，包括平行样和空白样等。</w:t>
            </w:r>
          </w:p>
          <w:p>
            <w:pPr>
              <w:ind w:firstLine="420"/>
            </w:pPr>
            <w:r>
              <w:rPr>
                <w:color w:val="000000"/>
                <w:sz w:val="21"/>
              </w:rPr>
              <w:t>(2)地下水布点采样</w:t>
            </w:r>
          </w:p>
          <w:p>
            <w:pPr>
              <w:ind w:firstLine="420"/>
            </w:pPr>
            <w:r>
              <w:rPr>
                <w:color w:val="000000"/>
                <w:sz w:val="21"/>
              </w:rPr>
              <w:t>为初步判断场地水文地质情况及地下水污染水平，地下水调查原则如下：</w:t>
            </w:r>
          </w:p>
          <w:p>
            <w:pPr>
              <w:ind w:firstLine="420"/>
            </w:pPr>
            <w:r>
              <w:rPr>
                <w:color w:val="000000"/>
                <w:sz w:val="21"/>
              </w:rPr>
              <w:t>①至少设3口以上检测井，场界地下水上游至少设1口检测井，下游至少设2口检测井；</w:t>
            </w:r>
          </w:p>
          <w:p>
            <w:pPr>
              <w:ind w:firstLine="420"/>
            </w:pPr>
            <w:r>
              <w:rPr>
                <w:color w:val="000000"/>
                <w:sz w:val="21"/>
              </w:rPr>
              <w:t>②为了解污染物在土壤和地下水中的迁移情况，考虑将地下水检测井点与土壤采样点合并；</w:t>
            </w:r>
          </w:p>
          <w:p>
            <w:pPr>
              <w:ind w:firstLine="420"/>
            </w:pPr>
            <w:r>
              <w:rPr>
                <w:color w:val="000000"/>
                <w:sz w:val="21"/>
              </w:rPr>
              <w:t>③需在潜在重点关注区域布设检测井，以判断地下水是否存在污染及污染情况；</w:t>
            </w:r>
          </w:p>
          <w:p>
            <w:pPr>
              <w:ind w:firstLine="420"/>
            </w:pPr>
            <w:r>
              <w:rPr>
                <w:color w:val="000000"/>
                <w:sz w:val="21"/>
              </w:rPr>
              <w:t>④检测井深度及筛管位置应根据场地水文地质情况确定。</w:t>
            </w:r>
          </w:p>
          <w:p>
            <w:pPr>
              <w:ind w:firstLine="422"/>
              <w:jc w:val="left"/>
            </w:pPr>
            <w:r>
              <w:rPr>
                <w:b/>
                <w:sz w:val="21"/>
              </w:rPr>
              <w:t>（三）土壤污染状况初步调查采样点位置布设</w:t>
            </w:r>
          </w:p>
          <w:p>
            <w:pPr>
              <w:ind w:firstLine="420"/>
            </w:pPr>
            <w:r>
              <w:rPr>
                <w:color w:val="000000"/>
                <w:sz w:val="21"/>
              </w:rPr>
              <w:t>根据《建设用地土壤污染状况调查技术导则》（</w:t>
            </w:r>
            <w:r>
              <w:rPr>
                <w:color w:val="000000"/>
                <w:sz w:val="21"/>
              </w:rPr>
              <w:t>HJ25.1-2019）、《建设用地土壤污染风险管控和修复监测技术导则》（HJ25.2-2019）、《东莞市建设用地场地环境调查工作评审技术要点》（东环办〔2019〕5 号）中相关要求，结合污染识别结果，使用专业判断法说明对潜在污染高风险区进行点位布设，以了解场地土壤污染情况。</w:t>
            </w:r>
          </w:p>
          <w:p>
            <w:pPr>
              <w:ind w:firstLine="422"/>
              <w:jc w:val="left"/>
            </w:pPr>
            <w:r>
              <w:rPr>
                <w:b/>
                <w:sz w:val="21"/>
              </w:rPr>
              <w:t>（四）样品检测分析</w:t>
            </w:r>
          </w:p>
          <w:p>
            <w:pPr>
              <w:ind w:firstLine="420"/>
            </w:pPr>
            <w:r>
              <w:rPr>
                <w:sz w:val="21"/>
              </w:rPr>
              <w:t>根据《场地环境调查技术导则》（</w:t>
            </w:r>
            <w:r>
              <w:rPr>
                <w:sz w:val="21"/>
              </w:rPr>
              <w:t>HJ 25.1-2019）、《土壤环境质量 建设用地土壤污染风险管控标准（试行）》(GB36600-2018)、《建设用地土壤环境调查评估技术指南》（生态环境部公告2017年第72号）的要求，采集的土壤及底泥、地下水、地表水检测因子监测项目必须包括但不限于：</w:t>
            </w:r>
          </w:p>
          <w:p>
            <w:pPr>
              <w:ind w:firstLine="420"/>
            </w:pPr>
            <w:r>
              <w:rPr>
                <w:sz w:val="21"/>
              </w:rPr>
              <w:t>(1)地块土壤监测因子包括：《土壤环境质量建设用地土壤污染风险管控标准》（GB36600-2018）中的基本项目：</w:t>
            </w:r>
          </w:p>
          <w:p>
            <w:pPr>
              <w:ind w:firstLine="420"/>
            </w:pPr>
            <w:r>
              <w:rPr>
                <w:sz w:val="21"/>
              </w:rPr>
              <w:t>①理化性质（2项）：pH、含水率。</w:t>
            </w:r>
          </w:p>
          <w:p>
            <w:pPr>
              <w:ind w:firstLine="420"/>
            </w:pPr>
            <w:r>
              <w:rPr>
                <w:sz w:val="21"/>
              </w:rPr>
              <w:t>②《土壤环境质量 建设用地土壤污染风险管控标准》（GB36600-2018）中的基本项目，包括重金属和无机物（7项）：砷、镉、铬（六价）、铜、铅、汞、镍；挥发性有机物（27项）：四氯化碳、氯仿、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半挥发性有机物（11项）：硝基苯、苯胺、2-氯酚、苯并[a]蒽、苯并[a]芘、苯并[b]荧蒽、苯并[k]荧蒽、䓛、二苯并[a, h]蒽、茚并[1,2,3-cd]芘、萘。</w:t>
            </w:r>
          </w:p>
          <w:p>
            <w:pPr>
              <w:ind w:firstLine="420"/>
            </w:pPr>
            <w:r>
              <w:rPr>
                <w:sz w:val="21"/>
              </w:rPr>
              <w:t>③加测《土壤环境质量 建设用地土壤污染风险管控标准》（GB36600-2018）中的选测项目，包括石油烃（C10-C40）。</w:t>
            </w:r>
          </w:p>
          <w:p>
            <w:pPr>
              <w:ind w:firstLine="420"/>
            </w:pPr>
            <w:r>
              <w:rPr>
                <w:sz w:val="21"/>
              </w:rPr>
              <w:t>(2)地下水中的监测因子包括：《地下水质量标准》（GB / T14848-2017）中地下水质量常规指标，包括感官性状及一般化学性状（9项）：浑浊度（度）、pH、镍、汞、砷、镉、铬（六价）、铅、铜；非常规指标毒理学指标（1项）：石油烃（C10-C40）。</w:t>
            </w:r>
          </w:p>
          <w:p>
            <w:pPr>
              <w:ind w:firstLine="420"/>
            </w:pPr>
            <w:r>
              <w:rPr>
                <w:sz w:val="21"/>
              </w:rPr>
              <w:t>(3)实验检测方法</w:t>
            </w:r>
          </w:p>
          <w:p>
            <w:pPr>
              <w:ind w:firstLine="420"/>
            </w:pPr>
            <w:r>
              <w:rPr>
                <w:sz w:val="21"/>
              </w:rPr>
              <w:t>土壤各项检测指标分析方法按照国家《土壤环境质量建设用地土壤污染风险管控标准（试行）》（</w:t>
            </w:r>
            <w:r>
              <w:rPr>
                <w:sz w:val="21"/>
              </w:rPr>
              <w:t>GB36600-2018）标准指定方法进行分析，地下水各项检测指标分析方法按照《地下水质量标准》（GB / T14848-2017）标准指定方法进行分析。</w:t>
            </w:r>
          </w:p>
          <w:p>
            <w:pPr>
              <w:jc w:val="center"/>
            </w:pPr>
            <w:r>
              <w:rPr>
                <w:color w:val="000000"/>
                <w:sz w:val="21"/>
              </w:rPr>
              <w:t>样品分析方法</w:t>
            </w:r>
          </w:p>
          <w:tbl>
            <w:tblPr>
              <w:tblBorders>
                <w:top w:val="none" w:color="000000" w:sz="4"/>
                <w:left w:val="none" w:color="000000" w:sz="4"/>
                <w:bottom w:val="none" w:color="000000" w:sz="4"/>
                <w:right w:val="none" w:color="000000" w:sz="4"/>
                <w:insideH w:val="none"/>
                <w:insideV w:val="none"/>
              </w:tblBorders>
            </w:tblPr>
            <w:tblGrid>
              <w:gridCol w:w="740"/>
              <w:gridCol w:w="889"/>
              <w:gridCol w:w="1787"/>
              <w:gridCol w:w="2182"/>
            </w:tblGrid>
            <w:tr>
              <w:tc>
                <w:tcPr>
                  <w:tcW w:type="dxa" w:w="740"/>
                  <w:tcBorders>
                    <w:top w:val="single" w:color="000000" w:sz="4"/>
                    <w:left w:val="single" w:color="000000" w:sz="4"/>
                    <w:bottom w:val="single" w:color="000000" w:sz="4"/>
                    <w:right w:val="single" w:color="000000" w:sz="4"/>
                  </w:tcBorders>
                  <w:shd w:fill="FFFFFF"/>
                  <w:vAlign w:val="top"/>
                </w:tcPr>
                <w:p>
                  <w:pPr>
                    <w:jc w:val="center"/>
                  </w:pPr>
                  <w:r>
                    <w:rPr>
                      <w:b/>
                      <w:sz w:val="21"/>
                    </w:rPr>
                    <w:t>检测类别</w:t>
                  </w:r>
                </w:p>
              </w:tc>
              <w:tc>
                <w:tcPr>
                  <w:tcW w:type="dxa" w:w="2676"/>
                  <w:gridSpan w:val="2"/>
                  <w:tcBorders>
                    <w:top w:val="single" w:color="000000" w:sz="4"/>
                    <w:left w:val="single" w:color="000000" w:sz="4"/>
                    <w:bottom w:val="single" w:color="000000" w:sz="4"/>
                    <w:right w:val="single" w:color="000000" w:sz="4"/>
                  </w:tcBorders>
                  <w:shd w:fill="FFFFFF"/>
                  <w:vAlign w:val="top"/>
                </w:tcPr>
                <w:p>
                  <w:pPr>
                    <w:jc w:val="center"/>
                  </w:pPr>
                  <w:r>
                    <w:rPr>
                      <w:b/>
                      <w:sz w:val="21"/>
                    </w:rPr>
                    <w:t>检测项目</w:t>
                  </w:r>
                </w:p>
              </w:tc>
              <w:tc>
                <w:tcPr>
                  <w:tcW w:type="dxa" w:w="2182"/>
                  <w:tcBorders>
                    <w:top w:val="single" w:color="000000" w:sz="4"/>
                    <w:left w:val="single" w:color="000000" w:sz="4"/>
                    <w:bottom w:val="single" w:color="000000" w:sz="4"/>
                    <w:right w:val="single" w:color="000000" w:sz="4"/>
                  </w:tcBorders>
                  <w:shd w:fill="FFFFFF"/>
                  <w:vAlign w:val="top"/>
                </w:tcPr>
                <w:p>
                  <w:pPr>
                    <w:jc w:val="center"/>
                  </w:pPr>
                  <w:r>
                    <w:rPr>
                      <w:b/>
                      <w:sz w:val="21"/>
                    </w:rPr>
                    <w:t>检测方法</w:t>
                  </w:r>
                </w:p>
              </w:tc>
            </w:tr>
            <w:tr>
              <w:tc>
                <w:tcPr>
                  <w:tcW w:type="dxa" w:w="740"/>
                  <w:vMerge w:val="restart"/>
                  <w:tcBorders>
                    <w:top w:val="none" w:color="000000" w:sz="4"/>
                    <w:left w:val="single" w:color="000000" w:sz="4"/>
                    <w:bottom w:val="single" w:color="000000" w:sz="4"/>
                    <w:right w:val="single" w:color="000000" w:sz="4"/>
                  </w:tcBorders>
                  <w:shd w:fill="FFFFFF"/>
                  <w:vAlign w:val="top"/>
                </w:tcPr>
                <w:p>
                  <w:pPr>
                    <w:jc w:val="center"/>
                  </w:pPr>
                  <w:r>
                    <w:rPr>
                      <w:sz w:val="21"/>
                    </w:rPr>
                    <w:t>土壤</w:t>
                  </w:r>
                </w:p>
              </w:tc>
              <w:tc>
                <w:tcPr>
                  <w:tcW w:type="dxa" w:w="2676"/>
                  <w:gridSpan w:val="2"/>
                  <w:tcBorders>
                    <w:top w:val="none" w:color="000000" w:sz="4"/>
                    <w:left w:val="single" w:color="000000" w:sz="4"/>
                    <w:bottom w:val="single" w:color="000000" w:sz="4"/>
                    <w:right w:val="single" w:color="000000" w:sz="4"/>
                  </w:tcBorders>
                  <w:shd w:fill="FFFFFF"/>
                  <w:vAlign w:val="top"/>
                </w:tcPr>
                <w:p>
                  <w:pPr>
                    <w:jc w:val="center"/>
                  </w:pPr>
                  <w:r>
                    <w:rPr>
                      <w:sz w:val="21"/>
                    </w:rPr>
                    <w:t>pH</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土壤中</w:t>
                  </w:r>
                  <w:r>
                    <w:rPr>
                      <w:sz w:val="21"/>
                    </w:rPr>
                    <w:t>pH值的测定</w:t>
                  </w:r>
                </w:p>
                <w:p>
                  <w:pPr>
                    <w:jc w:val="center"/>
                  </w:pPr>
                  <w:r>
                    <w:rPr>
                      <w:sz w:val="21"/>
                    </w:rPr>
                    <w:t>NY/T 1377-2007</w:t>
                  </w:r>
                </w:p>
              </w:tc>
            </w:tr>
            <w:tr>
              <w:tc>
                <w:tcPr>
                  <w:tcW w:type="dxa" w:w="740"/>
                  <w:vMerge/>
                  <w:tcBorders>
                    <w:top w:val="none" w:color="000000" w:sz="4"/>
                    <w:left w:val="single" w:color="000000" w:sz="4"/>
                    <w:bottom w:val="single" w:color="000000" w:sz="4"/>
                    <w:right w:val="single" w:color="000000" w:sz="4"/>
                  </w:tcBorders>
                </w:tcPr>
                <w:p/>
              </w:tc>
              <w:tc>
                <w:tcPr>
                  <w:tcW w:type="dxa" w:w="2676"/>
                  <w:gridSpan w:val="2"/>
                  <w:tcBorders>
                    <w:top w:val="none" w:color="000000" w:sz="4"/>
                    <w:left w:val="single" w:color="000000" w:sz="4"/>
                    <w:bottom w:val="single" w:color="000000" w:sz="4"/>
                    <w:right w:val="single" w:color="000000" w:sz="4"/>
                  </w:tcBorders>
                  <w:shd w:fill="FFFFFF"/>
                  <w:vAlign w:val="top"/>
                </w:tcPr>
                <w:p>
                  <w:pPr>
                    <w:jc w:val="center"/>
                  </w:pPr>
                  <w:r>
                    <w:rPr>
                      <w:sz w:val="21"/>
                    </w:rPr>
                    <w:t>水分</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w:t>
                  </w:r>
                  <w:r>
                    <w:rPr>
                      <w:sz w:val="21"/>
                    </w:rPr>
                    <w:t>干物质和水分的测定</w:t>
                  </w:r>
                  <w:r>
                    <w:rPr>
                      <w:sz w:val="21"/>
                    </w:rPr>
                    <w:t>重量法</w:t>
                  </w:r>
                </w:p>
                <w:p>
                  <w:pPr>
                    <w:jc w:val="center"/>
                  </w:pPr>
                  <w:r>
                    <w:rPr>
                      <w:sz w:val="21"/>
                    </w:rPr>
                    <w:t>HJ 613-2011</w:t>
                  </w:r>
                </w:p>
              </w:tc>
            </w:tr>
            <w:tr>
              <w:tc>
                <w:tcPr>
                  <w:tcW w:type="dxa" w:w="740"/>
                  <w:vMerge/>
                  <w:tcBorders>
                    <w:top w:val="none" w:color="000000" w:sz="4"/>
                    <w:left w:val="single" w:color="000000" w:sz="4"/>
                    <w:bottom w:val="single" w:color="000000" w:sz="4"/>
                    <w:right w:val="single" w:color="000000" w:sz="4"/>
                  </w:tcBorders>
                </w:tcPr>
                <w:p/>
              </w:tc>
              <w:tc>
                <w:tcPr>
                  <w:tcW w:type="dxa" w:w="889"/>
                  <w:vMerge w:val="restart"/>
                  <w:tcBorders>
                    <w:top w:val="none" w:color="000000" w:sz="4"/>
                    <w:left w:val="single" w:color="000000" w:sz="4"/>
                    <w:bottom w:val="single" w:color="000000" w:sz="4"/>
                    <w:right w:val="single" w:color="000000" w:sz="4"/>
                  </w:tcBorders>
                  <w:shd w:fill="FFFFFF"/>
                  <w:vAlign w:val="top"/>
                </w:tcPr>
                <w:p>
                  <w:pPr>
                    <w:jc w:val="center"/>
                  </w:pPr>
                  <w:r>
                    <w:rPr>
                      <w:sz w:val="21"/>
                    </w:rPr>
                    <w:t>重金属</w:t>
                  </w: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砷</w:t>
                  </w:r>
                </w:p>
              </w:tc>
              <w:tc>
                <w:tcPr>
                  <w:tcW w:type="dxa" w:w="2182"/>
                  <w:tcBorders>
                    <w:top w:val="singl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汞、砷、硒、铋、锑的测定</w:t>
                  </w:r>
                  <w:r>
                    <w:rPr>
                      <w:sz w:val="21"/>
                    </w:rPr>
                    <w:t xml:space="preserve"> </w:t>
                  </w:r>
                  <w:r>
                    <w:rPr>
                      <w:sz w:val="21"/>
                    </w:rPr>
                    <w:t>微波消解</w:t>
                  </w:r>
                  <w:r>
                    <w:rPr>
                      <w:sz w:val="21"/>
                    </w:rPr>
                    <w:t>/原子荧光法</w:t>
                  </w:r>
                </w:p>
                <w:p>
                  <w:pPr>
                    <w:jc w:val="center"/>
                  </w:pPr>
                  <w:r>
                    <w:rPr>
                      <w:sz w:val="21"/>
                    </w:rPr>
                    <w:t>HJ 680-2013</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镉</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铜、锌、铅、镍、铬的测定火焰原子吸收分光光度法</w:t>
                  </w:r>
                </w:p>
                <w:p>
                  <w:pPr>
                    <w:jc w:val="center"/>
                  </w:pPr>
                  <w:r>
                    <w:rPr>
                      <w:sz w:val="21"/>
                    </w:rPr>
                    <w:t>HJ491-2019</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铜</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铜、锌、铅、镍、铬的测定火焰原子吸收分光光度法</w:t>
                  </w:r>
                </w:p>
                <w:p>
                  <w:pPr>
                    <w:jc w:val="center"/>
                  </w:pPr>
                  <w:r>
                    <w:rPr>
                      <w:sz w:val="21"/>
                    </w:rPr>
                    <w:t>HJ491-2019</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铅</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土壤质量</w:t>
                  </w:r>
                  <w:r>
                    <w:rPr>
                      <w:sz w:val="21"/>
                    </w:rPr>
                    <w:t>铅、镉的测定</w:t>
                  </w:r>
                </w:p>
                <w:p>
                  <w:pPr>
                    <w:jc w:val="center"/>
                  </w:pPr>
                  <w:r>
                    <w:rPr>
                      <w:sz w:val="21"/>
                    </w:rPr>
                    <w:t>石墨炉原子吸收分光光度法</w:t>
                  </w:r>
                </w:p>
                <w:p>
                  <w:pPr>
                    <w:jc w:val="center"/>
                  </w:pPr>
                  <w:r>
                    <w:rPr>
                      <w:sz w:val="21"/>
                    </w:rPr>
                    <w:t>GB/T 17141-1997</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汞</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汞、砷、硒、铋、锑的测定</w:t>
                  </w:r>
                  <w:r>
                    <w:rPr>
                      <w:sz w:val="21"/>
                    </w:rPr>
                    <w:t xml:space="preserve"> </w:t>
                  </w:r>
                  <w:r>
                    <w:rPr>
                      <w:sz w:val="21"/>
                    </w:rPr>
                    <w:t>微波消解</w:t>
                  </w:r>
                  <w:r>
                    <w:rPr>
                      <w:sz w:val="21"/>
                    </w:rPr>
                    <w:t>/原子荧光法</w:t>
                  </w:r>
                </w:p>
                <w:p>
                  <w:pPr>
                    <w:jc w:val="center"/>
                  </w:pPr>
                  <w:r>
                    <w:rPr>
                      <w:sz w:val="21"/>
                    </w:rPr>
                    <w:t>HJ 680-2013</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镍</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铜、锌、铅、镍、铬的测定火焰原子吸收分光光度法</w:t>
                  </w:r>
                </w:p>
                <w:p>
                  <w:pPr>
                    <w:jc w:val="center"/>
                  </w:pPr>
                  <w:r>
                    <w:rPr>
                      <w:sz w:val="21"/>
                    </w:rPr>
                    <w:t>HJ491-2019</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六价铬</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固体废物</w:t>
                  </w:r>
                  <w:r>
                    <w:rPr>
                      <w:sz w:val="21"/>
                    </w:rPr>
                    <w:t>六价铬的测定</w:t>
                  </w:r>
                </w:p>
                <w:p>
                  <w:pPr>
                    <w:jc w:val="center"/>
                  </w:pPr>
                  <w:r>
                    <w:rPr>
                      <w:sz w:val="21"/>
                    </w:rPr>
                    <w:t>碱消解火焰原子吸收分光光度法</w:t>
                  </w:r>
                  <w:r>
                    <w:rPr>
                      <w:sz w:val="21"/>
                    </w:rPr>
                    <w:t>HJ687-2014</w:t>
                  </w:r>
                </w:p>
              </w:tc>
            </w:tr>
            <w:tr>
              <w:tc>
                <w:tcPr>
                  <w:tcW w:type="dxa" w:w="740"/>
                  <w:vMerge/>
                  <w:tcBorders>
                    <w:top w:val="none" w:color="000000" w:sz="4"/>
                    <w:left w:val="single" w:color="000000" w:sz="4"/>
                    <w:bottom w:val="single" w:color="000000" w:sz="4"/>
                    <w:right w:val="single" w:color="000000" w:sz="4"/>
                  </w:tcBorders>
                </w:tcPr>
                <w:p/>
              </w:tc>
              <w:tc>
                <w:tcPr>
                  <w:tcW w:type="dxa" w:w="889"/>
                  <w:tcBorders>
                    <w:top w:val="none" w:color="000000" w:sz="4"/>
                    <w:left w:val="single" w:color="000000" w:sz="4"/>
                    <w:bottom w:val="single" w:color="000000" w:sz="4"/>
                    <w:right w:val="single" w:color="000000" w:sz="4"/>
                  </w:tcBorders>
                  <w:shd w:fill="FFFFFF"/>
                  <w:vAlign w:val="top"/>
                </w:tcPr>
                <w:p>
                  <w:pPr>
                    <w:jc w:val="center"/>
                  </w:pPr>
                  <w:r>
                    <w:rPr>
                      <w:sz w:val="21"/>
                    </w:rPr>
                    <w:t>挥发性有机物</w:t>
                  </w: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四氯化碳、氯仿、氯甲烷、</w:t>
                  </w:r>
                  <w:r>
                    <w:rPr>
                      <w:sz w:val="21"/>
                    </w:rPr>
                    <w:t>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挥发性有机物的测定</w:t>
                  </w:r>
                  <w:r>
                    <w:rPr>
                      <w:sz w:val="21"/>
                    </w:rPr>
                    <w:t>吹扫捕集</w:t>
                  </w:r>
                  <w:r>
                    <w:rPr>
                      <w:sz w:val="21"/>
                    </w:rPr>
                    <w:t>气相色谱</w:t>
                  </w:r>
                  <w:r>
                    <w:rPr>
                      <w:sz w:val="21"/>
                    </w:rPr>
                    <w:t>-质谱法</w:t>
                  </w:r>
                </w:p>
                <w:p>
                  <w:pPr>
                    <w:jc w:val="center"/>
                  </w:pPr>
                  <w:r>
                    <w:rPr>
                      <w:sz w:val="21"/>
                    </w:rPr>
                    <w:t>HJ 605-2011</w:t>
                  </w:r>
                </w:p>
              </w:tc>
            </w:tr>
            <w:tr>
              <w:tc>
                <w:tcPr>
                  <w:tcW w:type="dxa" w:w="740"/>
                  <w:vMerge/>
                  <w:tcBorders>
                    <w:top w:val="none" w:color="000000" w:sz="4"/>
                    <w:left w:val="single" w:color="000000" w:sz="4"/>
                    <w:bottom w:val="single" w:color="000000" w:sz="4"/>
                    <w:right w:val="single" w:color="000000" w:sz="4"/>
                  </w:tcBorders>
                </w:tcPr>
                <w:p/>
              </w:tc>
              <w:tc>
                <w:tcPr>
                  <w:tcW w:type="dxa" w:w="889"/>
                  <w:tcBorders>
                    <w:top w:val="none" w:color="000000" w:sz="4"/>
                    <w:left w:val="single" w:color="000000" w:sz="4"/>
                    <w:bottom w:val="single" w:color="000000" w:sz="4"/>
                    <w:right w:val="single" w:color="000000" w:sz="4"/>
                  </w:tcBorders>
                  <w:shd w:fill="FFFFFF"/>
                  <w:vAlign w:val="top"/>
                </w:tcPr>
                <w:p>
                  <w:pPr>
                    <w:jc w:val="center"/>
                  </w:pPr>
                  <w:r>
                    <w:rPr>
                      <w:sz w:val="21"/>
                    </w:rPr>
                    <w:t>半挥发性有机物</w:t>
                  </w: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硝基苯、苯胺、</w:t>
                  </w:r>
                  <w:r>
                    <w:rPr>
                      <w:sz w:val="21"/>
                    </w:rPr>
                    <w:t>2-氯酚、苯并[a]蒽、苯并[a]芘、苯并[b]荧蒽、苯并[k]荧蒽、䓛、二苯并[a,h]蒽、茚并[1,2,3-cd]芘、萘</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w:t>
                  </w:r>
                  <w:r>
                    <w:rPr>
                      <w:sz w:val="21"/>
                    </w:rPr>
                    <w:t>半挥发性有机物的测定</w:t>
                  </w:r>
                  <w:r>
                    <w:rPr>
                      <w:sz w:val="21"/>
                    </w:rPr>
                    <w:t>气相色谱</w:t>
                  </w:r>
                  <w:r>
                    <w:rPr>
                      <w:sz w:val="21"/>
                    </w:rPr>
                    <w:t>-质谱法 HJ 834-2017</w:t>
                  </w:r>
                </w:p>
              </w:tc>
            </w:tr>
            <w:tr>
              <w:tc>
                <w:tcPr>
                  <w:tcW w:type="dxa" w:w="740"/>
                  <w:vMerge/>
                  <w:tcBorders>
                    <w:top w:val="none" w:color="000000" w:sz="4"/>
                    <w:left w:val="single" w:color="000000" w:sz="4"/>
                    <w:bottom w:val="single" w:color="000000" w:sz="4"/>
                    <w:right w:val="single" w:color="000000" w:sz="4"/>
                  </w:tcBorders>
                </w:tcPr>
                <w:p/>
              </w:tc>
              <w:tc>
                <w:tcPr>
                  <w:tcW w:type="dxa" w:w="889"/>
                  <w:tcBorders>
                    <w:top w:val="none" w:color="000000" w:sz="4"/>
                    <w:left w:val="single" w:color="000000" w:sz="4"/>
                    <w:bottom w:val="single" w:color="000000" w:sz="4"/>
                    <w:right w:val="single" w:color="000000" w:sz="4"/>
                  </w:tcBorders>
                  <w:shd w:fill="FFFFFF"/>
                  <w:vAlign w:val="top"/>
                </w:tcPr>
                <w:p>
                  <w:pPr>
                    <w:jc w:val="center"/>
                  </w:pPr>
                  <w:r>
                    <w:rPr>
                      <w:sz w:val="21"/>
                    </w:rPr>
                    <w:t>石油烃</w:t>
                  </w: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石油烃</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土壤和沉积物石油烃</w:t>
                  </w:r>
                  <w:r>
                    <w:rPr>
                      <w:sz w:val="21"/>
                    </w:rPr>
                    <w:t>C10-C40的测定HJ1021-2019</w:t>
                  </w:r>
                </w:p>
              </w:tc>
            </w:tr>
            <w:tr>
              <w:tc>
                <w:tcPr>
                  <w:tcW w:type="dxa" w:w="740"/>
                  <w:vMerge w:val="restart"/>
                  <w:tcBorders>
                    <w:top w:val="none" w:color="000000" w:sz="4"/>
                    <w:left w:val="single" w:color="000000" w:sz="4"/>
                    <w:bottom w:val="single" w:color="000000" w:sz="4"/>
                    <w:right w:val="single" w:color="000000" w:sz="4"/>
                  </w:tcBorders>
                  <w:shd w:fill="FFFFFF"/>
                  <w:vAlign w:val="top"/>
                </w:tcPr>
                <w:p>
                  <w:pPr>
                    <w:jc w:val="center"/>
                  </w:pPr>
                  <w:r>
                    <w:rPr>
                      <w:sz w:val="21"/>
                    </w:rPr>
                    <w:t>地下水</w:t>
                  </w:r>
                </w:p>
              </w:tc>
              <w:tc>
                <w:tcPr>
                  <w:tcW w:type="dxa" w:w="889"/>
                  <w:vMerge w:val="restart"/>
                  <w:tcBorders>
                    <w:top w:val="none" w:color="000000" w:sz="4"/>
                    <w:left w:val="single" w:color="000000" w:sz="4"/>
                    <w:bottom w:val="single" w:color="000000" w:sz="4"/>
                    <w:right w:val="single" w:color="000000" w:sz="4"/>
                  </w:tcBorders>
                  <w:shd w:fill="FFFFFF"/>
                  <w:vAlign w:val="top"/>
                </w:tcPr>
                <w:p>
                  <w:pPr>
                    <w:jc w:val="center"/>
                  </w:p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浑浊度</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《水质</w:t>
                  </w:r>
                  <w:r>
                    <w:rPr>
                      <w:sz w:val="21"/>
                    </w:rPr>
                    <w:t>浊度的测定</w:t>
                  </w:r>
                  <w:r>
                    <w:rPr>
                      <w:sz w:val="21"/>
                    </w:rPr>
                    <w:t>浊度计法》</w:t>
                  </w:r>
                  <w:r>
                    <w:rPr>
                      <w:sz w:val="21"/>
                    </w:rPr>
                    <w:t>HJ 1075-2019</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pH值</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《水质</w:t>
                  </w:r>
                  <w:r>
                    <w:rPr>
                      <w:sz w:val="21"/>
                    </w:rPr>
                    <w:t>pH值的测定 电极法》HJ 1147-2020</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汞</w:t>
                  </w:r>
                </w:p>
              </w:tc>
              <w:tc>
                <w:tcPr>
                  <w:tcW w:type="dxa" w:w="2182"/>
                  <w:vMerge w:val="restart"/>
                  <w:tcBorders>
                    <w:top w:val="none" w:color="000000" w:sz="4"/>
                    <w:left w:val="single" w:color="000000" w:sz="4"/>
                    <w:bottom w:val="single" w:color="000000" w:sz="4"/>
                    <w:right w:val="single" w:color="000000" w:sz="4"/>
                  </w:tcBorders>
                  <w:shd w:fill="FFFFFF"/>
                  <w:vAlign w:val="top"/>
                </w:tcPr>
                <w:p>
                  <w:pPr>
                    <w:jc w:val="center"/>
                  </w:pPr>
                  <w:r>
                    <w:rPr>
                      <w:sz w:val="21"/>
                    </w:rPr>
                    <w:t>《水质</w:t>
                  </w:r>
                  <w:r>
                    <w:rPr>
                      <w:sz w:val="21"/>
                    </w:rPr>
                    <w:t>汞、砷、硒、铋和锑的测定</w:t>
                  </w:r>
                  <w:r>
                    <w:rPr>
                      <w:sz w:val="21"/>
                    </w:rPr>
                    <w:t>原子荧光法》</w:t>
                  </w:r>
                  <w:r>
                    <w:rPr>
                      <w:sz w:val="21"/>
                    </w:rPr>
                    <w:t>HJ 694-2014</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砷</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镍</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《生活饮用水标准检验方法</w:t>
                  </w:r>
                  <w:r>
                    <w:rPr>
                      <w:sz w:val="21"/>
                    </w:rPr>
                    <w:t>金属指标》</w:t>
                  </w:r>
                  <w:r>
                    <w:rPr>
                      <w:sz w:val="21"/>
                    </w:rPr>
                    <w:t>GB/T 5750.6-2006（15.1）无火焰原子吸收分光光度法</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镉</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《生活饮用水标准检验方法</w:t>
                  </w:r>
                  <w:r>
                    <w:rPr>
                      <w:sz w:val="21"/>
                    </w:rPr>
                    <w:t>金属指标》</w:t>
                  </w:r>
                  <w:r>
                    <w:rPr>
                      <w:sz w:val="21"/>
                    </w:rPr>
                    <w:t>GB/T 5750.6-2006（9.1）无火焰原子吸收分光光度法</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六价铬</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《生活饮用水标准检验方法</w:t>
                  </w:r>
                  <w:r>
                    <w:rPr>
                      <w:sz w:val="21"/>
                    </w:rPr>
                    <w:t>金属指标》</w:t>
                  </w:r>
                  <w:r>
                    <w:rPr>
                      <w:sz w:val="21"/>
                    </w:rPr>
                    <w:t>GB/T 5750.6-2006（10.1）二苯碳酰二肼分光光度法</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铜</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《生活饮用水标准检验方法</w:t>
                  </w:r>
                  <w:r>
                    <w:rPr>
                      <w:sz w:val="21"/>
                    </w:rPr>
                    <w:t>金属指标》</w:t>
                  </w:r>
                  <w:r>
                    <w:rPr>
                      <w:sz w:val="21"/>
                    </w:rPr>
                    <w:t>GB/T 5750.6-2006（4.1）无火焰原子吸收分光光度法</w:t>
                  </w:r>
                </w:p>
              </w:tc>
            </w:tr>
            <w:tr>
              <w:tc>
                <w:tcPr>
                  <w:tcW w:type="dxa" w:w="740"/>
                  <w:vMerge/>
                  <w:tcBorders>
                    <w:top w:val="none" w:color="000000" w:sz="4"/>
                    <w:left w:val="single" w:color="000000" w:sz="4"/>
                    <w:bottom w:val="single" w:color="000000" w:sz="4"/>
                    <w:right w:val="single" w:color="000000" w:sz="4"/>
                  </w:tcBorders>
                </w:tcPr>
                <w:p/>
              </w:tc>
              <w:tc>
                <w:tcPr>
                  <w:tcW w:type="dxa" w:w="889"/>
                  <w:vMerge/>
                  <w:tcBorders>
                    <w:top w:val="none" w:color="000000" w:sz="4"/>
                    <w:left w:val="single" w:color="000000" w:sz="4"/>
                    <w:bottom w:val="single" w:color="000000" w:sz="4"/>
                    <w:right w:val="single" w:color="000000" w:sz="4"/>
                  </w:tcBorders>
                </w:tcPr>
                <w:p/>
              </w:tc>
              <w:tc>
                <w:tcPr>
                  <w:tcW w:type="dxa" w:w="1787"/>
                  <w:tcBorders>
                    <w:top w:val="none" w:color="000000" w:sz="4"/>
                    <w:left w:val="single" w:color="000000" w:sz="4"/>
                    <w:bottom w:val="single" w:color="000000" w:sz="4"/>
                    <w:right w:val="single" w:color="000000" w:sz="4"/>
                  </w:tcBorders>
                  <w:shd w:fill="FFFFFF"/>
                  <w:vAlign w:val="top"/>
                </w:tcPr>
                <w:p>
                  <w:pPr>
                    <w:jc w:val="center"/>
                  </w:pPr>
                  <w:r>
                    <w:rPr>
                      <w:sz w:val="21"/>
                    </w:rPr>
                    <w:t>铅</w:t>
                  </w:r>
                </w:p>
              </w:tc>
              <w:tc>
                <w:tcPr>
                  <w:tcW w:type="dxa" w:w="2182"/>
                  <w:tcBorders>
                    <w:top w:val="none" w:color="000000" w:sz="4"/>
                    <w:left w:val="single" w:color="000000" w:sz="4"/>
                    <w:bottom w:val="single" w:color="000000" w:sz="4"/>
                    <w:right w:val="single" w:color="000000" w:sz="4"/>
                  </w:tcBorders>
                  <w:shd w:fill="FFFFFF"/>
                  <w:vAlign w:val="top"/>
                </w:tcPr>
                <w:p>
                  <w:pPr>
                    <w:jc w:val="center"/>
                  </w:pPr>
                  <w:r>
                    <w:rPr>
                      <w:sz w:val="21"/>
                    </w:rPr>
                    <w:t>《生活饮用水标准检验方法</w:t>
                  </w:r>
                  <w:r>
                    <w:rPr>
                      <w:sz w:val="21"/>
                    </w:rPr>
                    <w:t>金属指标》</w:t>
                  </w:r>
                  <w:r>
                    <w:rPr>
                      <w:sz w:val="21"/>
                    </w:rPr>
                    <w:t>GB/T 5750.6-2006（11.1）无火焰原子吸收分光光度法</w:t>
                  </w:r>
                </w:p>
              </w:tc>
            </w:tr>
          </w:tbl>
          <w:p>
            <w:pPr>
              <w:ind w:firstLine="422"/>
              <w:jc w:val="left"/>
            </w:pPr>
            <w:r>
              <w:rPr>
                <w:b/>
                <w:sz w:val="21"/>
              </w:rPr>
              <w:t>四</w:t>
            </w:r>
            <w:r>
              <w:rPr>
                <w:b/>
                <w:sz w:val="21"/>
              </w:rPr>
              <w:t>、项目成果要求</w:t>
            </w:r>
          </w:p>
          <w:p>
            <w:pPr>
              <w:ind w:firstLine="420"/>
            </w:pPr>
            <w:r>
              <w:rPr>
                <w:sz w:val="21"/>
              </w:rPr>
              <w:t>调查工作完成后，供应商应以电子版和书面方式提交相关工作成果，包括报告书、附件材料等。</w:t>
            </w:r>
          </w:p>
          <w:p>
            <w:pPr>
              <w:ind w:firstLine="420"/>
            </w:pPr>
            <w:r>
              <w:rPr>
                <w:sz w:val="21"/>
              </w:rPr>
              <w:t>（一）土壤环境状况初步调查报告书等；</w:t>
            </w:r>
          </w:p>
          <w:p>
            <w:pPr>
              <w:ind w:firstLine="420"/>
            </w:pPr>
            <w:r>
              <w:rPr>
                <w:sz w:val="21"/>
              </w:rPr>
              <w:t>（二）附件材料应包括相关历史记录、现场状况及工作过程照片、钻孔柱状图、建井记录、洗井记录、原始采样记录、现场工作记录、实验室检测报告、专家咨询意见等；</w:t>
            </w:r>
          </w:p>
          <w:p>
            <w:pPr>
              <w:ind w:firstLine="420"/>
            </w:pPr>
            <w:r>
              <w:rPr>
                <w:sz w:val="21"/>
              </w:rPr>
              <w:t>（三）编制报告要求：符合编制规范并满足专家组评审要求及有关部门的审查。</w:t>
            </w:r>
          </w:p>
          <w:p>
            <w:pPr>
              <w:ind w:firstLine="422"/>
              <w:jc w:val="left"/>
            </w:pPr>
            <w:r>
              <w:rPr>
                <w:b/>
                <w:sz w:val="21"/>
              </w:rPr>
              <w:t>五</w:t>
            </w:r>
            <w:r>
              <w:rPr>
                <w:b/>
                <w:sz w:val="21"/>
              </w:rPr>
              <w:t>、知识产权要求</w:t>
            </w:r>
          </w:p>
          <w:p>
            <w:pPr>
              <w:ind w:firstLine="420"/>
            </w:pPr>
            <w:r>
              <w:rPr>
                <w:sz w:val="21"/>
              </w:rPr>
              <w:t xml:space="preserve"> </w:t>
            </w:r>
            <w:r>
              <w:rPr>
                <w:sz w:val="21"/>
              </w:rPr>
              <w:t>1、供应商根据采购人要求编制完成的工作成果，其著作权归采购人所有。未经采购人事先书面许可，供应商不得将任何形式的版权转让给第三方。</w:t>
            </w:r>
          </w:p>
          <w:p>
            <w:pPr>
              <w:ind w:firstLine="420"/>
            </w:pPr>
            <w:r>
              <w:rPr>
                <w:sz w:val="21"/>
              </w:rPr>
              <w:t>2、供应商应承诺提供的成果中无版权上的瑕疵或争议，若因上述原因引起的第三方追诉，采购人概不负责，供应商承担由此引起的全部责任，并赔偿因此给采购人带来的全部损失。</w:t>
            </w:r>
          </w:p>
          <w:p>
            <w:pPr>
              <w:ind w:firstLine="420"/>
            </w:pPr>
            <w:r>
              <w:rPr>
                <w:sz w:val="21"/>
              </w:rPr>
              <w:t>3、采购人提供的资料文件，供应商具有保密义务。</w:t>
            </w:r>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1.采购代理机构：本项目是指广东政通招标有限公司，负责整个采购活动的组织，依法负责编制和发布磋商文件，对磋商文件拥有最终的解释权，不以任何身份出任磋商小组成员。</w:t>
      </w:r>
    </w:p>
    <w:p>
      <w:pPr>
        <w:ind w:firstLine="480"/>
      </w:pPr>
      <w:r>
        <w:rPr/>
        <w:t>2.采购人：本项目是指</w:t>
      </w:r>
      <w:r>
        <w:rPr/>
        <w:t>东莞市横沥镇规划管理所</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薛逸凡</w:t>
      </w:r>
    </w:p>
    <w:p>
      <w:pPr>
        <w:ind w:firstLine="480"/>
      </w:pPr>
      <w:r>
        <w:rPr/>
        <w:t>电话：</w:t>
      </w:r>
      <w:r>
        <w:rPr/>
        <w:t>0769-22881803</w:t>
      </w:r>
    </w:p>
    <w:p>
      <w:pPr>
        <w:ind w:firstLine="480"/>
      </w:pPr>
      <w:r>
        <w:rPr/>
        <w:t>传真：</w:t>
      </w:r>
      <w:r>
        <w:rPr/>
        <w:t>0769-22881803</w:t>
      </w:r>
    </w:p>
    <w:p>
      <w:pPr>
        <w:ind w:firstLine="480"/>
      </w:pPr>
      <w:r>
        <w:rPr/>
        <w:t>邮箱：</w:t>
      </w:r>
      <w:r>
        <w:rPr/>
        <w:t>839460116@qq.com</w:t>
      </w:r>
    </w:p>
    <w:p>
      <w:pPr>
        <w:ind w:firstLine="480"/>
      </w:pPr>
      <w:r>
        <w:rPr/>
        <w:t>地址：</w:t>
      </w:r>
      <w:r>
        <w:rPr/>
        <w:t>东莞市南城街道鸿福路199号（市民服务中心）411室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横沥镇水边村育才路地块土壤污染状况初步调查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广东政通招标有限公司</w:t>
      </w:r>
      <w:r>
        <w:rPr/>
        <w:t>统一对外发布。</w:t>
      </w:r>
    </w:p>
    <w:p>
      <w:pPr>
        <w:ind w:firstLine="480"/>
      </w:pPr>
      <w:r>
        <w:rPr/>
        <w:t>（2）对</w:t>
      </w:r>
      <w:r>
        <w:rPr/>
        <w:t>广东政通招标有限公司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采购包1（横沥镇水边村育才路地块土壤污染状况初步调查项目）：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采购包1（横沥镇水边村育才路地块土壤污染状况初步调查项目）：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本项目不属于专门面向中小企业的采购项目。</w:t>
            </w:r>
          </w:p>
        </w:tc>
      </w:tr>
    </w:tbl>
    <w:p/>
    <w:p>
      <w:pPr>
        <w:ind w:firstLine="480"/>
      </w:pPr>
      <w:r>
        <w:rPr/>
        <w:t>表二符合性审查表：</w:t>
      </w:r>
    </w:p>
    <w:p>
      <w:pPr>
        <w:ind w:firstLine="480"/>
      </w:pPr>
    </w:p>
    <w:p/>
    <w:p>
      <w:r>
        <w:rPr/>
        <w:t>采购包1（横沥镇水边村育才路地块土壤污染状况初步调查项目）：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响应文件内容、签署、盖章</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响应报价</w:t>
            </w:r>
          </w:p>
        </w:tc>
        <w:tc>
          <w:tcPr>
            <w:tcW w:type="dxa" w:w="4238"/>
          </w:tcPr>
          <w:p>
            <w:r>
              <w:rPr/>
              <w:t>供应商的响应报价无超出项目预算金额。</w:t>
            </w:r>
          </w:p>
        </w:tc>
      </w:tr>
      <w:tr>
        <w:tc>
          <w:tcPr>
            <w:tcW w:type="dxa" w:w="890"/>
          </w:tcPr>
          <w:p>
            <w:r>
              <w:rPr/>
              <w:t>5</w:t>
            </w:r>
          </w:p>
        </w:tc>
        <w:tc>
          <w:tcPr>
            <w:tcW w:type="dxa" w:w="3178"/>
          </w:tcPr>
          <w:p>
            <w:r>
              <w:rPr/>
              <w:t>商务审查</w:t>
            </w:r>
          </w:p>
        </w:tc>
        <w:tc>
          <w:tcPr>
            <w:tcW w:type="dxa" w:w="4238"/>
          </w:tcPr>
          <w:p>
            <w:r>
              <w:rPr/>
              <w:t>商务条款满足磋商文件要求。</w:t>
            </w:r>
          </w:p>
        </w:tc>
      </w:tr>
      <w:tr>
        <w:tc>
          <w:tcPr>
            <w:tcW w:type="dxa" w:w="890"/>
          </w:tcPr>
          <w:p>
            <w:r>
              <w:rPr/>
              <w:t>6</w:t>
            </w:r>
          </w:p>
        </w:tc>
        <w:tc>
          <w:tcPr>
            <w:tcW w:type="dxa" w:w="3178"/>
          </w:tcPr>
          <w:p>
            <w:r>
              <w:rPr/>
              <w:t>技术审查</w:t>
            </w:r>
          </w:p>
        </w:tc>
        <w:tc>
          <w:tcPr>
            <w:tcW w:type="dxa" w:w="4238"/>
          </w:tcPr>
          <w:p>
            <w:r>
              <w:rPr/>
              <w:t>技术条款满足磋商文件要求。</w:t>
            </w:r>
          </w:p>
        </w:tc>
      </w:tr>
      <w:tr>
        <w:tc>
          <w:tcPr>
            <w:tcW w:type="dxa" w:w="890"/>
          </w:tcPr>
          <w:p>
            <w:r>
              <w:rPr/>
              <w:t>7</w:t>
            </w:r>
          </w:p>
        </w:tc>
        <w:tc>
          <w:tcPr>
            <w:tcW w:type="dxa" w:w="3178"/>
          </w:tcPr>
          <w:p>
            <w:r>
              <w:rPr/>
              <w:t>附加条件</w:t>
            </w:r>
          </w:p>
        </w:tc>
        <w:tc>
          <w:tcPr>
            <w:tcW w:type="dxa" w:w="4238"/>
          </w:tcPr>
          <w:p>
            <w:r>
              <w:rPr/>
              <w:t>响应文件未含有采购人不能接受的附加条件。</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采购包1(横沥镇水边村育才路地块土壤污染状况初步调查项目):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对本项目用户需求书理解程度 (10.0分)</w:t>
            </w:r>
            <w:r>
              <w:rPr/>
              <w:t>，（等次分值选择：</w:t>
            </w:r>
            <w:r>
              <w:rPr/>
              <w:t>0.0;</w:t>
            </w:r>
            <w:r>
              <w:rPr/>
              <w:t>1.0;</w:t>
            </w:r>
            <w:r>
              <w:rPr/>
              <w:t>4.0;</w:t>
            </w:r>
            <w:r>
              <w:rPr/>
              <w:t>7.0;</w:t>
            </w:r>
            <w:r>
              <w:rPr/>
              <w:t>10.0;</w:t>
            </w:r>
            <w:r>
              <w:rPr/>
              <w:t>）</w:t>
            </w:r>
          </w:p>
        </w:tc>
        <w:tc>
          <w:tcPr>
            <w:tcW w:type="dxa" w:w="5076"/>
          </w:tcPr>
          <w:p>
            <w:pPr>
              <w:jc w:val="left"/>
            </w:pPr>
            <w:r>
              <w:rPr/>
              <w:t>根据供应商对本项目用户需求的理解程度，重点难点的分析进行评审： （1）对磋商文件用户需求理解非常透彻，对项目重点难点的理解十分到位，提出的重点难点有利于项目实施，完全满足或优于采购需求的，得10分； （2）对磋商文件用户需求理解比较透彻，符合项目实际情况，对项目重点难点的理解分析比较到位，提出的重点难点利于项目实施，满足采购需求的，得7分； （3）对磋商文件用户需求理解基本符合项目实际情况，对项目重点难点的理解分析基本到位，基本符合采购需求的，得4分； （4）对磋商文件用户需求理解不太符合项目实际情况，对项目重点难点的理解分析不够到位，不太符合采购需求的，得1分； （5）未提供对应方案不得分。</w:t>
            </w:r>
          </w:p>
        </w:tc>
      </w:tr>
      <w:tr>
        <w:tc>
          <w:tcPr>
            <w:tcW w:type="dxa" w:w="922"/>
            <w:gridSpan w:val="2"/>
            <w:vMerge/>
          </w:tcPr>
          <w:p/>
        </w:tc>
        <w:tc>
          <w:tcPr>
            <w:tcW w:type="dxa" w:w="2307"/>
          </w:tcPr>
          <w:p>
            <w:pPr>
              <w:jc w:val="left"/>
            </w:pPr>
            <w:r>
              <w:rPr/>
              <w:t>项目实施方案 (15.0分)</w:t>
            </w:r>
            <w:r>
              <w:rPr/>
              <w:t>，（等次分值选择：</w:t>
            </w:r>
            <w:r>
              <w:rPr/>
              <w:t>0.0;</w:t>
            </w:r>
            <w:r>
              <w:rPr/>
              <w:t>3.0;</w:t>
            </w:r>
            <w:r>
              <w:rPr/>
              <w:t>7.0;</w:t>
            </w:r>
            <w:r>
              <w:rPr/>
              <w:t>11.0;</w:t>
            </w:r>
            <w:r>
              <w:rPr/>
              <w:t>15.0;</w:t>
            </w:r>
            <w:r>
              <w:rPr/>
              <w:t>）</w:t>
            </w:r>
          </w:p>
        </w:tc>
        <w:tc>
          <w:tcPr>
            <w:tcW w:type="dxa" w:w="5076"/>
          </w:tcPr>
          <w:p>
            <w:pPr>
              <w:jc w:val="left"/>
            </w:pPr>
            <w:r>
              <w:rPr/>
              <w:t>根据供应商对项目的项目思路、技术路线、主要工作内容等进行评审： （1）对项目思路、技术路线、主要工作内容等有非常详细分析并阐述的，得15分； （2）对项目思路、技术路线、主要工作内容等有详细进行分析并阐述的，得11分； （3）对项目思路、技术路线、主要工作内容等有进行分析并阐述的，得7分； （4）对项目思路、技术路线、主要工作内容等有分析但阐述不太到位的，得3分。 （5）未提供对应方案不得分。</w:t>
            </w:r>
          </w:p>
        </w:tc>
      </w:tr>
      <w:tr>
        <w:tc>
          <w:tcPr>
            <w:tcW w:type="dxa" w:w="922"/>
            <w:gridSpan w:val="2"/>
            <w:vMerge/>
          </w:tcPr>
          <w:p/>
        </w:tc>
        <w:tc>
          <w:tcPr>
            <w:tcW w:type="dxa" w:w="2307"/>
          </w:tcPr>
          <w:p>
            <w:pPr>
              <w:jc w:val="left"/>
            </w:pPr>
            <w:r>
              <w:rPr/>
              <w:t>人员及设备配置方案 (10.0分)</w:t>
            </w:r>
            <w:r>
              <w:rPr/>
              <w:t>，（等次分值选择：</w:t>
            </w:r>
            <w:r>
              <w:rPr/>
              <w:t>0.0;</w:t>
            </w:r>
            <w:r>
              <w:rPr/>
              <w:t>1.0;</w:t>
            </w:r>
            <w:r>
              <w:rPr/>
              <w:t>4.0;</w:t>
            </w:r>
            <w:r>
              <w:rPr/>
              <w:t>7.0;</w:t>
            </w:r>
            <w:r>
              <w:rPr/>
              <w:t>10.0;</w:t>
            </w:r>
            <w:r>
              <w:rPr/>
              <w:t>）</w:t>
            </w:r>
          </w:p>
        </w:tc>
        <w:tc>
          <w:tcPr>
            <w:tcW w:type="dxa" w:w="5076"/>
          </w:tcPr>
          <w:p>
            <w:pPr>
              <w:jc w:val="left"/>
            </w:pPr>
            <w:r>
              <w:rPr/>
              <w:t>根据供应商拟投入本项目的人员及设备配置方案进行评审： （1）人员配备非常周到、岗位设置合理，设备配置方案相对齐全，完全满足或优于项目实际需求的得10分； （2）人员配备比较周到、岗位设置较为合理，设备配置方案较为齐全，完全满足项目实际需求的得7分； （3）人员配备基本周到、岗位设置基本合理，设备配置方案基本齐全，能满足项目实际需求的得4分； （4）人员配备方案一般、岗位设置一般，设备配置方案一般，大致满足项目实际需求的得1分； （5）未提供对应方案不得分。</w:t>
            </w:r>
          </w:p>
        </w:tc>
      </w:tr>
      <w:tr>
        <w:tc>
          <w:tcPr>
            <w:tcW w:type="dxa" w:w="922"/>
            <w:gridSpan w:val="2"/>
            <w:vMerge/>
          </w:tcPr>
          <w:p/>
        </w:tc>
        <w:tc>
          <w:tcPr>
            <w:tcW w:type="dxa" w:w="2307"/>
          </w:tcPr>
          <w:p>
            <w:pPr>
              <w:jc w:val="left"/>
            </w:pPr>
            <w:r>
              <w:rPr/>
              <w:t>安全文明措施 (10.0分)</w:t>
            </w:r>
            <w:r>
              <w:rPr/>
              <w:t>，（等次分值选择：</w:t>
            </w:r>
            <w:r>
              <w:rPr/>
              <w:t>0.0;</w:t>
            </w:r>
            <w:r>
              <w:rPr/>
              <w:t>1.0;</w:t>
            </w:r>
            <w:r>
              <w:rPr/>
              <w:t>4.0;</w:t>
            </w:r>
            <w:r>
              <w:rPr/>
              <w:t>7.0;</w:t>
            </w:r>
            <w:r>
              <w:rPr/>
              <w:t>10.0;</w:t>
            </w:r>
            <w:r>
              <w:rPr/>
              <w:t>）</w:t>
            </w:r>
          </w:p>
        </w:tc>
        <w:tc>
          <w:tcPr>
            <w:tcW w:type="dxa" w:w="5076"/>
          </w:tcPr>
          <w:p>
            <w:pPr>
              <w:jc w:val="left"/>
            </w:pPr>
            <w:r>
              <w:rPr/>
              <w:t>根据供应商所提供安全文明措施进行评审： （1）安全措施非常到位、安全设施齐全，制度完善，文明措施建立实施的，得10分； （2）安全措施比较到位、安全设施齐全，制度完善，文明措施建立实施的，得7分； （3）安全措施基本到位、安全设施基本齐全，制度基本完善、文明措施建立实施的，得4分； （4）安全措施不到位、安全设施不齐全，制度不完善的，得1分； （5）未提供对应方案不得分。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根据供应商提供的调查过程中的质量保证措施进行评审： （1）质量保证措施非常切实可行、完全满足或优于项目实际的，得10分； （2）质量保证措施比较切实可行、较好满足项目实际的，得7分； （3）质量保证措施基本切实可行、基本满足项目实际的，得4分； （4）质量保证措施基本不太可行、不太满足项目实际的，得1分； （5）未提供对应方案不得分。</w:t>
            </w:r>
          </w:p>
        </w:tc>
      </w:tr>
      <w:tr>
        <w:tc>
          <w:tcPr>
            <w:tcW w:type="dxa" w:w="922"/>
            <w:gridSpan w:val="2"/>
            <w:vMerge/>
          </w:tcPr>
          <w:p/>
        </w:tc>
        <w:tc>
          <w:tcPr>
            <w:tcW w:type="dxa" w:w="2307"/>
          </w:tcPr>
          <w:p>
            <w:pPr>
              <w:jc w:val="left"/>
            </w:pPr>
            <w:r>
              <w:rPr/>
              <w:t>进度计划、保障措施及服务承诺 (10.0分)</w:t>
            </w:r>
            <w:r>
              <w:rPr/>
              <w:t>，（等次分值选择：</w:t>
            </w:r>
            <w:r>
              <w:rPr/>
              <w:t>0.0;</w:t>
            </w:r>
            <w:r>
              <w:rPr/>
              <w:t>1.0;</w:t>
            </w:r>
            <w:r>
              <w:rPr/>
              <w:t>4.0;</w:t>
            </w:r>
            <w:r>
              <w:rPr/>
              <w:t>7.0;</w:t>
            </w:r>
            <w:r>
              <w:rPr/>
              <w:t>10.0;</w:t>
            </w:r>
            <w:r>
              <w:rPr/>
              <w:t>）</w:t>
            </w:r>
          </w:p>
        </w:tc>
        <w:tc>
          <w:tcPr>
            <w:tcW w:type="dxa" w:w="5076"/>
          </w:tcPr>
          <w:p>
            <w:pPr>
              <w:jc w:val="left"/>
            </w:pPr>
            <w:r>
              <w:rPr/>
              <w:t>根据供应商制定的进度计划、保障措施及服务承诺等进行评审： （1）进度计划、保障措施及服务承诺非常完整，实施方法可行性非常强的，得10分 （2）进度计划、保障措施及服务承诺完整，实施方法可行的，得7分； （3）进度计划、保障措施及服务承诺基本完整，实施方法基本可行的，得4分； （4）进度计划、保障措施及服务承诺不够完整，实施方法不够妥当的，得1分； （5）未提供对应方案不得分。</w:t>
            </w:r>
          </w:p>
        </w:tc>
      </w:tr>
      <w:tr>
        <w:tc>
          <w:tcPr>
            <w:tcW w:type="dxa" w:w="922"/>
            <w:gridSpan w:val="2"/>
            <w:vMerge w:val="restart"/>
          </w:tcPr>
          <w:p>
            <w:pPr>
              <w:jc w:val="center"/>
            </w:pPr>
            <w:r>
              <w:rPr/>
              <w:t>商务部分</w:t>
            </w:r>
          </w:p>
        </w:tc>
        <w:tc>
          <w:tcPr>
            <w:tcW w:type="dxa" w:w="2307"/>
          </w:tcPr>
          <w:p>
            <w:pPr>
              <w:jc w:val="left"/>
            </w:pPr>
            <w:r>
              <w:rPr/>
              <w:t>企业认证 (3.0分)</w:t>
            </w:r>
          </w:p>
        </w:tc>
        <w:tc>
          <w:tcPr>
            <w:tcW w:type="dxa" w:w="5076"/>
          </w:tcPr>
          <w:p>
            <w:pPr>
              <w:jc w:val="left"/>
            </w:pPr>
            <w:r>
              <w:rPr/>
              <w:t>供应商具有国家认证认可监督管理部门批准设立的认证机构颁发的有效期内的： （1）质量管理体系认证证书； （2）职业健康安全管理体系认证证书； （3）环境管理体系认证证书。 每提供一个证书得1分，最高得3分。 注：须提供有效证书复印件并加盖供应商公章。</w:t>
            </w:r>
          </w:p>
        </w:tc>
      </w:tr>
      <w:tr>
        <w:tc>
          <w:tcPr>
            <w:tcW w:type="dxa" w:w="922"/>
            <w:gridSpan w:val="2"/>
            <w:vMerge/>
          </w:tcPr>
          <w:p/>
        </w:tc>
        <w:tc>
          <w:tcPr>
            <w:tcW w:type="dxa" w:w="2307"/>
          </w:tcPr>
          <w:p>
            <w:pPr>
              <w:jc w:val="left"/>
            </w:pPr>
            <w:r>
              <w:rPr/>
              <w:t>业绩情况 (12.0分)</w:t>
            </w:r>
          </w:p>
        </w:tc>
        <w:tc>
          <w:tcPr>
            <w:tcW w:type="dxa" w:w="5076"/>
          </w:tcPr>
          <w:p>
            <w:pPr>
              <w:jc w:val="left"/>
            </w:pPr>
            <w:r>
              <w:rPr/>
              <w:t>根据供应商提供的土壤调查或检测类项目业绩进行评审，每提供一个得3分；本项最高得12分。 注：须提供合同复印件并加盖供应商公章。</w:t>
            </w:r>
          </w:p>
        </w:tc>
      </w:tr>
      <w:tr>
        <w:tc>
          <w:tcPr>
            <w:tcW w:type="dxa" w:w="922"/>
            <w:gridSpan w:val="2"/>
            <w:vMerge/>
          </w:tcPr>
          <w:p/>
        </w:tc>
        <w:tc>
          <w:tcPr>
            <w:tcW w:type="dxa" w:w="2307"/>
          </w:tcPr>
          <w:p>
            <w:pPr>
              <w:jc w:val="left"/>
            </w:pPr>
            <w:r>
              <w:rPr/>
              <w:t>项目团队技术力量 (10.0分)</w:t>
            </w:r>
          </w:p>
        </w:tc>
        <w:tc>
          <w:tcPr>
            <w:tcW w:type="dxa" w:w="5076"/>
          </w:tcPr>
          <w:p>
            <w:pPr>
              <w:jc w:val="left"/>
            </w:pPr>
            <w:r>
              <w:rPr/>
              <w:t>拟投入人员具有高级（或以上）职称证书（环境类或土壤类或化工类或水文地质类专业）或注册环保工程师或注册环评工程师证书的，每提供一人得2分；拟投入人员具有中级职称证书（环境类或土壤类或化工类或水文地质类专业）的，每提供一人得1分；本项最高得10分。 注：上述人员不重复计算，提供上述人员相关证书复印件并加盖供应商公章。</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441900014-2023-00282</w:t>
      </w:r>
    </w:p>
    <w:p>
      <w:pPr>
        <w:jc w:val="center"/>
      </w:pPr>
      <w:r>
        <w:rPr>
          <w:b/>
          <w:sz w:val="24"/>
        </w:rPr>
        <w:t>采购项目编号：</w:t>
      </w:r>
      <w:r>
        <w:rPr>
          <w:b/>
          <w:sz w:val="24"/>
        </w:rPr>
        <w:t>441900014-2023-00282</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广东政通招标有限公司</w:t>
      </w:r>
    </w:p>
    <w:p>
      <w:pPr>
        <w:ind w:firstLine="480"/>
      </w:pPr>
      <w:r>
        <w:rPr/>
        <w:t>你方组织的</w:t>
      </w:r>
      <w:r>
        <w:rPr>
          <w:u w:val="single"/>
        </w:rPr>
        <w:t>“</w:t>
      </w:r>
      <w:r>
        <w:rPr>
          <w:u w:val="single"/>
        </w:rPr>
        <w:t>横沥镇水边村育才路地块土壤污染状况初步调查项目</w:t>
      </w:r>
      <w:r>
        <w:rPr>
          <w:u w:val="single"/>
        </w:rPr>
        <w:t>”</w:t>
      </w:r>
      <w:r>
        <w:rPr/>
        <w:t>项目的竞争性磋商[采购项目编号为：</w:t>
      </w:r>
      <w:r>
        <w:rPr>
          <w:u w:val="single"/>
        </w:rPr>
        <w:t>441900014-2023-00282</w:t>
      </w:r>
      <w:r>
        <w:rPr/>
        <w:t>]，我方愿参与响应。</w:t>
      </w:r>
    </w:p>
    <w:p>
      <w:pPr>
        <w:ind w:firstLine="480"/>
      </w:pPr>
      <w:r>
        <w:rPr/>
        <w:t>我方确认收到贵方提供的</w:t>
      </w:r>
      <w:r>
        <w:rPr>
          <w:u w:val="single"/>
        </w:rPr>
        <w:t>“</w:t>
      </w:r>
      <w:r>
        <w:rPr>
          <w:u w:val="single"/>
        </w:rPr>
        <w:t>横沥镇水边村育才路地块土壤污染状况初步调查项目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横沥镇水边村育才路地块土壤污染状况初步调查项目</w:t>
      </w:r>
      <w:r>
        <w:rPr/>
        <w:t>”项目采购[采购项目编号为</w:t>
      </w:r>
      <w:r>
        <w:rPr/>
        <w:t>441900014-2023-00282</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东莞市横沥镇规划管理所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广东政通招标有限公司</w:t>
      </w:r>
    </w:p>
    <w:p>
      <w:pPr>
        <w:ind w:firstLine="480"/>
      </w:pPr>
      <w:r>
        <w:rPr/>
        <w:t>我单位参加贵公司组织的</w:t>
      </w:r>
      <w:r>
        <w:rPr/>
        <w:t>横沥镇水边村育才路地块土壤污染状况初步调查项目</w:t>
      </w:r>
      <w:r>
        <w:rPr/>
        <w:t>（采购项目编号：</w:t>
      </w:r>
      <w:r>
        <w:rPr/>
        <w:t>441900014-2023-00282</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横沥镇水边村育才路地块土壤污染状况初步调查项目</w:t>
      </w:r>
      <w:r>
        <w:rPr/>
        <w:t>”项目（采购项目编号：</w:t>
      </w:r>
      <w:r>
        <w:rPr/>
        <w:t>441900014-2023-00282</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