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14" name="图片 1"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QQ截图20200603163454"/>
                    <pic:cNvPicPr>
                      <a:picLocks noChangeAspect="1"/>
                    </pic:cNvPicPr>
                  </pic:nvPicPr>
                  <pic:blipFill>
                    <a:blip r:embed="rId10"/>
                    <a:srcRect l="6233" t="18358" r="67326" b="19339"/>
                    <a:stretch>
                      <a:fillRect/>
                    </a:stretch>
                  </pic:blipFill>
                  <pic:spPr>
                    <a:xfrm>
                      <a:off x="0" y="0"/>
                      <a:ext cx="682625" cy="652145"/>
                    </a:xfrm>
                    <a:prstGeom prst="rect">
                      <a:avLst/>
                    </a:prstGeom>
                    <a:noFill/>
                    <a:ln>
                      <a:noFill/>
                    </a:ln>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default" w:ascii="黑体" w:hAnsi="黑体" w:eastAsia="黑体" w:cs="黑体"/>
          <w:b w:val="0"/>
          <w:bCs/>
          <w:color w:val="auto"/>
          <w:spacing w:val="57"/>
          <w:sz w:val="72"/>
          <w:szCs w:val="72"/>
          <w:highlight w:val="none"/>
          <w:lang w:val="en-US" w:eastAsia="zh-CN"/>
        </w:rPr>
      </w:pPr>
      <w:r>
        <w:rPr>
          <w:rFonts w:hint="eastAsia" w:ascii="黑体" w:hAnsi="黑体" w:eastAsia="黑体" w:cs="黑体"/>
          <w:b w:val="0"/>
          <w:bCs/>
          <w:color w:val="auto"/>
          <w:spacing w:val="57"/>
          <w:sz w:val="72"/>
          <w:szCs w:val="72"/>
          <w:highlight w:val="none"/>
          <w:lang w:val="en-US" w:eastAsia="zh-CN"/>
        </w:rPr>
        <w:t>竞争性谈判文件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lang w:val="en-US" w:eastAsia="zh-CN"/>
        </w:rPr>
        <w:t>国内</w:t>
      </w:r>
      <w:r>
        <w:rPr>
          <w:rFonts w:hint="eastAsia" w:ascii="黑体" w:hAnsi="黑体" w:eastAsia="黑体" w:cs="黑体"/>
          <w:b w:val="0"/>
          <w:bCs/>
          <w:color w:val="auto"/>
          <w:spacing w:val="57"/>
          <w:sz w:val="72"/>
          <w:szCs w:val="72"/>
          <w:highlight w:val="none"/>
        </w:rPr>
        <w:t>采购</w:t>
      </w:r>
    </w:p>
    <w:p>
      <w:pPr>
        <w:jc w:val="center"/>
        <w:rPr>
          <w:color w:val="auto"/>
          <w:highlight w:val="none"/>
        </w:rPr>
      </w:pPr>
    </w:p>
    <w:p>
      <w:pPr>
        <w:rPr>
          <w:color w:val="auto"/>
          <w:highlight w:val="none"/>
        </w:rPr>
      </w:pPr>
    </w:p>
    <w:tbl>
      <w:tblPr>
        <w:tblStyle w:val="1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kern w:val="2"/>
                <w:sz w:val="32"/>
                <w:szCs w:val="24"/>
                <w:highlight w:val="none"/>
              </w:rPr>
            </w:pPr>
            <w:r>
              <w:rPr>
                <w:rFonts w:hint="eastAsia" w:ascii="黑体" w:hAnsi="黑体" w:eastAsia="黑体" w:cs="黑体"/>
                <w:bCs/>
                <w:color w:val="auto"/>
                <w:kern w:val="2"/>
                <w:sz w:val="32"/>
                <w:szCs w:val="24"/>
                <w:highlight w:val="none"/>
              </w:rPr>
              <w:t>项目名称：</w:t>
            </w:r>
          </w:p>
        </w:tc>
        <w:tc>
          <w:tcPr>
            <w:tcW w:w="6203" w:type="dxa"/>
            <w:noWrap/>
            <w:vAlign w:val="center"/>
          </w:tcPr>
          <w:p>
            <w:pPr>
              <w:spacing w:before="200"/>
              <w:jc w:val="both"/>
              <w:rPr>
                <w:rFonts w:hint="eastAsia" w:ascii="黑体" w:hAnsi="黑体" w:eastAsia="黑体" w:cs="黑体"/>
                <w:bCs/>
                <w:color w:val="auto"/>
                <w:kern w:val="2"/>
                <w:sz w:val="32"/>
                <w:szCs w:val="24"/>
                <w:highlight w:val="none"/>
                <w:lang w:eastAsia="zh-CN"/>
              </w:rPr>
            </w:pPr>
            <w:r>
              <w:rPr>
                <w:rFonts w:hint="eastAsia" w:ascii="黑体" w:hAnsi="黑体" w:eastAsia="黑体" w:cs="黑体"/>
                <w:bCs/>
                <w:color w:val="auto"/>
                <w:kern w:val="2"/>
                <w:sz w:val="32"/>
                <w:szCs w:val="24"/>
                <w:highlight w:val="none"/>
                <w:lang w:eastAsia="zh-CN"/>
              </w:rPr>
              <w:t>东莞市勇飞五金制品有限公司760.1kW分布式光伏发电项目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kern w:val="2"/>
                <w:sz w:val="32"/>
                <w:szCs w:val="24"/>
                <w:highlight w:val="none"/>
              </w:rPr>
            </w:pPr>
            <w:r>
              <w:rPr>
                <w:rFonts w:hint="eastAsia" w:ascii="黑体" w:hAnsi="黑体" w:eastAsia="黑体" w:cs="黑体"/>
                <w:bCs/>
                <w:color w:val="auto"/>
                <w:kern w:val="2"/>
                <w:sz w:val="32"/>
                <w:szCs w:val="24"/>
                <w:highlight w:val="none"/>
              </w:rPr>
              <w:t>项目采购编号：</w:t>
            </w:r>
          </w:p>
        </w:tc>
        <w:tc>
          <w:tcPr>
            <w:tcW w:w="6203" w:type="dxa"/>
            <w:noWrap/>
            <w:vAlign w:val="center"/>
          </w:tcPr>
          <w:p>
            <w:pPr>
              <w:spacing w:before="200"/>
              <w:jc w:val="both"/>
              <w:rPr>
                <w:rFonts w:hint="eastAsia" w:ascii="黑体" w:hAnsi="黑体" w:eastAsia="黑体" w:cs="黑体"/>
                <w:bCs/>
                <w:color w:val="auto"/>
                <w:kern w:val="2"/>
                <w:sz w:val="32"/>
                <w:szCs w:val="24"/>
                <w:highlight w:val="none"/>
                <w:lang w:eastAsia="zh-CN"/>
              </w:rPr>
            </w:pPr>
            <w:r>
              <w:rPr>
                <w:rFonts w:hint="eastAsia" w:ascii="黑体" w:hAnsi="黑体" w:eastAsia="黑体" w:cs="黑体"/>
                <w:bCs/>
                <w:color w:val="auto"/>
                <w:kern w:val="2"/>
                <w:sz w:val="32"/>
                <w:szCs w:val="24"/>
                <w:highlight w:val="none"/>
                <w:lang w:eastAsia="zh-CN"/>
              </w:rPr>
              <w:t>GDZT2023121B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kern w:val="2"/>
                <w:sz w:val="32"/>
                <w:szCs w:val="24"/>
                <w:highlight w:val="none"/>
              </w:rPr>
            </w:pPr>
            <w:r>
              <w:rPr>
                <w:rFonts w:hint="eastAsia" w:ascii="黑体" w:hAnsi="黑体" w:eastAsia="黑体" w:cs="黑体"/>
                <w:bCs/>
                <w:color w:val="auto"/>
                <w:kern w:val="2"/>
                <w:sz w:val="32"/>
                <w:szCs w:val="24"/>
                <w:highlight w:val="none"/>
              </w:rPr>
              <w:t>采购人：</w:t>
            </w:r>
          </w:p>
        </w:tc>
        <w:tc>
          <w:tcPr>
            <w:tcW w:w="6203" w:type="dxa"/>
            <w:noWrap/>
            <w:vAlign w:val="center"/>
          </w:tcPr>
          <w:p>
            <w:pPr>
              <w:spacing w:before="200"/>
              <w:jc w:val="both"/>
              <w:rPr>
                <w:rFonts w:hint="eastAsia" w:ascii="黑体" w:hAnsi="黑体" w:eastAsia="黑体" w:cs="黑体"/>
                <w:bCs/>
                <w:color w:val="auto"/>
                <w:kern w:val="2"/>
                <w:sz w:val="32"/>
                <w:szCs w:val="24"/>
                <w:highlight w:val="none"/>
                <w:lang w:eastAsia="zh-CN"/>
              </w:rPr>
            </w:pPr>
            <w:r>
              <w:rPr>
                <w:rFonts w:hint="eastAsia" w:ascii="黑体" w:eastAsia="黑体" w:cs="黑体"/>
                <w:bCs/>
                <w:color w:val="auto"/>
                <w:kern w:val="2"/>
                <w:sz w:val="32"/>
                <w:highlight w:val="none"/>
                <w:lang w:eastAsia="zh-CN"/>
              </w:rPr>
              <w:t>东莞新锋光伏能源科技有限公司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kern w:val="2"/>
                <w:sz w:val="32"/>
                <w:szCs w:val="24"/>
                <w:highlight w:val="none"/>
              </w:rPr>
            </w:pPr>
            <w:r>
              <w:rPr>
                <w:rFonts w:hint="eastAsia" w:ascii="黑体" w:hAnsi="黑体" w:eastAsia="黑体" w:cs="黑体"/>
                <w:bCs/>
                <w:color w:val="auto"/>
                <w:kern w:val="2"/>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kern w:val="2"/>
                <w:sz w:val="32"/>
                <w:szCs w:val="24"/>
                <w:highlight w:val="none"/>
              </w:rPr>
            </w:pPr>
            <w:r>
              <w:rPr>
                <w:rFonts w:hint="eastAsia" w:ascii="黑体" w:hAnsi="黑体" w:eastAsia="黑体" w:cs="黑体"/>
                <w:bCs/>
                <w:color w:val="auto"/>
                <w:kern w:val="2"/>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6"/>
        <w:tabs>
          <w:tab w:val="right" w:leader="dot" w:pos="8296"/>
          <w:tab w:val="clear" w:pos="700"/>
          <w:tab w:val="clear" w:pos="10040"/>
        </w:tabs>
        <w:jc w:val="center"/>
        <w:rPr>
          <w:color w:val="auto"/>
          <w:sz w:val="32"/>
          <w:szCs w:val="32"/>
          <w:highlight w:val="none"/>
        </w:rPr>
        <w:sectPr>
          <w:footerReference r:id="rId4" w:type="first"/>
          <w:headerReference r:id="rId3" w:type="default"/>
          <w:pgSz w:w="11906" w:h="16838"/>
          <w:pgMar w:top="1440" w:right="1800" w:bottom="1440" w:left="1800" w:header="708" w:footer="708" w:gutter="0"/>
          <w:pgNumType w:fmt="decimal" w:start="1"/>
          <w:cols w:space="720"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3" name="图片 2"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QQ截图20200603163515"/>
                    <pic:cNvPicPr>
                      <a:picLocks noChangeAspect="1"/>
                    </pic:cNvPicPr>
                  </pic:nvPicPr>
                  <pic:blipFill>
                    <a:blip r:embed="rId11"/>
                    <a:srcRect l="6033" t="52170" r="5754" b="9299"/>
                    <a:stretch>
                      <a:fillRect/>
                    </a:stretch>
                  </pic:blipFill>
                  <pic:spPr>
                    <a:xfrm>
                      <a:off x="0" y="0"/>
                      <a:ext cx="3716020" cy="633730"/>
                    </a:xfrm>
                    <a:prstGeom prst="rect">
                      <a:avLst/>
                    </a:prstGeom>
                    <a:noFill/>
                    <a:ln>
                      <a:noFill/>
                    </a:ln>
                  </pic:spPr>
                </pic:pic>
              </a:graphicData>
            </a:graphic>
          </wp:inline>
        </w:drawing>
      </w:r>
    </w:p>
    <w:p>
      <w:pPr>
        <w:jc w:val="center"/>
        <w:rPr>
          <w:bCs/>
          <w:color w:val="auto"/>
          <w:sz w:val="36"/>
          <w:highlight w:val="none"/>
        </w:rPr>
      </w:pPr>
      <w:r>
        <w:rPr>
          <w:rFonts w:hint="eastAsia"/>
          <w:bCs/>
          <w:color w:val="auto"/>
          <w:sz w:val="36"/>
          <w:highlight w:val="none"/>
        </w:rPr>
        <w:t>目 录</w:t>
      </w:r>
    </w:p>
    <w:p>
      <w:pPr>
        <w:jc w:val="center"/>
        <w:rPr>
          <w:bCs/>
          <w:color w:val="auto"/>
          <w:sz w:val="36"/>
          <w:highlight w:val="none"/>
        </w:rPr>
      </w:pPr>
    </w:p>
    <w:p>
      <w:pPr>
        <w:pStyle w:val="14"/>
        <w:tabs>
          <w:tab w:val="right" w:leader="dot" w:pos="9072"/>
          <w:tab w:val="clear" w:pos="9060"/>
        </w:tabs>
        <w:rPr>
          <w:rFonts w:ascii="宋体" w:cs="宋体"/>
          <w:b w:val="0"/>
          <w:color w:val="auto"/>
          <w:kern w:val="2"/>
          <w:sz w:val="21"/>
          <w:szCs w:val="21"/>
          <w:highlight w:val="none"/>
        </w:rPr>
      </w:pPr>
      <w:r>
        <w:rPr>
          <w:rFonts w:hint="eastAsia" w:ascii="宋体"/>
          <w:b w:val="0"/>
          <w:color w:val="auto"/>
          <w:kern w:val="44"/>
          <w:sz w:val="21"/>
          <w:szCs w:val="21"/>
          <w:highlight w:val="none"/>
          <w:lang w:val="zh-CN"/>
        </w:rPr>
        <w:fldChar w:fldCharType="begin"/>
      </w:r>
      <w:r>
        <w:rPr>
          <w:rStyle w:val="21"/>
          <w:rFonts w:hint="eastAsia" w:ascii="宋体"/>
          <w:b w:val="0"/>
          <w:color w:val="auto"/>
          <w:kern w:val="44"/>
          <w:sz w:val="21"/>
          <w:szCs w:val="21"/>
          <w:highlight w:val="none"/>
          <w:lang w:val="zh-CN"/>
        </w:rPr>
        <w:instrText xml:space="preserve"> TOC \o "1-3" \h \z \u </w:instrText>
      </w:r>
      <w:r>
        <w:rPr>
          <w:rFonts w:hint="eastAsia" w:ascii="宋体"/>
          <w:b w:val="0"/>
          <w:color w:val="auto"/>
          <w:kern w:val="44"/>
          <w:sz w:val="21"/>
          <w:szCs w:val="21"/>
          <w:highlight w:val="none"/>
          <w:lang w:val="zh-CN"/>
        </w:rPr>
        <w:fldChar w:fldCharType="separate"/>
      </w:r>
      <w:r>
        <w:rPr>
          <w:color w:val="auto"/>
          <w:highlight w:val="none"/>
        </w:rPr>
        <w:fldChar w:fldCharType="begin"/>
      </w:r>
      <w:r>
        <w:rPr>
          <w:color w:val="auto"/>
          <w:highlight w:val="none"/>
        </w:rPr>
        <w:instrText xml:space="preserve"> HYPERLINK \l "_Toc508723456" </w:instrText>
      </w:r>
      <w:r>
        <w:rPr>
          <w:color w:val="auto"/>
          <w:highlight w:val="none"/>
        </w:rPr>
        <w:fldChar w:fldCharType="separate"/>
      </w:r>
      <w:r>
        <w:rPr>
          <w:rFonts w:hint="eastAsia" w:ascii="宋体" w:cs="宋体"/>
          <w:b w:val="0"/>
          <w:color w:val="auto"/>
          <w:kern w:val="44"/>
          <w:sz w:val="21"/>
          <w:szCs w:val="21"/>
          <w:highlight w:val="none"/>
          <w:lang w:val="zh-CN"/>
        </w:rPr>
        <w:t>第一章  谈判邀请书</w:t>
      </w:r>
      <w:r>
        <w:rPr>
          <w:rFonts w:hint="eastAsia" w:ascii="宋体" w:cs="宋体"/>
          <w:b w:val="0"/>
          <w:color w:val="auto"/>
          <w:sz w:val="21"/>
          <w:szCs w:val="21"/>
          <w:highlight w:val="none"/>
        </w:rPr>
        <w:tab/>
      </w:r>
      <w:r>
        <w:rPr>
          <w:rFonts w:hint="eastAsia" w:ascii="宋体" w:cs="宋体"/>
          <w:b w:val="0"/>
          <w:color w:val="auto"/>
          <w:sz w:val="21"/>
          <w:szCs w:val="21"/>
          <w:highlight w:val="none"/>
        </w:rPr>
        <w:fldChar w:fldCharType="begin"/>
      </w:r>
      <w:r>
        <w:rPr>
          <w:rFonts w:hint="eastAsia" w:ascii="宋体" w:cs="宋体"/>
          <w:b w:val="0"/>
          <w:color w:val="auto"/>
          <w:sz w:val="21"/>
          <w:szCs w:val="21"/>
          <w:highlight w:val="none"/>
        </w:rPr>
        <w:instrText xml:space="preserve"> PAGEREF _Toc508723456 \h </w:instrText>
      </w:r>
      <w:r>
        <w:rPr>
          <w:rFonts w:hint="eastAsia" w:ascii="宋体" w:cs="宋体"/>
          <w:b w:val="0"/>
          <w:color w:val="auto"/>
          <w:sz w:val="21"/>
          <w:szCs w:val="21"/>
          <w:highlight w:val="none"/>
        </w:rPr>
        <w:fldChar w:fldCharType="separate"/>
      </w:r>
      <w:r>
        <w:rPr>
          <w:rFonts w:hint="eastAsia" w:ascii="宋体" w:cs="宋体"/>
          <w:b w:val="0"/>
          <w:color w:val="auto"/>
          <w:sz w:val="21"/>
          <w:szCs w:val="21"/>
          <w:highlight w:val="none"/>
        </w:rPr>
        <w:t>2</w:t>
      </w:r>
      <w:r>
        <w:rPr>
          <w:rFonts w:hint="eastAsia" w:ascii="宋体" w:cs="宋体"/>
          <w:b w:val="0"/>
          <w:color w:val="auto"/>
          <w:sz w:val="21"/>
          <w:szCs w:val="21"/>
          <w:highlight w:val="none"/>
        </w:rPr>
        <w:fldChar w:fldCharType="end"/>
      </w:r>
      <w:r>
        <w:rPr>
          <w:rFonts w:hint="eastAsia" w:ascii="宋体" w:cs="宋体"/>
          <w:b w:val="0"/>
          <w:color w:val="auto"/>
          <w:sz w:val="21"/>
          <w:szCs w:val="21"/>
          <w:highlight w:val="none"/>
        </w:rPr>
        <w:fldChar w:fldCharType="end"/>
      </w:r>
    </w:p>
    <w:p>
      <w:pPr>
        <w:pStyle w:val="14"/>
        <w:tabs>
          <w:tab w:val="right" w:leader="dot" w:pos="9072"/>
          <w:tab w:val="clear" w:pos="9060"/>
        </w:tabs>
        <w:rPr>
          <w:rFonts w:ascii="宋体" w:cs="宋体"/>
          <w:b w:val="0"/>
          <w:color w:val="auto"/>
          <w:kern w:val="2"/>
          <w:sz w:val="21"/>
          <w:szCs w:val="21"/>
          <w:highlight w:val="none"/>
        </w:rPr>
      </w:pPr>
      <w:r>
        <w:rPr>
          <w:color w:val="auto"/>
          <w:highlight w:val="none"/>
        </w:rPr>
        <w:fldChar w:fldCharType="begin"/>
      </w:r>
      <w:r>
        <w:rPr>
          <w:color w:val="auto"/>
          <w:highlight w:val="none"/>
        </w:rPr>
        <w:instrText xml:space="preserve"> HYPERLINK \l "_Toc508723457" </w:instrText>
      </w:r>
      <w:r>
        <w:rPr>
          <w:color w:val="auto"/>
          <w:highlight w:val="none"/>
        </w:rPr>
        <w:fldChar w:fldCharType="separate"/>
      </w:r>
      <w:r>
        <w:rPr>
          <w:rFonts w:hint="eastAsia" w:ascii="宋体" w:cs="宋体"/>
          <w:b w:val="0"/>
          <w:color w:val="auto"/>
          <w:kern w:val="44"/>
          <w:sz w:val="21"/>
          <w:szCs w:val="21"/>
          <w:highlight w:val="none"/>
          <w:lang w:val="zh-CN"/>
        </w:rPr>
        <w:t>第二章   谈判供应商须知</w:t>
      </w:r>
      <w:r>
        <w:rPr>
          <w:rFonts w:hint="eastAsia" w:ascii="宋体" w:cs="宋体"/>
          <w:b w:val="0"/>
          <w:color w:val="auto"/>
          <w:sz w:val="21"/>
          <w:szCs w:val="21"/>
          <w:highlight w:val="none"/>
        </w:rPr>
        <w:tab/>
      </w:r>
      <w:r>
        <w:rPr>
          <w:rFonts w:hint="eastAsia" w:ascii="宋体" w:cs="宋体"/>
          <w:b w:val="0"/>
          <w:color w:val="auto"/>
          <w:sz w:val="21"/>
          <w:szCs w:val="21"/>
          <w:highlight w:val="none"/>
        </w:rPr>
        <w:fldChar w:fldCharType="begin"/>
      </w:r>
      <w:r>
        <w:rPr>
          <w:rFonts w:hint="eastAsia" w:ascii="宋体" w:cs="宋体"/>
          <w:b w:val="0"/>
          <w:color w:val="auto"/>
          <w:sz w:val="21"/>
          <w:szCs w:val="21"/>
          <w:highlight w:val="none"/>
        </w:rPr>
        <w:instrText xml:space="preserve"> PAGEREF _Toc508723457 \h </w:instrText>
      </w:r>
      <w:r>
        <w:rPr>
          <w:rFonts w:hint="eastAsia" w:ascii="宋体" w:cs="宋体"/>
          <w:b w:val="0"/>
          <w:color w:val="auto"/>
          <w:sz w:val="21"/>
          <w:szCs w:val="21"/>
          <w:highlight w:val="none"/>
        </w:rPr>
        <w:fldChar w:fldCharType="separate"/>
      </w:r>
      <w:r>
        <w:rPr>
          <w:rFonts w:hint="eastAsia" w:ascii="宋体" w:cs="宋体"/>
          <w:b w:val="0"/>
          <w:color w:val="auto"/>
          <w:sz w:val="21"/>
          <w:szCs w:val="21"/>
          <w:highlight w:val="none"/>
        </w:rPr>
        <w:t>4</w:t>
      </w:r>
      <w:r>
        <w:rPr>
          <w:rFonts w:hint="eastAsia" w:ascii="宋体" w:cs="宋体"/>
          <w:b w:val="0"/>
          <w:color w:val="auto"/>
          <w:sz w:val="21"/>
          <w:szCs w:val="21"/>
          <w:highlight w:val="none"/>
        </w:rPr>
        <w:fldChar w:fldCharType="end"/>
      </w:r>
      <w:r>
        <w:rPr>
          <w:rFonts w:hint="eastAsia" w:ascii="宋体" w:cs="宋体"/>
          <w:b w:val="0"/>
          <w:color w:val="auto"/>
          <w:sz w:val="21"/>
          <w:szCs w:val="21"/>
          <w:highlight w:val="none"/>
        </w:rPr>
        <w:fldChar w:fldCharType="end"/>
      </w:r>
    </w:p>
    <w:p>
      <w:pPr>
        <w:pStyle w:val="16"/>
        <w:tabs>
          <w:tab w:val="left" w:pos="709"/>
          <w:tab w:val="right" w:leader="dot" w:pos="9072"/>
          <w:tab w:val="clear" w:pos="700"/>
        </w:tabs>
        <w:spacing w:line="360" w:lineRule="auto"/>
        <w:rPr>
          <w:rFonts w:ascii="宋体" w:cs="宋体"/>
          <w:bCs/>
          <w:color w:val="auto"/>
          <w:kern w:val="2"/>
          <w:sz w:val="21"/>
          <w:szCs w:val="21"/>
          <w:highlight w:val="none"/>
        </w:rPr>
      </w:pPr>
      <w:r>
        <w:rPr>
          <w:color w:val="auto"/>
          <w:highlight w:val="none"/>
        </w:rPr>
        <w:fldChar w:fldCharType="begin"/>
      </w:r>
      <w:r>
        <w:rPr>
          <w:color w:val="auto"/>
          <w:highlight w:val="none"/>
        </w:rPr>
        <w:instrText xml:space="preserve"> HYPERLINK \l "_Toc508723458" </w:instrText>
      </w:r>
      <w:r>
        <w:rPr>
          <w:color w:val="auto"/>
          <w:highlight w:val="none"/>
        </w:rPr>
        <w:fldChar w:fldCharType="separate"/>
      </w:r>
      <w:r>
        <w:rPr>
          <w:rFonts w:hint="eastAsia" w:ascii="宋体" w:cs="宋体"/>
          <w:bCs/>
          <w:color w:val="auto"/>
          <w:kern w:val="44"/>
          <w:sz w:val="21"/>
          <w:szCs w:val="21"/>
          <w:highlight w:val="none"/>
          <w:lang w:val="zh-CN"/>
        </w:rPr>
        <w:t>一、</w:t>
      </w:r>
      <w:r>
        <w:rPr>
          <w:rFonts w:hint="eastAsia" w:ascii="宋体" w:cs="宋体"/>
          <w:bCs/>
          <w:color w:val="auto"/>
          <w:kern w:val="44"/>
          <w:sz w:val="21"/>
          <w:szCs w:val="21"/>
          <w:highlight w:val="none"/>
          <w:lang w:val="en-US" w:eastAsia="zh-CN"/>
        </w:rPr>
        <w:t>响应资料表</w:t>
      </w:r>
      <w:r>
        <w:rPr>
          <w:rFonts w:hint="eastAsia" w:ascii="宋体" w:cs="宋体"/>
          <w:bCs/>
          <w:color w:val="auto"/>
          <w:sz w:val="21"/>
          <w:szCs w:val="21"/>
          <w:highlight w:val="none"/>
        </w:rPr>
        <w:tab/>
      </w:r>
      <w:r>
        <w:rPr>
          <w:rFonts w:hint="eastAsia" w:ascii="宋体" w:cs="宋体"/>
          <w:bCs/>
          <w:color w:val="auto"/>
          <w:sz w:val="21"/>
          <w:szCs w:val="21"/>
          <w:highlight w:val="none"/>
        </w:rPr>
        <w:fldChar w:fldCharType="begin"/>
      </w:r>
      <w:r>
        <w:rPr>
          <w:rFonts w:hint="eastAsia" w:ascii="宋体" w:cs="宋体"/>
          <w:bCs/>
          <w:color w:val="auto"/>
          <w:sz w:val="21"/>
          <w:szCs w:val="21"/>
          <w:highlight w:val="none"/>
        </w:rPr>
        <w:instrText xml:space="preserve"> PAGEREF _Toc508723458 \h </w:instrText>
      </w:r>
      <w:r>
        <w:rPr>
          <w:rFonts w:hint="eastAsia" w:ascii="宋体" w:cs="宋体"/>
          <w:bCs/>
          <w:color w:val="auto"/>
          <w:sz w:val="21"/>
          <w:szCs w:val="21"/>
          <w:highlight w:val="none"/>
        </w:rPr>
        <w:fldChar w:fldCharType="separate"/>
      </w:r>
      <w:r>
        <w:rPr>
          <w:rFonts w:hint="eastAsia" w:ascii="宋体" w:cs="宋体"/>
          <w:bCs/>
          <w:color w:val="auto"/>
          <w:sz w:val="21"/>
          <w:szCs w:val="21"/>
          <w:highlight w:val="none"/>
        </w:rPr>
        <w:t>5</w:t>
      </w:r>
      <w:r>
        <w:rPr>
          <w:rFonts w:hint="eastAsia" w:ascii="宋体" w:cs="宋体"/>
          <w:bCs/>
          <w:color w:val="auto"/>
          <w:sz w:val="21"/>
          <w:szCs w:val="21"/>
          <w:highlight w:val="none"/>
        </w:rPr>
        <w:fldChar w:fldCharType="end"/>
      </w:r>
      <w:r>
        <w:rPr>
          <w:rFonts w:hint="eastAsia" w:ascii="宋体" w:cs="宋体"/>
          <w:bCs/>
          <w:color w:val="auto"/>
          <w:sz w:val="21"/>
          <w:szCs w:val="21"/>
          <w:highlight w:val="none"/>
        </w:rPr>
        <w:fldChar w:fldCharType="end"/>
      </w:r>
    </w:p>
    <w:p>
      <w:pPr>
        <w:pStyle w:val="16"/>
        <w:tabs>
          <w:tab w:val="left" w:pos="709"/>
          <w:tab w:val="right" w:leader="dot" w:pos="9072"/>
          <w:tab w:val="clear" w:pos="700"/>
        </w:tabs>
        <w:spacing w:line="360" w:lineRule="auto"/>
        <w:rPr>
          <w:rFonts w:ascii="宋体" w:cs="宋体"/>
          <w:bCs/>
          <w:color w:val="auto"/>
          <w:kern w:val="2"/>
          <w:sz w:val="21"/>
          <w:szCs w:val="21"/>
          <w:highlight w:val="none"/>
        </w:rPr>
      </w:pPr>
      <w:r>
        <w:rPr>
          <w:color w:val="auto"/>
          <w:highlight w:val="none"/>
        </w:rPr>
        <w:fldChar w:fldCharType="begin"/>
      </w:r>
      <w:r>
        <w:rPr>
          <w:color w:val="auto"/>
          <w:highlight w:val="none"/>
        </w:rPr>
        <w:instrText xml:space="preserve"> HYPERLINK \l "_Toc508723460" </w:instrText>
      </w:r>
      <w:r>
        <w:rPr>
          <w:color w:val="auto"/>
          <w:highlight w:val="none"/>
        </w:rPr>
        <w:fldChar w:fldCharType="separate"/>
      </w:r>
      <w:r>
        <w:rPr>
          <w:rFonts w:hint="eastAsia" w:ascii="宋体" w:cs="宋体"/>
          <w:bCs/>
          <w:color w:val="auto"/>
          <w:kern w:val="44"/>
          <w:sz w:val="21"/>
          <w:szCs w:val="21"/>
          <w:highlight w:val="none"/>
          <w:lang w:val="zh-CN"/>
        </w:rPr>
        <w:t>二、</w:t>
      </w:r>
      <w:r>
        <w:rPr>
          <w:rFonts w:hint="eastAsia" w:ascii="宋体" w:cs="宋体"/>
          <w:bCs/>
          <w:color w:val="auto"/>
          <w:kern w:val="44"/>
          <w:sz w:val="21"/>
          <w:szCs w:val="21"/>
          <w:highlight w:val="none"/>
          <w:lang w:val="en-US" w:eastAsia="zh-CN"/>
        </w:rPr>
        <w:t>响应</w:t>
      </w:r>
      <w:r>
        <w:rPr>
          <w:rFonts w:hint="eastAsia" w:ascii="宋体" w:cs="宋体"/>
          <w:bCs/>
          <w:color w:val="auto"/>
          <w:kern w:val="44"/>
          <w:sz w:val="21"/>
          <w:szCs w:val="21"/>
          <w:highlight w:val="none"/>
          <w:lang w:val="zh-CN"/>
        </w:rPr>
        <w:t>须知</w:t>
      </w:r>
      <w:r>
        <w:rPr>
          <w:rFonts w:hint="eastAsia" w:ascii="宋体" w:cs="宋体"/>
          <w:bCs/>
          <w:color w:val="auto"/>
          <w:sz w:val="21"/>
          <w:szCs w:val="21"/>
          <w:highlight w:val="none"/>
        </w:rPr>
        <w:tab/>
      </w:r>
      <w:r>
        <w:rPr>
          <w:rFonts w:hint="eastAsia" w:ascii="宋体" w:cs="宋体"/>
          <w:bCs/>
          <w:color w:val="auto"/>
          <w:sz w:val="21"/>
          <w:szCs w:val="21"/>
          <w:highlight w:val="none"/>
        </w:rPr>
        <w:fldChar w:fldCharType="begin"/>
      </w:r>
      <w:r>
        <w:rPr>
          <w:rFonts w:hint="eastAsia" w:ascii="宋体" w:cs="宋体"/>
          <w:bCs/>
          <w:color w:val="auto"/>
          <w:sz w:val="21"/>
          <w:szCs w:val="21"/>
          <w:highlight w:val="none"/>
        </w:rPr>
        <w:instrText xml:space="preserve"> PAGEREF _Toc508723460 \h </w:instrText>
      </w:r>
      <w:r>
        <w:rPr>
          <w:rFonts w:hint="eastAsia" w:ascii="宋体" w:cs="宋体"/>
          <w:bCs/>
          <w:color w:val="auto"/>
          <w:sz w:val="21"/>
          <w:szCs w:val="21"/>
          <w:highlight w:val="none"/>
        </w:rPr>
        <w:fldChar w:fldCharType="separate"/>
      </w:r>
      <w:r>
        <w:rPr>
          <w:rFonts w:hint="eastAsia" w:ascii="宋体" w:cs="宋体"/>
          <w:bCs/>
          <w:color w:val="auto"/>
          <w:sz w:val="21"/>
          <w:szCs w:val="21"/>
          <w:highlight w:val="none"/>
        </w:rPr>
        <w:t>5</w:t>
      </w:r>
      <w:r>
        <w:rPr>
          <w:rFonts w:hint="eastAsia" w:ascii="宋体" w:cs="宋体"/>
          <w:bCs/>
          <w:color w:val="auto"/>
          <w:sz w:val="21"/>
          <w:szCs w:val="21"/>
          <w:highlight w:val="none"/>
        </w:rPr>
        <w:fldChar w:fldCharType="end"/>
      </w:r>
      <w:r>
        <w:rPr>
          <w:rFonts w:hint="eastAsia" w:ascii="宋体" w:cs="宋体"/>
          <w:bCs/>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"_Toc508723461" </w:instrText>
      </w:r>
      <w:r>
        <w:rPr>
          <w:color w:val="auto"/>
          <w:highlight w:val="none"/>
        </w:rPr>
        <w:fldChar w:fldCharType="separate"/>
      </w:r>
      <w:r>
        <w:rPr>
          <w:rFonts w:hint="eastAsia" w:ascii="宋体" w:cs="宋体"/>
          <w:bCs/>
          <w:i w:val="0"/>
          <w:color w:val="auto"/>
          <w:kern w:val="44"/>
          <w:sz w:val="21"/>
          <w:szCs w:val="21"/>
          <w:highlight w:val="none"/>
          <w:lang w:val="zh-CN"/>
        </w:rPr>
        <w:t>（一）总则</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_Toc508723461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8</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"_Toc508723462" </w:instrText>
      </w:r>
      <w:r>
        <w:rPr>
          <w:color w:val="auto"/>
          <w:highlight w:val="none"/>
        </w:rPr>
        <w:fldChar w:fldCharType="separate"/>
      </w:r>
      <w:r>
        <w:rPr>
          <w:rFonts w:hint="eastAsia" w:ascii="宋体" w:cs="宋体"/>
          <w:bCs/>
          <w:i w:val="0"/>
          <w:color w:val="auto"/>
          <w:sz w:val="21"/>
          <w:szCs w:val="21"/>
          <w:highlight w:val="none"/>
          <w:lang w:val="zh-CN"/>
        </w:rPr>
        <w:t>（二）采购文件</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_Toc508723462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9</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"_Toc508723463" </w:instrText>
      </w:r>
      <w:r>
        <w:rPr>
          <w:color w:val="auto"/>
          <w:highlight w:val="none"/>
        </w:rPr>
        <w:fldChar w:fldCharType="separate"/>
      </w:r>
      <w:r>
        <w:rPr>
          <w:rFonts w:hint="eastAsia" w:ascii="宋体" w:cs="宋体"/>
          <w:bCs/>
          <w:i w:val="0"/>
          <w:color w:val="auto"/>
          <w:kern w:val="44"/>
          <w:sz w:val="21"/>
          <w:szCs w:val="21"/>
          <w:highlight w:val="none"/>
          <w:lang w:val="zh-CN"/>
        </w:rPr>
        <w:t>（三）谈判响应文件的编制</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_Toc508723463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10</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"_Toc508723464" </w:instrText>
      </w:r>
      <w:r>
        <w:rPr>
          <w:color w:val="auto"/>
          <w:highlight w:val="none"/>
        </w:rPr>
        <w:fldChar w:fldCharType="separate"/>
      </w:r>
      <w:r>
        <w:rPr>
          <w:rFonts w:hint="eastAsia" w:ascii="宋体" w:cs="宋体"/>
          <w:bCs/>
          <w:i w:val="0"/>
          <w:color w:val="auto"/>
          <w:kern w:val="44"/>
          <w:sz w:val="21"/>
          <w:szCs w:val="21"/>
          <w:highlight w:val="none"/>
          <w:lang w:val="zh-CN"/>
        </w:rPr>
        <w:t>（四）谈判响应文件的递交</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_Toc508723464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14</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"_Toc508723465" </w:instrText>
      </w:r>
      <w:r>
        <w:rPr>
          <w:color w:val="auto"/>
          <w:highlight w:val="none"/>
        </w:rPr>
        <w:fldChar w:fldCharType="separate"/>
      </w:r>
      <w:r>
        <w:rPr>
          <w:rFonts w:hint="eastAsia" w:ascii="宋体" w:cs="宋体"/>
          <w:bCs/>
          <w:i w:val="0"/>
          <w:color w:val="auto"/>
          <w:kern w:val="44"/>
          <w:sz w:val="21"/>
          <w:szCs w:val="21"/>
          <w:highlight w:val="none"/>
          <w:lang w:val="zh-CN"/>
        </w:rPr>
        <w:t>（五）开标、评标与定标</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_Toc508723465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14</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"_Toc508723466" </w:instrText>
      </w:r>
      <w:r>
        <w:rPr>
          <w:color w:val="auto"/>
          <w:highlight w:val="none"/>
        </w:rPr>
        <w:fldChar w:fldCharType="separate"/>
      </w:r>
      <w:r>
        <w:rPr>
          <w:rFonts w:hint="eastAsia" w:ascii="宋体" w:cs="宋体"/>
          <w:bCs/>
          <w:i w:val="0"/>
          <w:color w:val="auto"/>
          <w:kern w:val="44"/>
          <w:sz w:val="21"/>
          <w:szCs w:val="21"/>
          <w:highlight w:val="none"/>
          <w:lang w:val="zh-CN"/>
        </w:rPr>
        <w:t>（六）授予合同</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_Toc508723466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19</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"_Toc508723467" </w:instrText>
      </w:r>
      <w:r>
        <w:rPr>
          <w:color w:val="auto"/>
          <w:highlight w:val="none"/>
        </w:rPr>
        <w:fldChar w:fldCharType="separate"/>
      </w:r>
      <w:r>
        <w:rPr>
          <w:rFonts w:hint="eastAsia" w:ascii="宋体" w:cs="宋体"/>
          <w:bCs/>
          <w:i w:val="0"/>
          <w:color w:val="auto"/>
          <w:kern w:val="44"/>
          <w:sz w:val="21"/>
          <w:szCs w:val="21"/>
          <w:highlight w:val="none"/>
          <w:lang w:val="zh-CN"/>
        </w:rPr>
        <w:t>（七）质疑与回复</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_Toc508723467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20</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14"/>
        <w:tabs>
          <w:tab w:val="right" w:leader="dot" w:pos="9072"/>
          <w:tab w:val="clear" w:pos="9060"/>
        </w:tabs>
        <w:rPr>
          <w:rFonts w:ascii="宋体" w:cs="宋体"/>
          <w:b w:val="0"/>
          <w:color w:val="auto"/>
          <w:kern w:val="2"/>
          <w:sz w:val="21"/>
          <w:szCs w:val="21"/>
          <w:highlight w:val="none"/>
        </w:rPr>
      </w:pPr>
      <w:r>
        <w:rPr>
          <w:color w:val="auto"/>
          <w:highlight w:val="none"/>
        </w:rPr>
        <w:fldChar w:fldCharType="begin"/>
      </w:r>
      <w:r>
        <w:rPr>
          <w:color w:val="auto"/>
          <w:highlight w:val="none"/>
        </w:rPr>
        <w:instrText xml:space="preserve"> HYPERLINK \l "_Toc508723468" </w:instrText>
      </w:r>
      <w:r>
        <w:rPr>
          <w:color w:val="auto"/>
          <w:highlight w:val="none"/>
        </w:rPr>
        <w:fldChar w:fldCharType="separate"/>
      </w:r>
      <w:r>
        <w:rPr>
          <w:rFonts w:hint="eastAsia" w:ascii="宋体" w:cs="宋体"/>
          <w:b w:val="0"/>
          <w:color w:val="auto"/>
          <w:sz w:val="21"/>
          <w:szCs w:val="21"/>
          <w:highlight w:val="none"/>
        </w:rPr>
        <w:t>第三章  用户需求</w:t>
      </w:r>
      <w:r>
        <w:rPr>
          <w:rFonts w:hint="eastAsia" w:ascii="宋体" w:cs="宋体"/>
          <w:b w:val="0"/>
          <w:color w:val="auto"/>
          <w:sz w:val="21"/>
          <w:szCs w:val="21"/>
          <w:highlight w:val="none"/>
        </w:rPr>
        <w:tab/>
      </w:r>
      <w:r>
        <w:rPr>
          <w:rFonts w:hint="eastAsia" w:ascii="宋体" w:cs="宋体"/>
          <w:b w:val="0"/>
          <w:color w:val="auto"/>
          <w:sz w:val="21"/>
          <w:szCs w:val="21"/>
          <w:highlight w:val="none"/>
        </w:rPr>
        <w:fldChar w:fldCharType="begin"/>
      </w:r>
      <w:r>
        <w:rPr>
          <w:rFonts w:hint="eastAsia" w:ascii="宋体" w:cs="宋体"/>
          <w:b w:val="0"/>
          <w:color w:val="auto"/>
          <w:sz w:val="21"/>
          <w:szCs w:val="21"/>
          <w:highlight w:val="none"/>
        </w:rPr>
        <w:instrText xml:space="preserve"> PAGEREF _Toc508723468 \h </w:instrText>
      </w:r>
      <w:r>
        <w:rPr>
          <w:rFonts w:hint="eastAsia" w:ascii="宋体" w:cs="宋体"/>
          <w:b w:val="0"/>
          <w:color w:val="auto"/>
          <w:sz w:val="21"/>
          <w:szCs w:val="21"/>
          <w:highlight w:val="none"/>
        </w:rPr>
        <w:fldChar w:fldCharType="separate"/>
      </w:r>
      <w:r>
        <w:rPr>
          <w:rFonts w:hint="eastAsia" w:ascii="宋体" w:cs="宋体"/>
          <w:b w:val="0"/>
          <w:color w:val="auto"/>
          <w:sz w:val="21"/>
          <w:szCs w:val="21"/>
          <w:highlight w:val="none"/>
        </w:rPr>
        <w:t>25</w:t>
      </w:r>
      <w:r>
        <w:rPr>
          <w:rFonts w:hint="eastAsia" w:ascii="宋体" w:cs="宋体"/>
          <w:b w:val="0"/>
          <w:color w:val="auto"/>
          <w:sz w:val="21"/>
          <w:szCs w:val="21"/>
          <w:highlight w:val="none"/>
        </w:rPr>
        <w:fldChar w:fldCharType="end"/>
      </w:r>
      <w:r>
        <w:rPr>
          <w:rFonts w:hint="eastAsia" w:ascii="宋体" w:cs="宋体"/>
          <w:b w:val="0"/>
          <w:color w:val="auto"/>
          <w:sz w:val="21"/>
          <w:szCs w:val="21"/>
          <w:highlight w:val="none"/>
        </w:rPr>
        <w:fldChar w:fldCharType="end"/>
      </w:r>
    </w:p>
    <w:p>
      <w:pPr>
        <w:pStyle w:val="14"/>
        <w:tabs>
          <w:tab w:val="right" w:leader="dot" w:pos="9072"/>
          <w:tab w:val="clear" w:pos="9060"/>
        </w:tabs>
        <w:rPr>
          <w:rFonts w:ascii="宋体" w:cs="宋体"/>
          <w:b w:val="0"/>
          <w:color w:val="auto"/>
          <w:kern w:val="2"/>
          <w:sz w:val="21"/>
          <w:szCs w:val="21"/>
          <w:highlight w:val="none"/>
        </w:rPr>
      </w:pPr>
      <w:r>
        <w:rPr>
          <w:color w:val="auto"/>
          <w:highlight w:val="none"/>
        </w:rPr>
        <w:fldChar w:fldCharType="begin"/>
      </w:r>
      <w:r>
        <w:rPr>
          <w:color w:val="auto"/>
          <w:highlight w:val="none"/>
        </w:rPr>
        <w:instrText xml:space="preserve"> HYPERLINK \l "_Toc508723469" </w:instrText>
      </w:r>
      <w:r>
        <w:rPr>
          <w:color w:val="auto"/>
          <w:highlight w:val="none"/>
        </w:rPr>
        <w:fldChar w:fldCharType="separate"/>
      </w:r>
      <w:r>
        <w:rPr>
          <w:rFonts w:hint="eastAsia" w:ascii="宋体" w:cs="宋体"/>
          <w:b w:val="0"/>
          <w:color w:val="auto"/>
          <w:kern w:val="44"/>
          <w:sz w:val="21"/>
          <w:szCs w:val="21"/>
          <w:highlight w:val="none"/>
          <w:lang w:val="zh-CN"/>
        </w:rPr>
        <w:t>第四章   谈判响应文件格式</w:t>
      </w:r>
      <w:r>
        <w:rPr>
          <w:rFonts w:hint="eastAsia" w:ascii="宋体" w:cs="宋体"/>
          <w:b w:val="0"/>
          <w:color w:val="auto"/>
          <w:sz w:val="21"/>
          <w:szCs w:val="21"/>
          <w:highlight w:val="none"/>
        </w:rPr>
        <w:tab/>
      </w:r>
      <w:r>
        <w:rPr>
          <w:rFonts w:hint="eastAsia" w:ascii="宋体" w:cs="宋体"/>
          <w:b w:val="0"/>
          <w:color w:val="auto"/>
          <w:sz w:val="21"/>
          <w:szCs w:val="21"/>
          <w:highlight w:val="none"/>
        </w:rPr>
        <w:fldChar w:fldCharType="begin"/>
      </w:r>
      <w:r>
        <w:rPr>
          <w:rFonts w:hint="eastAsia" w:ascii="宋体" w:cs="宋体"/>
          <w:b w:val="0"/>
          <w:color w:val="auto"/>
          <w:sz w:val="21"/>
          <w:szCs w:val="21"/>
          <w:highlight w:val="none"/>
        </w:rPr>
        <w:instrText xml:space="preserve"> PAGEREF _Toc508723469 \h </w:instrText>
      </w:r>
      <w:r>
        <w:rPr>
          <w:rFonts w:hint="eastAsia" w:ascii="宋体" w:cs="宋体"/>
          <w:b w:val="0"/>
          <w:color w:val="auto"/>
          <w:sz w:val="21"/>
          <w:szCs w:val="21"/>
          <w:highlight w:val="none"/>
        </w:rPr>
        <w:fldChar w:fldCharType="separate"/>
      </w:r>
      <w:r>
        <w:rPr>
          <w:rFonts w:hint="eastAsia" w:ascii="宋体" w:cs="宋体"/>
          <w:b w:val="0"/>
          <w:color w:val="auto"/>
          <w:sz w:val="21"/>
          <w:szCs w:val="21"/>
          <w:highlight w:val="none"/>
        </w:rPr>
        <w:t>40</w:t>
      </w:r>
      <w:r>
        <w:rPr>
          <w:rFonts w:hint="eastAsia" w:ascii="宋体" w:cs="宋体"/>
          <w:b w:val="0"/>
          <w:color w:val="auto"/>
          <w:sz w:val="21"/>
          <w:szCs w:val="21"/>
          <w:highlight w:val="none"/>
        </w:rPr>
        <w:fldChar w:fldCharType="end"/>
      </w:r>
      <w:r>
        <w:rPr>
          <w:rFonts w:hint="eastAsia" w:ascii="宋体" w:cs="宋体"/>
          <w:b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"_Toc508723470" </w:instrText>
      </w:r>
      <w:r>
        <w:rPr>
          <w:color w:val="auto"/>
          <w:highlight w:val="none"/>
        </w:rPr>
        <w:fldChar w:fldCharType="separate"/>
      </w:r>
      <w:r>
        <w:rPr>
          <w:rFonts w:hint="eastAsia" w:ascii="宋体" w:cs="宋体"/>
          <w:bCs/>
          <w:i w:val="0"/>
          <w:color w:val="auto"/>
          <w:sz w:val="21"/>
          <w:szCs w:val="21"/>
          <w:highlight w:val="none"/>
        </w:rPr>
        <w:t>一、报价文件格式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_Toc508723470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40</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"_Toc508723471" </w:instrText>
      </w:r>
      <w:r>
        <w:rPr>
          <w:color w:val="auto"/>
          <w:highlight w:val="none"/>
        </w:rPr>
        <w:fldChar w:fldCharType="separate"/>
      </w:r>
      <w:r>
        <w:rPr>
          <w:rFonts w:hint="eastAsia" w:ascii="宋体" w:cs="宋体"/>
          <w:bCs/>
          <w:i w:val="0"/>
          <w:color w:val="auto"/>
          <w:sz w:val="21"/>
          <w:szCs w:val="21"/>
          <w:highlight w:val="none"/>
        </w:rPr>
        <w:t>二、谈判承诺书格式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_Toc508723471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41</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"_Toc508723472" </w:instrText>
      </w:r>
      <w:r>
        <w:rPr>
          <w:color w:val="auto"/>
          <w:highlight w:val="none"/>
        </w:rPr>
        <w:fldChar w:fldCharType="separate"/>
      </w:r>
      <w:r>
        <w:rPr>
          <w:rFonts w:hint="eastAsia" w:ascii="宋体" w:cs="宋体"/>
          <w:bCs/>
          <w:i w:val="0"/>
          <w:color w:val="auto"/>
          <w:sz w:val="21"/>
          <w:szCs w:val="21"/>
          <w:highlight w:val="none"/>
        </w:rPr>
        <w:t>三、谈判授权委托书</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_Toc508723472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46</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"_Toc508723473" </w:instrText>
      </w:r>
      <w:r>
        <w:rPr>
          <w:color w:val="auto"/>
          <w:highlight w:val="none"/>
        </w:rPr>
        <w:fldChar w:fldCharType="separate"/>
      </w:r>
      <w:r>
        <w:rPr>
          <w:rFonts w:hint="eastAsia" w:ascii="宋体" w:cs="宋体"/>
          <w:bCs/>
          <w:i w:val="0"/>
          <w:color w:val="auto"/>
          <w:sz w:val="21"/>
          <w:szCs w:val="21"/>
          <w:highlight w:val="none"/>
        </w:rPr>
        <w:t>四、法定代表人身份证明书</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_Toc508723473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47</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"_Toc508723474" </w:instrText>
      </w:r>
      <w:r>
        <w:rPr>
          <w:color w:val="auto"/>
          <w:highlight w:val="none"/>
        </w:rPr>
        <w:fldChar w:fldCharType="separate"/>
      </w:r>
      <w:r>
        <w:rPr>
          <w:rFonts w:hint="eastAsia" w:ascii="宋体" w:cs="宋体"/>
          <w:bCs/>
          <w:i w:val="0"/>
          <w:color w:val="auto"/>
          <w:sz w:val="21"/>
          <w:szCs w:val="21"/>
          <w:highlight w:val="none"/>
        </w:rPr>
        <w:t>五、资格证明文件格式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_Toc508723474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48</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"_Toc508723475" </w:instrText>
      </w:r>
      <w:r>
        <w:rPr>
          <w:color w:val="auto"/>
          <w:highlight w:val="none"/>
        </w:rPr>
        <w:fldChar w:fldCharType="separate"/>
      </w:r>
      <w:r>
        <w:rPr>
          <w:rFonts w:hint="eastAsia" w:ascii="宋体" w:cs="宋体"/>
          <w:bCs/>
          <w:i w:val="0"/>
          <w:color w:val="auto"/>
          <w:sz w:val="21"/>
          <w:szCs w:val="21"/>
          <w:highlight w:val="none"/>
        </w:rPr>
        <w:t>六、商务差异表格式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_Toc508723475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50</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"_Toc508723476" </w:instrText>
      </w:r>
      <w:r>
        <w:rPr>
          <w:color w:val="auto"/>
          <w:highlight w:val="none"/>
        </w:rPr>
        <w:fldChar w:fldCharType="separate"/>
      </w:r>
      <w:r>
        <w:rPr>
          <w:rFonts w:hint="eastAsia" w:ascii="宋体" w:cs="宋体"/>
          <w:bCs/>
          <w:i w:val="0"/>
          <w:color w:val="auto"/>
          <w:sz w:val="21"/>
          <w:szCs w:val="21"/>
          <w:highlight w:val="none"/>
        </w:rPr>
        <w:t>七、其他资料格式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_Toc508723476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51</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"_Toc508723477" </w:instrText>
      </w:r>
      <w:r>
        <w:rPr>
          <w:color w:val="auto"/>
          <w:highlight w:val="none"/>
        </w:rPr>
        <w:fldChar w:fldCharType="separate"/>
      </w:r>
      <w:r>
        <w:rPr>
          <w:rFonts w:hint="eastAsia" w:ascii="宋体" w:cs="宋体"/>
          <w:bCs/>
          <w:i w:val="0"/>
          <w:color w:val="auto"/>
          <w:sz w:val="21"/>
          <w:szCs w:val="21"/>
          <w:highlight w:val="none"/>
        </w:rPr>
        <w:t>八、技术响应文件格式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_Toc508723477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54</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9"/>
        <w:tabs>
          <w:tab w:val="left" w:pos="709"/>
          <w:tab w:val="right" w:leader="dot" w:pos="9072"/>
          <w:tab w:val="clear" w:pos="700"/>
          <w:tab w:val="clear" w:pos="9060"/>
        </w:tabs>
        <w:rPr>
          <w:rFonts w:ascii="宋体" w:cs="宋体"/>
          <w:bCs/>
          <w:i w:val="0"/>
          <w:iCs w:val="0"/>
          <w:color w:val="auto"/>
          <w:kern w:val="2"/>
          <w:sz w:val="21"/>
          <w:szCs w:val="21"/>
          <w:highlight w:val="none"/>
        </w:rPr>
      </w:pPr>
      <w:r>
        <w:rPr>
          <w:color w:val="auto"/>
          <w:highlight w:val="none"/>
        </w:rPr>
        <w:fldChar w:fldCharType="begin"/>
      </w:r>
      <w:r>
        <w:rPr>
          <w:color w:val="auto"/>
          <w:highlight w:val="none"/>
        </w:rPr>
        <w:instrText xml:space="preserve"> HYPERLINK \l "_Toc508723478" </w:instrText>
      </w:r>
      <w:r>
        <w:rPr>
          <w:color w:val="auto"/>
          <w:highlight w:val="none"/>
        </w:rPr>
        <w:fldChar w:fldCharType="separate"/>
      </w:r>
      <w:r>
        <w:rPr>
          <w:rFonts w:hint="eastAsia" w:ascii="宋体" w:cs="宋体"/>
          <w:bCs/>
          <w:i w:val="0"/>
          <w:color w:val="auto"/>
          <w:sz w:val="21"/>
          <w:szCs w:val="21"/>
          <w:highlight w:val="none"/>
        </w:rPr>
        <w:t>九、</w:t>
      </w:r>
      <w:r>
        <w:rPr>
          <w:rFonts w:hint="eastAsia" w:ascii="宋体" w:cs="宋体"/>
          <w:bCs/>
          <w:i w:val="0"/>
          <w:color w:val="auto"/>
          <w:sz w:val="21"/>
          <w:szCs w:val="21"/>
          <w:highlight w:val="none"/>
          <w:lang w:eastAsia="zh-CN"/>
        </w:rPr>
        <w:t>报价信封</w:t>
      </w:r>
      <w:r>
        <w:rPr>
          <w:rFonts w:hint="eastAsia" w:ascii="宋体" w:cs="宋体"/>
          <w:bCs/>
          <w:i w:val="0"/>
          <w:color w:val="auto"/>
          <w:sz w:val="21"/>
          <w:szCs w:val="21"/>
          <w:highlight w:val="none"/>
        </w:rPr>
        <w:t>格式</w:t>
      </w:r>
      <w:r>
        <w:rPr>
          <w:rFonts w:hint="eastAsia" w:ascii="宋体" w:cs="宋体"/>
          <w:bCs/>
          <w:i w:val="0"/>
          <w:color w:val="auto"/>
          <w:sz w:val="21"/>
          <w:szCs w:val="21"/>
          <w:highlight w:val="none"/>
        </w:rPr>
        <w:tab/>
      </w:r>
      <w:r>
        <w:rPr>
          <w:rFonts w:hint="eastAsia" w:ascii="宋体" w:cs="宋体"/>
          <w:bCs/>
          <w:i w:val="0"/>
          <w:color w:val="auto"/>
          <w:sz w:val="21"/>
          <w:szCs w:val="21"/>
          <w:highlight w:val="none"/>
        </w:rPr>
        <w:fldChar w:fldCharType="begin"/>
      </w:r>
      <w:r>
        <w:rPr>
          <w:rFonts w:hint="eastAsia" w:ascii="宋体" w:cs="宋体"/>
          <w:bCs/>
          <w:i w:val="0"/>
          <w:color w:val="auto"/>
          <w:sz w:val="21"/>
          <w:szCs w:val="21"/>
          <w:highlight w:val="none"/>
        </w:rPr>
        <w:instrText xml:space="preserve"> PAGEREF _Toc508723478 \h </w:instrText>
      </w:r>
      <w:r>
        <w:rPr>
          <w:rFonts w:hint="eastAsia" w:ascii="宋体" w:cs="宋体"/>
          <w:bCs/>
          <w:i w:val="0"/>
          <w:color w:val="auto"/>
          <w:sz w:val="21"/>
          <w:szCs w:val="21"/>
          <w:highlight w:val="none"/>
        </w:rPr>
        <w:fldChar w:fldCharType="separate"/>
      </w:r>
      <w:r>
        <w:rPr>
          <w:rFonts w:hint="eastAsia" w:ascii="宋体" w:cs="宋体"/>
          <w:bCs/>
          <w:i w:val="0"/>
          <w:color w:val="auto"/>
          <w:sz w:val="21"/>
          <w:szCs w:val="21"/>
          <w:highlight w:val="none"/>
        </w:rPr>
        <w:t>62</w:t>
      </w:r>
      <w:r>
        <w:rPr>
          <w:rFonts w:hint="eastAsia" w:ascii="宋体" w:cs="宋体"/>
          <w:bCs/>
          <w:i w:val="0"/>
          <w:color w:val="auto"/>
          <w:sz w:val="21"/>
          <w:szCs w:val="21"/>
          <w:highlight w:val="none"/>
        </w:rPr>
        <w:fldChar w:fldCharType="end"/>
      </w:r>
      <w:r>
        <w:rPr>
          <w:rFonts w:hint="eastAsia" w:ascii="宋体" w:cs="宋体"/>
          <w:bCs/>
          <w:i w:val="0"/>
          <w:color w:val="auto"/>
          <w:sz w:val="21"/>
          <w:szCs w:val="21"/>
          <w:highlight w:val="none"/>
        </w:rPr>
        <w:fldChar w:fldCharType="end"/>
      </w:r>
    </w:p>
    <w:p>
      <w:pPr>
        <w:pStyle w:val="14"/>
        <w:tabs>
          <w:tab w:val="right" w:leader="dot" w:pos="9072"/>
          <w:tab w:val="clear" w:pos="9060"/>
        </w:tabs>
        <w:rPr>
          <w:rFonts w:ascii="Calibri" w:hAnsi="Calibri"/>
          <w:b w:val="0"/>
          <w:color w:val="auto"/>
          <w:kern w:val="2"/>
          <w:sz w:val="21"/>
          <w:szCs w:val="22"/>
          <w:highlight w:val="none"/>
        </w:rPr>
      </w:pPr>
      <w:r>
        <w:rPr>
          <w:color w:val="auto"/>
          <w:highlight w:val="none"/>
        </w:rPr>
        <w:fldChar w:fldCharType="begin"/>
      </w:r>
      <w:r>
        <w:rPr>
          <w:color w:val="auto"/>
          <w:highlight w:val="none"/>
        </w:rPr>
        <w:instrText xml:space="preserve"> HYPERLINK \l "_Toc508723479" </w:instrText>
      </w:r>
      <w:r>
        <w:rPr>
          <w:color w:val="auto"/>
          <w:highlight w:val="none"/>
        </w:rPr>
        <w:fldChar w:fldCharType="separate"/>
      </w:r>
      <w:r>
        <w:rPr>
          <w:rFonts w:hint="eastAsia" w:ascii="宋体" w:cs="宋体"/>
          <w:b w:val="0"/>
          <w:color w:val="auto"/>
          <w:kern w:val="44"/>
          <w:sz w:val="21"/>
          <w:szCs w:val="21"/>
          <w:highlight w:val="none"/>
          <w:lang w:val="zh-CN"/>
        </w:rPr>
        <w:t>第五章   合同条款格式</w:t>
      </w:r>
      <w:r>
        <w:rPr>
          <w:rFonts w:hint="eastAsia" w:ascii="宋体" w:cs="宋体"/>
          <w:b w:val="0"/>
          <w:color w:val="auto"/>
          <w:sz w:val="21"/>
          <w:szCs w:val="21"/>
          <w:highlight w:val="none"/>
        </w:rPr>
        <w:tab/>
      </w:r>
      <w:r>
        <w:rPr>
          <w:rFonts w:hint="eastAsia" w:ascii="宋体" w:cs="宋体"/>
          <w:b w:val="0"/>
          <w:color w:val="auto"/>
          <w:sz w:val="21"/>
          <w:szCs w:val="21"/>
          <w:highlight w:val="none"/>
        </w:rPr>
        <w:fldChar w:fldCharType="begin"/>
      </w:r>
      <w:r>
        <w:rPr>
          <w:rFonts w:hint="eastAsia" w:ascii="宋体" w:cs="宋体"/>
          <w:b w:val="0"/>
          <w:color w:val="auto"/>
          <w:sz w:val="21"/>
          <w:szCs w:val="21"/>
          <w:highlight w:val="none"/>
        </w:rPr>
        <w:instrText xml:space="preserve"> PAGEREF _Toc508723479 \h </w:instrText>
      </w:r>
      <w:r>
        <w:rPr>
          <w:rFonts w:hint="eastAsia" w:ascii="宋体" w:cs="宋体"/>
          <w:b w:val="0"/>
          <w:color w:val="auto"/>
          <w:sz w:val="21"/>
          <w:szCs w:val="21"/>
          <w:highlight w:val="none"/>
        </w:rPr>
        <w:fldChar w:fldCharType="separate"/>
      </w:r>
      <w:r>
        <w:rPr>
          <w:rFonts w:hint="eastAsia" w:ascii="宋体" w:cs="宋体"/>
          <w:b w:val="0"/>
          <w:color w:val="auto"/>
          <w:sz w:val="21"/>
          <w:szCs w:val="21"/>
          <w:highlight w:val="none"/>
        </w:rPr>
        <w:t>67</w:t>
      </w:r>
      <w:r>
        <w:rPr>
          <w:rFonts w:hint="eastAsia" w:ascii="宋体" w:cs="宋体"/>
          <w:b w:val="0"/>
          <w:color w:val="auto"/>
          <w:sz w:val="21"/>
          <w:szCs w:val="21"/>
          <w:highlight w:val="none"/>
        </w:rPr>
        <w:fldChar w:fldCharType="end"/>
      </w:r>
      <w:r>
        <w:rPr>
          <w:rFonts w:hint="eastAsia" w:ascii="宋体" w:cs="宋体"/>
          <w:b w:val="0"/>
          <w:color w:val="auto"/>
          <w:sz w:val="21"/>
          <w:szCs w:val="21"/>
          <w:highlight w:val="none"/>
        </w:rPr>
        <w:fldChar w:fldCharType="end"/>
      </w:r>
    </w:p>
    <w:p>
      <w:pPr>
        <w:pStyle w:val="14"/>
        <w:tabs>
          <w:tab w:val="right" w:leader="dot" w:pos="9072"/>
          <w:tab w:val="clear" w:pos="9060"/>
        </w:tabs>
        <w:rPr>
          <w:rStyle w:val="21"/>
          <w:b w:val="0"/>
          <w:color w:val="auto"/>
          <w:kern w:val="44"/>
          <w:highlight w:val="none"/>
          <w:lang w:val="zh-CN"/>
        </w:rPr>
      </w:pPr>
      <w:r>
        <w:rPr>
          <w:rFonts w:hint="eastAsia" w:ascii="宋体"/>
          <w:b w:val="0"/>
          <w:color w:val="auto"/>
          <w:kern w:val="44"/>
          <w:sz w:val="21"/>
          <w:szCs w:val="21"/>
          <w:highlight w:val="none"/>
          <w:lang w:val="zh-CN"/>
        </w:rPr>
        <w:fldChar w:fldCharType="end"/>
      </w:r>
    </w:p>
    <w:p>
      <w:pPr>
        <w:pStyle w:val="2"/>
        <w:keepNext/>
        <w:keepLines/>
        <w:pageBreakBefore/>
        <w:tabs>
          <w:tab w:val="left" w:pos="1080"/>
        </w:tabs>
        <w:spacing w:line="360" w:lineRule="auto"/>
        <w:jc w:val="center"/>
        <w:rPr>
          <w:rFonts w:hint="eastAsia"/>
          <w:b/>
          <w:color w:val="auto"/>
          <w:kern w:val="44"/>
          <w:sz w:val="32"/>
          <w:szCs w:val="28"/>
          <w:highlight w:val="none"/>
          <w:lang w:val="zh-CN"/>
        </w:rPr>
        <w:sectPr>
          <w:footerReference r:id="rId5" w:type="default"/>
          <w:pgSz w:w="11907" w:h="16840"/>
          <w:pgMar w:top="2041" w:right="1531" w:bottom="2041" w:left="1531" w:header="1701" w:footer="1474" w:gutter="0"/>
          <w:paperSrc w:first="534" w:other="534"/>
          <w:pgNumType w:fmt="decimal" w:start="1"/>
          <w:cols w:space="720" w:num="1"/>
          <w:docGrid w:linePitch="523" w:charSpace="0"/>
        </w:sectPr>
      </w:pPr>
      <w:bookmarkStart w:id="0" w:name="_Toc396137229"/>
      <w:bookmarkStart w:id="1" w:name="_Toc413402427"/>
      <w:bookmarkStart w:id="2" w:name="_Toc508723456"/>
    </w:p>
    <w:p>
      <w:pPr>
        <w:pStyle w:val="2"/>
        <w:keepNext/>
        <w:keepLines/>
        <w:pageBreakBefore/>
        <w:tabs>
          <w:tab w:val="left" w:pos="1080"/>
        </w:tabs>
        <w:spacing w:line="360" w:lineRule="auto"/>
        <w:jc w:val="center"/>
        <w:rPr>
          <w:b/>
          <w:color w:val="auto"/>
          <w:kern w:val="44"/>
          <w:sz w:val="32"/>
          <w:szCs w:val="28"/>
          <w:highlight w:val="none"/>
          <w:lang w:val="zh-CN"/>
        </w:rPr>
      </w:pPr>
      <w:r>
        <w:rPr>
          <w:rFonts w:hint="eastAsia"/>
          <w:b/>
          <w:color w:val="auto"/>
          <w:kern w:val="44"/>
          <w:sz w:val="32"/>
          <w:szCs w:val="28"/>
          <w:highlight w:val="none"/>
          <w:lang w:val="zh-CN"/>
        </w:rPr>
        <w:t>第一章  谈判邀请书</w:t>
      </w:r>
      <w:bookmarkEnd w:id="0"/>
      <w:bookmarkEnd w:id="1"/>
      <w:bookmarkEnd w:id="2"/>
    </w:p>
    <w:p>
      <w:pPr>
        <w:widowControl/>
        <w:tabs>
          <w:tab w:val="left" w:pos="-360"/>
        </w:tabs>
        <w:adjustRightInd/>
        <w:spacing w:line="360" w:lineRule="auto"/>
        <w:ind w:right="-34" w:firstLine="420" w:firstLineChars="200"/>
        <w:jc w:val="both"/>
        <w:textAlignment w:val="bottom"/>
        <w:rPr>
          <w:bCs/>
          <w:color w:val="auto"/>
          <w:sz w:val="21"/>
          <w:szCs w:val="21"/>
          <w:highlight w:val="none"/>
        </w:rPr>
      </w:pPr>
      <w:r>
        <w:rPr>
          <w:rFonts w:hint="eastAsia"/>
          <w:bCs/>
          <w:color w:val="auto"/>
          <w:sz w:val="21"/>
          <w:szCs w:val="21"/>
          <w:highlight w:val="none"/>
          <w:lang w:eastAsia="zh-CN"/>
        </w:rPr>
        <w:t>广东政通招标有限公司</w:t>
      </w:r>
      <w:r>
        <w:rPr>
          <w:rFonts w:hint="eastAsia"/>
          <w:bCs/>
          <w:color w:val="auto"/>
          <w:sz w:val="21"/>
          <w:szCs w:val="21"/>
          <w:highlight w:val="none"/>
        </w:rPr>
        <w:t>（以下简称“采购代理机构”）受</w:t>
      </w:r>
      <w:r>
        <w:rPr>
          <w:rFonts w:hint="eastAsia"/>
          <w:b/>
          <w:color w:val="auto"/>
          <w:sz w:val="21"/>
          <w:szCs w:val="21"/>
          <w:highlight w:val="none"/>
          <w:u w:val="single"/>
          <w:lang w:eastAsia="zh-CN"/>
        </w:rPr>
        <w:t>东莞新锋光伏能源科技有限公司</w:t>
      </w:r>
      <w:r>
        <w:rPr>
          <w:rFonts w:hint="eastAsia"/>
          <w:bCs/>
          <w:color w:val="auto"/>
          <w:sz w:val="21"/>
          <w:szCs w:val="21"/>
          <w:highlight w:val="none"/>
        </w:rPr>
        <w:t>（以下简称“采购人”）的委托，就</w:t>
      </w:r>
      <w:r>
        <w:rPr>
          <w:rFonts w:hint="eastAsia"/>
          <w:b/>
          <w:color w:val="auto"/>
          <w:sz w:val="21"/>
          <w:szCs w:val="21"/>
          <w:highlight w:val="none"/>
          <w:u w:val="single"/>
          <w:lang w:eastAsia="zh-CN"/>
        </w:rPr>
        <w:t>东莞市勇飞五金制品有限公司760.1kW分布式光伏发电项目</w:t>
      </w:r>
      <w:r>
        <w:rPr>
          <w:rFonts w:hint="eastAsia"/>
          <w:bCs/>
          <w:color w:val="auto"/>
          <w:sz w:val="21"/>
          <w:szCs w:val="21"/>
          <w:highlight w:val="none"/>
        </w:rPr>
        <w:t>（采购编号：</w:t>
      </w:r>
      <w:r>
        <w:rPr>
          <w:rFonts w:hint="eastAsia"/>
          <w:b/>
          <w:bCs w:val="0"/>
          <w:color w:val="auto"/>
          <w:sz w:val="21"/>
          <w:szCs w:val="21"/>
          <w:highlight w:val="none"/>
          <w:lang w:eastAsia="zh-CN"/>
        </w:rPr>
        <w:t>GDZT2023121B</w:t>
      </w:r>
      <w:r>
        <w:rPr>
          <w:rFonts w:hint="eastAsia"/>
          <w:bCs/>
          <w:color w:val="auto"/>
          <w:sz w:val="21"/>
          <w:szCs w:val="21"/>
          <w:highlight w:val="none"/>
          <w:lang w:val="en-US" w:eastAsia="zh-CN"/>
        </w:rPr>
        <w:t>)</w:t>
      </w:r>
      <w:r>
        <w:rPr>
          <w:rFonts w:hint="eastAsia"/>
          <w:bCs/>
          <w:color w:val="auto"/>
          <w:sz w:val="21"/>
          <w:szCs w:val="21"/>
          <w:highlight w:val="none"/>
        </w:rPr>
        <w:t>竞争性谈判，并对有关货物或</w:t>
      </w:r>
      <w:r>
        <w:rPr>
          <w:rFonts w:hint="eastAsia"/>
          <w:bCs/>
          <w:color w:val="auto"/>
          <w:sz w:val="21"/>
          <w:szCs w:val="21"/>
          <w:highlight w:val="none"/>
          <w:lang w:eastAsia="zh-CN"/>
        </w:rPr>
        <w:t>服务（或工程）</w:t>
      </w:r>
      <w:r>
        <w:rPr>
          <w:rFonts w:hint="eastAsia"/>
          <w:bCs/>
          <w:color w:val="auto"/>
          <w:sz w:val="21"/>
          <w:szCs w:val="21"/>
          <w:highlight w:val="none"/>
        </w:rPr>
        <w:t>提交密封谈判响应文件。有关事项如下：</w:t>
      </w:r>
    </w:p>
    <w:p>
      <w:pPr>
        <w:widowControl/>
        <w:tabs>
          <w:tab w:val="left" w:pos="-360"/>
        </w:tabs>
        <w:adjustRightInd/>
        <w:spacing w:line="360" w:lineRule="auto"/>
        <w:ind w:right="-34"/>
        <w:jc w:val="both"/>
        <w:textAlignment w:val="bottom"/>
        <w:rPr>
          <w:rFonts w:hint="eastAsia" w:ascii="宋体" w:hAnsi="Times New Roman" w:eastAsia="宋体" w:cs="Times New Roman"/>
          <w:bCs/>
          <w:color w:val="auto"/>
          <w:kern w:val="2"/>
          <w:sz w:val="21"/>
          <w:szCs w:val="21"/>
          <w:highlight w:val="none"/>
          <w:lang w:val="zh-CN" w:eastAsia="zh-CN"/>
        </w:rPr>
      </w:pPr>
      <w:r>
        <w:rPr>
          <w:rFonts w:hint="eastAsia" w:ascii="宋体" w:hAnsi="Times New Roman" w:eastAsia="宋体" w:cs="Times New Roman"/>
          <w:bCs/>
          <w:color w:val="auto"/>
          <w:kern w:val="2"/>
          <w:sz w:val="21"/>
          <w:szCs w:val="21"/>
          <w:highlight w:val="none"/>
          <w:lang w:val="en-US" w:eastAsia="zh-CN"/>
        </w:rPr>
        <w:t>一、采购</w:t>
      </w:r>
      <w:r>
        <w:rPr>
          <w:rFonts w:hint="eastAsia" w:ascii="宋体" w:hAnsi="Times New Roman" w:eastAsia="宋体" w:cs="Times New Roman"/>
          <w:bCs/>
          <w:color w:val="auto"/>
          <w:kern w:val="2"/>
          <w:sz w:val="21"/>
          <w:szCs w:val="21"/>
          <w:highlight w:val="none"/>
          <w:lang w:val="zh-CN" w:eastAsia="zh-CN"/>
        </w:rPr>
        <w:t>项目信息</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1、</w:t>
      </w:r>
      <w:r>
        <w:rPr>
          <w:rFonts w:hint="eastAsia" w:ascii="宋体" w:hAnsi="Times New Roman" w:eastAsia="宋体" w:cs="Times New Roman"/>
          <w:bCs/>
          <w:color w:val="auto"/>
          <w:sz w:val="21"/>
          <w:szCs w:val="21"/>
          <w:highlight w:val="none"/>
          <w:lang w:eastAsia="zh-CN"/>
        </w:rPr>
        <w:t>项目编号：</w:t>
      </w:r>
      <w:r>
        <w:rPr>
          <w:rFonts w:hint="eastAsia" w:cs="Times New Roman"/>
          <w:b/>
          <w:bCs w:val="0"/>
          <w:color w:val="auto"/>
          <w:sz w:val="21"/>
          <w:szCs w:val="21"/>
          <w:highlight w:val="none"/>
          <w:lang w:eastAsia="zh-CN"/>
        </w:rPr>
        <w:t>GDZT2023121B</w:t>
      </w:r>
      <w:r>
        <w:rPr>
          <w:rFonts w:hint="eastAsia" w:ascii="宋体" w:hAnsi="Times New Roman" w:eastAsia="宋体" w:cs="Times New Roman"/>
          <w:bCs/>
          <w:color w:val="auto"/>
          <w:sz w:val="21"/>
          <w:szCs w:val="21"/>
          <w:highlight w:val="none"/>
          <w:lang w:eastAsia="zh-CN"/>
        </w:rPr>
        <w:t>；</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2、</w:t>
      </w:r>
      <w:r>
        <w:rPr>
          <w:rFonts w:hint="eastAsia" w:ascii="宋体" w:hAnsi="Times New Roman" w:eastAsia="宋体" w:cs="Times New Roman"/>
          <w:bCs/>
          <w:color w:val="auto"/>
          <w:sz w:val="21"/>
          <w:szCs w:val="21"/>
          <w:highlight w:val="none"/>
          <w:lang w:eastAsia="zh-CN"/>
        </w:rPr>
        <w:t>项目名称：</w:t>
      </w:r>
      <w:r>
        <w:rPr>
          <w:rFonts w:hint="eastAsia" w:cs="Times New Roman"/>
          <w:b/>
          <w:bCs w:val="0"/>
          <w:color w:val="auto"/>
          <w:sz w:val="21"/>
          <w:szCs w:val="21"/>
          <w:highlight w:val="none"/>
          <w:lang w:eastAsia="zh-CN"/>
        </w:rPr>
        <w:t>东莞市勇飞五金制品有限公司760.1kW分布式光伏发电项目</w:t>
      </w:r>
      <w:r>
        <w:rPr>
          <w:rFonts w:hint="eastAsia" w:ascii="宋体" w:hAnsi="Times New Roman" w:eastAsia="宋体" w:cs="Times New Roman"/>
          <w:bCs/>
          <w:color w:val="auto"/>
          <w:sz w:val="21"/>
          <w:szCs w:val="21"/>
          <w:highlight w:val="none"/>
          <w:lang w:eastAsia="zh-CN"/>
        </w:rPr>
        <w:t>；</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3、项目内容：</w:t>
      </w:r>
    </w:p>
    <w:tbl>
      <w:tblPr>
        <w:tblStyle w:val="18"/>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5696"/>
        <w:gridCol w:w="809"/>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8"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序号</w:t>
            </w:r>
          </w:p>
        </w:tc>
        <w:tc>
          <w:tcPr>
            <w:tcW w:w="3041"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包组内容</w:t>
            </w:r>
          </w:p>
        </w:tc>
        <w:tc>
          <w:tcPr>
            <w:tcW w:w="431"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数量</w:t>
            </w:r>
          </w:p>
        </w:tc>
        <w:tc>
          <w:tcPr>
            <w:tcW w:w="1187"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338"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1</w:t>
            </w:r>
          </w:p>
        </w:tc>
        <w:tc>
          <w:tcPr>
            <w:tcW w:w="3041"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 w:val="0"/>
                <w:bCs/>
                <w:color w:val="auto"/>
                <w:sz w:val="21"/>
                <w:szCs w:val="21"/>
                <w:highlight w:val="none"/>
                <w:lang w:eastAsia="zh-CN"/>
              </w:rPr>
            </w:pPr>
            <w:r>
              <w:rPr>
                <w:rFonts w:hint="eastAsia" w:cs="Times New Roman"/>
                <w:b w:val="0"/>
                <w:bCs/>
                <w:color w:val="auto"/>
                <w:sz w:val="21"/>
                <w:szCs w:val="21"/>
                <w:highlight w:val="none"/>
                <w:lang w:eastAsia="zh-CN"/>
              </w:rPr>
              <w:t>东莞市勇飞五金制品有限公司760.1kW分布式光伏发电项目</w:t>
            </w:r>
          </w:p>
        </w:tc>
        <w:tc>
          <w:tcPr>
            <w:tcW w:w="431"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 w:val="0"/>
                <w:bCs/>
                <w:color w:val="auto"/>
                <w:sz w:val="21"/>
                <w:szCs w:val="21"/>
                <w:highlight w:val="none"/>
                <w:lang w:eastAsia="zh-CN"/>
              </w:rPr>
            </w:pPr>
            <w:r>
              <w:rPr>
                <w:rFonts w:hint="eastAsia" w:ascii="宋体" w:hAnsi="Times New Roman" w:eastAsia="宋体" w:cs="Times New Roman"/>
                <w:b w:val="0"/>
                <w:bCs/>
                <w:color w:val="auto"/>
                <w:sz w:val="21"/>
                <w:szCs w:val="21"/>
                <w:highlight w:val="none"/>
                <w:lang w:eastAsia="zh-CN"/>
              </w:rPr>
              <w:t>1项</w:t>
            </w:r>
          </w:p>
        </w:tc>
        <w:tc>
          <w:tcPr>
            <w:tcW w:w="1187" w:type="pct"/>
            <w:noWrap/>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val="0"/>
              <w:autoSpaceDN w:val="0"/>
              <w:bidi w:val="0"/>
              <w:adjustRightInd/>
              <w:snapToGrid/>
              <w:spacing w:line="360" w:lineRule="auto"/>
              <w:ind w:right="-34" w:firstLine="0" w:firstLineChars="0"/>
              <w:jc w:val="center"/>
              <w:textAlignment w:val="bottom"/>
              <w:rPr>
                <w:rFonts w:hint="eastAsia" w:ascii="宋体" w:hAnsi="Times New Roman"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3,950,000.00</w:t>
            </w:r>
          </w:p>
        </w:tc>
      </w:tr>
    </w:tbl>
    <w:p>
      <w:pPr>
        <w:widowControl/>
        <w:tabs>
          <w:tab w:val="left" w:pos="-360"/>
        </w:tabs>
        <w:adjustRightInd/>
        <w:spacing w:line="360" w:lineRule="auto"/>
        <w:ind w:right="-34"/>
        <w:jc w:val="both"/>
        <w:textAlignment w:val="bottom"/>
        <w:rPr>
          <w:bCs/>
          <w:color w:val="auto"/>
          <w:kern w:val="2"/>
          <w:sz w:val="21"/>
          <w:szCs w:val="21"/>
          <w:highlight w:val="none"/>
          <w:lang w:val="zh-CN"/>
        </w:rPr>
      </w:pPr>
    </w:p>
    <w:p>
      <w:pPr>
        <w:widowControl/>
        <w:tabs>
          <w:tab w:val="left" w:pos="-360"/>
        </w:tabs>
        <w:adjustRightInd/>
        <w:spacing w:line="360" w:lineRule="auto"/>
        <w:ind w:right="-34"/>
        <w:jc w:val="both"/>
        <w:textAlignment w:val="bottom"/>
        <w:rPr>
          <w:bCs/>
          <w:color w:val="auto"/>
          <w:sz w:val="21"/>
          <w:szCs w:val="21"/>
          <w:highlight w:val="none"/>
        </w:rPr>
      </w:pPr>
      <w:r>
        <w:rPr>
          <w:rFonts w:hint="eastAsia"/>
          <w:bCs/>
          <w:color w:val="auto"/>
          <w:kern w:val="2"/>
          <w:sz w:val="21"/>
          <w:szCs w:val="21"/>
          <w:highlight w:val="none"/>
          <w:lang w:val="zh-CN"/>
        </w:rPr>
        <w:t>二、谈判供应商资格要求</w:t>
      </w:r>
      <w:r>
        <w:rPr>
          <w:rFonts w:hint="eastAsia"/>
          <w:bCs/>
          <w:color w:val="auto"/>
          <w:sz w:val="21"/>
          <w:szCs w:val="21"/>
          <w:highlight w:val="none"/>
        </w:rPr>
        <w:t>：</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1、一般要求：</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（1）</w:t>
      </w:r>
      <w:r>
        <w:rPr>
          <w:rFonts w:hint="eastAsia" w:cs="Times New Roman"/>
          <w:bCs/>
          <w:color w:val="auto"/>
          <w:sz w:val="21"/>
          <w:szCs w:val="21"/>
          <w:highlight w:val="none"/>
          <w:lang w:val="en-US" w:eastAsia="zh-CN"/>
        </w:rPr>
        <w:t>供应商</w:t>
      </w:r>
      <w:r>
        <w:rPr>
          <w:rFonts w:hint="eastAsia" w:ascii="宋体" w:hAnsi="Times New Roman" w:eastAsia="宋体" w:cs="Times New Roman"/>
          <w:bCs/>
          <w:color w:val="auto"/>
          <w:sz w:val="21"/>
          <w:szCs w:val="21"/>
          <w:highlight w:val="none"/>
          <w:lang w:eastAsia="zh-CN"/>
        </w:rPr>
        <w:t>须为在中华人民共和国境内登记注册的具有独立承担民事责任能力的法人或其他组织；</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2）参加采购活动前三年内，在经营活动中没有重大违法记录（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 xml:space="preserve">（3）供应商的单位负责人为同一人或者存在直接控股、管理关系的不同供应商，不得参加同一合同项下的采购活动。为本项目提供整体设计、规范编制或者项目管理、监理、检测等服务的供应商，不得参加本采购项目的采购活动； </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（4）未被列入“信用中国”网站(www.creditchina.gov.cn )“记录失信被执行人或税收违法黑名单或采购严重违法失信行为”记录名单；不处于中国政府采购网(www.ccgp.gov.cn )“采购严重违法失信行为信息记录”中的禁止参加采购活动期间。以代理机构于</w:t>
      </w:r>
      <w:r>
        <w:rPr>
          <w:rFonts w:hint="eastAsia" w:cs="Times New Roman"/>
          <w:bCs/>
          <w:color w:val="auto"/>
          <w:sz w:val="21"/>
          <w:szCs w:val="21"/>
          <w:highlight w:val="none"/>
          <w:lang w:eastAsia="zh-CN"/>
        </w:rPr>
        <w:t>响应</w:t>
      </w:r>
      <w:r>
        <w:rPr>
          <w:rFonts w:hint="eastAsia" w:ascii="宋体" w:hAnsi="Times New Roman" w:eastAsia="宋体" w:cs="Times New Roman"/>
          <w:bCs/>
          <w:color w:val="auto"/>
          <w:sz w:val="21"/>
          <w:szCs w:val="21"/>
          <w:highlight w:val="none"/>
          <w:lang w:eastAsia="zh-CN"/>
        </w:rPr>
        <w:t>截止日当天在“信用中国”网站及中国政府采购网查询结果为准，如相关失信记录已失效，供应商需提供相关证明资料。</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（5）本项目（是/否）接受联合体</w:t>
      </w:r>
      <w:r>
        <w:rPr>
          <w:rFonts w:hint="eastAsia" w:ascii="宋体" w:hAnsi="Times New Roman" w:eastAsia="宋体" w:cs="Times New Roman"/>
          <w:bCs/>
          <w:color w:val="auto"/>
          <w:sz w:val="21"/>
          <w:szCs w:val="21"/>
          <w:highlight w:val="none"/>
          <w:lang w:val="en-US" w:eastAsia="zh-CN"/>
        </w:rPr>
        <w:t>参与谈判</w:t>
      </w:r>
      <w:r>
        <w:rPr>
          <w:rFonts w:hint="eastAsia" w:ascii="宋体" w:hAnsi="Times New Roman" w:eastAsia="宋体" w:cs="Times New Roman"/>
          <w:bCs/>
          <w:color w:val="auto"/>
          <w:sz w:val="21"/>
          <w:szCs w:val="21"/>
          <w:highlight w:val="none"/>
          <w:lang w:eastAsia="zh-CN"/>
        </w:rPr>
        <w:t>：否</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2、</w:t>
      </w:r>
      <w:r>
        <w:rPr>
          <w:rFonts w:hint="eastAsia" w:ascii="宋体" w:eastAsia="宋体" w:cs="宋体"/>
          <w:color w:val="auto"/>
          <w:sz w:val="21"/>
          <w:szCs w:val="21"/>
          <w:highlight w:val="none"/>
        </w:rPr>
        <w:t>本项目的特定资格要求</w:t>
      </w:r>
      <w:r>
        <w:rPr>
          <w:rFonts w:hint="eastAsia" w:ascii="宋体" w:hAnsi="Times New Roman" w:eastAsia="宋体" w:cs="Times New Roman"/>
          <w:bCs/>
          <w:color w:val="auto"/>
          <w:sz w:val="21"/>
          <w:szCs w:val="21"/>
          <w:highlight w:val="none"/>
          <w:lang w:eastAsia="zh-CN"/>
        </w:rPr>
        <w:t>：</w:t>
      </w:r>
    </w:p>
    <w:p>
      <w:pPr>
        <w:pStyle w:val="24"/>
        <w:spacing w:line="360" w:lineRule="auto"/>
        <w:ind w:left="675" w:leftChars="150" w:hanging="315" w:hangingChars="150"/>
        <w:rPr>
          <w:rFonts w:hint="eastAsia" w:ascii="宋体" w:eastAsia="宋体" w:cs="宋体"/>
          <w:color w:val="auto"/>
          <w:sz w:val="21"/>
          <w:szCs w:val="21"/>
          <w:highlight w:val="none"/>
        </w:rPr>
      </w:pPr>
      <w:r>
        <w:rPr>
          <w:rFonts w:hint="eastAsia" w:ascii="宋体" w:eastAsia="宋体" w:cs="宋体"/>
          <w:color w:val="auto"/>
          <w:sz w:val="21"/>
          <w:szCs w:val="21"/>
          <w:highlight w:val="none"/>
        </w:rPr>
        <w:t>（1）具有以下其中一种资质：①电力工程施工总承包三级（或以上）资质；②机电工程施工总承包三级（或以上）资质；③输变电工程专业承包三级（或以上）资质；</w:t>
      </w:r>
    </w:p>
    <w:p>
      <w:pPr>
        <w:pStyle w:val="24"/>
        <w:spacing w:line="360" w:lineRule="auto"/>
        <w:ind w:left="675" w:leftChars="150" w:hanging="315" w:hangingChars="150"/>
        <w:rPr>
          <w:rFonts w:hint="eastAsia" w:ascii="宋体" w:eastAsia="宋体" w:cs="宋体"/>
          <w:color w:val="auto"/>
          <w:sz w:val="21"/>
          <w:szCs w:val="21"/>
          <w:highlight w:val="none"/>
        </w:rPr>
      </w:pPr>
      <w:r>
        <w:rPr>
          <w:rFonts w:hint="eastAsia" w:ascii="宋体" w:eastAsia="宋体" w:cs="宋体"/>
          <w:color w:val="auto"/>
          <w:sz w:val="21"/>
          <w:szCs w:val="21"/>
          <w:highlight w:val="none"/>
        </w:rPr>
        <w:t>（2）具有《承装（修、试）电力设施许可证》承装类别五级或以上资质；</w:t>
      </w:r>
    </w:p>
    <w:p>
      <w:pPr>
        <w:pStyle w:val="24"/>
        <w:spacing w:line="360" w:lineRule="auto"/>
        <w:ind w:left="675" w:leftChars="150" w:hanging="315" w:hangingChars="150"/>
        <w:rPr>
          <w:rFonts w:hint="eastAsia" w:ascii="宋体" w:eastAsia="宋体" w:cs="宋体"/>
          <w:color w:val="auto"/>
          <w:sz w:val="21"/>
          <w:szCs w:val="21"/>
          <w:highlight w:val="none"/>
        </w:rPr>
      </w:pPr>
      <w:r>
        <w:rPr>
          <w:rFonts w:hint="eastAsia" w:ascii="宋体" w:eastAsia="宋体" w:cs="宋体"/>
          <w:color w:val="auto"/>
          <w:sz w:val="21"/>
          <w:szCs w:val="21"/>
          <w:highlight w:val="none"/>
        </w:rPr>
        <w:t>（3）具有在效期内的《安全生产许可证》。</w:t>
      </w:r>
    </w:p>
    <w:p>
      <w:pPr>
        <w:pStyle w:val="24"/>
        <w:spacing w:line="360" w:lineRule="auto"/>
        <w:ind w:left="675" w:leftChars="150" w:hanging="315" w:hangingChars="150"/>
        <w:rPr>
          <w:rFonts w:hint="eastAsia" w:ascii="宋体" w:eastAsia="宋体" w:cs="宋体"/>
          <w:color w:val="auto"/>
          <w:sz w:val="21"/>
          <w:szCs w:val="21"/>
          <w:highlight w:val="none"/>
        </w:rPr>
      </w:pPr>
      <w:r>
        <w:rPr>
          <w:rFonts w:hint="eastAsia" w:ascii="宋体" w:eastAsia="宋体" w:cs="宋体"/>
          <w:color w:val="auto"/>
          <w:sz w:val="21"/>
          <w:szCs w:val="21"/>
          <w:highlight w:val="none"/>
        </w:rPr>
        <w:t>注：</w:t>
      </w:r>
    </w:p>
    <w:p>
      <w:pPr>
        <w:pStyle w:val="24"/>
        <w:spacing w:line="360" w:lineRule="auto"/>
        <w:ind w:left="675" w:leftChars="150" w:hanging="315" w:hangingChars="150"/>
        <w:rPr>
          <w:rFonts w:hint="eastAsia" w:ascii="宋体" w:eastAsia="宋体" w:cs="宋体"/>
          <w:color w:val="auto"/>
          <w:sz w:val="21"/>
          <w:szCs w:val="21"/>
          <w:highlight w:val="none"/>
        </w:rPr>
      </w:pPr>
      <w:r>
        <w:rPr>
          <w:rFonts w:hint="eastAsia" w:ascii="宋体" w:eastAsia="宋体" w:cs="宋体"/>
          <w:color w:val="auto"/>
          <w:sz w:val="21"/>
          <w:szCs w:val="21"/>
          <w:highlight w:val="none"/>
        </w:rPr>
        <w:t>（1）资质证书已过期的按《住房和城乡建设部办公厅关于建设工程企业资质有关事宜的通知（建办市函〔2022〕361号）》、《广东省住房和城乡建设厅关于建设工程企业资质有关事宜的通知（粤建许函〔2022〕846号》执行，相关文件如有更新，以最新发布的文件规定为准。</w:t>
      </w:r>
    </w:p>
    <w:p>
      <w:pPr>
        <w:pStyle w:val="24"/>
        <w:spacing w:line="360" w:lineRule="auto"/>
        <w:ind w:left="675" w:leftChars="150" w:hanging="315" w:hangingChars="150"/>
        <w:rPr>
          <w:rFonts w:hint="eastAsia" w:ascii="宋体" w:eastAsia="宋体" w:cs="宋体"/>
          <w:color w:val="auto"/>
          <w:sz w:val="21"/>
          <w:szCs w:val="21"/>
          <w:highlight w:val="none"/>
        </w:rPr>
      </w:pPr>
      <w:r>
        <w:rPr>
          <w:rFonts w:hint="eastAsia" w:ascii="宋体" w:eastAsia="宋体" w:cs="宋体"/>
          <w:color w:val="auto"/>
          <w:sz w:val="21"/>
          <w:szCs w:val="21"/>
          <w:highlight w:val="none"/>
        </w:rPr>
        <w:t>（2）安全生产许可证已过期的按《广东省住房和城乡建设厅关于建筑施工企业安全生产许可证和安全生产管理人员证书延期工作的公告》（粤建公告〔2023〕9号）执行，相关文件如有更新，以最新发布的文件规定为准。</w:t>
      </w:r>
    </w:p>
    <w:p>
      <w:pPr>
        <w:bidi w:val="0"/>
        <w:rPr>
          <w:rFonts w:hint="default"/>
          <w:color w:val="auto"/>
          <w:highlight w:val="none"/>
          <w:lang w:val="en-US" w:eastAsia="zh-CN"/>
        </w:rPr>
      </w:pPr>
    </w:p>
    <w:p>
      <w:pPr>
        <w:widowControl/>
        <w:numPr>
          <w:ilvl w:val="0"/>
          <w:numId w:val="1"/>
        </w:numPr>
        <w:tabs>
          <w:tab w:val="left" w:pos="-360"/>
        </w:tabs>
        <w:adjustRightInd/>
        <w:spacing w:line="360" w:lineRule="auto"/>
        <w:ind w:right="-34"/>
        <w:jc w:val="both"/>
        <w:textAlignment w:val="bottom"/>
        <w:rPr>
          <w:bCs/>
          <w:color w:val="auto"/>
          <w:sz w:val="21"/>
          <w:szCs w:val="21"/>
          <w:highlight w:val="none"/>
        </w:rPr>
      </w:pPr>
      <w:r>
        <w:rPr>
          <w:rFonts w:hint="eastAsia"/>
          <w:bCs/>
          <w:color w:val="auto"/>
          <w:sz w:val="21"/>
          <w:szCs w:val="21"/>
          <w:highlight w:val="none"/>
        </w:rPr>
        <w:t>获取采购文件的时间、地点、方式及采购文件售价：</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1、</w:t>
      </w:r>
      <w:r>
        <w:rPr>
          <w:rFonts w:hint="eastAsia" w:ascii="宋体" w:hAnsi="Times New Roman" w:eastAsia="宋体" w:cs="Times New Roman"/>
          <w:bCs/>
          <w:color w:val="auto"/>
          <w:sz w:val="21"/>
          <w:szCs w:val="21"/>
          <w:highlight w:val="none"/>
          <w:lang w:eastAsia="zh-CN"/>
        </w:rPr>
        <w:t>采购文件公示时间：</w:t>
      </w:r>
      <w:r>
        <w:rPr>
          <w:rFonts w:hint="eastAsia" w:cs="Times New Roman"/>
          <w:bCs/>
          <w:color w:val="auto"/>
          <w:sz w:val="21"/>
          <w:szCs w:val="21"/>
          <w:highlight w:val="none"/>
          <w:lang w:eastAsia="zh-CN"/>
        </w:rPr>
        <w:t>2023年</w:t>
      </w:r>
      <w:r>
        <w:rPr>
          <w:rFonts w:hint="eastAsia" w:cs="Times New Roman"/>
          <w:bCs/>
          <w:color w:val="auto"/>
          <w:sz w:val="21"/>
          <w:szCs w:val="21"/>
          <w:highlight w:val="none"/>
          <w:lang w:val="en-US" w:eastAsia="zh-CN"/>
        </w:rPr>
        <w:t>5月11日至2023年5月16日</w:t>
      </w:r>
      <w:r>
        <w:rPr>
          <w:rFonts w:hint="eastAsia" w:ascii="宋体" w:hAnsi="Times New Roman" w:eastAsia="宋体" w:cs="Times New Roman"/>
          <w:bCs/>
          <w:color w:val="auto"/>
          <w:sz w:val="21"/>
          <w:szCs w:val="21"/>
          <w:highlight w:val="none"/>
          <w:lang w:eastAsia="zh-CN"/>
        </w:rPr>
        <w:t>。</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2、</w:t>
      </w:r>
      <w:r>
        <w:rPr>
          <w:rFonts w:hint="eastAsia" w:ascii="宋体" w:hAnsi="Times New Roman" w:eastAsia="宋体" w:cs="Times New Roman"/>
          <w:bCs/>
          <w:color w:val="auto"/>
          <w:sz w:val="21"/>
          <w:szCs w:val="21"/>
          <w:highlight w:val="none"/>
          <w:lang w:eastAsia="zh-CN"/>
        </w:rPr>
        <w:t>获取采购文件时间：</w:t>
      </w:r>
      <w:r>
        <w:rPr>
          <w:rFonts w:hint="eastAsia" w:cs="Times New Roman"/>
          <w:bCs/>
          <w:color w:val="auto"/>
          <w:sz w:val="21"/>
          <w:szCs w:val="21"/>
          <w:highlight w:val="none"/>
          <w:lang w:eastAsia="zh-CN"/>
        </w:rPr>
        <w:t>2023年</w:t>
      </w:r>
      <w:r>
        <w:rPr>
          <w:rFonts w:hint="eastAsia" w:cs="Times New Roman"/>
          <w:bCs/>
          <w:color w:val="auto"/>
          <w:sz w:val="21"/>
          <w:szCs w:val="21"/>
          <w:highlight w:val="none"/>
          <w:lang w:val="en-US" w:eastAsia="zh-CN"/>
        </w:rPr>
        <w:t>5月11日至2023年5月16日</w:t>
      </w:r>
      <w:r>
        <w:rPr>
          <w:rFonts w:hint="eastAsia" w:ascii="宋体" w:hAnsi="Times New Roman" w:eastAsia="宋体" w:cs="Times New Roman"/>
          <w:bCs/>
          <w:color w:val="auto"/>
          <w:sz w:val="21"/>
          <w:szCs w:val="21"/>
          <w:highlight w:val="none"/>
          <w:lang w:eastAsia="zh-CN"/>
        </w:rPr>
        <w:t>（</w:t>
      </w:r>
      <w:r>
        <w:rPr>
          <w:rFonts w:hint="eastAsia" w:ascii="宋体" w:hAnsi="Times New Roman" w:eastAsia="宋体" w:cs="Times New Roman"/>
          <w:bCs/>
          <w:color w:val="auto"/>
          <w:sz w:val="21"/>
          <w:szCs w:val="21"/>
          <w:highlight w:val="none"/>
          <w:lang w:val="en-US" w:eastAsia="zh-CN"/>
        </w:rPr>
        <w:t>节假日除外</w:t>
      </w:r>
      <w:r>
        <w:rPr>
          <w:rFonts w:hint="eastAsia" w:ascii="宋体" w:hAnsi="Times New Roman" w:eastAsia="宋体" w:cs="Times New Roman"/>
          <w:bCs/>
          <w:color w:val="auto"/>
          <w:sz w:val="21"/>
          <w:szCs w:val="21"/>
          <w:highlight w:val="none"/>
          <w:lang w:eastAsia="zh-CN"/>
        </w:rPr>
        <w:t>），上午9：00～12：00，下午14：30～17：30（</w:t>
      </w:r>
      <w:r>
        <w:rPr>
          <w:rFonts w:hint="eastAsia" w:ascii="宋体" w:hAnsi="Times New Roman" w:eastAsia="宋体" w:cs="Times New Roman"/>
          <w:bCs/>
          <w:color w:val="auto"/>
          <w:sz w:val="21"/>
          <w:szCs w:val="21"/>
          <w:highlight w:val="none"/>
          <w:lang w:val="en-US" w:eastAsia="zh-CN"/>
        </w:rPr>
        <w:t>北京时间</w:t>
      </w:r>
      <w:r>
        <w:rPr>
          <w:rFonts w:hint="eastAsia" w:ascii="宋体" w:hAnsi="Times New Roman" w:eastAsia="宋体" w:cs="Times New Roman"/>
          <w:bCs/>
          <w:color w:val="auto"/>
          <w:sz w:val="21"/>
          <w:szCs w:val="21"/>
          <w:highlight w:val="none"/>
          <w:lang w:eastAsia="zh-CN"/>
        </w:rPr>
        <w:t>）。</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3、</w:t>
      </w:r>
      <w:r>
        <w:rPr>
          <w:rFonts w:hint="eastAsia" w:ascii="宋体" w:hAnsi="Times New Roman" w:eastAsia="宋体" w:cs="Times New Roman"/>
          <w:bCs/>
          <w:color w:val="auto"/>
          <w:sz w:val="21"/>
          <w:szCs w:val="21"/>
          <w:highlight w:val="none"/>
          <w:lang w:eastAsia="zh-CN"/>
        </w:rPr>
        <w:t>获取采购文件地点及联系方式：</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地址：东莞市南城街道鸿福路199号（市民服务中心）411室。</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联系人：简海欣，联系电话：0769-22881803。</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4、</w:t>
      </w:r>
      <w:r>
        <w:rPr>
          <w:rFonts w:hint="eastAsia" w:ascii="宋体" w:hAnsi="Times New Roman" w:eastAsia="宋体" w:cs="Times New Roman"/>
          <w:bCs/>
          <w:color w:val="auto"/>
          <w:sz w:val="21"/>
          <w:szCs w:val="21"/>
          <w:highlight w:val="none"/>
          <w:lang w:eastAsia="zh-CN"/>
        </w:rPr>
        <w:t>领购方式：现场领购。</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谈判响应人在领购招标文件时建议提供如下证明材料：《营业执照》复印件（加盖公章）或《事业单位法人证书》复印件（加盖公章）或其他主体证书复印件（加盖公章），自然人参加</w:t>
      </w:r>
      <w:r>
        <w:rPr>
          <w:rFonts w:hint="eastAsia" w:cs="Times New Roman"/>
          <w:bCs/>
          <w:color w:val="auto"/>
          <w:sz w:val="21"/>
          <w:szCs w:val="21"/>
          <w:highlight w:val="none"/>
          <w:lang w:eastAsia="zh-CN"/>
        </w:rPr>
        <w:t>响应</w:t>
      </w:r>
      <w:r>
        <w:rPr>
          <w:rFonts w:hint="eastAsia" w:ascii="宋体" w:hAnsi="Times New Roman" w:eastAsia="宋体" w:cs="Times New Roman"/>
          <w:bCs/>
          <w:color w:val="auto"/>
          <w:sz w:val="21"/>
          <w:szCs w:val="21"/>
          <w:highlight w:val="none"/>
          <w:lang w:eastAsia="zh-CN"/>
        </w:rPr>
        <w:t>须提供自然人的身份证明材料。</w:t>
      </w:r>
      <w:bookmarkStart w:id="86" w:name="_GoBack"/>
      <w:bookmarkEnd w:id="86"/>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eastAsia="zh-CN"/>
        </w:rPr>
        <w:t>采购文件售价：每套人民币</w:t>
      </w:r>
      <w:r>
        <w:rPr>
          <w:rFonts w:hint="eastAsia" w:ascii="宋体" w:hAnsi="Times New Roman" w:eastAsia="宋体" w:cs="Times New Roman"/>
          <w:bCs/>
          <w:color w:val="auto"/>
          <w:sz w:val="21"/>
          <w:szCs w:val="21"/>
          <w:highlight w:val="none"/>
          <w:lang w:val="en-US" w:eastAsia="zh-CN"/>
        </w:rPr>
        <w:t>300</w:t>
      </w:r>
      <w:r>
        <w:rPr>
          <w:rFonts w:hint="eastAsia" w:ascii="宋体" w:hAnsi="Times New Roman" w:eastAsia="宋体" w:cs="Times New Roman"/>
          <w:bCs/>
          <w:color w:val="auto"/>
          <w:sz w:val="21"/>
          <w:szCs w:val="21"/>
          <w:highlight w:val="none"/>
          <w:lang w:eastAsia="zh-CN"/>
        </w:rPr>
        <w:t>元。（</w:t>
      </w:r>
      <w:r>
        <w:rPr>
          <w:rFonts w:hint="eastAsia" w:ascii="宋体" w:hAnsi="Times New Roman" w:eastAsia="宋体" w:cs="Times New Roman"/>
          <w:bCs/>
          <w:color w:val="auto"/>
          <w:sz w:val="21"/>
          <w:szCs w:val="21"/>
          <w:highlight w:val="none"/>
          <w:lang w:val="en-US" w:eastAsia="zh-CN"/>
        </w:rPr>
        <w:t>采购</w:t>
      </w:r>
      <w:r>
        <w:rPr>
          <w:rFonts w:hint="eastAsia" w:ascii="宋体" w:hAnsi="Times New Roman" w:eastAsia="宋体" w:cs="Times New Roman"/>
          <w:bCs/>
          <w:color w:val="auto"/>
          <w:sz w:val="21"/>
          <w:szCs w:val="21"/>
          <w:highlight w:val="none"/>
          <w:lang w:eastAsia="zh-CN"/>
        </w:rPr>
        <w:t>文件自行在指定的信息发布网站上下载）</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5、</w:t>
      </w:r>
      <w:r>
        <w:rPr>
          <w:rFonts w:hint="eastAsia" w:ascii="宋体" w:hAnsi="Times New Roman" w:eastAsia="宋体" w:cs="Times New Roman"/>
          <w:bCs/>
          <w:color w:val="auto"/>
          <w:sz w:val="21"/>
          <w:szCs w:val="21"/>
          <w:highlight w:val="none"/>
          <w:lang w:eastAsia="zh-CN"/>
        </w:rPr>
        <w:t>购买了采购文件，而不参加的谈判响应人，请在递交谈判响应文件截止时间日期三日前以纸质版形式通知采购代理机构。</w:t>
      </w:r>
    </w:p>
    <w:p>
      <w:pPr>
        <w:widowControl/>
        <w:tabs>
          <w:tab w:val="left" w:pos="-360"/>
        </w:tabs>
        <w:adjustRightInd/>
        <w:spacing w:line="360" w:lineRule="auto"/>
        <w:ind w:right="-34" w:firstLine="420" w:firstLineChars="200"/>
        <w:jc w:val="both"/>
        <w:textAlignment w:val="bottom"/>
        <w:rPr>
          <w:rFonts w:hint="eastAsia" w:ascii="宋体" w:hAnsi="Times New Roman" w:eastAsia="宋体" w:cs="Times New Roman"/>
          <w:bCs/>
          <w:color w:val="auto"/>
          <w:sz w:val="21"/>
          <w:szCs w:val="21"/>
          <w:highlight w:val="none"/>
          <w:lang w:eastAsia="zh-CN"/>
        </w:rPr>
      </w:pPr>
      <w:r>
        <w:rPr>
          <w:rFonts w:hint="eastAsia" w:ascii="宋体" w:hAnsi="Times New Roman" w:eastAsia="宋体" w:cs="Times New Roman"/>
          <w:bCs/>
          <w:color w:val="auto"/>
          <w:sz w:val="21"/>
          <w:szCs w:val="21"/>
          <w:highlight w:val="none"/>
          <w:lang w:val="en-US" w:eastAsia="zh-CN"/>
        </w:rPr>
        <w:t>6、</w:t>
      </w:r>
      <w:r>
        <w:rPr>
          <w:rFonts w:hint="eastAsia" w:ascii="宋体" w:hAnsi="Times New Roman" w:eastAsia="宋体" w:cs="Times New Roman"/>
          <w:bCs/>
          <w:color w:val="auto"/>
          <w:sz w:val="21"/>
          <w:szCs w:val="21"/>
          <w:highlight w:val="none"/>
          <w:lang w:eastAsia="zh-CN"/>
        </w:rPr>
        <w:t>如谈判供应商对采购文件内的条款有异议的，请于规定时间内</w:t>
      </w:r>
      <w:r>
        <w:rPr>
          <w:rFonts w:hint="eastAsia" w:cs="Times New Roman"/>
          <w:bCs/>
          <w:color w:val="auto"/>
          <w:sz w:val="21"/>
          <w:szCs w:val="21"/>
          <w:highlight w:val="none"/>
          <w:lang w:eastAsia="zh-CN"/>
        </w:rPr>
        <w:t>响应</w:t>
      </w:r>
      <w:r>
        <w:rPr>
          <w:rFonts w:hint="eastAsia" w:ascii="宋体" w:hAnsi="Times New Roman" w:eastAsia="宋体" w:cs="Times New Roman"/>
          <w:bCs/>
          <w:color w:val="auto"/>
          <w:sz w:val="21"/>
          <w:szCs w:val="21"/>
          <w:highlight w:val="none"/>
          <w:lang w:eastAsia="zh-CN"/>
        </w:rPr>
        <w:t>截止前向采购代理机构提出，逾期不予受理。</w:t>
      </w:r>
    </w:p>
    <w:p>
      <w:pPr>
        <w:widowControl/>
        <w:tabs>
          <w:tab w:val="left" w:pos="-360"/>
        </w:tabs>
        <w:adjustRightInd/>
        <w:spacing w:line="360" w:lineRule="auto"/>
        <w:ind w:right="-34"/>
        <w:jc w:val="both"/>
        <w:textAlignment w:val="bottom"/>
        <w:rPr>
          <w:bCs/>
          <w:color w:val="auto"/>
          <w:sz w:val="21"/>
          <w:szCs w:val="21"/>
          <w:highlight w:val="none"/>
        </w:rPr>
      </w:pPr>
    </w:p>
    <w:p>
      <w:pPr>
        <w:widowControl/>
        <w:numPr>
          <w:ilvl w:val="0"/>
          <w:numId w:val="1"/>
        </w:numPr>
        <w:tabs>
          <w:tab w:val="left" w:pos="-360"/>
        </w:tabs>
        <w:adjustRightInd/>
        <w:spacing w:line="360" w:lineRule="auto"/>
        <w:ind w:right="-34"/>
        <w:jc w:val="both"/>
        <w:textAlignment w:val="bottom"/>
        <w:rPr>
          <w:bCs/>
          <w:color w:val="auto"/>
          <w:sz w:val="21"/>
          <w:szCs w:val="21"/>
          <w:highlight w:val="none"/>
        </w:rPr>
      </w:pPr>
      <w:r>
        <w:rPr>
          <w:rFonts w:hint="eastAsia"/>
          <w:bCs/>
          <w:color w:val="auto"/>
          <w:sz w:val="21"/>
          <w:szCs w:val="21"/>
          <w:highlight w:val="none"/>
        </w:rPr>
        <w:t>递交谈判响应文件时间、开标时间及地址：</w:t>
      </w:r>
    </w:p>
    <w:p>
      <w:pPr>
        <w:widowControl/>
        <w:tabs>
          <w:tab w:val="left" w:pos="-360"/>
        </w:tabs>
        <w:adjustRightInd/>
        <w:spacing w:line="360" w:lineRule="auto"/>
        <w:ind w:left="450" w:right="-34"/>
        <w:jc w:val="both"/>
        <w:textAlignment w:val="bottom"/>
        <w:rPr>
          <w:bCs/>
          <w:color w:val="auto"/>
          <w:sz w:val="21"/>
          <w:szCs w:val="21"/>
          <w:highlight w:val="none"/>
        </w:rPr>
      </w:pPr>
      <w:r>
        <w:rPr>
          <w:rFonts w:hint="eastAsia"/>
          <w:bCs/>
          <w:color w:val="auto"/>
          <w:sz w:val="21"/>
          <w:szCs w:val="21"/>
          <w:highlight w:val="none"/>
        </w:rPr>
        <w:t>1、递交谈判响应文件时间：</w:t>
      </w:r>
      <w:r>
        <w:rPr>
          <w:rFonts w:hint="eastAsia"/>
          <w:bCs/>
          <w:color w:val="auto"/>
          <w:sz w:val="21"/>
          <w:szCs w:val="21"/>
          <w:highlight w:val="none"/>
          <w:lang w:eastAsia="zh-CN"/>
        </w:rPr>
        <w:t>2023年</w:t>
      </w:r>
      <w:r>
        <w:rPr>
          <w:rFonts w:hint="eastAsia"/>
          <w:bCs/>
          <w:color w:val="auto"/>
          <w:sz w:val="21"/>
          <w:szCs w:val="21"/>
          <w:highlight w:val="none"/>
          <w:lang w:val="en-US" w:eastAsia="zh-CN"/>
        </w:rPr>
        <w:t>5月17日上</w:t>
      </w:r>
      <w:r>
        <w:rPr>
          <w:rFonts w:hint="eastAsia"/>
          <w:bCs/>
          <w:color w:val="auto"/>
          <w:sz w:val="21"/>
          <w:szCs w:val="21"/>
          <w:highlight w:val="none"/>
        </w:rPr>
        <w:t>午</w:t>
      </w:r>
      <w:r>
        <w:rPr>
          <w:rFonts w:hint="eastAsia"/>
          <w:bCs/>
          <w:color w:val="auto"/>
          <w:sz w:val="21"/>
          <w:szCs w:val="21"/>
          <w:highlight w:val="none"/>
          <w:lang w:val="en-US" w:eastAsia="zh-CN"/>
        </w:rPr>
        <w:t>10</w:t>
      </w:r>
      <w:r>
        <w:rPr>
          <w:rFonts w:hint="eastAsia"/>
          <w:bCs/>
          <w:color w:val="auto"/>
          <w:sz w:val="21"/>
          <w:szCs w:val="21"/>
          <w:highlight w:val="none"/>
        </w:rPr>
        <w:t>:</w:t>
      </w:r>
      <w:r>
        <w:rPr>
          <w:rFonts w:hint="eastAsia"/>
          <w:bCs/>
          <w:color w:val="auto"/>
          <w:sz w:val="21"/>
          <w:szCs w:val="21"/>
          <w:highlight w:val="none"/>
          <w:lang w:val="en-US" w:eastAsia="zh-CN"/>
        </w:rPr>
        <w:t>00</w:t>
      </w:r>
      <w:r>
        <w:rPr>
          <w:rFonts w:hint="eastAsia" w:ascii="宋体" w:hAnsi="Times New Roman" w:eastAsia="宋体" w:cs="Times New Roman"/>
          <w:bCs/>
          <w:color w:val="auto"/>
          <w:sz w:val="21"/>
          <w:szCs w:val="21"/>
          <w:highlight w:val="none"/>
          <w:lang w:eastAsia="zh-CN"/>
        </w:rPr>
        <w:t>～</w:t>
      </w:r>
      <w:r>
        <w:rPr>
          <w:rFonts w:hint="eastAsia"/>
          <w:bCs/>
          <w:color w:val="auto"/>
          <w:sz w:val="21"/>
          <w:szCs w:val="21"/>
          <w:highlight w:val="none"/>
          <w:lang w:val="en-US" w:eastAsia="zh-CN"/>
        </w:rPr>
        <w:t>10:3</w:t>
      </w:r>
      <w:r>
        <w:rPr>
          <w:rFonts w:hint="eastAsia"/>
          <w:bCs/>
          <w:color w:val="auto"/>
          <w:sz w:val="21"/>
          <w:szCs w:val="21"/>
          <w:highlight w:val="none"/>
        </w:rPr>
        <w:t>0（北京时间）</w:t>
      </w:r>
    </w:p>
    <w:p>
      <w:pPr>
        <w:widowControl/>
        <w:tabs>
          <w:tab w:val="left" w:pos="-360"/>
        </w:tabs>
        <w:adjustRightInd/>
        <w:spacing w:line="360" w:lineRule="auto"/>
        <w:ind w:left="450" w:right="-34"/>
        <w:jc w:val="both"/>
        <w:textAlignment w:val="bottom"/>
        <w:rPr>
          <w:bCs/>
          <w:color w:val="auto"/>
          <w:sz w:val="21"/>
          <w:szCs w:val="21"/>
          <w:highlight w:val="none"/>
        </w:rPr>
      </w:pPr>
      <w:r>
        <w:rPr>
          <w:rFonts w:hint="eastAsia"/>
          <w:bCs/>
          <w:color w:val="auto"/>
          <w:sz w:val="21"/>
          <w:szCs w:val="21"/>
          <w:highlight w:val="none"/>
        </w:rPr>
        <w:t>2、递交谈判响应文件截止时间：</w:t>
      </w:r>
      <w:r>
        <w:rPr>
          <w:rFonts w:hint="eastAsia"/>
          <w:bCs/>
          <w:color w:val="auto"/>
          <w:sz w:val="21"/>
          <w:szCs w:val="21"/>
          <w:highlight w:val="none"/>
          <w:lang w:eastAsia="zh-CN"/>
        </w:rPr>
        <w:t>2023年</w:t>
      </w:r>
      <w:r>
        <w:rPr>
          <w:rFonts w:hint="eastAsia"/>
          <w:bCs/>
          <w:color w:val="auto"/>
          <w:sz w:val="21"/>
          <w:szCs w:val="21"/>
          <w:highlight w:val="none"/>
          <w:lang w:val="en-US" w:eastAsia="zh-CN"/>
        </w:rPr>
        <w:t>5月17日下</w:t>
      </w:r>
      <w:r>
        <w:rPr>
          <w:rFonts w:hint="eastAsia"/>
          <w:bCs/>
          <w:color w:val="auto"/>
          <w:sz w:val="21"/>
          <w:szCs w:val="21"/>
          <w:highlight w:val="none"/>
        </w:rPr>
        <w:t>午</w:t>
      </w:r>
      <w:r>
        <w:rPr>
          <w:rFonts w:hint="eastAsia"/>
          <w:bCs/>
          <w:color w:val="auto"/>
          <w:sz w:val="21"/>
          <w:szCs w:val="21"/>
          <w:highlight w:val="none"/>
          <w:lang w:val="en-US" w:eastAsia="zh-CN"/>
        </w:rPr>
        <w:t>10:3</w:t>
      </w:r>
      <w:r>
        <w:rPr>
          <w:rFonts w:hint="eastAsia"/>
          <w:bCs/>
          <w:color w:val="auto"/>
          <w:sz w:val="21"/>
          <w:szCs w:val="21"/>
          <w:highlight w:val="none"/>
        </w:rPr>
        <w:t>0（北京时间）</w:t>
      </w:r>
    </w:p>
    <w:p>
      <w:pPr>
        <w:widowControl/>
        <w:tabs>
          <w:tab w:val="left" w:pos="-360"/>
        </w:tabs>
        <w:adjustRightInd/>
        <w:spacing w:line="360" w:lineRule="auto"/>
        <w:ind w:left="450" w:right="-34"/>
        <w:jc w:val="both"/>
        <w:textAlignment w:val="bottom"/>
        <w:rPr>
          <w:bCs/>
          <w:color w:val="auto"/>
          <w:sz w:val="21"/>
          <w:szCs w:val="21"/>
          <w:highlight w:val="none"/>
        </w:rPr>
      </w:pPr>
      <w:r>
        <w:rPr>
          <w:rFonts w:hint="eastAsia"/>
          <w:bCs/>
          <w:color w:val="auto"/>
          <w:sz w:val="21"/>
          <w:szCs w:val="21"/>
          <w:highlight w:val="none"/>
        </w:rPr>
        <w:t>3、递交谈判响应文件及开标地址：</w:t>
      </w:r>
      <w:r>
        <w:rPr>
          <w:rFonts w:hint="eastAsia" w:hAnsi="宋体"/>
          <w:color w:val="auto"/>
          <w:sz w:val="21"/>
          <w:szCs w:val="21"/>
          <w:highlight w:val="none"/>
          <w:lang w:eastAsia="zh-CN"/>
        </w:rPr>
        <w:t>东莞市南城街道鸿福路199号（市民服务中心）411室</w:t>
      </w:r>
      <w:r>
        <w:rPr>
          <w:rFonts w:hint="eastAsia"/>
          <w:bCs/>
          <w:color w:val="auto"/>
          <w:sz w:val="21"/>
          <w:szCs w:val="21"/>
          <w:highlight w:val="none"/>
        </w:rPr>
        <w:t>。</w:t>
      </w:r>
    </w:p>
    <w:p>
      <w:pPr>
        <w:widowControl/>
        <w:tabs>
          <w:tab w:val="left" w:pos="-360"/>
        </w:tabs>
        <w:adjustRightInd/>
        <w:spacing w:line="360" w:lineRule="auto"/>
        <w:ind w:right="-34"/>
        <w:jc w:val="both"/>
        <w:textAlignment w:val="bottom"/>
        <w:rPr>
          <w:bCs/>
          <w:color w:val="auto"/>
          <w:sz w:val="21"/>
          <w:szCs w:val="21"/>
          <w:highlight w:val="none"/>
        </w:rPr>
      </w:pPr>
      <w:bookmarkStart w:id="3" w:name="_Toc396137230"/>
    </w:p>
    <w:p>
      <w:pPr>
        <w:widowControl/>
        <w:numPr>
          <w:ilvl w:val="0"/>
          <w:numId w:val="1"/>
        </w:numPr>
        <w:tabs>
          <w:tab w:val="left" w:pos="-360"/>
        </w:tabs>
        <w:adjustRightInd/>
        <w:spacing w:line="360" w:lineRule="auto"/>
        <w:ind w:right="-34"/>
        <w:jc w:val="both"/>
        <w:textAlignment w:val="bottom"/>
        <w:rPr>
          <w:bCs/>
          <w:color w:val="auto"/>
          <w:sz w:val="21"/>
          <w:szCs w:val="21"/>
          <w:highlight w:val="none"/>
        </w:rPr>
      </w:pPr>
      <w:r>
        <w:rPr>
          <w:rFonts w:hint="eastAsia"/>
          <w:bCs/>
          <w:color w:val="auto"/>
          <w:sz w:val="21"/>
          <w:szCs w:val="21"/>
          <w:highlight w:val="none"/>
        </w:rPr>
        <w:t>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采购人联系人：方小姐</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地址：东莞市松山湖园区新城路5号道弘·龙怡智谷</w:t>
      </w:r>
      <w:r>
        <w:rPr>
          <w:rFonts w:hint="eastAsia" w:ascii="宋体" w:hAnsi="宋体"/>
          <w:bCs/>
          <w:color w:val="auto"/>
          <w:sz w:val="21"/>
          <w:szCs w:val="21"/>
          <w:highlight w:val="none"/>
          <w:lang w:val="en-US" w:eastAsia="zh-CN"/>
        </w:rPr>
        <w:t>A</w:t>
      </w:r>
      <w:r>
        <w:rPr>
          <w:rFonts w:hint="eastAsia" w:ascii="宋体" w:hAnsi="宋体" w:eastAsia="宋体"/>
          <w:bCs/>
          <w:color w:val="auto"/>
          <w:sz w:val="21"/>
          <w:szCs w:val="21"/>
          <w:highlight w:val="none"/>
        </w:rPr>
        <w:t>栋</w:t>
      </w:r>
      <w:r>
        <w:rPr>
          <w:rFonts w:hint="eastAsia" w:ascii="宋体" w:hAnsi="宋体"/>
          <w:bCs/>
          <w:color w:val="auto"/>
          <w:sz w:val="21"/>
          <w:szCs w:val="21"/>
          <w:highlight w:val="none"/>
          <w:lang w:val="en-US" w:eastAsia="zh-CN"/>
        </w:rPr>
        <w:t>6</w:t>
      </w:r>
      <w:r>
        <w:rPr>
          <w:rFonts w:hint="eastAsia" w:ascii="宋体" w:hAnsi="宋体" w:eastAsia="宋体"/>
          <w:bCs/>
          <w:color w:val="auto"/>
          <w:sz w:val="21"/>
          <w:szCs w:val="21"/>
          <w:highlight w:val="none"/>
        </w:rPr>
        <w:t>楼</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联系电话：0769-22899838</w:t>
      </w:r>
    </w:p>
    <w:p>
      <w:pPr>
        <w:spacing w:line="360" w:lineRule="auto"/>
        <w:ind w:firstLine="420" w:firstLineChars="200"/>
        <w:rPr>
          <w:bCs/>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pStyle w:val="8"/>
        <w:rPr>
          <w:color w:val="auto"/>
          <w:highlight w:val="none"/>
        </w:rPr>
      </w:pPr>
    </w:p>
    <w:p>
      <w:pPr>
        <w:spacing w:line="360" w:lineRule="auto"/>
        <w:ind w:right="859" w:rightChars="358"/>
        <w:jc w:val="right"/>
        <w:rPr>
          <w:rFonts w:hint="eastAsia" w:eastAsia="宋体" w:cs="宋体"/>
          <w:bCs/>
          <w:color w:val="auto"/>
          <w:sz w:val="21"/>
          <w:szCs w:val="21"/>
          <w:highlight w:val="none"/>
          <w:lang w:eastAsia="zh-CN"/>
        </w:rPr>
      </w:pPr>
      <w:bookmarkStart w:id="4" w:name="_Toc413402428"/>
      <w:bookmarkStart w:id="5" w:name="_Toc508723457"/>
      <w:r>
        <w:rPr>
          <w:rFonts w:hint="eastAsia" w:cs="宋体"/>
          <w:bCs/>
          <w:color w:val="auto"/>
          <w:sz w:val="21"/>
          <w:szCs w:val="21"/>
          <w:highlight w:val="none"/>
        </w:rPr>
        <w:t xml:space="preserve"> </w:t>
      </w:r>
      <w:r>
        <w:rPr>
          <w:rFonts w:hint="eastAsia" w:cs="宋体"/>
          <w:bCs/>
          <w:color w:val="auto"/>
          <w:sz w:val="21"/>
          <w:szCs w:val="21"/>
          <w:highlight w:val="none"/>
          <w:lang w:eastAsia="zh-CN"/>
        </w:rPr>
        <w:t>广东政通招标有限公司</w:t>
      </w:r>
    </w:p>
    <w:p>
      <w:pPr>
        <w:spacing w:line="360" w:lineRule="auto"/>
        <w:ind w:right="859" w:rightChars="358"/>
        <w:jc w:val="right"/>
        <w:rPr>
          <w:rFonts w:cs="宋体"/>
          <w:bCs/>
          <w:color w:val="auto"/>
          <w:sz w:val="21"/>
          <w:szCs w:val="21"/>
          <w:highlight w:val="none"/>
        </w:rPr>
      </w:pPr>
      <w:r>
        <w:rPr>
          <w:rFonts w:hint="eastAsia" w:cs="宋体"/>
          <w:bCs/>
          <w:color w:val="auto"/>
          <w:sz w:val="21"/>
          <w:szCs w:val="21"/>
          <w:highlight w:val="none"/>
          <w:lang w:eastAsia="zh-CN"/>
        </w:rPr>
        <w:t>2023年</w:t>
      </w:r>
      <w:r>
        <w:rPr>
          <w:rFonts w:hint="eastAsia" w:cs="宋体"/>
          <w:bCs/>
          <w:color w:val="auto"/>
          <w:sz w:val="21"/>
          <w:szCs w:val="21"/>
          <w:highlight w:val="none"/>
          <w:lang w:val="en-US" w:eastAsia="zh-CN"/>
        </w:rPr>
        <w:t>5</w:t>
      </w:r>
      <w:r>
        <w:rPr>
          <w:rFonts w:hint="eastAsia" w:cs="宋体"/>
          <w:bCs/>
          <w:color w:val="auto"/>
          <w:sz w:val="21"/>
          <w:szCs w:val="21"/>
          <w:highlight w:val="none"/>
        </w:rPr>
        <w:t>月</w:t>
      </w:r>
    </w:p>
    <w:p>
      <w:pPr>
        <w:ind w:right="859" w:rightChars="358"/>
        <w:jc w:val="center"/>
        <w:rPr>
          <w:bCs/>
          <w:color w:val="auto"/>
          <w:kern w:val="44"/>
          <w:sz w:val="32"/>
          <w:szCs w:val="28"/>
          <w:highlight w:val="none"/>
          <w:lang w:val="zh-CN"/>
        </w:rPr>
      </w:pPr>
      <w:r>
        <w:rPr>
          <w:rFonts w:hint="eastAsia" w:cs="宋体"/>
          <w:bCs/>
          <w:color w:val="auto"/>
          <w:sz w:val="21"/>
          <w:szCs w:val="21"/>
          <w:highlight w:val="none"/>
        </w:rPr>
        <w:br w:type="page"/>
      </w:r>
      <w:r>
        <w:rPr>
          <w:rFonts w:hint="eastAsia"/>
          <w:b/>
          <w:color w:val="auto"/>
          <w:kern w:val="44"/>
          <w:sz w:val="32"/>
          <w:szCs w:val="28"/>
          <w:highlight w:val="none"/>
          <w:lang w:val="zh-CN"/>
        </w:rPr>
        <w:t>第二章   谈判供应商须知</w:t>
      </w:r>
      <w:bookmarkEnd w:id="3"/>
      <w:bookmarkEnd w:id="4"/>
      <w:bookmarkEnd w:id="5"/>
    </w:p>
    <w:p>
      <w:pPr>
        <w:pStyle w:val="3"/>
        <w:spacing w:line="360" w:lineRule="auto"/>
        <w:rPr>
          <w:bCs/>
          <w:color w:val="auto"/>
          <w:kern w:val="44"/>
          <w:highlight w:val="none"/>
          <w:lang w:val="zh-CN"/>
        </w:rPr>
      </w:pPr>
      <w:bookmarkStart w:id="6" w:name="_Toc508723458"/>
      <w:bookmarkStart w:id="7" w:name="_Toc396137231"/>
      <w:bookmarkStart w:id="8" w:name="_Toc413402429"/>
      <w:r>
        <w:rPr>
          <w:rFonts w:hint="eastAsia"/>
          <w:bCs/>
          <w:color w:val="auto"/>
          <w:kern w:val="44"/>
          <w:highlight w:val="none"/>
          <w:lang w:val="zh-CN"/>
        </w:rPr>
        <w:t>一、</w:t>
      </w:r>
      <w:r>
        <w:rPr>
          <w:rFonts w:hint="eastAsia"/>
          <w:bCs/>
          <w:color w:val="auto"/>
          <w:kern w:val="44"/>
          <w:highlight w:val="none"/>
          <w:lang w:val="en-US" w:eastAsia="zh-CN"/>
        </w:rPr>
        <w:t>响应</w:t>
      </w:r>
      <w:r>
        <w:rPr>
          <w:rFonts w:hint="eastAsia"/>
          <w:bCs/>
          <w:color w:val="auto"/>
          <w:kern w:val="44"/>
          <w:highlight w:val="none"/>
          <w:lang w:val="zh-CN"/>
        </w:rPr>
        <w:t>资料表</w:t>
      </w:r>
      <w:bookmarkEnd w:id="6"/>
      <w:bookmarkEnd w:id="7"/>
      <w:bookmarkEnd w:id="8"/>
    </w:p>
    <w:tbl>
      <w:tblPr>
        <w:tblStyle w:val="18"/>
        <w:tblW w:w="8922"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531"/>
        <w:gridCol w:w="77"/>
        <w:gridCol w:w="1158"/>
        <w:gridCol w:w="1455"/>
        <w:gridCol w:w="2823"/>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bookmarkStart w:id="9" w:name="_Toc413402430"/>
            <w:bookmarkStart w:id="10" w:name="_Toc396137232"/>
            <w:bookmarkStart w:id="11" w:name="_Toc508723460"/>
            <w:r>
              <w:rPr>
                <w:rFonts w:hint="eastAsia" w:ascii="宋体" w:hAnsi="宋体" w:eastAsia="宋体" w:cs="宋体"/>
                <w:color w:val="auto"/>
                <w:sz w:val="21"/>
                <w:szCs w:val="21"/>
                <w:highlight w:val="none"/>
              </w:rPr>
              <w:t>序号</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922" w:type="dxa"/>
            <w:gridSpan w:val="6"/>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w:t>
            </w:r>
            <w:r>
              <w:rPr>
                <w:rFonts w:hint="eastAsia" w:ascii="宋体" w:hAnsi="宋体" w:eastAsia="宋体" w:cs="宋体"/>
                <w:color w:val="auto"/>
                <w:sz w:val="21"/>
                <w:szCs w:val="21"/>
                <w:highlight w:val="none"/>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53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政通招标网</w:t>
            </w:r>
          </w:p>
        </w:tc>
        <w:tc>
          <w:tcPr>
            <w:tcW w:w="2690"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东莞市能源投资集团有限公司网站</w:t>
            </w:r>
          </w:p>
        </w:tc>
        <w:tc>
          <w:tcPr>
            <w:tcW w:w="282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中国招标投标公共服务平台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74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53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http://www.zttendering.com/</w:t>
            </w:r>
          </w:p>
        </w:tc>
        <w:tc>
          <w:tcPr>
            <w:tcW w:w="2690"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http://www.dg-energy.com/</w:t>
            </w:r>
          </w:p>
        </w:tc>
        <w:tc>
          <w:tcPr>
            <w:tcW w:w="2823"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http://www.cebpubservice.com</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575" w:hRule="atLeast"/>
        </w:trPr>
        <w:tc>
          <w:tcPr>
            <w:tcW w:w="8922" w:type="dxa"/>
            <w:gridSpan w:val="6"/>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90"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25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详见响应须知。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样品</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如有</w:t>
            </w:r>
            <w:r>
              <w:rPr>
                <w:rFonts w:hint="eastAsia" w:ascii="宋体" w:hAnsi="宋体" w:eastAsia="宋体" w:cs="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“●”为核心产品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本项目无核心产品</w:t>
            </w:r>
            <w:r>
              <w:rPr>
                <w:rFonts w:hint="eastAsia" w:ascii="宋体" w:hAnsi="宋体" w:eastAsia="宋体" w:cs="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044"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lang w:val="en-US" w:eastAsia="zh-CN"/>
              </w:rPr>
              <w:t>谈判</w:t>
            </w:r>
            <w:r>
              <w:rPr>
                <w:rFonts w:hint="eastAsia" w:ascii="宋体" w:hAnsi="宋体" w:eastAsia="宋体" w:cs="宋体"/>
                <w:b/>
                <w:color w:val="auto"/>
                <w:sz w:val="21"/>
                <w:szCs w:val="21"/>
                <w:highlight w:val="none"/>
              </w:rPr>
              <w:t>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val="0"/>
                <w:bCs/>
                <w:color w:val="auto"/>
                <w:sz w:val="21"/>
                <w:szCs w:val="21"/>
                <w:highlight w:val="none"/>
              </w:rPr>
              <w:t>谈判保证金</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hAnsi="宋体" w:cs="宋体"/>
                <w:color w:val="auto"/>
                <w:sz w:val="21"/>
                <w:szCs w:val="21"/>
                <w:highlight w:val="none"/>
                <w:lang w:val="en-US" w:eastAsia="zh-CN"/>
              </w:rPr>
              <w:t>肆万</w:t>
            </w:r>
            <w:r>
              <w:rPr>
                <w:rFonts w:hint="eastAsia" w:ascii="宋体" w:hAnsi="宋体" w:eastAsia="宋体" w:cs="宋体"/>
                <w:color w:val="auto"/>
                <w:sz w:val="21"/>
                <w:szCs w:val="21"/>
                <w:highlight w:val="none"/>
              </w:rPr>
              <w:t>元整（￥</w:t>
            </w:r>
            <w:r>
              <w:rPr>
                <w:rFonts w:hint="eastAsia"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0,000.00</w:t>
            </w:r>
            <w:r>
              <w:rPr>
                <w:rFonts w:hint="eastAsia" w:ascii="宋体" w:hAnsi="宋体" w:eastAsia="宋体" w:cs="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谈判</w:t>
            </w:r>
            <w:r>
              <w:rPr>
                <w:rFonts w:hint="eastAsia" w:ascii="宋体" w:hAnsi="宋体" w:eastAsia="宋体" w:cs="宋体"/>
                <w:b w:val="0"/>
                <w:bCs/>
                <w:color w:val="auto"/>
                <w:sz w:val="21"/>
                <w:szCs w:val="21"/>
                <w:highlight w:val="none"/>
                <w:lang w:val="zh-CN"/>
              </w:rPr>
              <w:t>保证金须严格按“</w:t>
            </w:r>
            <w:r>
              <w:rPr>
                <w:rFonts w:hint="eastAsia" w:ascii="宋体" w:hAnsi="宋体" w:eastAsia="宋体" w:cs="宋体"/>
                <w:b w:val="0"/>
                <w:bCs/>
                <w:color w:val="auto"/>
                <w:sz w:val="21"/>
                <w:szCs w:val="21"/>
                <w:highlight w:val="none"/>
                <w:lang w:val="en-US" w:eastAsia="zh-CN"/>
              </w:rPr>
              <w:t xml:space="preserve"> 响应</w:t>
            </w:r>
            <w:r>
              <w:rPr>
                <w:rFonts w:hint="eastAsia" w:ascii="宋体" w:hAnsi="宋体" w:eastAsia="宋体" w:cs="宋体"/>
                <w:b w:val="0"/>
                <w:bCs/>
                <w:color w:val="auto"/>
                <w:sz w:val="21"/>
                <w:szCs w:val="21"/>
                <w:highlight w:val="none"/>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p>
        </w:tc>
        <w:tc>
          <w:tcPr>
            <w:tcW w:w="8044" w:type="dxa"/>
            <w:gridSpan w:val="5"/>
            <w:vAlign w:val="center"/>
          </w:tcPr>
          <w:p>
            <w:pPr>
              <w:keepNext w:val="0"/>
              <w:keepLines w:val="0"/>
              <w:pageBreakBefore w:val="0"/>
              <w:kinsoku/>
              <w:wordWrap/>
              <w:overflowPunct/>
              <w:topLinePunct w:val="0"/>
              <w:bidi w:val="0"/>
              <w:spacing w:after="0"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（3）保证金递交账户：</w:t>
            </w:r>
          </w:p>
          <w:p>
            <w:pPr>
              <w:keepNext w:val="0"/>
              <w:keepLines w:val="0"/>
              <w:pageBreakBefore w:val="0"/>
              <w:kinsoku/>
              <w:wordWrap/>
              <w:overflowPunct/>
              <w:topLinePunct w:val="0"/>
              <w:bidi w:val="0"/>
              <w:spacing w:after="0"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收款人：广东政通招标有限公司</w:t>
            </w:r>
          </w:p>
          <w:p>
            <w:pPr>
              <w:keepNext w:val="0"/>
              <w:keepLines w:val="0"/>
              <w:pageBreakBefore w:val="0"/>
              <w:kinsoku/>
              <w:wordWrap/>
              <w:overflowPunct/>
              <w:topLinePunct w:val="0"/>
              <w:bidi w:val="0"/>
              <w:spacing w:after="0"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开户行：广发银行股份有限公司东莞新城支行</w:t>
            </w:r>
          </w:p>
          <w:p>
            <w:pPr>
              <w:keepNext w:val="0"/>
              <w:keepLines w:val="0"/>
              <w:pageBreakBefore w:val="0"/>
              <w:kinsoku/>
              <w:wordWrap/>
              <w:overflowPunct/>
              <w:topLinePunct w:val="0"/>
              <w:bidi w:val="0"/>
              <w:spacing w:after="0" w:line="36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帐  号：6232590699050060621</w:t>
            </w:r>
          </w:p>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zh-CN"/>
              </w:rPr>
              <w:t>（各供应商在转帐或电汇时须在用途栏上写明采购项目编号）。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lang w:val="en-US" w:eastAsia="zh-CN"/>
              </w:rPr>
              <w:t>谈判</w:t>
            </w:r>
            <w:r>
              <w:rPr>
                <w:rFonts w:hint="eastAsia" w:ascii="宋体" w:hAnsi="宋体" w:eastAsia="宋体" w:cs="宋体"/>
                <w:b/>
                <w:color w:val="auto"/>
                <w:sz w:val="21"/>
                <w:szCs w:val="21"/>
                <w:highlight w:val="none"/>
              </w:rPr>
              <w:t>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376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信用中国</w:t>
            </w:r>
          </w:p>
        </w:tc>
        <w:tc>
          <w:tcPr>
            <w:tcW w:w="427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376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https://www.creditchina.gov.cn/</w:t>
            </w:r>
          </w:p>
        </w:tc>
        <w:tc>
          <w:tcPr>
            <w:tcW w:w="427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谈判供应商应提交以下响应文件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60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文件类型</w:t>
            </w:r>
          </w:p>
        </w:tc>
        <w:tc>
          <w:tcPr>
            <w:tcW w:w="543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60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唱标文件</w:t>
            </w:r>
          </w:p>
        </w:tc>
        <w:tc>
          <w:tcPr>
            <w:tcW w:w="543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60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文件正本</w:t>
            </w:r>
          </w:p>
        </w:tc>
        <w:tc>
          <w:tcPr>
            <w:tcW w:w="543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60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文件副本</w:t>
            </w:r>
          </w:p>
        </w:tc>
        <w:tc>
          <w:tcPr>
            <w:tcW w:w="543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2608" w:type="dxa"/>
            <w:gridSpan w:val="2"/>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电子文档</w:t>
            </w:r>
          </w:p>
        </w:tc>
        <w:tc>
          <w:tcPr>
            <w:tcW w:w="5436" w:type="dxa"/>
            <w:gridSpan w:val="3"/>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8922" w:type="dxa"/>
            <w:gridSpan w:val="6"/>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谈判小组将对谈判供应商进行符合性检查，通过符合性检查并最终报价最低者为成交候选人。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37" w:hRule="atLeast"/>
        </w:trPr>
        <w:tc>
          <w:tcPr>
            <w:tcW w:w="8922" w:type="dxa"/>
            <w:gridSpan w:val="6"/>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044" w:type="dxa"/>
            <w:gridSpan w:val="5"/>
            <w:shd w:val="clear" w:color="auto" w:fill="auto"/>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shd w:val="clear" w:color="auto" w:fill="auto"/>
            <w:vAlign w:val="center"/>
          </w:tcPr>
          <w:p>
            <w:pPr>
              <w:keepNext w:val="0"/>
              <w:keepLines w:val="0"/>
              <w:pageBreakBefore w:val="0"/>
              <w:kinsoku/>
              <w:wordWrap/>
              <w:overflowPunct/>
              <w:topLinePunct w:val="0"/>
              <w:bidi w:val="0"/>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履约保证金形式：采用银行转账或者以专业担保机构、金融机构出具的担保函的形式。</w:t>
            </w:r>
          </w:p>
          <w:p>
            <w:pPr>
              <w:keepNext w:val="0"/>
              <w:keepLines w:val="0"/>
              <w:pageBreakBefore w:val="0"/>
              <w:kinsoku/>
              <w:wordWrap/>
              <w:overflowPunct/>
              <w:topLinePunct w:val="0"/>
              <w:bidi w:val="0"/>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履约保证金金额：人民币</w:t>
            </w:r>
            <w:r>
              <w:rPr>
                <w:rFonts w:hint="eastAsia" w:hAnsi="宋体" w:cs="宋体"/>
                <w:color w:val="auto"/>
                <w:sz w:val="21"/>
                <w:szCs w:val="21"/>
                <w:highlight w:val="none"/>
                <w:lang w:val="en-US" w:eastAsia="zh-CN"/>
              </w:rPr>
              <w:t>肆万</w:t>
            </w:r>
            <w:r>
              <w:rPr>
                <w:rFonts w:hint="eastAsia" w:ascii="宋体" w:hAnsi="宋体" w:eastAsia="宋体" w:cs="宋体"/>
                <w:color w:val="auto"/>
                <w:sz w:val="21"/>
                <w:szCs w:val="21"/>
                <w:highlight w:val="none"/>
              </w:rPr>
              <w:t>元整（¥</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0,000.00元）</w:t>
            </w:r>
          </w:p>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履约保证金账户：采购人指定账户(单位基本账户)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878" w:type="dxa"/>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44" w:type="dxa"/>
            <w:gridSpan w:val="5"/>
            <w:vAlign w:val="center"/>
          </w:tcPr>
          <w:p>
            <w:pPr>
              <w:keepNext w:val="0"/>
              <w:keepLines w:val="0"/>
              <w:pageBreakBefore w:val="0"/>
              <w:kinsoku/>
              <w:wordWrap/>
              <w:overflowPunct/>
              <w:topLinePunct w:val="0"/>
              <w:autoSpaceDE/>
              <w:autoSpaceDN/>
              <w:bidi w:val="0"/>
              <w:spacing w:after="0"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3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成交服务费根据国家计委[计价格[2002]1980号]文和国家发改委[发改价格[2011]534号]文及相关规定收取，按差额定率累进法计算，以成交通知书中确定的成交总金额作为收费的计算依据；成交服务费最低收费标准为</w:t>
            </w:r>
            <w:r>
              <w:rPr>
                <w:rFonts w:hint="eastAsia" w:ascii="宋体" w:hAnsi="宋体" w:eastAsia="宋体" w:cs="宋体"/>
                <w:bCs/>
                <w:color w:val="auto"/>
                <w:sz w:val="21"/>
                <w:szCs w:val="21"/>
                <w:highlight w:val="none"/>
                <w:lang w:val="en-US" w:eastAsia="zh-CN"/>
              </w:rPr>
              <w:t>陆</w:t>
            </w:r>
            <w:r>
              <w:rPr>
                <w:rFonts w:hint="eastAsia" w:ascii="宋体" w:hAnsi="宋体" w:eastAsia="宋体" w:cs="宋体"/>
                <w:bCs/>
                <w:color w:val="auto"/>
                <w:sz w:val="21"/>
                <w:szCs w:val="21"/>
                <w:highlight w:val="none"/>
              </w:rPr>
              <w:t>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1"/>
                <w:szCs w:val="21"/>
                <w:highlight w:val="none"/>
              </w:rPr>
            </w:pPr>
          </w:p>
        </w:tc>
        <w:tc>
          <w:tcPr>
            <w:tcW w:w="8044" w:type="dxa"/>
            <w:gridSpan w:val="5"/>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（2）中标服务费以转账或现金的形式支付。采购代理机构服务费汇入账号：</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收 款 人：</w:t>
            </w:r>
            <w:r>
              <w:rPr>
                <w:rFonts w:hint="eastAsia" w:ascii="宋体" w:hAnsi="宋体" w:eastAsia="宋体" w:cs="宋体"/>
                <w:color w:val="auto"/>
                <w:sz w:val="21"/>
                <w:szCs w:val="21"/>
                <w:highlight w:val="none"/>
                <w:lang w:eastAsia="zh-CN"/>
              </w:rPr>
              <w:t>广东政通招标有限公司</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开户银行：广发银行股份有限公司东莞南城支行</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922" w:type="dxa"/>
            <w:gridSpan w:val="6"/>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注：本表关于要采购项目的具体资料，是对</w:t>
            </w:r>
            <w:r>
              <w:rPr>
                <w:rFonts w:hint="eastAsia" w:ascii="宋体" w:hAnsi="宋体" w:eastAsia="宋体" w:cs="宋体"/>
                <w:color w:val="auto"/>
                <w:sz w:val="21"/>
                <w:szCs w:val="21"/>
                <w:highlight w:val="none"/>
                <w:lang w:val="en-US" w:eastAsia="zh-CN"/>
              </w:rPr>
              <w:t>谈判供应商</w:t>
            </w:r>
            <w:r>
              <w:rPr>
                <w:rFonts w:hint="eastAsia" w:ascii="宋体" w:hAnsi="宋体" w:eastAsia="宋体" w:cs="宋体"/>
                <w:color w:val="auto"/>
                <w:sz w:val="21"/>
                <w:szCs w:val="21"/>
                <w:highlight w:val="none"/>
              </w:rPr>
              <w:t>须知的具体补充和修改，如有矛盾，应以本资料表为准。</w:t>
            </w:r>
          </w:p>
        </w:tc>
      </w:tr>
    </w:tbl>
    <w:p>
      <w:pPr>
        <w:rPr>
          <w:rFonts w:hint="eastAsia"/>
          <w:color w:val="auto"/>
          <w:highlight w:val="none"/>
          <w:lang w:val="zh-CN"/>
        </w:rPr>
      </w:pPr>
    </w:p>
    <w:p>
      <w:pPr>
        <w:pStyle w:val="3"/>
        <w:pageBreakBefore/>
        <w:spacing w:line="360" w:lineRule="auto"/>
        <w:rPr>
          <w:bCs/>
          <w:color w:val="auto"/>
          <w:kern w:val="44"/>
          <w:highlight w:val="none"/>
          <w:lang w:val="zh-CN"/>
        </w:rPr>
      </w:pPr>
      <w:r>
        <w:rPr>
          <w:rFonts w:hint="eastAsia"/>
          <w:bCs/>
          <w:color w:val="auto"/>
          <w:kern w:val="44"/>
          <w:highlight w:val="none"/>
          <w:lang w:val="zh-CN"/>
        </w:rPr>
        <w:t>二、响应须知</w:t>
      </w:r>
      <w:bookmarkEnd w:id="9"/>
      <w:bookmarkEnd w:id="10"/>
      <w:bookmarkEnd w:id="11"/>
    </w:p>
    <w:p>
      <w:pPr>
        <w:pStyle w:val="4"/>
        <w:spacing w:line="360" w:lineRule="auto"/>
        <w:rPr>
          <w:bCs/>
          <w:color w:val="auto"/>
          <w:kern w:val="44"/>
          <w:sz w:val="21"/>
          <w:szCs w:val="21"/>
          <w:highlight w:val="none"/>
          <w:lang w:val="zh-CN"/>
        </w:rPr>
      </w:pPr>
      <w:bookmarkStart w:id="12" w:name="_Toc508723461"/>
      <w:bookmarkStart w:id="13" w:name="_Toc413402431"/>
      <w:bookmarkStart w:id="14" w:name="_Toc396137233"/>
      <w:r>
        <w:rPr>
          <w:rFonts w:hint="eastAsia"/>
          <w:bCs/>
          <w:color w:val="auto"/>
          <w:kern w:val="44"/>
          <w:sz w:val="21"/>
          <w:szCs w:val="21"/>
          <w:highlight w:val="none"/>
          <w:lang w:val="zh-CN"/>
        </w:rPr>
        <w:t>（一）总则</w:t>
      </w:r>
      <w:bookmarkEnd w:id="12"/>
      <w:bookmarkEnd w:id="13"/>
      <w:bookmarkEnd w:id="14"/>
    </w:p>
    <w:p>
      <w:pPr>
        <w:tabs>
          <w:tab w:val="left" w:pos="567"/>
        </w:tabs>
        <w:spacing w:line="360" w:lineRule="auto"/>
        <w:ind w:left="567" w:hanging="567"/>
        <w:jc w:val="both"/>
        <w:rPr>
          <w:bCs/>
          <w:color w:val="auto"/>
          <w:sz w:val="21"/>
          <w:szCs w:val="21"/>
          <w:highlight w:val="none"/>
        </w:rPr>
      </w:pP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资金来源：详见</w:t>
      </w:r>
      <w:r>
        <w:rPr>
          <w:rFonts w:hint="eastAsia"/>
          <w:bCs/>
          <w:color w:val="auto"/>
          <w:sz w:val="21"/>
          <w:szCs w:val="21"/>
          <w:highlight w:val="none"/>
        </w:rPr>
        <w:t>《</w:t>
      </w:r>
      <w:r>
        <w:rPr>
          <w:rFonts w:hint="eastAsia"/>
          <w:bCs/>
          <w:color w:val="auto"/>
          <w:sz w:val="21"/>
          <w:szCs w:val="21"/>
          <w:highlight w:val="none"/>
          <w:lang w:eastAsia="zh-CN"/>
        </w:rPr>
        <w:t>响应</w:t>
      </w:r>
      <w:r>
        <w:rPr>
          <w:rFonts w:hint="eastAsia"/>
          <w:bCs/>
          <w:color w:val="auto"/>
          <w:sz w:val="21"/>
          <w:szCs w:val="21"/>
          <w:highlight w:val="none"/>
        </w:rPr>
        <w:t>资料表》。</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 xml:space="preserve">2    </w:t>
      </w:r>
      <w:r>
        <w:rPr>
          <w:bCs/>
          <w:color w:val="auto"/>
          <w:kern w:val="2"/>
          <w:sz w:val="21"/>
          <w:szCs w:val="21"/>
          <w:highlight w:val="none"/>
          <w:lang w:val="zh-CN"/>
        </w:rPr>
        <w:t>采购适用范围</w:t>
      </w:r>
      <w:r>
        <w:rPr>
          <w:rFonts w:hint="eastAsia"/>
          <w:bCs/>
          <w:color w:val="auto"/>
          <w:kern w:val="2"/>
          <w:sz w:val="21"/>
          <w:szCs w:val="21"/>
          <w:highlight w:val="none"/>
          <w:lang w:val="zh-CN"/>
        </w:rPr>
        <w:t>：本采购文件仅适用于本次谈判邀请书中所叙述的服务（或工程）采购。本次采购采用二次报价的定标的方式，采购人在二次报价后拒绝接受有选择性报价的响应。</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4</w:t>
      </w:r>
      <w:r>
        <w:rPr>
          <w:bCs/>
          <w:color w:val="auto"/>
          <w:kern w:val="2"/>
          <w:sz w:val="21"/>
          <w:szCs w:val="21"/>
          <w:highlight w:val="none"/>
          <w:lang w:val="zh-CN"/>
        </w:rPr>
        <w:tab/>
      </w:r>
      <w:r>
        <w:rPr>
          <w:rFonts w:hint="eastAsia"/>
          <w:bCs/>
          <w:color w:val="auto"/>
          <w:kern w:val="2"/>
          <w:sz w:val="21"/>
          <w:szCs w:val="21"/>
          <w:highlight w:val="none"/>
          <w:lang w:val="zh-CN"/>
        </w:rPr>
        <w:t>合格的谈判供应商</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4</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具有谈判邀请书谈判供应商资格要求中所述资质的供应商均为合格的谈判供应商。</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5</w:t>
      </w:r>
      <w:r>
        <w:rPr>
          <w:bCs/>
          <w:color w:val="auto"/>
          <w:kern w:val="2"/>
          <w:sz w:val="21"/>
          <w:szCs w:val="21"/>
          <w:highlight w:val="none"/>
          <w:lang w:val="zh-CN"/>
        </w:rPr>
        <w:tab/>
      </w:r>
      <w:r>
        <w:rPr>
          <w:rFonts w:hint="eastAsia"/>
          <w:bCs/>
          <w:color w:val="auto"/>
          <w:kern w:val="2"/>
          <w:sz w:val="21"/>
          <w:szCs w:val="21"/>
          <w:highlight w:val="none"/>
          <w:lang w:val="zh-CN"/>
        </w:rPr>
        <w:t>纪律与保密事项</w:t>
      </w:r>
    </w:p>
    <w:p>
      <w:pPr>
        <w:autoSpaceDE/>
        <w:autoSpaceDN/>
        <w:adjustRightInd/>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5.1  谈判供应商不得相互串通响应报价，或以不正当的手段妨碍、排挤其他谈判供应商，扰乱采购市场，破坏公平竞争原则，不得损害采购人或其他谈判供应商的合法权益，谈判供应商不得以向采购人、谈判小组成员行贿或者采取其他不正当手段谋取中标。</w:t>
      </w:r>
    </w:p>
    <w:p>
      <w:pPr>
        <w:autoSpaceDE/>
        <w:autoSpaceDN/>
        <w:adjustRightInd/>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5.2  获得本采购文件者，应对文件进行保密，不得用作本次响应以外的任何用途。若有要求，开标后，谈判供应商应归还采购文件中保密的文件和资料。</w:t>
      </w:r>
    </w:p>
    <w:p>
      <w:pPr>
        <w:tabs>
          <w:tab w:val="left" w:pos="720"/>
          <w:tab w:val="left" w:pos="3460"/>
        </w:tabs>
        <w:autoSpaceDE/>
        <w:autoSpaceDN/>
        <w:adjustRightInd/>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5.3  由采购人向谈判供应商提供的图纸、详细资料、样品、模型、模件和所有其他资料，被视为保密资料，仅被用于它所规定的用途。除非得到采购人的同意，不能向任何第三方透露。开标结束后，应采购人要求，谈判供应商应归还所有从采购人处获得的保密资料。</w:t>
      </w:r>
    </w:p>
    <w:p>
      <w:pPr>
        <w:tabs>
          <w:tab w:val="left" w:pos="720"/>
          <w:tab w:val="left" w:pos="3460"/>
        </w:tabs>
        <w:autoSpaceDE/>
        <w:autoSpaceDN/>
        <w:adjustRightInd/>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5.4  除谈判供应商被要求对谈判响应文件进行澄清外，在确定成交供应商之前，谈判供应商不得与采购人就响应价格、供应商案等实质性内容进行谈判，也不得私下接触谈判小组成员。</w:t>
      </w:r>
    </w:p>
    <w:p>
      <w:pPr>
        <w:autoSpaceDE/>
        <w:autoSpaceDN/>
        <w:adjustRightInd/>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5.5  从递交谈判响应文件截止之日起至授予合同期间，在谈判响应文件的审查、澄清、比较和评价阶段，谈判供应商试图对谈判小组和采购代理机构施加任何影响或对采购人的比较及授予合同的决定产生影响，都可能导致其谈判响应文件被拒绝。</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6    其它说明</w:t>
      </w:r>
    </w:p>
    <w:p>
      <w:pPr>
        <w:tabs>
          <w:tab w:val="left" w:pos="567"/>
        </w:tabs>
        <w:spacing w:line="360" w:lineRule="auto"/>
        <w:ind w:left="567" w:hanging="567" w:hangingChars="270"/>
        <w:jc w:val="both"/>
        <w:rPr>
          <w:bCs/>
          <w:color w:val="auto"/>
          <w:kern w:val="2"/>
          <w:sz w:val="21"/>
          <w:szCs w:val="21"/>
          <w:highlight w:val="none"/>
          <w:lang w:val="zh-CN"/>
        </w:rPr>
      </w:pPr>
      <w:r>
        <w:rPr>
          <w:rFonts w:hint="eastAsia"/>
          <w:bCs/>
          <w:color w:val="auto"/>
          <w:kern w:val="2"/>
          <w:sz w:val="21"/>
          <w:szCs w:val="21"/>
          <w:highlight w:val="none"/>
          <w:lang w:val="zh-CN"/>
        </w:rPr>
        <w:t>6.1  响应费用：不论</w:t>
      </w:r>
      <w:r>
        <w:rPr>
          <w:rFonts w:hint="eastAsia"/>
          <w:bCs/>
          <w:color w:val="auto"/>
          <w:kern w:val="2"/>
          <w:sz w:val="21"/>
          <w:szCs w:val="21"/>
          <w:highlight w:val="none"/>
          <w:lang w:val="en-US" w:eastAsia="zh-CN"/>
        </w:rPr>
        <w:t>谈判</w:t>
      </w:r>
      <w:r>
        <w:rPr>
          <w:rFonts w:hint="eastAsia"/>
          <w:bCs/>
          <w:color w:val="auto"/>
          <w:kern w:val="2"/>
          <w:sz w:val="21"/>
          <w:szCs w:val="21"/>
          <w:highlight w:val="none"/>
          <w:lang w:val="zh-CN"/>
        </w:rPr>
        <w:t>结果如何，谈判供应商应承担自身因谈判响应文件编制、递交及其他参加本采购活动所涉及的一切费用，采购人采购代理机构对上述费用不负任何责任。</w:t>
      </w:r>
    </w:p>
    <w:p>
      <w:pPr>
        <w:tabs>
          <w:tab w:val="left" w:pos="567"/>
          <w:tab w:val="left" w:pos="927"/>
        </w:tabs>
        <w:spacing w:line="360" w:lineRule="auto"/>
        <w:ind w:left="630" w:hanging="630" w:hangingChars="300"/>
        <w:jc w:val="both"/>
        <w:rPr>
          <w:bCs/>
          <w:color w:val="auto"/>
          <w:kern w:val="2"/>
          <w:sz w:val="21"/>
          <w:szCs w:val="21"/>
          <w:highlight w:val="none"/>
          <w:lang w:val="zh-CN"/>
        </w:rPr>
      </w:pPr>
      <w:r>
        <w:rPr>
          <w:rFonts w:hint="eastAsia"/>
          <w:bCs/>
          <w:color w:val="auto"/>
          <w:kern w:val="2"/>
          <w:sz w:val="21"/>
          <w:szCs w:val="21"/>
          <w:highlight w:val="none"/>
          <w:lang w:val="zh-CN"/>
        </w:rPr>
        <w:t>6.2  踏勘现场（自行踏勘）</w:t>
      </w:r>
    </w:p>
    <w:p>
      <w:pPr>
        <w:spacing w:line="360" w:lineRule="auto"/>
        <w:ind w:left="528" w:leftChars="220" w:firstLine="315" w:firstLineChars="150"/>
        <w:rPr>
          <w:bCs/>
          <w:color w:val="auto"/>
          <w:kern w:val="2"/>
          <w:sz w:val="21"/>
          <w:szCs w:val="21"/>
          <w:highlight w:val="none"/>
          <w:lang w:val="zh-CN"/>
        </w:rPr>
      </w:pPr>
      <w:r>
        <w:rPr>
          <w:rFonts w:hint="eastAsia"/>
          <w:bCs/>
          <w:color w:val="auto"/>
          <w:kern w:val="2"/>
          <w:sz w:val="21"/>
          <w:szCs w:val="21"/>
          <w:highlight w:val="none"/>
          <w:lang w:val="zh-CN"/>
        </w:rPr>
        <w:t>（1）谈判供应商应按采购文件要求对项目现场及周围环境进行踏勘，谈判供应商应充分重视和仔细地进行现场考察，以便获取谈判供应商须负责的有关编制响应文件和签署合同所涉及现场所有的资料。一旦中标，考察内容即被认为其结果已在中标文件中得到充分反映。现场考察的费用由谈判供应商自己承担。</w:t>
      </w:r>
    </w:p>
    <w:p>
      <w:pPr>
        <w:spacing w:line="360" w:lineRule="auto"/>
        <w:ind w:left="528" w:leftChars="220" w:firstLine="315" w:firstLineChars="150"/>
        <w:rPr>
          <w:bCs/>
          <w:color w:val="auto"/>
          <w:kern w:val="2"/>
          <w:sz w:val="21"/>
          <w:szCs w:val="21"/>
          <w:highlight w:val="none"/>
          <w:lang w:val="zh-CN"/>
        </w:rPr>
      </w:pPr>
      <w:r>
        <w:rPr>
          <w:rFonts w:hint="eastAsia"/>
          <w:bCs/>
          <w:color w:val="auto"/>
          <w:kern w:val="2"/>
          <w:sz w:val="21"/>
          <w:szCs w:val="21"/>
          <w:highlight w:val="none"/>
          <w:lang w:val="zh-CN"/>
        </w:rPr>
        <w:t>（2）采购人向谈判供应商提供的有关现场的数据和资料，是采购人现有的能被谈判供应商利用的资料，采购人对谈判供应商做出的任何推论、理解和结论均不负责任。</w:t>
      </w:r>
    </w:p>
    <w:p>
      <w:pPr>
        <w:spacing w:line="360" w:lineRule="auto"/>
        <w:ind w:left="528" w:leftChars="220" w:firstLine="315" w:firstLineChars="150"/>
        <w:rPr>
          <w:bCs/>
          <w:color w:val="auto"/>
          <w:kern w:val="2"/>
          <w:sz w:val="21"/>
          <w:szCs w:val="21"/>
          <w:highlight w:val="none"/>
          <w:lang w:val="zh-CN"/>
        </w:rPr>
      </w:pPr>
      <w:r>
        <w:rPr>
          <w:rFonts w:hint="eastAsia"/>
          <w:bCs/>
          <w:color w:val="auto"/>
          <w:kern w:val="2"/>
          <w:sz w:val="21"/>
          <w:szCs w:val="21"/>
          <w:highlight w:val="none"/>
          <w:lang w:val="zh-CN"/>
        </w:rPr>
        <w:t>（3）经采购人允许，谈判供应商可为踏勘目的进入采购人的项目现场。在考察过程中，谈判供应商及其代表必须承担那些进入现场后，由于他们的行为所造成的人身伤害（不管是否致命）、财产损失或损坏，以及其他任何原因造成的损失、损坏或费用，谈判供应商不得因此使采购人承担有关的责任和蒙受损失。</w:t>
      </w:r>
    </w:p>
    <w:p>
      <w:pPr>
        <w:pStyle w:val="4"/>
        <w:spacing w:line="360" w:lineRule="auto"/>
        <w:rPr>
          <w:bCs/>
          <w:color w:val="auto"/>
          <w:kern w:val="2"/>
          <w:sz w:val="21"/>
          <w:szCs w:val="21"/>
          <w:highlight w:val="none"/>
          <w:lang w:val="zh-CN"/>
        </w:rPr>
      </w:pPr>
      <w:bookmarkStart w:id="15" w:name="_Toc396137234"/>
      <w:bookmarkStart w:id="16" w:name="_Toc413402432"/>
      <w:bookmarkStart w:id="17" w:name="_Toc508723462"/>
      <w:r>
        <w:rPr>
          <w:rFonts w:hint="eastAsia"/>
          <w:bCs/>
          <w:color w:val="auto"/>
          <w:kern w:val="2"/>
          <w:sz w:val="21"/>
          <w:szCs w:val="21"/>
          <w:highlight w:val="none"/>
          <w:lang w:val="zh-CN"/>
        </w:rPr>
        <w:t>（二）采购文件</w:t>
      </w:r>
      <w:bookmarkEnd w:id="15"/>
      <w:bookmarkEnd w:id="16"/>
      <w:bookmarkEnd w:id="17"/>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7</w:t>
      </w:r>
      <w:r>
        <w:rPr>
          <w:bCs/>
          <w:color w:val="auto"/>
          <w:kern w:val="2"/>
          <w:sz w:val="21"/>
          <w:szCs w:val="21"/>
          <w:highlight w:val="none"/>
          <w:lang w:val="zh-CN"/>
        </w:rPr>
        <w:tab/>
      </w:r>
      <w:r>
        <w:rPr>
          <w:rFonts w:hint="eastAsia"/>
          <w:bCs/>
          <w:color w:val="auto"/>
          <w:kern w:val="2"/>
          <w:sz w:val="21"/>
          <w:szCs w:val="21"/>
          <w:highlight w:val="none"/>
          <w:lang w:val="zh-CN"/>
        </w:rPr>
        <w:t>采购文件的构成</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7</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采购文件包括：</w:t>
      </w:r>
    </w:p>
    <w:p>
      <w:pPr>
        <w:tabs>
          <w:tab w:val="left" w:pos="1890"/>
        </w:tabs>
        <w:spacing w:line="360" w:lineRule="auto"/>
        <w:ind w:left="1890" w:hanging="1050"/>
        <w:jc w:val="both"/>
        <w:rPr>
          <w:bCs/>
          <w:color w:val="auto"/>
          <w:kern w:val="2"/>
          <w:sz w:val="21"/>
          <w:szCs w:val="21"/>
          <w:highlight w:val="none"/>
          <w:lang w:val="zh-CN"/>
        </w:rPr>
      </w:pPr>
      <w:r>
        <w:rPr>
          <w:rFonts w:hint="eastAsia"/>
          <w:bCs/>
          <w:color w:val="auto"/>
          <w:kern w:val="2"/>
          <w:sz w:val="21"/>
          <w:szCs w:val="21"/>
          <w:highlight w:val="none"/>
          <w:lang w:val="zh-CN"/>
        </w:rPr>
        <w:t>第一篇</w:t>
      </w:r>
      <w:r>
        <w:rPr>
          <w:bCs/>
          <w:color w:val="auto"/>
          <w:kern w:val="2"/>
          <w:sz w:val="21"/>
          <w:szCs w:val="21"/>
          <w:highlight w:val="none"/>
          <w:lang w:val="zh-CN"/>
        </w:rPr>
        <w:tab/>
      </w:r>
      <w:r>
        <w:rPr>
          <w:rFonts w:hint="eastAsia"/>
          <w:bCs/>
          <w:color w:val="auto"/>
          <w:kern w:val="2"/>
          <w:sz w:val="21"/>
          <w:szCs w:val="21"/>
          <w:highlight w:val="none"/>
        </w:rPr>
        <w:t>谈判</w:t>
      </w:r>
      <w:r>
        <w:rPr>
          <w:rFonts w:hint="eastAsia"/>
          <w:bCs/>
          <w:color w:val="auto"/>
          <w:kern w:val="2"/>
          <w:sz w:val="21"/>
          <w:szCs w:val="21"/>
          <w:highlight w:val="none"/>
          <w:lang w:val="zh-CN"/>
        </w:rPr>
        <w:t>邀请书</w:t>
      </w:r>
    </w:p>
    <w:p>
      <w:pPr>
        <w:spacing w:line="360" w:lineRule="auto"/>
        <w:ind w:left="1890" w:hanging="1050"/>
        <w:jc w:val="both"/>
        <w:rPr>
          <w:bCs/>
          <w:color w:val="auto"/>
          <w:kern w:val="2"/>
          <w:sz w:val="21"/>
          <w:szCs w:val="21"/>
          <w:highlight w:val="none"/>
          <w:lang w:val="zh-CN"/>
        </w:rPr>
      </w:pPr>
      <w:r>
        <w:rPr>
          <w:rFonts w:hint="eastAsia"/>
          <w:bCs/>
          <w:color w:val="auto"/>
          <w:kern w:val="2"/>
          <w:sz w:val="21"/>
          <w:szCs w:val="21"/>
          <w:highlight w:val="none"/>
          <w:lang w:val="zh-CN"/>
        </w:rPr>
        <w:t>第二篇</w:t>
      </w:r>
      <w:r>
        <w:rPr>
          <w:bCs/>
          <w:color w:val="auto"/>
          <w:kern w:val="2"/>
          <w:sz w:val="21"/>
          <w:szCs w:val="21"/>
          <w:highlight w:val="none"/>
          <w:lang w:val="zh-CN"/>
        </w:rPr>
        <w:tab/>
      </w:r>
      <w:r>
        <w:rPr>
          <w:rFonts w:hint="eastAsia"/>
          <w:bCs/>
          <w:color w:val="auto"/>
          <w:kern w:val="2"/>
          <w:sz w:val="21"/>
          <w:szCs w:val="21"/>
          <w:highlight w:val="none"/>
          <w:lang w:val="zh-CN"/>
        </w:rPr>
        <w:t>谈判供应商须知</w:t>
      </w:r>
    </w:p>
    <w:p>
      <w:pPr>
        <w:spacing w:line="360" w:lineRule="auto"/>
        <w:ind w:left="1891" w:leftChars="394" w:hanging="945" w:hangingChars="450"/>
        <w:jc w:val="both"/>
        <w:rPr>
          <w:bCs/>
          <w:color w:val="auto"/>
          <w:kern w:val="2"/>
          <w:sz w:val="21"/>
          <w:szCs w:val="21"/>
          <w:highlight w:val="none"/>
          <w:lang w:val="zh-CN"/>
        </w:rPr>
      </w:pPr>
      <w:r>
        <w:rPr>
          <w:rFonts w:hint="eastAsia"/>
          <w:bCs/>
          <w:color w:val="auto"/>
          <w:kern w:val="2"/>
          <w:sz w:val="21"/>
          <w:szCs w:val="21"/>
          <w:highlight w:val="none"/>
          <w:lang w:val="zh-CN"/>
        </w:rPr>
        <w:t>附件一:   收费标准</w:t>
      </w:r>
    </w:p>
    <w:p>
      <w:pPr>
        <w:spacing w:line="360" w:lineRule="auto"/>
        <w:ind w:left="1891" w:leftChars="394" w:hanging="945" w:hangingChars="450"/>
        <w:jc w:val="both"/>
        <w:rPr>
          <w:bCs/>
          <w:color w:val="auto"/>
          <w:kern w:val="2"/>
          <w:sz w:val="21"/>
          <w:szCs w:val="21"/>
          <w:highlight w:val="none"/>
          <w:lang w:val="zh-CN"/>
        </w:rPr>
      </w:pPr>
      <w:r>
        <w:rPr>
          <w:rFonts w:hint="eastAsia"/>
          <w:bCs/>
          <w:color w:val="auto"/>
          <w:kern w:val="2"/>
          <w:sz w:val="21"/>
          <w:szCs w:val="21"/>
          <w:highlight w:val="none"/>
          <w:lang w:val="zh-CN"/>
        </w:rPr>
        <w:t>附件二：  评标工作大纲</w:t>
      </w:r>
    </w:p>
    <w:p>
      <w:pPr>
        <w:spacing w:line="360" w:lineRule="auto"/>
        <w:ind w:left="1890" w:hanging="1050"/>
        <w:jc w:val="both"/>
        <w:rPr>
          <w:bCs/>
          <w:color w:val="auto"/>
          <w:kern w:val="2"/>
          <w:sz w:val="21"/>
          <w:szCs w:val="21"/>
          <w:highlight w:val="none"/>
          <w:lang w:val="zh-CN"/>
        </w:rPr>
      </w:pPr>
      <w:r>
        <w:rPr>
          <w:rFonts w:hint="eastAsia"/>
          <w:bCs/>
          <w:color w:val="auto"/>
          <w:kern w:val="2"/>
          <w:sz w:val="21"/>
          <w:szCs w:val="21"/>
          <w:highlight w:val="none"/>
          <w:lang w:val="zh-CN"/>
        </w:rPr>
        <w:t>第三篇</w:t>
      </w:r>
      <w:r>
        <w:rPr>
          <w:bCs/>
          <w:color w:val="auto"/>
          <w:kern w:val="2"/>
          <w:sz w:val="21"/>
          <w:szCs w:val="21"/>
          <w:highlight w:val="none"/>
          <w:lang w:val="zh-CN"/>
        </w:rPr>
        <w:tab/>
      </w:r>
      <w:r>
        <w:rPr>
          <w:rFonts w:hint="eastAsia"/>
          <w:bCs/>
          <w:color w:val="auto"/>
          <w:kern w:val="2"/>
          <w:sz w:val="21"/>
          <w:szCs w:val="21"/>
          <w:highlight w:val="none"/>
          <w:lang w:val="zh-CN"/>
        </w:rPr>
        <w:t>用户需求书</w:t>
      </w:r>
    </w:p>
    <w:p>
      <w:pPr>
        <w:spacing w:line="360" w:lineRule="auto"/>
        <w:ind w:left="1890" w:hanging="1050"/>
        <w:jc w:val="both"/>
        <w:rPr>
          <w:bCs/>
          <w:color w:val="auto"/>
          <w:kern w:val="2"/>
          <w:sz w:val="21"/>
          <w:szCs w:val="21"/>
          <w:highlight w:val="none"/>
          <w:lang w:val="zh-CN"/>
        </w:rPr>
      </w:pPr>
      <w:r>
        <w:rPr>
          <w:rFonts w:hint="eastAsia"/>
          <w:bCs/>
          <w:color w:val="auto"/>
          <w:kern w:val="2"/>
          <w:sz w:val="21"/>
          <w:szCs w:val="21"/>
          <w:highlight w:val="none"/>
          <w:lang w:val="zh-CN"/>
        </w:rPr>
        <w:t>第四篇</w:t>
      </w:r>
      <w:r>
        <w:rPr>
          <w:bCs/>
          <w:color w:val="auto"/>
          <w:kern w:val="2"/>
          <w:sz w:val="21"/>
          <w:szCs w:val="21"/>
          <w:highlight w:val="none"/>
          <w:lang w:val="zh-CN"/>
        </w:rPr>
        <w:tab/>
      </w:r>
      <w:r>
        <w:rPr>
          <w:rFonts w:hint="eastAsia"/>
          <w:bCs/>
          <w:color w:val="auto"/>
          <w:kern w:val="2"/>
          <w:sz w:val="21"/>
          <w:szCs w:val="21"/>
          <w:highlight w:val="none"/>
          <w:lang w:val="zh-CN"/>
        </w:rPr>
        <w:t>谈判响应文件格式</w:t>
      </w:r>
    </w:p>
    <w:p>
      <w:pPr>
        <w:spacing w:line="360" w:lineRule="auto"/>
        <w:ind w:left="1890" w:hanging="1050"/>
        <w:jc w:val="both"/>
        <w:rPr>
          <w:bCs/>
          <w:color w:val="auto"/>
          <w:kern w:val="2"/>
          <w:sz w:val="21"/>
          <w:szCs w:val="21"/>
          <w:highlight w:val="none"/>
          <w:lang w:val="zh-CN"/>
        </w:rPr>
      </w:pPr>
      <w:r>
        <w:rPr>
          <w:rFonts w:hint="eastAsia"/>
          <w:bCs/>
          <w:color w:val="auto"/>
          <w:kern w:val="2"/>
          <w:sz w:val="21"/>
          <w:szCs w:val="21"/>
          <w:highlight w:val="none"/>
          <w:lang w:val="zh-CN"/>
        </w:rPr>
        <w:t>第五篇</w:t>
      </w:r>
      <w:r>
        <w:rPr>
          <w:bCs/>
          <w:color w:val="auto"/>
          <w:kern w:val="2"/>
          <w:sz w:val="21"/>
          <w:szCs w:val="21"/>
          <w:highlight w:val="none"/>
          <w:lang w:val="zh-CN"/>
        </w:rPr>
        <w:tab/>
      </w:r>
      <w:r>
        <w:rPr>
          <w:rFonts w:hint="eastAsia"/>
          <w:bCs/>
          <w:color w:val="auto"/>
          <w:kern w:val="2"/>
          <w:sz w:val="21"/>
          <w:szCs w:val="21"/>
          <w:highlight w:val="none"/>
          <w:lang w:val="zh-CN"/>
        </w:rPr>
        <w:t>合同条款格式</w:t>
      </w:r>
    </w:p>
    <w:p>
      <w:pPr>
        <w:spacing w:line="360" w:lineRule="auto"/>
        <w:ind w:left="420" w:hanging="420" w:hangingChars="200"/>
        <w:jc w:val="both"/>
        <w:rPr>
          <w:bCs/>
          <w:color w:val="auto"/>
          <w:kern w:val="2"/>
          <w:sz w:val="21"/>
          <w:szCs w:val="21"/>
          <w:highlight w:val="none"/>
          <w:lang w:val="zh-CN"/>
        </w:rPr>
      </w:pPr>
      <w:r>
        <w:rPr>
          <w:rFonts w:hint="eastAsia"/>
          <w:bCs/>
          <w:color w:val="auto"/>
          <w:kern w:val="2"/>
          <w:sz w:val="21"/>
          <w:szCs w:val="21"/>
          <w:highlight w:val="none"/>
          <w:lang w:val="zh-CN"/>
        </w:rPr>
        <w:t>7</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谈判供应商应认真阅读、并充分理解采购文件的全部内容（包括所有的补充、修改内容、重要事项、格式、条款和技术规范、参数及要求等）。谈判供应商没有按照采购文件要求提交全部资料，或者响应没有对采购文件在各方面都做出实质性响应是谈判供应商的风险，有可能导致其响应被拒绝，或被认定为无效响应或被确定为响应无效。</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7</w:t>
      </w:r>
      <w:r>
        <w:rPr>
          <w:bCs/>
          <w:color w:val="auto"/>
          <w:kern w:val="2"/>
          <w:sz w:val="21"/>
          <w:szCs w:val="21"/>
          <w:highlight w:val="none"/>
          <w:lang w:val="zh-CN"/>
        </w:rPr>
        <w:t>.3</w:t>
      </w:r>
      <w:r>
        <w:rPr>
          <w:rFonts w:hint="eastAsia"/>
          <w:bCs/>
          <w:color w:val="auto"/>
          <w:kern w:val="2"/>
          <w:sz w:val="21"/>
          <w:szCs w:val="21"/>
          <w:highlight w:val="none"/>
          <w:lang w:val="zh-CN"/>
        </w:rPr>
        <w:t xml:space="preserve"> 本采购文件使用的词语有如下定义：</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“采购人”系</w:t>
      </w:r>
      <w:r>
        <w:rPr>
          <w:rFonts w:ascii="宋体" w:hAnsi="宋体" w:eastAsia="宋体"/>
          <w:color w:val="auto"/>
          <w:sz w:val="21"/>
          <w:szCs w:val="21"/>
          <w:highlight w:val="none"/>
        </w:rPr>
        <w:t>是指</w:t>
      </w:r>
      <w:r>
        <w:rPr>
          <w:rFonts w:hint="eastAsia" w:ascii="宋体" w:hAnsi="宋体"/>
          <w:color w:val="auto"/>
          <w:sz w:val="21"/>
          <w:szCs w:val="21"/>
          <w:highlight w:val="none"/>
          <w:lang w:val="en-US" w:eastAsia="zh-CN"/>
        </w:rPr>
        <w:t>东莞新锋光伏能源科技有限公司</w:t>
      </w:r>
      <w:r>
        <w:rPr>
          <w:rFonts w:hint="eastAsia"/>
          <w:bCs/>
          <w:color w:val="auto"/>
          <w:kern w:val="2"/>
          <w:sz w:val="21"/>
          <w:szCs w:val="21"/>
          <w:highlight w:val="none"/>
          <w:lang w:val="zh-CN"/>
        </w:rPr>
        <w:t>。</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“采购代理机构</w:t>
      </w:r>
      <w:r>
        <w:rPr>
          <w:bCs/>
          <w:color w:val="auto"/>
          <w:kern w:val="2"/>
          <w:sz w:val="21"/>
          <w:szCs w:val="21"/>
          <w:highlight w:val="none"/>
          <w:lang w:val="zh-CN"/>
        </w:rPr>
        <w:t>”</w:t>
      </w:r>
      <w:r>
        <w:rPr>
          <w:rFonts w:hint="eastAsia"/>
          <w:bCs/>
          <w:color w:val="auto"/>
          <w:kern w:val="2"/>
          <w:sz w:val="21"/>
          <w:szCs w:val="21"/>
          <w:highlight w:val="none"/>
          <w:lang w:val="zh-CN"/>
        </w:rPr>
        <w:t>系指广东政通招标有限公司。</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“谈判供应商”系指响应采购、参加响应竞争的当事人。</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“成交人”系指由谈判小组评审推荐，经法定程序确定获得本项目中标资格的谈判供应商。</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“谈判小组” 系指依法组建，负责本次采购的评标工作机构。</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“甲方”系指在合同条款中指明的采购人。</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“乙方”系指在合同条款中指明的本合同项下提供服务（或工程）的公司或实体。</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“采购文件”系指由采购代理机构发出的本采购文件，包括全部章节和附件。</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“谈判响应文件”系指谈判供应商根据本采购文件向采购代理机构提交的全部文件。</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“书面函件” 系指手写、打字或印刷的函件，包括电传、电报和传真。</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“合同” 系指由本次采购所产生的合同或合约文件。</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“日期”系指公历日。</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“时间”系指北京时间。</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“货物”系指谈判供应商须向采购人提供的符合采购文件要求的货物；“服务（或工程）”系指谈判供应商须向采购人提供的符合采购文件要求的服务（或工程）。</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“实质性响应”系指符合采购文件的所有要求、条款、条件和规定，且没有不利于项目实施质量效果和服务（或工程）保障的重大偏离或保留。</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“重大偏离或保留”系指影响到采购文件规定的范围、质量和性能或限制了采购人的权力和谈判供应商义务的规定，而纠正这些偏离将影响到其它谈判供应商的公平竞争地位。</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盖章：一般情况指盖谈判供应商的法定公章，除采购文件特别说明外，使用财务专用章、合同章、投标专用章等非公章的盖章，均作无效盖章处理。</w:t>
      </w:r>
    </w:p>
    <w:p>
      <w:pPr>
        <w:numPr>
          <w:ilvl w:val="0"/>
          <w:numId w:val="2"/>
        </w:numPr>
        <w:tabs>
          <w:tab w:val="left" w:pos="993"/>
          <w:tab w:val="clear" w:pos="840"/>
        </w:tabs>
        <w:spacing w:line="360" w:lineRule="auto"/>
        <w:ind w:left="1134" w:hanging="708"/>
        <w:jc w:val="both"/>
        <w:rPr>
          <w:bCs/>
          <w:color w:val="auto"/>
          <w:kern w:val="2"/>
          <w:sz w:val="21"/>
          <w:szCs w:val="21"/>
          <w:highlight w:val="none"/>
          <w:lang w:val="zh-CN"/>
        </w:rPr>
      </w:pPr>
      <w:r>
        <w:rPr>
          <w:rFonts w:hint="eastAsia"/>
          <w:bCs/>
          <w:color w:val="auto"/>
          <w:kern w:val="2"/>
          <w:sz w:val="21"/>
          <w:szCs w:val="21"/>
          <w:highlight w:val="none"/>
          <w:lang w:val="zh-CN"/>
        </w:rPr>
        <w:t>签署：一般情况指亲笔签字或使用盖私章方式，除采购文件特别说明外，其他方式均作无效签署处理。</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7</w:t>
      </w:r>
      <w:r>
        <w:rPr>
          <w:bCs/>
          <w:color w:val="auto"/>
          <w:kern w:val="2"/>
          <w:sz w:val="21"/>
          <w:szCs w:val="21"/>
          <w:highlight w:val="none"/>
          <w:lang w:val="zh-CN"/>
        </w:rPr>
        <w:t>.</w:t>
      </w:r>
      <w:r>
        <w:rPr>
          <w:rFonts w:hint="eastAsia"/>
          <w:bCs/>
          <w:color w:val="auto"/>
          <w:kern w:val="2"/>
          <w:sz w:val="21"/>
          <w:szCs w:val="21"/>
          <w:highlight w:val="none"/>
          <w:lang w:val="zh-CN"/>
        </w:rPr>
        <w:t xml:space="preserve">4 </w:t>
      </w:r>
      <w:r>
        <w:rPr>
          <w:bCs/>
          <w:color w:val="auto"/>
          <w:kern w:val="2"/>
          <w:sz w:val="21"/>
          <w:szCs w:val="21"/>
          <w:highlight w:val="none"/>
          <w:lang w:val="zh-CN"/>
        </w:rPr>
        <w:t>知识产权</w:t>
      </w:r>
    </w:p>
    <w:p>
      <w:pPr>
        <w:spacing w:line="360" w:lineRule="auto"/>
        <w:ind w:left="528" w:leftChars="220" w:firstLine="315" w:firstLineChars="150"/>
        <w:rPr>
          <w:bCs/>
          <w:color w:val="auto"/>
          <w:sz w:val="21"/>
          <w:szCs w:val="21"/>
          <w:highlight w:val="none"/>
          <w:lang w:val="en-GB"/>
        </w:rPr>
      </w:pPr>
      <w:r>
        <w:rPr>
          <w:rFonts w:hint="eastAsia"/>
          <w:bCs/>
          <w:color w:val="auto"/>
          <w:sz w:val="21"/>
          <w:szCs w:val="21"/>
          <w:highlight w:val="none"/>
          <w:lang w:val="en-GB"/>
        </w:rPr>
        <w:t>谈判供应商必须保证，采购人在中华人民共和国境内使用</w:t>
      </w:r>
      <w:r>
        <w:rPr>
          <w:rFonts w:hint="eastAsia"/>
          <w:bCs/>
          <w:color w:val="auto"/>
          <w:sz w:val="21"/>
          <w:szCs w:val="21"/>
          <w:highlight w:val="none"/>
          <w:lang w:val="en-GB" w:eastAsia="zh-CN"/>
        </w:rPr>
        <w:t>响应</w:t>
      </w:r>
      <w:r>
        <w:rPr>
          <w:rFonts w:hint="eastAsia"/>
          <w:bCs/>
          <w:color w:val="auto"/>
          <w:sz w:val="21"/>
          <w:szCs w:val="21"/>
          <w:highlight w:val="none"/>
          <w:lang w:val="en-GB"/>
        </w:rPr>
        <w:t>货物、资料、技术、</w:t>
      </w:r>
      <w:r>
        <w:rPr>
          <w:rFonts w:hint="eastAsia"/>
          <w:bCs/>
          <w:color w:val="auto"/>
          <w:sz w:val="21"/>
          <w:szCs w:val="21"/>
          <w:highlight w:val="none"/>
          <w:lang w:val="en-GB" w:eastAsia="zh-CN"/>
        </w:rPr>
        <w:t>服务（或工程）</w:t>
      </w:r>
      <w:r>
        <w:rPr>
          <w:rFonts w:hint="eastAsia"/>
          <w:bCs/>
          <w:color w:val="auto"/>
          <w:sz w:val="21"/>
          <w:szCs w:val="21"/>
          <w:highlight w:val="none"/>
          <w:lang w:val="en-GB"/>
        </w:rPr>
        <w:t>或其任何一部分时，享有不受限制的无偿使用权，不会产生因第三方提出侵犯其专利权、商标权或其它知识产权而引起的法律或经济纠纷。如谈判供应商不拥有相应的知识产权，则在</w:t>
      </w:r>
      <w:r>
        <w:rPr>
          <w:rFonts w:hint="eastAsia"/>
          <w:bCs/>
          <w:color w:val="auto"/>
          <w:sz w:val="21"/>
          <w:szCs w:val="21"/>
          <w:highlight w:val="none"/>
          <w:lang w:val="en-GB" w:eastAsia="zh-CN"/>
        </w:rPr>
        <w:t>响应报价</w:t>
      </w:r>
      <w:r>
        <w:rPr>
          <w:rFonts w:hint="eastAsia"/>
          <w:bCs/>
          <w:color w:val="auto"/>
          <w:sz w:val="21"/>
          <w:szCs w:val="21"/>
          <w:highlight w:val="none"/>
          <w:lang w:val="en-GB"/>
        </w:rPr>
        <w:t>中必须包括合法获取该知识产权的一切相关费用。</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8</w:t>
      </w:r>
      <w:r>
        <w:rPr>
          <w:rFonts w:hint="eastAsia"/>
          <w:bCs/>
          <w:color w:val="auto"/>
          <w:kern w:val="2"/>
          <w:sz w:val="21"/>
          <w:szCs w:val="21"/>
          <w:highlight w:val="none"/>
          <w:lang w:val="zh-CN"/>
        </w:rPr>
        <w:tab/>
      </w:r>
      <w:r>
        <w:rPr>
          <w:rFonts w:hint="eastAsia"/>
          <w:bCs/>
          <w:color w:val="auto"/>
          <w:kern w:val="2"/>
          <w:sz w:val="21"/>
          <w:szCs w:val="21"/>
          <w:highlight w:val="none"/>
          <w:lang w:val="zh-CN"/>
        </w:rPr>
        <w:t>采购文件的澄清及修改</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8.1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并在指定的采购信息发布媒体上发布变更公告。</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8.2  潜在谈判供应商收到上述通知后，应在24小时之内以书面形式（加盖章公章）向采购代理机构确认，否则将视为收悉澄清内容并有责任履行相应的义务。澄清或修改时间距响应截止时间不足3个工作日的，采购人、采购代理机构在征得已获取谈判文件的潜在谈判供应商同意并书面确认后，可不改变响应截止时间。</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8.3. 招标过程中的一切修改文件或补充文件一旦确认后与采购文件具有同等法律效力，谈判供应商有责任履行相应的义务。当采购文件、采购文件的澄清或修改在同一内容的表述上不一致时，以最后发出的文件内容为准。</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8.4. 为使潜在谈判供应商有合理的时间理解采购文件的修改，代理机构可酌情推迟响应截止日期和开标时间，但至少应当在规定的响应截止时间三天前，将变更时间书面通知所有采购文件收受人。</w:t>
      </w:r>
    </w:p>
    <w:p>
      <w:pPr>
        <w:pStyle w:val="4"/>
        <w:spacing w:line="360" w:lineRule="auto"/>
        <w:rPr>
          <w:bCs/>
          <w:color w:val="auto"/>
          <w:kern w:val="44"/>
          <w:sz w:val="21"/>
          <w:szCs w:val="21"/>
          <w:highlight w:val="none"/>
          <w:lang w:val="zh-CN"/>
        </w:rPr>
      </w:pPr>
      <w:bookmarkStart w:id="18" w:name="_Toc413402433"/>
      <w:bookmarkStart w:id="19" w:name="_Toc508723463"/>
      <w:bookmarkStart w:id="20" w:name="_Toc396137235"/>
      <w:r>
        <w:rPr>
          <w:rFonts w:hint="eastAsia"/>
          <w:bCs/>
          <w:color w:val="auto"/>
          <w:kern w:val="44"/>
          <w:sz w:val="21"/>
          <w:szCs w:val="21"/>
          <w:highlight w:val="none"/>
          <w:lang w:val="zh-CN"/>
        </w:rPr>
        <w:t>（三）谈判响应文件的编制</w:t>
      </w:r>
      <w:bookmarkEnd w:id="18"/>
      <w:bookmarkEnd w:id="19"/>
      <w:bookmarkEnd w:id="20"/>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9</w:t>
      </w:r>
      <w:r>
        <w:rPr>
          <w:bCs/>
          <w:color w:val="auto"/>
          <w:kern w:val="2"/>
          <w:sz w:val="21"/>
          <w:szCs w:val="21"/>
          <w:highlight w:val="none"/>
          <w:lang w:val="zh-CN"/>
        </w:rPr>
        <w:tab/>
      </w:r>
      <w:r>
        <w:rPr>
          <w:rFonts w:hint="eastAsia"/>
          <w:bCs/>
          <w:color w:val="auto"/>
          <w:kern w:val="2"/>
          <w:sz w:val="21"/>
          <w:szCs w:val="21"/>
          <w:highlight w:val="none"/>
          <w:lang w:val="zh-CN"/>
        </w:rPr>
        <w:t>响应使用的文字及度量衡单位。</w:t>
      </w:r>
    </w:p>
    <w:p>
      <w:pPr>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w:t>
      </w:r>
      <w:r>
        <w:rPr>
          <w:bCs/>
          <w:color w:val="auto"/>
          <w:kern w:val="2"/>
          <w:sz w:val="21"/>
          <w:szCs w:val="21"/>
          <w:highlight w:val="none"/>
          <w:lang w:val="zh-CN"/>
        </w:rPr>
        <w:t>.1</w:t>
      </w:r>
      <w:r>
        <w:rPr>
          <w:rFonts w:hint="eastAsia"/>
          <w:bCs/>
          <w:color w:val="auto"/>
          <w:kern w:val="2"/>
          <w:sz w:val="21"/>
          <w:szCs w:val="21"/>
          <w:highlight w:val="none"/>
          <w:lang w:val="zh-CN"/>
        </w:rPr>
        <w:t xml:space="preserve"> </w:t>
      </w:r>
      <w:r>
        <w:rPr>
          <w:bCs/>
          <w:color w:val="auto"/>
          <w:kern w:val="2"/>
          <w:sz w:val="21"/>
          <w:szCs w:val="21"/>
          <w:highlight w:val="none"/>
          <w:lang w:val="zh-CN"/>
        </w:rPr>
        <w:t xml:space="preserve"> </w:t>
      </w:r>
      <w:r>
        <w:rPr>
          <w:rFonts w:hint="eastAsia"/>
          <w:bCs/>
          <w:color w:val="auto"/>
          <w:kern w:val="2"/>
          <w:sz w:val="21"/>
          <w:szCs w:val="21"/>
          <w:highlight w:val="none"/>
          <w:lang w:val="zh-CN"/>
        </w:rPr>
        <w:t>谈判供应商应仔细阅读采购文件的所有内容，并按采购文件的规定及附件要求的内容和格式，提交完整的谈判响应文件，并保证所提供全部资料的真实性，所有不完整的响应将被拒绝。</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9</w:t>
      </w:r>
      <w:r>
        <w:rPr>
          <w:bCs/>
          <w:color w:val="auto"/>
          <w:kern w:val="2"/>
          <w:sz w:val="21"/>
          <w:szCs w:val="21"/>
          <w:highlight w:val="none"/>
          <w:lang w:val="zh-CN"/>
        </w:rPr>
        <w:t>.2</w:t>
      </w:r>
      <w:r>
        <w:rPr>
          <w:rFonts w:hint="eastAsia"/>
          <w:bCs/>
          <w:color w:val="auto"/>
          <w:kern w:val="2"/>
          <w:sz w:val="21"/>
          <w:szCs w:val="21"/>
          <w:highlight w:val="none"/>
          <w:lang w:val="zh-CN"/>
        </w:rPr>
        <w:t xml:space="preserve"> </w:t>
      </w:r>
      <w:r>
        <w:rPr>
          <w:bCs/>
          <w:color w:val="auto"/>
          <w:kern w:val="2"/>
          <w:sz w:val="21"/>
          <w:szCs w:val="21"/>
          <w:highlight w:val="none"/>
          <w:lang w:val="zh-CN"/>
        </w:rPr>
        <w:t xml:space="preserve"> </w:t>
      </w:r>
      <w:r>
        <w:rPr>
          <w:rFonts w:hint="eastAsia"/>
          <w:bCs/>
          <w:color w:val="auto"/>
          <w:kern w:val="2"/>
          <w:sz w:val="21"/>
          <w:szCs w:val="21"/>
          <w:highlight w:val="none"/>
          <w:lang w:val="zh-CN"/>
        </w:rPr>
        <w:t>谈判响应文件使用的度量衡单位采用中华人民共和国法定计量单位。</w:t>
      </w:r>
    </w:p>
    <w:p>
      <w:pPr>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9.3  谈判供应商提交的谈判响应文件以及谈判供应商与采购代理机构就有关响应的所有来往函电均应使用中文。谈判供应商提交的支持文件或印刷的资料可以用另一种语言，但相应内容应附有中文翻译本，对不同文字文本谈判响应文件的解释发生异议的，以中文文本为准。对中文翻译有异议的，以权威机构的译本为准。</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9.4  采购文件中，如标有“★”的条款均为必须完全满足指标，谈判供应商须进行实质性响应，谈判供应商若有一项带“★”的条款未响应或不满足，将按无效响应处理。</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9.6  谈判供应商应对响应内容提供完整的、详细的、清晰的技术说明，如谈判供应商对指定的技术要求建议做任何改动，应在谈判响应文件中清楚地注明；谈判供应商对采购文件的对应要求应当给予唯一的实质性响应，否则将视为不响应。技术参数要求中标注有具体数值要求的，谈判供应商必须在用户需求响应偏离表中标注实际数值，不标注数值者视为不响应。谈判供应商应在谈判响应文件中提供响应产品彩页或相应技术参数的厂家使用说明书复印件作为技术证明文件，否则谈判小组有权视相应技术参数响应不符合采购要求。（如厂家的产品使用说明书为英文版，请同时提供中文版）</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9.7  谈判供应商响应采购需求应具体、明确，含糊不清、不确切、直接复制采购文件中技术规格或参数要求的，或伪造、变造证明材料的，按照不完全响应或完全不响应处理。构成提供虚假材料的，移送监管部门查处。</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9.8  谈判供应商对采购文件的商务合同不允许实质性偏离，否则将视为不响应。</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9.9  谈判响应文件按规定加盖的谈判供应商公章必须为企业法人公章，且与谈判供应商名称一致，不能以其它业务章或附属机构章代替。需签字之处必须由当事人亲笔签署。</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10</w:t>
      </w:r>
      <w:r>
        <w:rPr>
          <w:bCs/>
          <w:color w:val="auto"/>
          <w:kern w:val="2"/>
          <w:sz w:val="21"/>
          <w:szCs w:val="21"/>
          <w:highlight w:val="none"/>
          <w:lang w:val="zh-CN"/>
        </w:rPr>
        <w:tab/>
      </w:r>
      <w:r>
        <w:rPr>
          <w:rFonts w:hint="eastAsia"/>
          <w:bCs/>
          <w:color w:val="auto"/>
          <w:kern w:val="2"/>
          <w:sz w:val="21"/>
          <w:szCs w:val="21"/>
          <w:highlight w:val="none"/>
          <w:lang w:val="zh-CN"/>
        </w:rPr>
        <w:t>谈判响应文件的组成</w:t>
      </w:r>
    </w:p>
    <w:p>
      <w:pPr>
        <w:spacing w:line="360" w:lineRule="auto"/>
        <w:ind w:left="630" w:hanging="630" w:hangingChars="300"/>
        <w:jc w:val="both"/>
        <w:rPr>
          <w:bCs/>
          <w:color w:val="auto"/>
          <w:kern w:val="2"/>
          <w:sz w:val="21"/>
          <w:szCs w:val="21"/>
          <w:highlight w:val="none"/>
          <w:lang w:val="zh-CN"/>
        </w:rPr>
      </w:pPr>
      <w:r>
        <w:rPr>
          <w:rFonts w:hint="eastAsia"/>
          <w:bCs/>
          <w:color w:val="auto"/>
          <w:kern w:val="2"/>
          <w:sz w:val="21"/>
          <w:szCs w:val="21"/>
          <w:highlight w:val="none"/>
          <w:lang w:val="zh-CN"/>
        </w:rPr>
        <w:t>10</w:t>
      </w:r>
      <w:r>
        <w:rPr>
          <w:bCs/>
          <w:color w:val="auto"/>
          <w:kern w:val="2"/>
          <w:sz w:val="21"/>
          <w:szCs w:val="21"/>
          <w:highlight w:val="none"/>
          <w:lang w:val="zh-CN"/>
        </w:rPr>
        <w:t>.1</w:t>
      </w:r>
      <w:r>
        <w:rPr>
          <w:rFonts w:hint="eastAsia"/>
          <w:bCs/>
          <w:color w:val="auto"/>
          <w:kern w:val="2"/>
          <w:sz w:val="21"/>
          <w:szCs w:val="21"/>
          <w:highlight w:val="none"/>
          <w:lang w:val="zh-CN"/>
        </w:rPr>
        <w:t xml:space="preserve"> 谈判响应文件由报价信封、</w:t>
      </w:r>
      <w:r>
        <w:rPr>
          <w:rFonts w:hint="eastAsia"/>
          <w:bCs/>
          <w:color w:val="auto"/>
          <w:kern w:val="2"/>
          <w:sz w:val="21"/>
          <w:szCs w:val="21"/>
          <w:highlight w:val="none"/>
          <w:lang w:val="en-US" w:eastAsia="zh-CN"/>
        </w:rPr>
        <w:t>响应文件</w:t>
      </w:r>
      <w:r>
        <w:rPr>
          <w:rFonts w:hint="eastAsia"/>
          <w:bCs/>
          <w:color w:val="auto"/>
          <w:kern w:val="2"/>
          <w:sz w:val="21"/>
          <w:szCs w:val="21"/>
          <w:highlight w:val="none"/>
          <w:lang w:val="zh-CN"/>
        </w:rPr>
        <w:t>组成</w:t>
      </w:r>
      <w:r>
        <w:rPr>
          <w:rFonts w:hint="eastAsia"/>
          <w:bCs/>
          <w:color w:val="auto"/>
          <w:sz w:val="21"/>
          <w:szCs w:val="21"/>
          <w:highlight w:val="none"/>
          <w:lang w:val="zh-CN"/>
        </w:rPr>
        <w:t>（格式见第四篇谈判响应文件格式）</w:t>
      </w:r>
      <w:r>
        <w:rPr>
          <w:rFonts w:hint="eastAsia"/>
          <w:bCs/>
          <w:color w:val="auto"/>
          <w:kern w:val="2"/>
          <w:sz w:val="21"/>
          <w:szCs w:val="21"/>
          <w:highlight w:val="none"/>
          <w:lang w:val="zh-CN"/>
        </w:rPr>
        <w:t>。</w:t>
      </w:r>
    </w:p>
    <w:p>
      <w:pPr>
        <w:spacing w:line="360" w:lineRule="auto"/>
        <w:ind w:firstLine="422"/>
        <w:rPr>
          <w:rFonts w:hint="eastAsia"/>
          <w:bCs/>
          <w:color w:val="auto"/>
          <w:kern w:val="2"/>
          <w:sz w:val="21"/>
          <w:szCs w:val="21"/>
          <w:highlight w:val="none"/>
          <w:lang w:val="zh-CN"/>
        </w:rPr>
      </w:pPr>
      <w:r>
        <w:rPr>
          <w:rFonts w:hint="eastAsia"/>
          <w:bCs/>
          <w:color w:val="auto"/>
          <w:kern w:val="2"/>
          <w:sz w:val="21"/>
          <w:szCs w:val="21"/>
          <w:highlight w:val="none"/>
          <w:lang w:val="en-US" w:eastAsia="zh-CN"/>
        </w:rPr>
        <w:t>1、</w:t>
      </w:r>
      <w:r>
        <w:rPr>
          <w:rFonts w:hint="eastAsia"/>
          <w:bCs/>
          <w:color w:val="auto"/>
          <w:kern w:val="2"/>
          <w:sz w:val="21"/>
          <w:szCs w:val="21"/>
          <w:highlight w:val="none"/>
          <w:lang w:val="zh-CN"/>
        </w:rPr>
        <w:t>报价信封（报价信封单独编制、单独分装。）</w:t>
      </w:r>
    </w:p>
    <w:p>
      <w:pPr>
        <w:spacing w:line="360" w:lineRule="auto"/>
        <w:ind w:firstLine="422"/>
        <w:rPr>
          <w:rFonts w:hint="default"/>
          <w:bCs/>
          <w:color w:val="auto"/>
          <w:kern w:val="2"/>
          <w:sz w:val="21"/>
          <w:szCs w:val="21"/>
          <w:highlight w:val="none"/>
          <w:lang w:val="en-US" w:eastAsia="zh-CN"/>
        </w:rPr>
      </w:pPr>
      <w:r>
        <w:rPr>
          <w:rFonts w:hint="eastAsia"/>
          <w:bCs/>
          <w:color w:val="auto"/>
          <w:kern w:val="2"/>
          <w:sz w:val="21"/>
          <w:szCs w:val="21"/>
          <w:highlight w:val="none"/>
          <w:lang w:val="en-US" w:eastAsia="zh-CN"/>
        </w:rPr>
        <w:t>2、响应文件</w:t>
      </w:r>
    </w:p>
    <w:p>
      <w:pPr>
        <w:spacing w:line="360" w:lineRule="auto"/>
        <w:rPr>
          <w:bCs/>
          <w:color w:val="auto"/>
          <w:sz w:val="21"/>
          <w:szCs w:val="21"/>
          <w:highlight w:val="none"/>
        </w:rPr>
      </w:pPr>
      <w:r>
        <w:rPr>
          <w:rFonts w:hint="eastAsia"/>
          <w:bCs/>
          <w:color w:val="auto"/>
          <w:sz w:val="21"/>
          <w:szCs w:val="21"/>
          <w:highlight w:val="none"/>
          <w:lang w:val="zh-CN"/>
        </w:rPr>
        <w:t>10.2 谈判供应商编制谈判响应文件必须包括但不限于上述内容。</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响应报价</w:t>
      </w:r>
    </w:p>
    <w:p>
      <w:pPr>
        <w:autoSpaceDE/>
        <w:autoSpaceDN/>
        <w:adjustRightInd/>
        <w:spacing w:line="360" w:lineRule="auto"/>
        <w:ind w:left="630" w:hanging="630" w:hangingChars="300"/>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1</w:t>
      </w:r>
      <w:r>
        <w:rPr>
          <w:bCs/>
          <w:color w:val="auto"/>
          <w:kern w:val="2"/>
          <w:sz w:val="21"/>
          <w:szCs w:val="21"/>
          <w:highlight w:val="none"/>
          <w:lang w:val="zh-CN"/>
        </w:rPr>
        <w:t>.</w:t>
      </w:r>
      <w:r>
        <w:rPr>
          <w:rFonts w:hint="eastAsia"/>
          <w:bCs/>
          <w:color w:val="auto"/>
          <w:kern w:val="2"/>
          <w:sz w:val="21"/>
          <w:szCs w:val="21"/>
          <w:highlight w:val="none"/>
          <w:lang w:val="zh-CN"/>
        </w:rPr>
        <w:t>1</w:t>
      </w:r>
      <w:r>
        <w:rPr>
          <w:bCs/>
          <w:color w:val="auto"/>
          <w:kern w:val="2"/>
          <w:sz w:val="21"/>
          <w:szCs w:val="21"/>
          <w:highlight w:val="none"/>
          <w:lang w:val="zh-CN"/>
        </w:rPr>
        <w:tab/>
      </w:r>
      <w:r>
        <w:rPr>
          <w:rFonts w:hint="eastAsia"/>
          <w:bCs/>
          <w:color w:val="auto"/>
          <w:sz w:val="21"/>
          <w:szCs w:val="21"/>
          <w:highlight w:val="none"/>
        </w:rPr>
        <w:t>本次采购必须对该项目的全部内容进行报价，少报漏报将导致其无效。</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11.2  谈判供应商响应总价是以谈判供应商可独立完成本项目，并在通过准确核算后，可满足预期实施效果、验收标准和符合自身合法利益的前提下所作出的综合性合理最终含税报价，对在谈判响应文件和合同书中未有明确列述、供应商案设计遗漏失误、市场剧变、汇率、利率因素和不可预见的费用等均视为已完全考虑到并包括在响应总价之内。谈判供应商应自行增加项目正常、合法、安全运行及使用所必需但采购文件没有列明或包含的内容及费用，并在谈判响应文件中加以详细说明，如果谈判供应商在中标并签署合同后，在提供采购范围内的服务（或工程）工作中出现的任何遗漏，均由成交人免费提供，采购人将不再支付任何费用。对超出常规、具有特别意义或会引起竞争非议的报价须作出特别说明。</w:t>
      </w:r>
    </w:p>
    <w:p>
      <w:pPr>
        <w:tabs>
          <w:tab w:val="left" w:pos="567"/>
        </w:tabs>
        <w:spacing w:line="360" w:lineRule="auto"/>
        <w:ind w:left="567" w:hanging="567"/>
        <w:jc w:val="both"/>
        <w:rPr>
          <w:bCs/>
          <w:color w:val="auto"/>
          <w:sz w:val="21"/>
          <w:szCs w:val="21"/>
          <w:highlight w:val="none"/>
        </w:rPr>
      </w:pPr>
      <w:r>
        <w:rPr>
          <w:bCs/>
          <w:color w:val="auto"/>
          <w:kern w:val="2"/>
          <w:sz w:val="21"/>
          <w:szCs w:val="21"/>
          <w:highlight w:val="none"/>
          <w:lang w:val="zh-CN"/>
        </w:rPr>
        <w:t>1</w:t>
      </w:r>
      <w:r>
        <w:rPr>
          <w:rFonts w:hint="eastAsia"/>
          <w:bCs/>
          <w:color w:val="auto"/>
          <w:kern w:val="2"/>
          <w:sz w:val="21"/>
          <w:szCs w:val="21"/>
          <w:highlight w:val="none"/>
          <w:lang w:val="zh-CN"/>
        </w:rPr>
        <w:t>1</w:t>
      </w:r>
      <w:r>
        <w:rPr>
          <w:bCs/>
          <w:color w:val="auto"/>
          <w:kern w:val="2"/>
          <w:sz w:val="21"/>
          <w:szCs w:val="21"/>
          <w:highlight w:val="none"/>
          <w:lang w:val="zh-CN"/>
        </w:rPr>
        <w:t>.</w:t>
      </w:r>
      <w:r>
        <w:rPr>
          <w:rFonts w:hint="eastAsia"/>
          <w:bCs/>
          <w:color w:val="auto"/>
          <w:kern w:val="2"/>
          <w:sz w:val="21"/>
          <w:szCs w:val="21"/>
          <w:highlight w:val="none"/>
          <w:lang w:val="zh-CN"/>
        </w:rPr>
        <w:t>3</w:t>
      </w:r>
      <w:r>
        <w:rPr>
          <w:bCs/>
          <w:color w:val="auto"/>
          <w:kern w:val="2"/>
          <w:sz w:val="21"/>
          <w:szCs w:val="21"/>
          <w:highlight w:val="none"/>
          <w:lang w:val="zh-CN"/>
        </w:rPr>
        <w:tab/>
      </w:r>
      <w:r>
        <w:rPr>
          <w:rFonts w:hint="eastAsia"/>
          <w:bCs/>
          <w:color w:val="auto"/>
          <w:sz w:val="21"/>
          <w:szCs w:val="21"/>
          <w:highlight w:val="none"/>
          <w:lang w:eastAsia="zh-CN"/>
        </w:rPr>
        <w:t>响应报价</w:t>
      </w:r>
      <w:r>
        <w:rPr>
          <w:rFonts w:hint="eastAsia"/>
          <w:bCs/>
          <w:color w:val="auto"/>
          <w:sz w:val="21"/>
          <w:szCs w:val="21"/>
          <w:highlight w:val="none"/>
        </w:rPr>
        <w:t>不是唯一的或不是固定不变的谈判响应文件将被作为非响应性</w:t>
      </w:r>
      <w:r>
        <w:rPr>
          <w:rFonts w:hint="eastAsia"/>
          <w:bCs/>
          <w:color w:val="auto"/>
          <w:sz w:val="21"/>
          <w:szCs w:val="21"/>
          <w:highlight w:val="none"/>
          <w:lang w:eastAsia="zh-CN"/>
        </w:rPr>
        <w:t>响应</w:t>
      </w:r>
      <w:r>
        <w:rPr>
          <w:rFonts w:hint="eastAsia"/>
          <w:bCs/>
          <w:color w:val="auto"/>
          <w:sz w:val="21"/>
          <w:szCs w:val="21"/>
          <w:highlight w:val="none"/>
        </w:rPr>
        <w:t>而予以拒绝。谈判供应商所报的</w:t>
      </w:r>
      <w:r>
        <w:rPr>
          <w:rFonts w:hint="eastAsia"/>
          <w:bCs/>
          <w:color w:val="auto"/>
          <w:sz w:val="21"/>
          <w:szCs w:val="21"/>
          <w:highlight w:val="none"/>
          <w:lang w:eastAsia="zh-CN"/>
        </w:rPr>
        <w:t>响应</w:t>
      </w:r>
      <w:r>
        <w:rPr>
          <w:rFonts w:hint="eastAsia"/>
          <w:bCs/>
          <w:color w:val="auto"/>
          <w:sz w:val="21"/>
          <w:szCs w:val="21"/>
          <w:highlight w:val="none"/>
        </w:rPr>
        <w:t>价在合同执行期间是固定不变的，谈判供应商不得以任何理由予以变更。</w:t>
      </w:r>
    </w:p>
    <w:p>
      <w:pPr>
        <w:autoSpaceDE/>
        <w:autoSpaceDN/>
        <w:adjustRightInd/>
        <w:spacing w:line="360" w:lineRule="auto"/>
        <w:ind w:left="630" w:hanging="630" w:hangingChars="300"/>
        <w:rPr>
          <w:bCs/>
          <w:color w:val="auto"/>
          <w:sz w:val="21"/>
          <w:szCs w:val="21"/>
          <w:highlight w:val="none"/>
        </w:rPr>
      </w:pPr>
      <w:r>
        <w:rPr>
          <w:bCs/>
          <w:color w:val="auto"/>
          <w:kern w:val="2"/>
          <w:sz w:val="21"/>
          <w:szCs w:val="21"/>
          <w:highlight w:val="none"/>
          <w:lang w:val="zh-CN"/>
        </w:rPr>
        <w:t>1</w:t>
      </w:r>
      <w:r>
        <w:rPr>
          <w:rFonts w:hint="eastAsia"/>
          <w:bCs/>
          <w:color w:val="auto"/>
          <w:kern w:val="2"/>
          <w:sz w:val="21"/>
          <w:szCs w:val="21"/>
          <w:highlight w:val="none"/>
          <w:lang w:val="zh-CN"/>
        </w:rPr>
        <w:t>1</w:t>
      </w:r>
      <w:r>
        <w:rPr>
          <w:bCs/>
          <w:color w:val="auto"/>
          <w:kern w:val="2"/>
          <w:sz w:val="21"/>
          <w:szCs w:val="21"/>
          <w:highlight w:val="none"/>
          <w:lang w:val="zh-CN"/>
        </w:rPr>
        <w:t>.</w:t>
      </w:r>
      <w:r>
        <w:rPr>
          <w:rFonts w:hint="eastAsia"/>
          <w:bCs/>
          <w:color w:val="auto"/>
          <w:kern w:val="2"/>
          <w:sz w:val="21"/>
          <w:szCs w:val="21"/>
          <w:highlight w:val="none"/>
          <w:lang w:val="zh-CN"/>
        </w:rPr>
        <w:t>4</w:t>
      </w:r>
      <w:r>
        <w:rPr>
          <w:bCs/>
          <w:color w:val="auto"/>
          <w:kern w:val="2"/>
          <w:sz w:val="21"/>
          <w:szCs w:val="21"/>
          <w:highlight w:val="none"/>
          <w:lang w:val="zh-CN"/>
        </w:rPr>
        <w:tab/>
      </w:r>
      <w:r>
        <w:rPr>
          <w:rFonts w:hint="eastAsia"/>
          <w:bCs/>
          <w:color w:val="auto"/>
          <w:sz w:val="21"/>
          <w:szCs w:val="21"/>
          <w:highlight w:val="none"/>
        </w:rPr>
        <w:t>合同项下，买方需要的</w:t>
      </w:r>
      <w:r>
        <w:rPr>
          <w:rFonts w:hint="eastAsia"/>
          <w:bCs/>
          <w:color w:val="auto"/>
          <w:sz w:val="21"/>
          <w:szCs w:val="21"/>
          <w:highlight w:val="none"/>
          <w:lang w:eastAsia="zh-CN"/>
        </w:rPr>
        <w:t>服务（或工程</w:t>
      </w:r>
      <w:r>
        <w:rPr>
          <w:rFonts w:hint="eastAsia"/>
          <w:bCs/>
          <w:color w:val="auto"/>
          <w:sz w:val="21"/>
          <w:szCs w:val="21"/>
          <w:highlight w:val="none"/>
        </w:rPr>
        <w:t>或货物）和附带备品、配件所需的费用，如果谈判供应商是另外单独报价的，评分时计入</w:t>
      </w:r>
      <w:r>
        <w:rPr>
          <w:rFonts w:hint="eastAsia"/>
          <w:bCs/>
          <w:color w:val="auto"/>
          <w:sz w:val="21"/>
          <w:szCs w:val="21"/>
          <w:highlight w:val="none"/>
          <w:lang w:eastAsia="zh-CN"/>
        </w:rPr>
        <w:t>响应报价</w:t>
      </w:r>
      <w:r>
        <w:rPr>
          <w:rFonts w:hint="eastAsia"/>
          <w:bCs/>
          <w:color w:val="auto"/>
          <w:sz w:val="21"/>
          <w:szCs w:val="21"/>
          <w:highlight w:val="none"/>
        </w:rPr>
        <w:t>总价。确定成交人后，在合同规定的承包范围内成交人不得以任何理由追加设备费用、辅材费用或其他费用。</w:t>
      </w:r>
    </w:p>
    <w:p>
      <w:pPr>
        <w:spacing w:line="360" w:lineRule="auto"/>
        <w:ind w:left="567" w:hanging="567"/>
        <w:jc w:val="both"/>
        <w:rPr>
          <w:bCs/>
          <w:color w:val="auto"/>
          <w:sz w:val="21"/>
          <w:szCs w:val="21"/>
          <w:highlight w:val="none"/>
        </w:rPr>
      </w:pPr>
      <w:r>
        <w:rPr>
          <w:rFonts w:hint="eastAsia"/>
          <w:bCs/>
          <w:color w:val="auto"/>
          <w:kern w:val="2"/>
          <w:sz w:val="21"/>
          <w:szCs w:val="21"/>
          <w:highlight w:val="none"/>
          <w:lang w:val="zh-CN"/>
        </w:rPr>
        <w:t>11.5</w:t>
      </w:r>
      <w:r>
        <w:rPr>
          <w:bCs/>
          <w:color w:val="auto"/>
          <w:kern w:val="2"/>
          <w:sz w:val="21"/>
          <w:szCs w:val="21"/>
          <w:highlight w:val="none"/>
          <w:lang w:val="zh-CN"/>
        </w:rPr>
        <w:tab/>
      </w:r>
      <w:r>
        <w:rPr>
          <w:rFonts w:hint="eastAsia"/>
          <w:bCs/>
          <w:color w:val="auto"/>
          <w:sz w:val="21"/>
          <w:szCs w:val="21"/>
          <w:highlight w:val="none"/>
        </w:rPr>
        <w:t>本次采购实行“最高限价”制度。谈判供应商的</w:t>
      </w:r>
      <w:r>
        <w:rPr>
          <w:rFonts w:hint="eastAsia"/>
          <w:bCs/>
          <w:color w:val="auto"/>
          <w:sz w:val="21"/>
          <w:szCs w:val="21"/>
          <w:highlight w:val="none"/>
          <w:lang w:eastAsia="zh-CN"/>
        </w:rPr>
        <w:t>响应报价</w:t>
      </w:r>
      <w:r>
        <w:rPr>
          <w:rFonts w:hint="eastAsia"/>
          <w:bCs/>
          <w:color w:val="auto"/>
          <w:sz w:val="21"/>
          <w:szCs w:val="21"/>
          <w:highlight w:val="none"/>
        </w:rPr>
        <w:t>高于采购预算的，该谈判供应商的谈判响应文件将被视为非响应性报价予以废标。</w:t>
      </w:r>
    </w:p>
    <w:p>
      <w:pPr>
        <w:tabs>
          <w:tab w:val="left" w:pos="720"/>
          <w:tab w:val="left" w:pos="346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11.6  谈判供应商必须以人民币报价，以其它货币标价的响应将予以拒绝。谈判响应文件的报价出现前后不一致的，按照下列规定修正：（1）谈判响应文件中首次报价一览表（报价表）内容与谈判响应文件中相应内容不一致的，以首次报价一览表（报价表）为准；（2）谈判响应文件的大写金额和小写金额不一致的，以大写金额为准；（3）单价金额小数点或者百分比有明显错位的，以首次报价一览表的总价为准，并修改单价；（4）总价金额与按单价汇总金额不一致的，以单价金额计算结果为准。同时出现两种以上不一致的，按照前款规定的顺序修正。修正后的报价经谈判供应商确认后产生约束力，谈判供应商不确认的，其响应无效。</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证明谈判供应商的合格性的证明文件</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2</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根据</w:t>
      </w:r>
      <w:r>
        <w:rPr>
          <w:color w:val="auto"/>
          <w:highlight w:val="none"/>
        </w:rPr>
        <w:fldChar w:fldCharType="begin"/>
      </w:r>
      <w:r>
        <w:rPr>
          <w:color w:val="auto"/>
          <w:highlight w:val="none"/>
        </w:rPr>
        <w:instrText xml:space="preserve"> HYPERLINK "file:///D:\\Documents\\WeChat%20Files\\cherryyao002\\FileStorage\\Documents\\WeChat%20Files\\sunny220555\\FileStorage\\Documents\\WeChat%20Files\\sunny220555\\FileStorage\\File\\2019-03\\l" </w:instrText>
      </w:r>
      <w:r>
        <w:rPr>
          <w:color w:val="auto"/>
          <w:highlight w:val="none"/>
        </w:rPr>
        <w:fldChar w:fldCharType="separate"/>
      </w:r>
      <w:r>
        <w:rPr>
          <w:rFonts w:hint="eastAsia"/>
          <w:bCs/>
          <w:color w:val="auto"/>
          <w:kern w:val="2"/>
          <w:sz w:val="21"/>
          <w:szCs w:val="21"/>
          <w:highlight w:val="none"/>
          <w:lang w:val="zh-CN"/>
        </w:rPr>
        <w:t>第</w:t>
      </w:r>
      <w:r>
        <w:rPr>
          <w:bCs/>
          <w:color w:val="auto"/>
          <w:kern w:val="2"/>
          <w:sz w:val="21"/>
          <w:szCs w:val="21"/>
          <w:highlight w:val="none"/>
          <w:lang w:val="zh-CN"/>
        </w:rPr>
        <w:t>1</w:t>
      </w:r>
      <w:r>
        <w:rPr>
          <w:rFonts w:hint="eastAsia"/>
          <w:bCs/>
          <w:color w:val="auto"/>
          <w:kern w:val="2"/>
          <w:sz w:val="21"/>
          <w:szCs w:val="21"/>
          <w:highlight w:val="none"/>
          <w:lang w:val="zh-CN"/>
        </w:rPr>
        <w:t>2</w:t>
      </w:r>
      <w:r>
        <w:rPr>
          <w:bCs/>
          <w:color w:val="auto"/>
          <w:kern w:val="2"/>
          <w:sz w:val="21"/>
          <w:szCs w:val="21"/>
          <w:highlight w:val="none"/>
          <w:lang w:val="zh-CN"/>
        </w:rPr>
        <w:t>.2</w:t>
      </w:r>
      <w:r>
        <w:rPr>
          <w:rFonts w:hint="eastAsia"/>
          <w:bCs/>
          <w:color w:val="auto"/>
          <w:kern w:val="2"/>
          <w:sz w:val="21"/>
          <w:szCs w:val="21"/>
          <w:highlight w:val="none"/>
          <w:lang w:val="zh-CN"/>
        </w:rPr>
        <w:t>款</w:t>
      </w:r>
      <w:r>
        <w:rPr>
          <w:rFonts w:hint="eastAsia"/>
          <w:bCs/>
          <w:color w:val="auto"/>
          <w:kern w:val="2"/>
          <w:sz w:val="21"/>
          <w:szCs w:val="21"/>
          <w:highlight w:val="none"/>
          <w:lang w:val="zh-CN"/>
        </w:rPr>
        <w:fldChar w:fldCharType="end"/>
      </w:r>
      <w:r>
        <w:rPr>
          <w:rFonts w:hint="eastAsia"/>
          <w:bCs/>
          <w:color w:val="auto"/>
          <w:kern w:val="2"/>
          <w:sz w:val="21"/>
          <w:szCs w:val="21"/>
          <w:highlight w:val="none"/>
          <w:lang w:val="zh-CN"/>
        </w:rPr>
        <w:t>规定，谈判供应商须提交证明其有资格进行响应和有能力履行合同的文件，作为谈判响应文件的一部分。</w:t>
      </w:r>
    </w:p>
    <w:p>
      <w:pPr>
        <w:spacing w:line="360" w:lineRule="auto"/>
        <w:ind w:left="567" w:hanging="567"/>
        <w:jc w:val="both"/>
        <w:rPr>
          <w:bCs/>
          <w:color w:val="auto"/>
          <w:kern w:val="2"/>
          <w:sz w:val="21"/>
          <w:szCs w:val="21"/>
          <w:highlight w:val="none"/>
          <w:vertAlign w:val="superscript"/>
          <w:lang w:val="zh-CN"/>
        </w:rPr>
      </w:pPr>
      <w:r>
        <w:rPr>
          <w:bCs/>
          <w:color w:val="auto"/>
          <w:kern w:val="2"/>
          <w:sz w:val="21"/>
          <w:szCs w:val="21"/>
          <w:highlight w:val="none"/>
          <w:lang w:val="zh-CN"/>
        </w:rPr>
        <w:t>1</w:t>
      </w:r>
      <w:r>
        <w:rPr>
          <w:rFonts w:hint="eastAsia"/>
          <w:bCs/>
          <w:color w:val="auto"/>
          <w:kern w:val="2"/>
          <w:sz w:val="21"/>
          <w:szCs w:val="21"/>
          <w:highlight w:val="none"/>
          <w:lang w:val="zh-CN"/>
        </w:rPr>
        <w:t>2</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谈判供应商提供的履行合同的资格证明文件</w:t>
      </w:r>
      <w:r>
        <w:rPr>
          <w:rFonts w:hint="eastAsia"/>
          <w:bCs/>
          <w:color w:val="auto"/>
          <w:sz w:val="21"/>
          <w:szCs w:val="21"/>
          <w:highlight w:val="none"/>
        </w:rPr>
        <w:t>：详</w:t>
      </w:r>
      <w:r>
        <w:rPr>
          <w:rFonts w:hint="eastAsia"/>
          <w:bCs/>
          <w:color w:val="auto"/>
          <w:kern w:val="2"/>
          <w:sz w:val="21"/>
          <w:szCs w:val="21"/>
          <w:highlight w:val="none"/>
          <w:lang w:val="zh-CN"/>
        </w:rPr>
        <w:t>见</w:t>
      </w:r>
      <w:r>
        <w:rPr>
          <w:rFonts w:hint="eastAsia"/>
          <w:bCs/>
          <w:color w:val="auto"/>
          <w:sz w:val="21"/>
          <w:szCs w:val="21"/>
          <w:highlight w:val="none"/>
        </w:rPr>
        <w:t>《</w:t>
      </w:r>
      <w:r>
        <w:rPr>
          <w:rFonts w:hint="eastAsia"/>
          <w:bCs/>
          <w:color w:val="auto"/>
          <w:sz w:val="21"/>
          <w:szCs w:val="21"/>
          <w:highlight w:val="none"/>
          <w:lang w:val="en-US" w:eastAsia="zh-CN"/>
        </w:rPr>
        <w:t>谈判邀请书</w:t>
      </w:r>
      <w:r>
        <w:rPr>
          <w:rFonts w:hint="eastAsia"/>
          <w:bCs/>
          <w:color w:val="auto"/>
          <w:sz w:val="21"/>
          <w:szCs w:val="21"/>
          <w:highlight w:val="none"/>
        </w:rPr>
        <w:t>》。</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证明货物和服务的合格性并符合采购文件规定的声明文件</w:t>
      </w:r>
    </w:p>
    <w:p>
      <w:pPr>
        <w:tabs>
          <w:tab w:val="left" w:pos="675"/>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3</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谈判供应商须提交证明其所提供的货物和服务的合格性并符合采购文件规定的声明文件，作为谈判响应文件的一部分。</w:t>
      </w:r>
    </w:p>
    <w:p>
      <w:pPr>
        <w:spacing w:line="360" w:lineRule="auto"/>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3</w:t>
      </w:r>
      <w:r>
        <w:rPr>
          <w:bCs/>
          <w:color w:val="auto"/>
          <w:kern w:val="2"/>
          <w:sz w:val="21"/>
          <w:szCs w:val="21"/>
          <w:highlight w:val="none"/>
          <w:lang w:val="zh-CN"/>
        </w:rPr>
        <w:t>.2</w:t>
      </w:r>
      <w:r>
        <w:rPr>
          <w:rFonts w:hint="eastAsia"/>
          <w:bCs/>
          <w:color w:val="auto"/>
          <w:kern w:val="2"/>
          <w:sz w:val="21"/>
          <w:szCs w:val="21"/>
          <w:highlight w:val="none"/>
          <w:lang w:val="zh-CN"/>
        </w:rPr>
        <w:t xml:space="preserve">  证明货物和服务与采购文件的要求相一致的文件可以是文字资料、图纸和数据资料。</w:t>
      </w:r>
    </w:p>
    <w:p>
      <w:pPr>
        <w:spacing w:line="360" w:lineRule="auto"/>
        <w:ind w:left="630" w:hanging="630" w:hangingChars="300"/>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3</w:t>
      </w:r>
      <w:r>
        <w:rPr>
          <w:bCs/>
          <w:color w:val="auto"/>
          <w:kern w:val="2"/>
          <w:sz w:val="21"/>
          <w:szCs w:val="21"/>
          <w:highlight w:val="none"/>
          <w:lang w:val="zh-CN"/>
        </w:rPr>
        <w:t>.</w:t>
      </w:r>
      <w:r>
        <w:rPr>
          <w:rFonts w:hint="eastAsia"/>
          <w:bCs/>
          <w:color w:val="auto"/>
          <w:kern w:val="2"/>
          <w:sz w:val="21"/>
          <w:szCs w:val="21"/>
          <w:highlight w:val="none"/>
          <w:lang w:val="zh-CN"/>
        </w:rPr>
        <w:t>3  为说明第</w:t>
      </w:r>
      <w:r>
        <w:rPr>
          <w:bCs/>
          <w:color w:val="auto"/>
          <w:kern w:val="2"/>
          <w:sz w:val="21"/>
          <w:szCs w:val="21"/>
          <w:highlight w:val="none"/>
          <w:lang w:val="zh-CN"/>
        </w:rPr>
        <w:t>1</w:t>
      </w:r>
      <w:r>
        <w:rPr>
          <w:rFonts w:hint="eastAsia"/>
          <w:bCs/>
          <w:color w:val="auto"/>
          <w:kern w:val="2"/>
          <w:sz w:val="21"/>
          <w:szCs w:val="21"/>
          <w:highlight w:val="none"/>
          <w:lang w:val="zh-CN"/>
        </w:rPr>
        <w:t>3</w:t>
      </w:r>
      <w:r>
        <w:rPr>
          <w:bCs/>
          <w:color w:val="auto"/>
          <w:kern w:val="2"/>
          <w:sz w:val="21"/>
          <w:szCs w:val="21"/>
          <w:highlight w:val="none"/>
          <w:lang w:val="zh-CN"/>
        </w:rPr>
        <w:t>.</w:t>
      </w:r>
      <w:r>
        <w:rPr>
          <w:rFonts w:hint="eastAsia"/>
          <w:bCs/>
          <w:color w:val="auto"/>
          <w:kern w:val="2"/>
          <w:sz w:val="21"/>
          <w:szCs w:val="21"/>
          <w:highlight w:val="none"/>
          <w:lang w:val="zh-CN"/>
        </w:rPr>
        <w:t>1款的规定，谈判供应商应注意本采购文件在《用户需求书》中</w:t>
      </w:r>
      <w:r>
        <w:rPr>
          <w:rFonts w:hint="eastAsia"/>
          <w:bCs/>
          <w:color w:val="auto"/>
          <w:sz w:val="21"/>
          <w:szCs w:val="21"/>
          <w:highlight w:val="none"/>
        </w:rPr>
        <w:t>对</w:t>
      </w:r>
      <w:r>
        <w:rPr>
          <w:rFonts w:hint="eastAsia"/>
          <w:bCs/>
          <w:color w:val="auto"/>
          <w:sz w:val="21"/>
          <w:szCs w:val="21"/>
          <w:highlight w:val="none"/>
          <w:lang w:eastAsia="zh-CN"/>
        </w:rPr>
        <w:t>服务（或工程）</w:t>
      </w:r>
      <w:r>
        <w:rPr>
          <w:rFonts w:hint="eastAsia"/>
          <w:bCs/>
          <w:color w:val="auto"/>
          <w:sz w:val="21"/>
          <w:szCs w:val="21"/>
          <w:highlight w:val="none"/>
        </w:rPr>
        <w:t>、技术要求所描述的特征或说明</w:t>
      </w:r>
      <w:r>
        <w:rPr>
          <w:rFonts w:hint="eastAsia"/>
          <w:bCs/>
          <w:color w:val="auto"/>
          <w:kern w:val="2"/>
          <w:sz w:val="21"/>
          <w:szCs w:val="21"/>
          <w:highlight w:val="none"/>
          <w:lang w:val="zh-CN"/>
        </w:rPr>
        <w:t>等仅系说明并非进行限制，谈判供应商按行业技术和以往的服务（或工程）经验，谈判供应商可提出替代方案，但该替代方案应相当于或优胜于《用户需求书》中的规定，合格优质的完成采购内容和包含的全部实际工序及服务（或工程），以使采购人满意。</w:t>
      </w:r>
      <w:r>
        <w:rPr>
          <w:bCs/>
          <w:color w:val="auto"/>
          <w:kern w:val="2"/>
          <w:sz w:val="21"/>
          <w:szCs w:val="21"/>
          <w:highlight w:val="none"/>
          <w:lang w:val="zh-CN"/>
        </w:rPr>
        <w:t xml:space="preserve"> </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4</w:t>
      </w:r>
      <w:r>
        <w:rPr>
          <w:bCs/>
          <w:color w:val="auto"/>
          <w:kern w:val="2"/>
          <w:sz w:val="21"/>
          <w:szCs w:val="21"/>
          <w:highlight w:val="none"/>
          <w:lang w:val="zh-CN"/>
        </w:rPr>
        <w:tab/>
      </w:r>
      <w:r>
        <w:rPr>
          <w:rFonts w:hint="eastAsia"/>
          <w:bCs/>
          <w:color w:val="auto"/>
          <w:kern w:val="2"/>
          <w:sz w:val="21"/>
          <w:szCs w:val="21"/>
          <w:highlight w:val="none"/>
          <w:lang w:val="zh-CN"/>
        </w:rPr>
        <w:t>谈判保证金</w:t>
      </w:r>
    </w:p>
    <w:p>
      <w:pPr>
        <w:tabs>
          <w:tab w:val="left" w:pos="567"/>
        </w:tabs>
        <w:spacing w:line="360" w:lineRule="auto"/>
        <w:ind w:left="567" w:hanging="567"/>
        <w:rPr>
          <w:bCs/>
          <w:color w:val="auto"/>
          <w:sz w:val="21"/>
          <w:szCs w:val="21"/>
          <w:highlight w:val="none"/>
        </w:rPr>
      </w:pPr>
      <w:r>
        <w:rPr>
          <w:rFonts w:hint="eastAsia"/>
          <w:bCs/>
          <w:color w:val="auto"/>
          <w:kern w:val="2"/>
          <w:sz w:val="21"/>
          <w:szCs w:val="21"/>
          <w:highlight w:val="none"/>
          <w:lang w:val="zh-CN"/>
        </w:rPr>
        <w:t xml:space="preserve">14.1 </w:t>
      </w:r>
      <w:r>
        <w:rPr>
          <w:rFonts w:hint="eastAsia"/>
          <w:bCs/>
          <w:color w:val="auto"/>
          <w:sz w:val="21"/>
          <w:szCs w:val="21"/>
          <w:highlight w:val="none"/>
        </w:rPr>
        <w:t>谈判保证金金额及账户信息：详</w:t>
      </w:r>
      <w:r>
        <w:rPr>
          <w:rFonts w:hint="eastAsia"/>
          <w:bCs/>
          <w:color w:val="auto"/>
          <w:kern w:val="2"/>
          <w:sz w:val="21"/>
          <w:szCs w:val="21"/>
          <w:highlight w:val="none"/>
          <w:lang w:val="zh-CN"/>
        </w:rPr>
        <w:t>见</w:t>
      </w:r>
      <w:r>
        <w:rPr>
          <w:rFonts w:hint="eastAsia"/>
          <w:bCs/>
          <w:color w:val="auto"/>
          <w:sz w:val="21"/>
          <w:szCs w:val="21"/>
          <w:highlight w:val="none"/>
        </w:rPr>
        <w:t>《</w:t>
      </w:r>
      <w:r>
        <w:rPr>
          <w:rFonts w:hint="eastAsia"/>
          <w:bCs/>
          <w:color w:val="auto"/>
          <w:sz w:val="21"/>
          <w:szCs w:val="21"/>
          <w:highlight w:val="none"/>
          <w:lang w:eastAsia="zh-CN"/>
        </w:rPr>
        <w:t>响应资料表</w:t>
      </w:r>
      <w:r>
        <w:rPr>
          <w:rFonts w:hint="eastAsia"/>
          <w:bCs/>
          <w:color w:val="auto"/>
          <w:sz w:val="21"/>
          <w:szCs w:val="21"/>
          <w:highlight w:val="none"/>
        </w:rPr>
        <w:t>》。</w:t>
      </w:r>
    </w:p>
    <w:p>
      <w:pPr>
        <w:tabs>
          <w:tab w:val="left" w:pos="567"/>
        </w:tabs>
        <w:spacing w:line="360" w:lineRule="auto"/>
        <w:ind w:left="525" w:hanging="525" w:hangingChars="250"/>
        <w:rPr>
          <w:rFonts w:cs="Arial"/>
          <w:bCs/>
          <w:color w:val="auto"/>
          <w:sz w:val="21"/>
          <w:szCs w:val="21"/>
          <w:highlight w:val="none"/>
        </w:rPr>
      </w:pPr>
      <w:r>
        <w:rPr>
          <w:rFonts w:hint="eastAsia"/>
          <w:bCs/>
          <w:color w:val="auto"/>
          <w:kern w:val="2"/>
          <w:sz w:val="21"/>
          <w:szCs w:val="21"/>
          <w:highlight w:val="none"/>
          <w:lang w:val="zh-CN"/>
        </w:rPr>
        <w:t xml:space="preserve">14.2 </w:t>
      </w:r>
      <w:r>
        <w:rPr>
          <w:rFonts w:hint="eastAsia"/>
          <w:bCs/>
          <w:color w:val="auto"/>
          <w:sz w:val="21"/>
          <w:szCs w:val="21"/>
          <w:highlight w:val="none"/>
        </w:rPr>
        <w:t>谈判保证金是用于保护本次采购免受谈判供应商的行为而引起的风险，</w:t>
      </w:r>
      <w:r>
        <w:rPr>
          <w:rFonts w:hint="eastAsia" w:cs="Arial"/>
          <w:bCs/>
          <w:color w:val="auto"/>
          <w:sz w:val="21"/>
          <w:szCs w:val="21"/>
          <w:highlight w:val="none"/>
        </w:rPr>
        <w:t>按采购相关法律法规追究其相关责任。</w:t>
      </w:r>
    </w:p>
    <w:p>
      <w:pPr>
        <w:tabs>
          <w:tab w:val="left" w:pos="567"/>
        </w:tabs>
        <w:spacing w:line="360" w:lineRule="auto"/>
        <w:ind w:left="525" w:hanging="525" w:hangingChars="250"/>
        <w:rPr>
          <w:bCs/>
          <w:color w:val="auto"/>
          <w:sz w:val="21"/>
          <w:szCs w:val="21"/>
          <w:highlight w:val="none"/>
        </w:rPr>
      </w:pPr>
      <w:r>
        <w:rPr>
          <w:rFonts w:hint="eastAsia"/>
          <w:bCs/>
          <w:color w:val="auto"/>
          <w:sz w:val="21"/>
          <w:szCs w:val="21"/>
          <w:highlight w:val="none"/>
        </w:rPr>
        <w:t>14.3 如联合体</w:t>
      </w:r>
      <w:r>
        <w:rPr>
          <w:rFonts w:hint="eastAsia"/>
          <w:bCs/>
          <w:color w:val="auto"/>
          <w:sz w:val="21"/>
          <w:szCs w:val="21"/>
          <w:highlight w:val="none"/>
          <w:lang w:eastAsia="zh-CN"/>
        </w:rPr>
        <w:t>响应</w:t>
      </w:r>
      <w:r>
        <w:rPr>
          <w:rFonts w:hint="eastAsia"/>
          <w:bCs/>
          <w:color w:val="auto"/>
          <w:sz w:val="21"/>
          <w:szCs w:val="21"/>
          <w:highlight w:val="none"/>
        </w:rPr>
        <w:t>的，可以由联合体中的一方或者共同提交谈判保证金，以一方名义提交谈判保证金的，对联合体各方具有约束力。</w:t>
      </w:r>
    </w:p>
    <w:p>
      <w:pPr>
        <w:tabs>
          <w:tab w:val="left" w:pos="567"/>
        </w:tabs>
        <w:spacing w:line="360" w:lineRule="auto"/>
        <w:ind w:left="567" w:hanging="567"/>
        <w:rPr>
          <w:bCs/>
          <w:color w:val="auto"/>
          <w:sz w:val="21"/>
          <w:szCs w:val="21"/>
          <w:highlight w:val="none"/>
        </w:rPr>
      </w:pPr>
      <w:r>
        <w:rPr>
          <w:rFonts w:hint="eastAsia"/>
          <w:bCs/>
          <w:color w:val="auto"/>
          <w:kern w:val="2"/>
          <w:sz w:val="21"/>
          <w:szCs w:val="21"/>
          <w:highlight w:val="none"/>
          <w:lang w:val="zh-CN"/>
        </w:rPr>
        <w:t>14.4 ★</w:t>
      </w:r>
      <w:r>
        <w:rPr>
          <w:rFonts w:hint="eastAsia"/>
          <w:bCs/>
          <w:color w:val="auto"/>
          <w:sz w:val="21"/>
          <w:szCs w:val="21"/>
          <w:highlight w:val="none"/>
        </w:rPr>
        <w:t>谈判保证金缴纳方式：</w:t>
      </w:r>
    </w:p>
    <w:p>
      <w:pPr>
        <w:tabs>
          <w:tab w:val="left" w:pos="567"/>
        </w:tabs>
        <w:spacing w:line="360" w:lineRule="auto"/>
        <w:ind w:left="567" w:hanging="567"/>
        <w:rPr>
          <w:bCs/>
          <w:color w:val="auto"/>
          <w:sz w:val="21"/>
          <w:szCs w:val="21"/>
          <w:highlight w:val="none"/>
        </w:rPr>
      </w:pPr>
      <w:r>
        <w:rPr>
          <w:rFonts w:hint="eastAsia"/>
          <w:bCs/>
          <w:color w:val="auto"/>
          <w:sz w:val="21"/>
          <w:szCs w:val="21"/>
          <w:highlight w:val="none"/>
        </w:rPr>
        <w:t>（1）谈判保证金以银行划账形式提交，应符合下列规定:</w:t>
      </w:r>
    </w:p>
    <w:p>
      <w:pPr>
        <w:spacing w:line="360" w:lineRule="auto"/>
        <w:ind w:left="600" w:leftChars="250" w:right="17"/>
        <w:jc w:val="both"/>
        <w:rPr>
          <w:bCs/>
          <w:color w:val="auto"/>
          <w:kern w:val="2"/>
          <w:sz w:val="21"/>
          <w:szCs w:val="21"/>
          <w:highlight w:val="none"/>
          <w:lang w:val="zh-CN"/>
        </w:rPr>
      </w:pPr>
      <w:r>
        <w:rPr>
          <w:rFonts w:hint="eastAsia"/>
          <w:bCs/>
          <w:color w:val="auto"/>
          <w:kern w:val="2"/>
          <w:sz w:val="21"/>
          <w:szCs w:val="21"/>
          <w:highlight w:val="none"/>
          <w:lang w:val="zh-CN"/>
        </w:rPr>
        <w:t>①谈判供应商保证金（以分公司或子公司汇款无效）到账时间为开标之前，可采用银行转帐方式提交（以银行到账时间为准</w:t>
      </w:r>
      <w:r>
        <w:rPr>
          <w:rFonts w:hint="eastAsia"/>
          <w:bCs/>
          <w:color w:val="auto"/>
          <w:kern w:val="2"/>
          <w:sz w:val="21"/>
          <w:szCs w:val="21"/>
          <w:highlight w:val="none"/>
        </w:rPr>
        <w:t>,</w:t>
      </w:r>
      <w:r>
        <w:rPr>
          <w:rFonts w:hint="eastAsia"/>
          <w:bCs/>
          <w:color w:val="auto"/>
          <w:kern w:val="2"/>
          <w:sz w:val="21"/>
          <w:szCs w:val="21"/>
          <w:highlight w:val="none"/>
          <w:lang w:val="zh-CN"/>
        </w:rPr>
        <w:t>若提交谈判担保函，则以采购代理机构的签收时间为准）</w:t>
      </w:r>
    </w:p>
    <w:p>
      <w:pPr>
        <w:spacing w:line="360" w:lineRule="auto"/>
        <w:ind w:left="600" w:leftChars="250" w:right="17"/>
        <w:jc w:val="both"/>
        <w:rPr>
          <w:bCs/>
          <w:color w:val="auto"/>
          <w:kern w:val="2"/>
          <w:sz w:val="21"/>
          <w:szCs w:val="21"/>
          <w:highlight w:val="none"/>
          <w:lang w:val="zh-CN"/>
        </w:rPr>
      </w:pPr>
      <w:r>
        <w:rPr>
          <w:rFonts w:hint="eastAsia"/>
          <w:bCs/>
          <w:color w:val="auto"/>
          <w:kern w:val="2"/>
          <w:sz w:val="21"/>
          <w:szCs w:val="21"/>
          <w:highlight w:val="none"/>
          <w:lang w:val="zh-CN"/>
        </w:rPr>
        <w:t>②保证金不接受现金方式（包括以存现方式）提交，未按要求提交谈判保证金的将导致废标。</w:t>
      </w:r>
    </w:p>
    <w:p>
      <w:pPr>
        <w:tabs>
          <w:tab w:val="left" w:pos="567"/>
        </w:tabs>
        <w:spacing w:line="360" w:lineRule="auto"/>
        <w:ind w:left="567" w:hanging="567"/>
        <w:rPr>
          <w:bCs/>
          <w:color w:val="auto"/>
          <w:sz w:val="21"/>
          <w:szCs w:val="21"/>
          <w:highlight w:val="none"/>
        </w:rPr>
      </w:pPr>
      <w:r>
        <w:rPr>
          <w:rFonts w:hint="eastAsia"/>
          <w:bCs/>
          <w:color w:val="auto"/>
          <w:sz w:val="21"/>
          <w:szCs w:val="21"/>
          <w:highlight w:val="none"/>
        </w:rPr>
        <w:t>（2）采用《采购</w:t>
      </w:r>
      <w:r>
        <w:rPr>
          <w:rFonts w:hint="eastAsia"/>
          <w:bCs/>
          <w:color w:val="auto"/>
          <w:sz w:val="21"/>
          <w:szCs w:val="21"/>
          <w:highlight w:val="none"/>
          <w:lang w:eastAsia="zh-CN"/>
        </w:rPr>
        <w:t>谈判</w:t>
      </w:r>
      <w:r>
        <w:rPr>
          <w:rFonts w:hint="eastAsia"/>
          <w:bCs/>
          <w:color w:val="auto"/>
          <w:sz w:val="21"/>
          <w:szCs w:val="21"/>
          <w:highlight w:val="none"/>
        </w:rPr>
        <w:t>担保函》提交的，应符合下列规定：</w:t>
      </w:r>
    </w:p>
    <w:p>
      <w:pPr>
        <w:spacing w:line="360" w:lineRule="auto"/>
        <w:ind w:left="600" w:leftChars="250" w:right="17"/>
        <w:jc w:val="both"/>
        <w:rPr>
          <w:bCs/>
          <w:color w:val="auto"/>
          <w:kern w:val="2"/>
          <w:sz w:val="21"/>
          <w:szCs w:val="21"/>
          <w:highlight w:val="none"/>
          <w:lang w:val="zh-CN"/>
        </w:rPr>
      </w:pPr>
      <w:r>
        <w:rPr>
          <w:rFonts w:hint="eastAsia"/>
          <w:bCs/>
          <w:color w:val="auto"/>
          <w:sz w:val="21"/>
          <w:szCs w:val="21"/>
          <w:highlight w:val="none"/>
        </w:rPr>
        <w:t>1）</w:t>
      </w:r>
      <w:r>
        <w:rPr>
          <w:rFonts w:hint="eastAsia"/>
          <w:bCs/>
          <w:color w:val="auto"/>
          <w:kern w:val="2"/>
          <w:sz w:val="21"/>
          <w:szCs w:val="21"/>
          <w:highlight w:val="none"/>
          <w:lang w:val="zh-CN"/>
        </w:rPr>
        <w:t>采购信用融资担保：为进一步发挥采购政策功能作用，支持和促进中小企业发展，有效缓解企业资金短缺压力，依据相关规定，各</w:t>
      </w:r>
      <w:r>
        <w:rPr>
          <w:rFonts w:hint="eastAsia"/>
          <w:bCs/>
          <w:color w:val="auto"/>
          <w:sz w:val="21"/>
          <w:szCs w:val="21"/>
          <w:highlight w:val="none"/>
        </w:rPr>
        <w:t>谈判供应商</w:t>
      </w:r>
      <w:r>
        <w:rPr>
          <w:rFonts w:hint="eastAsia"/>
          <w:bCs/>
          <w:color w:val="auto"/>
          <w:kern w:val="2"/>
          <w:sz w:val="21"/>
          <w:szCs w:val="21"/>
          <w:highlight w:val="none"/>
          <w:lang w:val="zh-CN"/>
        </w:rPr>
        <w:t>可结合项目实际情况，与金融机构进行融资贷款或信用担保。</w:t>
      </w:r>
    </w:p>
    <w:p>
      <w:pPr>
        <w:tabs>
          <w:tab w:val="left" w:pos="567"/>
        </w:tabs>
        <w:spacing w:line="360" w:lineRule="auto"/>
        <w:ind w:firstLine="525" w:firstLineChars="250"/>
        <w:rPr>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eastAsia="zh-CN"/>
        </w:rPr>
        <w:t>谈判</w:t>
      </w:r>
      <w:r>
        <w:rPr>
          <w:rFonts w:hint="eastAsia"/>
          <w:bCs/>
          <w:color w:val="auto"/>
          <w:sz w:val="21"/>
          <w:szCs w:val="21"/>
          <w:highlight w:val="none"/>
        </w:rPr>
        <w:t>担保函有效期应与</w:t>
      </w:r>
      <w:r>
        <w:rPr>
          <w:rFonts w:hint="eastAsia"/>
          <w:bCs/>
          <w:color w:val="auto"/>
          <w:sz w:val="21"/>
          <w:szCs w:val="21"/>
          <w:highlight w:val="none"/>
          <w:lang w:eastAsia="zh-CN"/>
        </w:rPr>
        <w:t>谈判有效期</w:t>
      </w:r>
      <w:r>
        <w:rPr>
          <w:rFonts w:hint="eastAsia"/>
          <w:bCs/>
          <w:color w:val="auto"/>
          <w:sz w:val="21"/>
          <w:szCs w:val="21"/>
          <w:highlight w:val="none"/>
        </w:rPr>
        <w:t>一致；</w:t>
      </w:r>
    </w:p>
    <w:p>
      <w:pPr>
        <w:tabs>
          <w:tab w:val="left" w:pos="567"/>
        </w:tabs>
        <w:spacing w:line="360" w:lineRule="auto"/>
        <w:ind w:left="567" w:hanging="567"/>
        <w:rPr>
          <w:bCs/>
          <w:color w:val="auto"/>
          <w:sz w:val="21"/>
          <w:szCs w:val="21"/>
          <w:highlight w:val="none"/>
        </w:rPr>
      </w:pPr>
      <w:r>
        <w:rPr>
          <w:rFonts w:hint="eastAsia"/>
          <w:bCs/>
          <w:color w:val="auto"/>
          <w:kern w:val="2"/>
          <w:sz w:val="21"/>
          <w:szCs w:val="21"/>
          <w:highlight w:val="none"/>
          <w:lang w:val="zh-CN"/>
        </w:rPr>
        <w:t xml:space="preserve">14.5 </w:t>
      </w:r>
      <w:r>
        <w:rPr>
          <w:rFonts w:hint="eastAsia"/>
          <w:bCs/>
          <w:color w:val="auto"/>
          <w:sz w:val="21"/>
          <w:szCs w:val="21"/>
          <w:highlight w:val="none"/>
        </w:rPr>
        <w:t>凡没有根据本须知的规定提交谈判保证金的，将被视为非响应性</w:t>
      </w:r>
      <w:r>
        <w:rPr>
          <w:rFonts w:hint="eastAsia"/>
          <w:bCs/>
          <w:color w:val="auto"/>
          <w:sz w:val="21"/>
          <w:szCs w:val="21"/>
          <w:highlight w:val="none"/>
          <w:lang w:eastAsia="zh-CN"/>
        </w:rPr>
        <w:t>响应</w:t>
      </w:r>
      <w:r>
        <w:rPr>
          <w:rFonts w:hint="eastAsia"/>
          <w:bCs/>
          <w:color w:val="auto"/>
          <w:sz w:val="21"/>
          <w:szCs w:val="21"/>
          <w:highlight w:val="none"/>
        </w:rPr>
        <w:t>予以拒绝。</w:t>
      </w:r>
    </w:p>
    <w:p>
      <w:pPr>
        <w:tabs>
          <w:tab w:val="left" w:pos="567"/>
        </w:tabs>
        <w:spacing w:line="360" w:lineRule="auto"/>
        <w:ind w:left="567" w:hanging="567" w:hangingChars="270"/>
        <w:rPr>
          <w:bCs/>
          <w:color w:val="auto"/>
          <w:sz w:val="21"/>
          <w:szCs w:val="21"/>
          <w:highlight w:val="none"/>
        </w:rPr>
      </w:pPr>
      <w:r>
        <w:rPr>
          <w:rFonts w:hint="eastAsia"/>
          <w:bCs/>
          <w:color w:val="auto"/>
          <w:kern w:val="2"/>
          <w:sz w:val="21"/>
          <w:szCs w:val="21"/>
          <w:highlight w:val="none"/>
          <w:lang w:val="zh-CN"/>
        </w:rPr>
        <w:t xml:space="preserve">14.6 </w:t>
      </w:r>
      <w:r>
        <w:rPr>
          <w:rFonts w:hint="eastAsia"/>
          <w:bCs/>
          <w:color w:val="auto"/>
          <w:sz w:val="21"/>
          <w:szCs w:val="21"/>
          <w:highlight w:val="none"/>
        </w:rPr>
        <w:t>采购人或者采购代理机构应当自成交通知书发出之日起5个工作日内退还未中标供应商的谈判保证金（需向招标代理机构提供谈判保证金支付凭证和谈判保证金汇入情况说明各一份）。</w:t>
      </w:r>
    </w:p>
    <w:p>
      <w:pPr>
        <w:tabs>
          <w:tab w:val="left" w:pos="567"/>
        </w:tabs>
        <w:spacing w:line="360" w:lineRule="auto"/>
        <w:ind w:left="567" w:hanging="567" w:hangingChars="270"/>
        <w:rPr>
          <w:bCs/>
          <w:color w:val="auto"/>
          <w:sz w:val="21"/>
          <w:szCs w:val="21"/>
          <w:highlight w:val="none"/>
        </w:rPr>
      </w:pPr>
      <w:r>
        <w:rPr>
          <w:rFonts w:hint="eastAsia"/>
          <w:bCs/>
          <w:color w:val="auto"/>
          <w:kern w:val="2"/>
          <w:sz w:val="21"/>
          <w:szCs w:val="21"/>
          <w:highlight w:val="none"/>
          <w:lang w:val="zh-CN"/>
        </w:rPr>
        <w:t xml:space="preserve">14.7 </w:t>
      </w:r>
      <w:r>
        <w:rPr>
          <w:rFonts w:hint="eastAsia"/>
          <w:bCs/>
          <w:color w:val="auto"/>
          <w:sz w:val="21"/>
          <w:szCs w:val="21"/>
          <w:highlight w:val="none"/>
        </w:rPr>
        <w:t>成交供应商的谈判保证金自采购合同签订之日起5个工作日内退还（需向招标代理机构提供谈判保证金支付凭证、谈判保证金汇入情况说明及合同原件各一份）。</w:t>
      </w:r>
    </w:p>
    <w:p>
      <w:pPr>
        <w:tabs>
          <w:tab w:val="left" w:pos="567"/>
        </w:tabs>
        <w:spacing w:line="360" w:lineRule="auto"/>
        <w:ind w:left="567" w:hanging="567" w:hangingChars="270"/>
        <w:rPr>
          <w:rFonts w:hint="eastAsia"/>
          <w:bCs/>
          <w:color w:val="auto"/>
          <w:sz w:val="21"/>
          <w:szCs w:val="21"/>
          <w:highlight w:val="none"/>
        </w:rPr>
      </w:pPr>
      <w:r>
        <w:rPr>
          <w:rFonts w:hint="eastAsia"/>
          <w:bCs/>
          <w:color w:val="auto"/>
          <w:kern w:val="2"/>
          <w:sz w:val="21"/>
          <w:szCs w:val="21"/>
          <w:highlight w:val="none"/>
          <w:lang w:val="zh-CN"/>
        </w:rPr>
        <w:t>14.8</w:t>
      </w:r>
      <w:r>
        <w:rPr>
          <w:rFonts w:hint="eastAsia"/>
          <w:bCs/>
          <w:color w:val="auto"/>
          <w:sz w:val="21"/>
          <w:szCs w:val="21"/>
          <w:highlight w:val="none"/>
        </w:rPr>
        <w:t xml:space="preserve"> 采用</w:t>
      </w:r>
      <w:r>
        <w:rPr>
          <w:rFonts w:hint="eastAsia"/>
          <w:bCs/>
          <w:color w:val="auto"/>
          <w:sz w:val="21"/>
          <w:szCs w:val="21"/>
          <w:highlight w:val="none"/>
          <w:lang w:val="zh-CN"/>
        </w:rPr>
        <w:t>谈判保函方式递交</w:t>
      </w:r>
      <w:r>
        <w:rPr>
          <w:rFonts w:hint="eastAsia"/>
          <w:bCs/>
          <w:color w:val="auto"/>
          <w:sz w:val="21"/>
          <w:szCs w:val="21"/>
          <w:highlight w:val="none"/>
        </w:rPr>
        <w:t>谈判</w:t>
      </w:r>
      <w:r>
        <w:rPr>
          <w:rFonts w:hint="eastAsia"/>
          <w:bCs/>
          <w:color w:val="auto"/>
          <w:sz w:val="21"/>
          <w:szCs w:val="21"/>
          <w:highlight w:val="none"/>
          <w:lang w:val="zh-CN"/>
        </w:rPr>
        <w:t>保证金的，</w:t>
      </w:r>
      <w:r>
        <w:rPr>
          <w:rFonts w:hint="eastAsia"/>
          <w:bCs/>
          <w:color w:val="auto"/>
          <w:sz w:val="21"/>
          <w:szCs w:val="21"/>
          <w:highlight w:val="none"/>
        </w:rPr>
        <w:t>凭《</w:t>
      </w:r>
      <w:r>
        <w:rPr>
          <w:rFonts w:hint="eastAsia"/>
          <w:bCs/>
          <w:color w:val="auto"/>
          <w:sz w:val="21"/>
          <w:szCs w:val="21"/>
          <w:highlight w:val="none"/>
          <w:lang w:eastAsia="zh-CN"/>
        </w:rPr>
        <w:t>谈判</w:t>
      </w:r>
      <w:r>
        <w:rPr>
          <w:rFonts w:hint="eastAsia"/>
          <w:bCs/>
          <w:color w:val="auto"/>
          <w:sz w:val="21"/>
          <w:szCs w:val="21"/>
          <w:highlight w:val="none"/>
        </w:rPr>
        <w:t>担保收据》复印件加盖谈判供应商公章前往采购代理机构办理退还</w:t>
      </w:r>
      <w:r>
        <w:rPr>
          <w:rFonts w:hint="eastAsia"/>
          <w:bCs/>
          <w:color w:val="auto"/>
          <w:sz w:val="21"/>
          <w:szCs w:val="21"/>
          <w:highlight w:val="none"/>
          <w:lang w:eastAsia="zh-CN"/>
        </w:rPr>
        <w:t>谈判</w:t>
      </w:r>
      <w:r>
        <w:rPr>
          <w:rFonts w:hint="eastAsia"/>
          <w:bCs/>
          <w:color w:val="auto"/>
          <w:sz w:val="21"/>
          <w:szCs w:val="21"/>
          <w:highlight w:val="none"/>
        </w:rPr>
        <w:t>保函</w:t>
      </w:r>
      <w:r>
        <w:rPr>
          <w:rFonts w:hint="eastAsia"/>
          <w:bCs/>
          <w:color w:val="auto"/>
          <w:sz w:val="21"/>
          <w:szCs w:val="21"/>
          <w:highlight w:val="none"/>
          <w:lang w:val="zh-CN"/>
        </w:rPr>
        <w:t>；采用银行转账或电汇方式递交谈判保证金的，</w:t>
      </w:r>
      <w:r>
        <w:rPr>
          <w:rFonts w:hint="eastAsia"/>
          <w:bCs/>
          <w:color w:val="auto"/>
          <w:sz w:val="21"/>
          <w:szCs w:val="21"/>
          <w:highlight w:val="none"/>
        </w:rPr>
        <w:t>采购代理机构将按照《东莞市采购保证金管理办法》及《东莞市采购谈判保证金转出审批流程》等相关规定收集齐相关资料后，办理谈判保证金转出事宜，予以无息退还。</w:t>
      </w:r>
    </w:p>
    <w:p>
      <w:pPr>
        <w:keepNext w:val="0"/>
        <w:keepLines w:val="0"/>
        <w:pageBreakBefore w:val="0"/>
        <w:widowControl w:val="0"/>
        <w:kinsoku/>
        <w:wordWrap/>
        <w:overflowPunct/>
        <w:topLinePunct w:val="0"/>
        <w:autoSpaceDE w:val="0"/>
        <w:autoSpaceDN w:val="0"/>
        <w:bidi w:val="0"/>
        <w:adjustRightInd/>
        <w:snapToGrid/>
        <w:spacing w:after="0" w:line="360" w:lineRule="auto"/>
        <w:ind w:left="420" w:hanging="420" w:hangingChars="200"/>
        <w:jc w:val="both"/>
        <w:textAlignment w:val="auto"/>
        <w:rPr>
          <w:rFonts w:hint="default" w:eastAsia="宋体"/>
          <w:bCs/>
          <w:color w:val="auto"/>
          <w:sz w:val="21"/>
          <w:szCs w:val="21"/>
          <w:highlight w:val="none"/>
          <w:lang w:val="en-US" w:eastAsia="zh-CN"/>
        </w:rPr>
      </w:pPr>
      <w:r>
        <w:rPr>
          <w:rFonts w:hint="eastAsia"/>
          <w:bCs/>
          <w:color w:val="auto"/>
          <w:kern w:val="2"/>
          <w:sz w:val="21"/>
          <w:szCs w:val="21"/>
          <w:highlight w:val="none"/>
          <w:lang w:val="zh-CN"/>
        </w:rPr>
        <w:t>14.</w:t>
      </w:r>
      <w:r>
        <w:rPr>
          <w:rFonts w:hint="eastAsia"/>
          <w:bCs/>
          <w:color w:val="auto"/>
          <w:kern w:val="2"/>
          <w:sz w:val="21"/>
          <w:szCs w:val="21"/>
          <w:highlight w:val="none"/>
          <w:lang w:val="en-US" w:eastAsia="zh-CN"/>
        </w:rPr>
        <w:t>9 有下列情形之一的，谈判保证金将不予退还：</w:t>
      </w:r>
      <w:r>
        <w:rPr>
          <w:rFonts w:hint="eastAsia" w:ascii="宋体" w:hAnsi="宋体" w:eastAsia="宋体"/>
          <w:color w:val="auto"/>
          <w:sz w:val="21"/>
          <w:szCs w:val="21"/>
          <w:highlight w:val="none"/>
        </w:rPr>
        <w:t>（1）</w:t>
      </w:r>
      <w:r>
        <w:rPr>
          <w:rFonts w:hint="eastAsia" w:hAnsi="宋体"/>
          <w:color w:val="auto"/>
          <w:sz w:val="21"/>
          <w:szCs w:val="21"/>
          <w:highlight w:val="none"/>
          <w:lang w:val="en-US" w:eastAsia="zh-CN"/>
        </w:rPr>
        <w:t>供应商</w:t>
      </w:r>
      <w:r>
        <w:rPr>
          <w:rFonts w:hint="eastAsia" w:ascii="宋体" w:hAnsi="宋体" w:eastAsia="宋体"/>
          <w:color w:val="auto"/>
          <w:sz w:val="21"/>
          <w:szCs w:val="21"/>
          <w:highlight w:val="none"/>
        </w:rPr>
        <w:t>在提交响应文件截止时间后撤回响应文件的；（2）</w:t>
      </w:r>
      <w:r>
        <w:rPr>
          <w:rFonts w:hint="eastAsia" w:hAnsi="宋体"/>
          <w:color w:val="auto"/>
          <w:sz w:val="21"/>
          <w:szCs w:val="21"/>
          <w:highlight w:val="none"/>
          <w:lang w:val="en-US" w:eastAsia="zh-CN"/>
        </w:rPr>
        <w:t>供应商</w:t>
      </w:r>
      <w:r>
        <w:rPr>
          <w:rFonts w:hint="eastAsia" w:ascii="宋体" w:hAnsi="宋体" w:eastAsia="宋体"/>
          <w:color w:val="auto"/>
          <w:sz w:val="21"/>
          <w:szCs w:val="21"/>
          <w:highlight w:val="none"/>
        </w:rPr>
        <w:t>在响应文件中提供虚假材料的；（3）除因不可抗力或谈判文件通知书认可的情形以外，</w:t>
      </w:r>
      <w:r>
        <w:rPr>
          <w:rFonts w:hint="eastAsia" w:hAnsi="宋体"/>
          <w:color w:val="auto"/>
          <w:sz w:val="21"/>
          <w:szCs w:val="21"/>
          <w:highlight w:val="none"/>
          <w:lang w:val="en-US" w:eastAsia="zh-CN"/>
        </w:rPr>
        <w:t>成交供应商未按规定</w:t>
      </w:r>
      <w:r>
        <w:rPr>
          <w:rFonts w:hint="eastAsia" w:ascii="宋体" w:hAnsi="宋体" w:eastAsia="宋体"/>
          <w:color w:val="auto"/>
          <w:sz w:val="21"/>
          <w:szCs w:val="21"/>
          <w:highlight w:val="none"/>
        </w:rPr>
        <w:t>与采购人签订合同的；（4）</w:t>
      </w:r>
      <w:r>
        <w:rPr>
          <w:rFonts w:hint="eastAsia" w:hAnsi="宋体"/>
          <w:color w:val="auto"/>
          <w:sz w:val="21"/>
          <w:szCs w:val="21"/>
          <w:highlight w:val="none"/>
          <w:lang w:eastAsia="zh-CN"/>
        </w:rPr>
        <w:t>供应商</w:t>
      </w:r>
      <w:r>
        <w:rPr>
          <w:rFonts w:hint="eastAsia" w:ascii="宋体" w:hAnsi="宋体" w:eastAsia="宋体"/>
          <w:color w:val="auto"/>
          <w:sz w:val="21"/>
          <w:szCs w:val="21"/>
          <w:highlight w:val="none"/>
        </w:rPr>
        <w:t>与采购人、其他供应商或者采购代理机构恶意串通的；</w:t>
      </w:r>
      <w:r>
        <w:rPr>
          <w:rFonts w:hint="eastAsia"/>
          <w:bCs/>
          <w:color w:val="auto"/>
          <w:sz w:val="21"/>
          <w:szCs w:val="21"/>
          <w:highlight w:val="none"/>
          <w:lang w:val="en-US" w:eastAsia="zh-CN"/>
        </w:rPr>
        <w:t>（5）</w:t>
      </w:r>
      <w:r>
        <w:rPr>
          <w:rFonts w:hint="eastAsia"/>
          <w:bCs/>
          <w:color w:val="auto"/>
          <w:sz w:val="21"/>
          <w:szCs w:val="21"/>
          <w:highlight w:val="none"/>
        </w:rPr>
        <w:t>成交供应商</w:t>
      </w:r>
      <w:r>
        <w:rPr>
          <w:rFonts w:hint="eastAsia"/>
          <w:bCs/>
          <w:color w:val="auto"/>
          <w:sz w:val="21"/>
          <w:szCs w:val="21"/>
          <w:highlight w:val="none"/>
          <w:lang w:val="en-US" w:eastAsia="zh-CN"/>
        </w:rPr>
        <w:t>无故放弃中标资格的。（6）</w:t>
      </w:r>
      <w:r>
        <w:rPr>
          <w:rFonts w:hint="eastAsia" w:ascii="宋体" w:hAnsi="宋体"/>
          <w:color w:val="auto"/>
          <w:sz w:val="21"/>
          <w:szCs w:val="21"/>
          <w:highlight w:val="none"/>
          <w:lang w:val="en-US" w:eastAsia="zh-CN"/>
        </w:rPr>
        <w:t>成交人未在规定时间与采购人签订合同的。</w:t>
      </w:r>
      <w:r>
        <w:rPr>
          <w:rFonts w:hint="eastAsia" w:ascii="宋体" w:hAnsi="宋体" w:eastAsia="宋体"/>
          <w:color w:val="auto"/>
          <w:sz w:val="21"/>
          <w:szCs w:val="21"/>
          <w:highlight w:val="none"/>
        </w:rPr>
        <w:t>（</w:t>
      </w:r>
      <w:r>
        <w:rPr>
          <w:rFonts w:hint="eastAsia" w:hAnsi="宋体"/>
          <w:color w:val="auto"/>
          <w:sz w:val="21"/>
          <w:szCs w:val="21"/>
          <w:highlight w:val="none"/>
          <w:lang w:val="en-US" w:eastAsia="zh-CN"/>
        </w:rPr>
        <w:t>7</w:t>
      </w:r>
      <w:r>
        <w:rPr>
          <w:rFonts w:hint="eastAsia" w:ascii="宋体" w:hAnsi="宋体" w:eastAsia="宋体"/>
          <w:color w:val="auto"/>
          <w:sz w:val="21"/>
          <w:szCs w:val="21"/>
          <w:highlight w:val="none"/>
        </w:rPr>
        <w:t>）招标文件规定的其他情形。</w:t>
      </w:r>
    </w:p>
    <w:p>
      <w:pPr>
        <w:tabs>
          <w:tab w:val="left" w:pos="567"/>
        </w:tabs>
        <w:spacing w:line="360" w:lineRule="auto"/>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5</w:t>
      </w:r>
      <w:r>
        <w:rPr>
          <w:bCs/>
          <w:color w:val="auto"/>
          <w:kern w:val="2"/>
          <w:sz w:val="21"/>
          <w:szCs w:val="21"/>
          <w:highlight w:val="none"/>
          <w:lang w:val="zh-CN"/>
        </w:rPr>
        <w:tab/>
      </w:r>
      <w:r>
        <w:rPr>
          <w:rFonts w:hint="eastAsia"/>
          <w:bCs/>
          <w:color w:val="auto"/>
          <w:kern w:val="2"/>
          <w:sz w:val="21"/>
          <w:szCs w:val="21"/>
          <w:highlight w:val="none"/>
          <w:lang w:val="zh-CN"/>
        </w:rPr>
        <w:t>谈判有效期</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5</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★谈判响应文件应在自开标日起90天有效。谈判有效期比规定时间短的将被视为非响应性响应而予以拒绝。</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5</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成交人的谈判响应文件作为合同附件，合同失效时同时失效。</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5</w:t>
      </w:r>
      <w:r>
        <w:rPr>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在特殊情况下，采购代理机构可于谈判有效期满之前要求谈判供应商同意延长有效期。要求与答复均应为书面形式往来。谈判供应商可以拒绝上述要求而其谈判保证金不被没收。对于同意该要求的谈判供应商，既不要求也不允许其修改谈判响应文件，但将要求其相应延长谈判保证金的有效期。第</w:t>
      </w:r>
      <w:r>
        <w:rPr>
          <w:bCs/>
          <w:color w:val="auto"/>
          <w:kern w:val="2"/>
          <w:sz w:val="21"/>
          <w:szCs w:val="21"/>
          <w:highlight w:val="none"/>
          <w:lang w:val="zh-CN"/>
        </w:rPr>
        <w:t>15</w:t>
      </w:r>
      <w:r>
        <w:rPr>
          <w:rFonts w:hint="eastAsia"/>
          <w:bCs/>
          <w:color w:val="auto"/>
          <w:kern w:val="2"/>
          <w:sz w:val="21"/>
          <w:szCs w:val="21"/>
          <w:highlight w:val="none"/>
          <w:lang w:val="zh-CN"/>
        </w:rPr>
        <w:t>款谈判保证金的有关规定在谈判保证金延长期内仍适用。</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ab/>
      </w:r>
      <w:r>
        <w:rPr>
          <w:rFonts w:hint="eastAsia"/>
          <w:bCs/>
          <w:color w:val="auto"/>
          <w:kern w:val="2"/>
          <w:sz w:val="21"/>
          <w:szCs w:val="21"/>
          <w:highlight w:val="none"/>
          <w:lang w:val="zh-CN"/>
        </w:rPr>
        <w:t>谈判响应文件的式样和签署</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★谈判供应商应准备谈判响应文件一份正本和</w:t>
      </w:r>
      <w:r>
        <w:rPr>
          <w:rFonts w:hint="eastAsia"/>
          <w:bCs/>
          <w:color w:val="auto"/>
          <w:sz w:val="21"/>
          <w:szCs w:val="21"/>
          <w:highlight w:val="none"/>
        </w:rPr>
        <w:t>《</w:t>
      </w:r>
      <w:r>
        <w:rPr>
          <w:rFonts w:hint="eastAsia"/>
          <w:bCs/>
          <w:color w:val="auto"/>
          <w:sz w:val="21"/>
          <w:szCs w:val="21"/>
          <w:highlight w:val="none"/>
          <w:lang w:eastAsia="zh-CN"/>
        </w:rPr>
        <w:t>响应资料表</w:t>
      </w:r>
      <w:r>
        <w:rPr>
          <w:rFonts w:hint="eastAsia"/>
          <w:bCs/>
          <w:color w:val="auto"/>
          <w:sz w:val="21"/>
          <w:szCs w:val="21"/>
          <w:highlight w:val="none"/>
        </w:rPr>
        <w:t>》</w:t>
      </w:r>
      <w:r>
        <w:rPr>
          <w:rFonts w:hint="eastAsia"/>
          <w:bCs/>
          <w:color w:val="auto"/>
          <w:kern w:val="2"/>
          <w:sz w:val="21"/>
          <w:szCs w:val="21"/>
          <w:highlight w:val="none"/>
          <w:lang w:val="zh-CN"/>
        </w:rPr>
        <w:t>规定的副本份数，</w:t>
      </w:r>
      <w:r>
        <w:rPr>
          <w:rFonts w:hint="eastAsia"/>
          <w:bCs/>
          <w:color w:val="auto"/>
          <w:sz w:val="21"/>
          <w:szCs w:val="21"/>
          <w:highlight w:val="none"/>
        </w:rPr>
        <w:t>每一份谈判响应文件均装订成册（不允许使用活页夹），并要明确注明 “正本”或“副本”字样，一旦正本和副本发现差异，以正本为准。</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谈判响应文件正本和副本须打印或用不褪色墨水书写，由谈判供应商法定代表人或其授权代表签字，后者须将</w:t>
      </w:r>
      <w:r>
        <w:rPr>
          <w:bCs/>
          <w:color w:val="auto"/>
          <w:kern w:val="2"/>
          <w:sz w:val="21"/>
          <w:szCs w:val="21"/>
          <w:highlight w:val="none"/>
          <w:lang w:val="zh-CN"/>
        </w:rPr>
        <w:t>“</w:t>
      </w:r>
      <w:r>
        <w:rPr>
          <w:rFonts w:hint="eastAsia"/>
          <w:bCs/>
          <w:color w:val="auto"/>
          <w:kern w:val="2"/>
          <w:sz w:val="21"/>
          <w:szCs w:val="21"/>
          <w:highlight w:val="none"/>
          <w:lang w:val="zh-CN"/>
        </w:rPr>
        <w:t>法人授权委托证明书</w:t>
      </w:r>
      <w:r>
        <w:rPr>
          <w:bCs/>
          <w:color w:val="auto"/>
          <w:kern w:val="2"/>
          <w:sz w:val="21"/>
          <w:szCs w:val="21"/>
          <w:highlight w:val="none"/>
          <w:lang w:val="zh-CN"/>
        </w:rPr>
        <w:t>”</w:t>
      </w:r>
      <w:r>
        <w:rPr>
          <w:rFonts w:hint="eastAsia"/>
          <w:bCs/>
          <w:color w:val="auto"/>
          <w:kern w:val="2"/>
          <w:sz w:val="21"/>
          <w:szCs w:val="21"/>
          <w:highlight w:val="none"/>
          <w:lang w:val="zh-CN"/>
        </w:rPr>
        <w:t>以书面形式附在谈判响应文件中。副本文件可由正本文件复印而成。</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谈判响应文件须由谈判供应商的合法授权代表正式签署，谈判供应商除可对谈判响应文件的错处作必要修改外，谈判响应文件中不许有加行、涂抹或改写。任何涂改或修正（如有）须由原签署人签字确认，并加盖公章。</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.4</w:t>
      </w:r>
      <w:r>
        <w:rPr>
          <w:bCs/>
          <w:color w:val="auto"/>
          <w:kern w:val="2"/>
          <w:sz w:val="21"/>
          <w:szCs w:val="21"/>
          <w:highlight w:val="none"/>
          <w:lang w:val="zh-CN"/>
        </w:rPr>
        <w:tab/>
      </w:r>
      <w:r>
        <w:rPr>
          <w:rFonts w:hint="eastAsia"/>
          <w:bCs/>
          <w:color w:val="auto"/>
          <w:kern w:val="2"/>
          <w:sz w:val="21"/>
          <w:szCs w:val="21"/>
          <w:highlight w:val="none"/>
          <w:lang w:val="zh-CN"/>
        </w:rPr>
        <w:t>★谈判响应文件的</w:t>
      </w:r>
      <w:r>
        <w:rPr>
          <w:bCs/>
          <w:color w:val="auto"/>
          <w:kern w:val="2"/>
          <w:sz w:val="21"/>
          <w:szCs w:val="21"/>
          <w:highlight w:val="none"/>
          <w:lang w:val="zh-CN"/>
        </w:rPr>
        <w:t>[</w:t>
      </w:r>
      <w:r>
        <w:rPr>
          <w:rFonts w:hint="eastAsia"/>
          <w:bCs/>
          <w:color w:val="auto"/>
          <w:kern w:val="2"/>
          <w:sz w:val="21"/>
          <w:szCs w:val="21"/>
          <w:highlight w:val="none"/>
          <w:lang w:val="zh-CN"/>
        </w:rPr>
        <w:t>正本</w:t>
      </w:r>
      <w:r>
        <w:rPr>
          <w:bCs/>
          <w:color w:val="auto"/>
          <w:kern w:val="2"/>
          <w:sz w:val="21"/>
          <w:szCs w:val="21"/>
          <w:highlight w:val="none"/>
          <w:lang w:val="zh-CN"/>
        </w:rPr>
        <w:t>]</w:t>
      </w:r>
      <w:r>
        <w:rPr>
          <w:rFonts w:hint="eastAsia"/>
          <w:bCs/>
          <w:color w:val="auto"/>
          <w:kern w:val="2"/>
          <w:sz w:val="21"/>
          <w:szCs w:val="21"/>
          <w:highlight w:val="none"/>
          <w:lang w:val="zh-CN"/>
        </w:rPr>
        <w:t>及所有</w:t>
      </w:r>
      <w:r>
        <w:rPr>
          <w:bCs/>
          <w:color w:val="auto"/>
          <w:kern w:val="2"/>
          <w:sz w:val="21"/>
          <w:szCs w:val="21"/>
          <w:highlight w:val="none"/>
          <w:lang w:val="zh-CN"/>
        </w:rPr>
        <w:t>[</w:t>
      </w:r>
      <w:r>
        <w:rPr>
          <w:rFonts w:hint="eastAsia"/>
          <w:bCs/>
          <w:color w:val="auto"/>
          <w:kern w:val="2"/>
          <w:sz w:val="21"/>
          <w:szCs w:val="21"/>
          <w:highlight w:val="none"/>
          <w:lang w:val="zh-CN"/>
        </w:rPr>
        <w:t>副本</w:t>
      </w:r>
      <w:r>
        <w:rPr>
          <w:bCs/>
          <w:color w:val="auto"/>
          <w:kern w:val="2"/>
          <w:sz w:val="21"/>
          <w:szCs w:val="21"/>
          <w:highlight w:val="none"/>
          <w:lang w:val="zh-CN"/>
        </w:rPr>
        <w:t>]</w:t>
      </w:r>
      <w:r>
        <w:rPr>
          <w:rFonts w:hint="eastAsia"/>
          <w:bCs/>
          <w:color w:val="auto"/>
          <w:kern w:val="2"/>
          <w:sz w:val="21"/>
          <w:szCs w:val="21"/>
          <w:highlight w:val="none"/>
          <w:lang w:val="zh-CN"/>
        </w:rPr>
        <w:t>的封面及骑缝均须由谈判供应商加盖公章。</w:t>
      </w:r>
    </w:p>
    <w:p>
      <w:pPr>
        <w:spacing w:line="360" w:lineRule="auto"/>
        <w:ind w:left="567" w:hanging="567"/>
        <w:jc w:val="both"/>
        <w:rPr>
          <w:bCs/>
          <w:color w:val="auto"/>
          <w:kern w:val="2"/>
          <w:sz w:val="21"/>
          <w:szCs w:val="21"/>
          <w:highlight w:val="none"/>
          <w:u w:val="singl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.5</w:t>
      </w:r>
      <w:r>
        <w:rPr>
          <w:bCs/>
          <w:color w:val="auto"/>
          <w:kern w:val="2"/>
          <w:sz w:val="21"/>
          <w:szCs w:val="21"/>
          <w:highlight w:val="none"/>
          <w:lang w:val="zh-CN"/>
        </w:rPr>
        <w:tab/>
      </w:r>
      <w:r>
        <w:rPr>
          <w:rFonts w:hint="eastAsia"/>
          <w:bCs/>
          <w:color w:val="auto"/>
          <w:kern w:val="2"/>
          <w:sz w:val="21"/>
          <w:szCs w:val="21"/>
          <w:highlight w:val="none"/>
          <w:lang w:val="zh-CN"/>
        </w:rPr>
        <w:t>谈判响应文件的封面应注明</w:t>
      </w:r>
      <w:r>
        <w:rPr>
          <w:bCs/>
          <w:color w:val="auto"/>
          <w:kern w:val="2"/>
          <w:sz w:val="21"/>
          <w:szCs w:val="21"/>
          <w:highlight w:val="none"/>
          <w:lang w:val="zh-CN"/>
        </w:rPr>
        <w:t>“</w:t>
      </w:r>
      <w:r>
        <w:rPr>
          <w:rFonts w:hint="eastAsia"/>
          <w:bCs/>
          <w:color w:val="auto"/>
          <w:kern w:val="2"/>
          <w:sz w:val="21"/>
          <w:szCs w:val="21"/>
          <w:highlight w:val="none"/>
          <w:lang w:val="zh-CN"/>
        </w:rPr>
        <w:t>采购项目名称、采购编号、谈判供应商名称、响应日期等</w:t>
      </w:r>
      <w:r>
        <w:rPr>
          <w:bCs/>
          <w:color w:val="auto"/>
          <w:kern w:val="2"/>
          <w:sz w:val="21"/>
          <w:szCs w:val="21"/>
          <w:highlight w:val="none"/>
          <w:lang w:val="zh-CN"/>
        </w:rPr>
        <w:t>”</w:t>
      </w:r>
      <w:r>
        <w:rPr>
          <w:rFonts w:hint="eastAsia"/>
          <w:bCs/>
          <w:color w:val="auto"/>
          <w:kern w:val="2"/>
          <w:sz w:val="21"/>
          <w:szCs w:val="21"/>
          <w:highlight w:val="none"/>
          <w:lang w:val="zh-CN"/>
        </w:rPr>
        <w:t>。</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.6</w:t>
      </w:r>
      <w:r>
        <w:rPr>
          <w:bCs/>
          <w:color w:val="auto"/>
          <w:kern w:val="2"/>
          <w:sz w:val="21"/>
          <w:szCs w:val="21"/>
          <w:highlight w:val="none"/>
          <w:lang w:val="zh-CN"/>
        </w:rPr>
        <w:tab/>
      </w:r>
      <w:r>
        <w:rPr>
          <w:rFonts w:hint="eastAsia"/>
          <w:bCs/>
          <w:color w:val="auto"/>
          <w:kern w:val="2"/>
          <w:sz w:val="21"/>
          <w:szCs w:val="21"/>
          <w:highlight w:val="none"/>
          <w:lang w:val="zh-CN"/>
        </w:rPr>
        <w:t>电子文件用</w:t>
      </w:r>
      <w:r>
        <w:rPr>
          <w:bCs/>
          <w:color w:val="auto"/>
          <w:kern w:val="2"/>
          <w:sz w:val="21"/>
          <w:szCs w:val="21"/>
          <w:highlight w:val="none"/>
          <w:lang w:val="zh-CN"/>
        </w:rPr>
        <w:t>U</w:t>
      </w:r>
      <w:r>
        <w:rPr>
          <w:rFonts w:hint="eastAsia"/>
          <w:bCs/>
          <w:color w:val="auto"/>
          <w:kern w:val="2"/>
          <w:sz w:val="21"/>
          <w:szCs w:val="21"/>
          <w:highlight w:val="none"/>
          <w:lang w:val="zh-CN"/>
        </w:rPr>
        <w:t>盘或</w:t>
      </w:r>
      <w:r>
        <w:rPr>
          <w:bCs/>
          <w:color w:val="auto"/>
          <w:kern w:val="2"/>
          <w:sz w:val="21"/>
          <w:szCs w:val="21"/>
          <w:highlight w:val="none"/>
          <w:lang w:val="zh-CN"/>
        </w:rPr>
        <w:t>CD-R</w:t>
      </w:r>
      <w:r>
        <w:rPr>
          <w:rFonts w:hint="eastAsia"/>
          <w:bCs/>
          <w:color w:val="auto"/>
          <w:kern w:val="2"/>
          <w:sz w:val="21"/>
          <w:szCs w:val="21"/>
          <w:highlight w:val="none"/>
          <w:lang w:val="zh-CN"/>
        </w:rPr>
        <w:t>光盘储存，并密封于</w:t>
      </w:r>
      <w:r>
        <w:rPr>
          <w:bCs/>
          <w:color w:val="auto"/>
          <w:kern w:val="2"/>
          <w:sz w:val="21"/>
          <w:szCs w:val="21"/>
          <w:highlight w:val="none"/>
          <w:lang w:val="zh-CN"/>
        </w:rPr>
        <w:t>“</w:t>
      </w:r>
      <w:r>
        <w:rPr>
          <w:rFonts w:hint="eastAsia"/>
          <w:bCs/>
          <w:color w:val="auto"/>
          <w:kern w:val="2"/>
          <w:sz w:val="21"/>
          <w:szCs w:val="21"/>
          <w:highlight w:val="none"/>
          <w:lang w:val="zh-CN"/>
        </w:rPr>
        <w:t>报价信封</w:t>
      </w:r>
      <w:r>
        <w:rPr>
          <w:bCs/>
          <w:color w:val="auto"/>
          <w:kern w:val="2"/>
          <w:sz w:val="21"/>
          <w:szCs w:val="21"/>
          <w:highlight w:val="none"/>
          <w:lang w:val="zh-CN"/>
        </w:rPr>
        <w:t>”</w:t>
      </w:r>
      <w:r>
        <w:rPr>
          <w:rFonts w:hint="eastAsia"/>
          <w:bCs/>
          <w:color w:val="auto"/>
          <w:kern w:val="2"/>
          <w:sz w:val="21"/>
          <w:szCs w:val="21"/>
          <w:highlight w:val="none"/>
          <w:lang w:val="zh-CN"/>
        </w:rPr>
        <w:t>内。</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6</w:t>
      </w:r>
      <w:r>
        <w:rPr>
          <w:bCs/>
          <w:color w:val="auto"/>
          <w:kern w:val="2"/>
          <w:sz w:val="21"/>
          <w:szCs w:val="21"/>
          <w:highlight w:val="none"/>
          <w:lang w:val="zh-CN"/>
        </w:rPr>
        <w:t>.7</w:t>
      </w:r>
      <w:r>
        <w:rPr>
          <w:bCs/>
          <w:color w:val="auto"/>
          <w:kern w:val="2"/>
          <w:sz w:val="21"/>
          <w:szCs w:val="21"/>
          <w:highlight w:val="none"/>
          <w:lang w:val="zh-CN"/>
        </w:rPr>
        <w:tab/>
      </w:r>
      <w:r>
        <w:rPr>
          <w:rFonts w:hint="eastAsia"/>
          <w:bCs/>
          <w:color w:val="auto"/>
          <w:kern w:val="2"/>
          <w:sz w:val="21"/>
          <w:szCs w:val="21"/>
          <w:highlight w:val="none"/>
          <w:lang w:val="zh-CN"/>
        </w:rPr>
        <w:t>电报、电传、传真的响应概不接受。</w:t>
      </w:r>
    </w:p>
    <w:p>
      <w:pPr>
        <w:spacing w:line="360" w:lineRule="auto"/>
        <w:ind w:left="525" w:hanging="525" w:hangingChars="250"/>
        <w:rPr>
          <w:bCs/>
          <w:color w:val="auto"/>
          <w:sz w:val="21"/>
          <w:szCs w:val="21"/>
          <w:highlight w:val="none"/>
        </w:rPr>
      </w:pPr>
      <w:bookmarkStart w:id="21" w:name="_Toc396137236"/>
      <w:r>
        <w:rPr>
          <w:rFonts w:hint="eastAsia"/>
          <w:bCs/>
          <w:color w:val="auto"/>
          <w:kern w:val="2"/>
          <w:sz w:val="21"/>
          <w:szCs w:val="21"/>
          <w:highlight w:val="none"/>
          <w:lang w:val="zh-CN"/>
        </w:rPr>
        <w:t>16.8 ★</w:t>
      </w:r>
      <w:r>
        <w:rPr>
          <w:rFonts w:hint="eastAsia"/>
          <w:bCs/>
          <w:color w:val="auto"/>
          <w:sz w:val="21"/>
          <w:szCs w:val="21"/>
          <w:highlight w:val="none"/>
        </w:rPr>
        <w:t>谈判供应商应将</w:t>
      </w:r>
      <w:r>
        <w:rPr>
          <w:bCs/>
          <w:color w:val="auto"/>
          <w:sz w:val="21"/>
          <w:szCs w:val="21"/>
          <w:highlight w:val="none"/>
        </w:rPr>
        <w:t>所有</w:t>
      </w:r>
      <w:r>
        <w:rPr>
          <w:rFonts w:hint="eastAsia"/>
          <w:bCs/>
          <w:color w:val="auto"/>
          <w:sz w:val="21"/>
          <w:szCs w:val="21"/>
          <w:highlight w:val="none"/>
        </w:rPr>
        <w:t>谈判响应文件</w:t>
      </w:r>
      <w:r>
        <w:rPr>
          <w:bCs/>
          <w:color w:val="auto"/>
          <w:sz w:val="21"/>
          <w:szCs w:val="21"/>
          <w:highlight w:val="none"/>
        </w:rPr>
        <w:t>、样品（如有）必须封入密封的信封或包装，</w:t>
      </w:r>
      <w:r>
        <w:rPr>
          <w:rFonts w:hint="eastAsia"/>
          <w:bCs/>
          <w:color w:val="auto"/>
          <w:sz w:val="21"/>
          <w:szCs w:val="21"/>
          <w:highlight w:val="none"/>
        </w:rPr>
        <w:t>封条上</w:t>
      </w:r>
      <w:r>
        <w:rPr>
          <w:bCs/>
          <w:color w:val="auto"/>
          <w:sz w:val="21"/>
          <w:szCs w:val="21"/>
          <w:highlight w:val="none"/>
        </w:rPr>
        <w:t>加盖</w:t>
      </w:r>
      <w:r>
        <w:rPr>
          <w:rFonts w:hint="eastAsia"/>
          <w:bCs/>
          <w:color w:val="auto"/>
          <w:sz w:val="21"/>
          <w:szCs w:val="21"/>
          <w:highlight w:val="none"/>
        </w:rPr>
        <w:t>谈判供应商</w:t>
      </w:r>
      <w:r>
        <w:rPr>
          <w:bCs/>
          <w:color w:val="auto"/>
          <w:sz w:val="21"/>
          <w:szCs w:val="21"/>
          <w:highlight w:val="none"/>
        </w:rPr>
        <w:t>公章</w:t>
      </w:r>
      <w:r>
        <w:rPr>
          <w:rFonts w:hint="eastAsia"/>
          <w:bCs/>
          <w:color w:val="auto"/>
          <w:sz w:val="21"/>
          <w:szCs w:val="21"/>
          <w:highlight w:val="none"/>
        </w:rPr>
        <w:t>。</w:t>
      </w:r>
    </w:p>
    <w:p>
      <w:pPr>
        <w:pStyle w:val="4"/>
        <w:spacing w:line="360" w:lineRule="auto"/>
        <w:rPr>
          <w:bCs/>
          <w:color w:val="auto"/>
          <w:kern w:val="44"/>
          <w:sz w:val="21"/>
          <w:szCs w:val="21"/>
          <w:highlight w:val="none"/>
          <w:lang w:val="zh-CN"/>
        </w:rPr>
      </w:pPr>
      <w:bookmarkStart w:id="22" w:name="_Toc413402434"/>
      <w:bookmarkStart w:id="23" w:name="_Toc508723464"/>
      <w:r>
        <w:rPr>
          <w:rFonts w:hint="eastAsia"/>
          <w:bCs/>
          <w:color w:val="auto"/>
          <w:kern w:val="44"/>
          <w:sz w:val="21"/>
          <w:szCs w:val="21"/>
          <w:highlight w:val="none"/>
          <w:lang w:val="zh-CN"/>
        </w:rPr>
        <w:t>（四）谈判响应文件的递交</w:t>
      </w:r>
      <w:bookmarkEnd w:id="21"/>
      <w:bookmarkEnd w:id="22"/>
      <w:bookmarkEnd w:id="23"/>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7</w:t>
      </w:r>
      <w:r>
        <w:rPr>
          <w:bCs/>
          <w:color w:val="auto"/>
          <w:kern w:val="2"/>
          <w:sz w:val="21"/>
          <w:szCs w:val="21"/>
          <w:highlight w:val="none"/>
          <w:lang w:val="zh-CN"/>
        </w:rPr>
        <w:tab/>
      </w:r>
      <w:r>
        <w:rPr>
          <w:rFonts w:hint="eastAsia"/>
          <w:bCs/>
          <w:color w:val="auto"/>
          <w:kern w:val="2"/>
          <w:sz w:val="21"/>
          <w:szCs w:val="21"/>
          <w:highlight w:val="none"/>
          <w:lang w:val="zh-CN"/>
        </w:rPr>
        <w:t>谈判响应文件的密封和标记：</w:t>
      </w:r>
    </w:p>
    <w:p>
      <w:pPr>
        <w:tabs>
          <w:tab w:val="left" w:pos="567"/>
        </w:tabs>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7</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谈判供应商应将谈判响应文件按《响应资料表》的要求进行封装。</w:t>
      </w:r>
    </w:p>
    <w:p>
      <w:pPr>
        <w:tabs>
          <w:tab w:val="left" w:pos="567"/>
        </w:tabs>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7</w:t>
      </w:r>
      <w:r>
        <w:rPr>
          <w:bCs/>
          <w:color w:val="auto"/>
          <w:kern w:val="2"/>
          <w:sz w:val="21"/>
          <w:szCs w:val="21"/>
          <w:highlight w:val="none"/>
          <w:lang w:val="zh-CN"/>
        </w:rPr>
        <w:t>.</w:t>
      </w:r>
      <w:r>
        <w:rPr>
          <w:rFonts w:hint="eastAsia"/>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谈判响应文件</w:t>
      </w:r>
      <w:r>
        <w:rPr>
          <w:bCs/>
          <w:color w:val="auto"/>
          <w:sz w:val="21"/>
          <w:szCs w:val="21"/>
          <w:highlight w:val="none"/>
        </w:rPr>
        <w:t>的封装</w:t>
      </w:r>
      <w:r>
        <w:rPr>
          <w:rFonts w:hint="eastAsia"/>
          <w:bCs/>
          <w:color w:val="auto"/>
          <w:sz w:val="21"/>
          <w:szCs w:val="21"/>
          <w:highlight w:val="none"/>
        </w:rPr>
        <w:t>必须</w:t>
      </w:r>
      <w:r>
        <w:rPr>
          <w:bCs/>
          <w:color w:val="auto"/>
          <w:sz w:val="21"/>
          <w:szCs w:val="21"/>
          <w:highlight w:val="none"/>
        </w:rPr>
        <w:t>在每一信封或包装的封面上写明：</w:t>
      </w:r>
      <w:r>
        <w:rPr>
          <w:rFonts w:hint="eastAsia"/>
          <w:bCs/>
          <w:color w:val="auto"/>
          <w:sz w:val="21"/>
          <w:szCs w:val="21"/>
          <w:highlight w:val="none"/>
        </w:rPr>
        <w:t>正本/副本/</w:t>
      </w:r>
      <w:r>
        <w:rPr>
          <w:rFonts w:hint="eastAsia"/>
          <w:bCs/>
          <w:color w:val="auto"/>
          <w:sz w:val="21"/>
          <w:szCs w:val="21"/>
          <w:highlight w:val="none"/>
          <w:lang w:eastAsia="zh-CN"/>
        </w:rPr>
        <w:t>报价信封</w:t>
      </w:r>
      <w:r>
        <w:rPr>
          <w:rFonts w:hint="eastAsia"/>
          <w:bCs/>
          <w:color w:val="auto"/>
          <w:sz w:val="21"/>
          <w:szCs w:val="21"/>
          <w:highlight w:val="none"/>
        </w:rPr>
        <w:t>/样品</w:t>
      </w:r>
      <w:r>
        <w:rPr>
          <w:rFonts w:hint="eastAsia"/>
          <w:bCs/>
          <w:color w:val="auto"/>
          <w:kern w:val="2"/>
          <w:sz w:val="21"/>
          <w:szCs w:val="21"/>
          <w:highlight w:val="none"/>
          <w:lang w:val="zh-CN"/>
        </w:rPr>
        <w:t>。</w:t>
      </w:r>
    </w:p>
    <w:p>
      <w:pPr>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7</w:t>
      </w:r>
      <w:r>
        <w:rPr>
          <w:bCs/>
          <w:color w:val="auto"/>
          <w:kern w:val="2"/>
          <w:sz w:val="21"/>
          <w:szCs w:val="21"/>
          <w:highlight w:val="none"/>
          <w:lang w:val="zh-CN"/>
        </w:rPr>
        <w:t>.</w:t>
      </w:r>
      <w:r>
        <w:rPr>
          <w:rFonts w:hint="eastAsia"/>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谈判响应文件密封封装标记：外层密封封装表面应正确标明</w:t>
      </w:r>
      <w:r>
        <w:rPr>
          <w:rFonts w:hint="eastAsia"/>
          <w:bCs/>
          <w:color w:val="auto"/>
          <w:sz w:val="21"/>
          <w:szCs w:val="21"/>
          <w:highlight w:val="none"/>
        </w:rPr>
        <w:t>谈判供应商</w:t>
      </w:r>
      <w:r>
        <w:rPr>
          <w:rFonts w:hint="eastAsia"/>
          <w:bCs/>
          <w:color w:val="auto"/>
          <w:kern w:val="2"/>
          <w:sz w:val="21"/>
          <w:szCs w:val="21"/>
          <w:highlight w:val="none"/>
          <w:lang w:val="zh-CN"/>
        </w:rPr>
        <w:t>名称、地址、项目名称、包号（如有）、谈判响应文件名称、并注明谈判响应文件递交截止时间之前不得开封（在封条上标注注明）。</w:t>
      </w:r>
    </w:p>
    <w:p>
      <w:pPr>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7</w:t>
      </w:r>
      <w:r>
        <w:rPr>
          <w:bCs/>
          <w:color w:val="auto"/>
          <w:kern w:val="2"/>
          <w:sz w:val="21"/>
          <w:szCs w:val="21"/>
          <w:highlight w:val="none"/>
          <w:lang w:val="zh-CN"/>
        </w:rPr>
        <w:t>.</w:t>
      </w:r>
      <w:r>
        <w:rPr>
          <w:rFonts w:hint="eastAsia"/>
          <w:bCs/>
          <w:color w:val="auto"/>
          <w:kern w:val="2"/>
          <w:sz w:val="21"/>
          <w:szCs w:val="21"/>
          <w:highlight w:val="none"/>
          <w:lang w:val="zh-CN"/>
        </w:rPr>
        <w:t>4</w:t>
      </w:r>
      <w:r>
        <w:rPr>
          <w:bCs/>
          <w:color w:val="auto"/>
          <w:kern w:val="2"/>
          <w:sz w:val="21"/>
          <w:szCs w:val="21"/>
          <w:highlight w:val="none"/>
          <w:lang w:val="zh-CN"/>
        </w:rPr>
        <w:tab/>
      </w:r>
      <w:r>
        <w:rPr>
          <w:rFonts w:hint="eastAsia"/>
          <w:bCs/>
          <w:color w:val="auto"/>
          <w:kern w:val="2"/>
          <w:sz w:val="21"/>
          <w:szCs w:val="21"/>
          <w:highlight w:val="none"/>
          <w:lang w:val="zh-CN"/>
        </w:rPr>
        <w:t>如果因密封封装未按本款规定密封和标记，导致采购代理机构对谈判响应文件误投、提前拆封或错放的，由谈判供应商承担责任。对由此造成提前开封的谈判响应文件，采购代理机构予以拒绝，并退回谈判供应商。</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1</w:t>
      </w:r>
      <w:r>
        <w:rPr>
          <w:rFonts w:hint="eastAsia"/>
          <w:bCs/>
          <w:color w:val="auto"/>
          <w:kern w:val="2"/>
          <w:sz w:val="21"/>
          <w:szCs w:val="21"/>
          <w:highlight w:val="none"/>
          <w:lang w:val="zh-CN"/>
        </w:rPr>
        <w:t>8</w:t>
      </w:r>
      <w:r>
        <w:rPr>
          <w:bCs/>
          <w:color w:val="auto"/>
          <w:kern w:val="2"/>
          <w:sz w:val="21"/>
          <w:szCs w:val="21"/>
          <w:highlight w:val="none"/>
          <w:lang w:val="zh-CN"/>
        </w:rPr>
        <w:tab/>
      </w:r>
      <w:r>
        <w:rPr>
          <w:rFonts w:hint="eastAsia"/>
          <w:bCs/>
          <w:color w:val="auto"/>
          <w:sz w:val="21"/>
          <w:szCs w:val="21"/>
          <w:highlight w:val="none"/>
        </w:rPr>
        <w:t>谈判响应文件的递交、接收和密封</w:t>
      </w:r>
    </w:p>
    <w:p>
      <w:pPr>
        <w:tabs>
          <w:tab w:val="left" w:pos="567"/>
        </w:tabs>
        <w:spacing w:line="360" w:lineRule="auto"/>
        <w:ind w:left="567" w:hanging="567" w:hangingChars="270"/>
        <w:jc w:val="both"/>
        <w:rPr>
          <w:bCs/>
          <w:color w:val="auto"/>
          <w:kern w:val="2"/>
          <w:sz w:val="21"/>
          <w:szCs w:val="21"/>
          <w:highlight w:val="none"/>
          <w:lang w:val="zh-CN"/>
        </w:rPr>
      </w:pPr>
      <w:r>
        <w:rPr>
          <w:rFonts w:hint="eastAsia"/>
          <w:bCs/>
          <w:color w:val="auto"/>
          <w:kern w:val="2"/>
          <w:sz w:val="21"/>
          <w:szCs w:val="21"/>
          <w:highlight w:val="none"/>
          <w:lang w:val="zh-CN"/>
        </w:rPr>
        <w:t>18.1 谈判供应商应凭以下资料递交谈判响应文件：法定代表人授权委托书原件及本人身份证原件（若谈判供应商为法定代表人，则只需提法定代表本人身份证原件）</w:t>
      </w:r>
    </w:p>
    <w:p>
      <w:pPr>
        <w:tabs>
          <w:tab w:val="left" w:pos="0"/>
        </w:tabs>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18.2 若出现以下情况，采购人将拒绝接收谈判响应文件：</w:t>
      </w:r>
    </w:p>
    <w:p>
      <w:pPr>
        <w:tabs>
          <w:tab w:val="left" w:pos="0"/>
        </w:tabs>
        <w:spacing w:line="360" w:lineRule="auto"/>
        <w:ind w:firstLine="525" w:firstLineChars="250"/>
        <w:jc w:val="both"/>
        <w:rPr>
          <w:bCs/>
          <w:color w:val="auto"/>
          <w:kern w:val="2"/>
          <w:sz w:val="21"/>
          <w:szCs w:val="21"/>
          <w:highlight w:val="none"/>
          <w:lang w:val="zh-CN"/>
        </w:rPr>
      </w:pPr>
      <w:r>
        <w:rPr>
          <w:rFonts w:hint="eastAsia"/>
          <w:bCs/>
          <w:color w:val="auto"/>
          <w:kern w:val="2"/>
          <w:sz w:val="21"/>
          <w:szCs w:val="21"/>
          <w:highlight w:val="none"/>
          <w:lang w:val="zh-CN"/>
        </w:rPr>
        <w:t>18.2.1 在响应截止时间后逾期或未在指定地点递交谈判响应文件的；</w:t>
      </w:r>
    </w:p>
    <w:p>
      <w:pPr>
        <w:tabs>
          <w:tab w:val="left" w:pos="0"/>
        </w:tabs>
        <w:spacing w:line="360" w:lineRule="auto"/>
        <w:ind w:firstLine="525" w:firstLineChars="250"/>
        <w:jc w:val="both"/>
        <w:rPr>
          <w:bCs/>
          <w:color w:val="auto"/>
          <w:kern w:val="2"/>
          <w:sz w:val="21"/>
          <w:szCs w:val="21"/>
          <w:highlight w:val="none"/>
          <w:lang w:val="zh-CN"/>
        </w:rPr>
      </w:pPr>
      <w:r>
        <w:rPr>
          <w:rFonts w:hint="eastAsia"/>
          <w:bCs/>
          <w:color w:val="auto"/>
          <w:kern w:val="2"/>
          <w:sz w:val="21"/>
          <w:szCs w:val="21"/>
          <w:highlight w:val="none"/>
          <w:lang w:val="zh-CN"/>
        </w:rPr>
        <w:t>18.2.2 谈判响应文件未按采购文件要求密封和标识的；</w:t>
      </w:r>
    </w:p>
    <w:p>
      <w:pPr>
        <w:tabs>
          <w:tab w:val="left" w:pos="0"/>
        </w:tabs>
        <w:spacing w:line="360" w:lineRule="auto"/>
        <w:ind w:firstLine="525" w:firstLineChars="250"/>
        <w:jc w:val="both"/>
        <w:rPr>
          <w:bCs/>
          <w:color w:val="auto"/>
          <w:kern w:val="2"/>
          <w:sz w:val="21"/>
          <w:szCs w:val="21"/>
          <w:highlight w:val="none"/>
          <w:lang w:val="zh-CN"/>
        </w:rPr>
      </w:pPr>
      <w:r>
        <w:rPr>
          <w:rFonts w:hint="eastAsia"/>
          <w:bCs/>
          <w:color w:val="auto"/>
          <w:kern w:val="2"/>
          <w:sz w:val="21"/>
          <w:szCs w:val="21"/>
          <w:highlight w:val="none"/>
          <w:lang w:val="zh-CN"/>
        </w:rPr>
        <w:t>18.2.</w:t>
      </w:r>
      <w:r>
        <w:rPr>
          <w:rFonts w:hint="eastAsia"/>
          <w:bCs/>
          <w:color w:val="auto"/>
          <w:kern w:val="2"/>
          <w:sz w:val="21"/>
          <w:szCs w:val="21"/>
          <w:highlight w:val="none"/>
        </w:rPr>
        <w:t>3</w:t>
      </w:r>
      <w:r>
        <w:rPr>
          <w:rFonts w:hint="eastAsia"/>
          <w:bCs/>
          <w:color w:val="auto"/>
          <w:kern w:val="2"/>
          <w:sz w:val="21"/>
          <w:szCs w:val="21"/>
          <w:highlight w:val="none"/>
          <w:lang w:val="zh-CN"/>
        </w:rPr>
        <w:t xml:space="preserve"> 在响应截止时，谈判供应商未提供第</w:t>
      </w:r>
      <w:r>
        <w:rPr>
          <w:bCs/>
          <w:color w:val="auto"/>
          <w:kern w:val="2"/>
          <w:sz w:val="21"/>
          <w:szCs w:val="21"/>
          <w:highlight w:val="none"/>
          <w:lang w:val="zh-CN"/>
        </w:rPr>
        <w:t>1</w:t>
      </w:r>
      <w:r>
        <w:rPr>
          <w:rFonts w:hint="eastAsia"/>
          <w:bCs/>
          <w:color w:val="auto"/>
          <w:kern w:val="2"/>
          <w:sz w:val="21"/>
          <w:szCs w:val="21"/>
          <w:highlight w:val="none"/>
          <w:lang w:val="zh-CN"/>
        </w:rPr>
        <w:t>8</w:t>
      </w:r>
      <w:r>
        <w:rPr>
          <w:bCs/>
          <w:color w:val="auto"/>
          <w:kern w:val="2"/>
          <w:sz w:val="21"/>
          <w:szCs w:val="21"/>
          <w:highlight w:val="none"/>
          <w:lang w:val="zh-CN"/>
        </w:rPr>
        <w:t>.</w:t>
      </w:r>
      <w:r>
        <w:rPr>
          <w:rFonts w:hint="eastAsia"/>
          <w:bCs/>
          <w:color w:val="auto"/>
          <w:kern w:val="2"/>
          <w:sz w:val="21"/>
          <w:szCs w:val="21"/>
          <w:highlight w:val="none"/>
          <w:lang w:val="zh-CN"/>
        </w:rPr>
        <w:t>2款规定的资料的。</w:t>
      </w:r>
    </w:p>
    <w:p>
      <w:pPr>
        <w:tabs>
          <w:tab w:val="left" w:pos="0"/>
        </w:tabs>
        <w:spacing w:line="360" w:lineRule="auto"/>
        <w:ind w:left="420" w:hanging="420" w:hangingChars="200"/>
        <w:jc w:val="both"/>
        <w:rPr>
          <w:bCs/>
          <w:color w:val="auto"/>
          <w:kern w:val="2"/>
          <w:sz w:val="21"/>
          <w:szCs w:val="21"/>
          <w:highlight w:val="none"/>
          <w:lang w:val="zh-CN"/>
        </w:rPr>
      </w:pPr>
      <w:r>
        <w:rPr>
          <w:rFonts w:hint="eastAsia"/>
          <w:bCs/>
          <w:color w:val="auto"/>
          <w:kern w:val="2"/>
          <w:sz w:val="21"/>
          <w:szCs w:val="21"/>
          <w:highlight w:val="none"/>
          <w:lang w:val="zh-CN"/>
        </w:rPr>
        <w:t>18.3 如谈判响应文件不能在接收标书当日开启时，须按机密件集中封存在指定的地点，并由谈判供应商全体见证密封，开标前再从封标室解封、取出。</w:t>
      </w:r>
    </w:p>
    <w:p>
      <w:pPr>
        <w:tabs>
          <w:tab w:val="left" w:pos="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18.4 全体谈判供应商应见证封标及标书的解封、取出过程,如谈判供应商不参加见证封标及标书的解封、取出过程，视同认可谈判响应文件的封存的解封、取出过程与结果。</w:t>
      </w:r>
    </w:p>
    <w:p>
      <w:pPr>
        <w:tabs>
          <w:tab w:val="left" w:pos="0"/>
        </w:tabs>
        <w:spacing w:line="360" w:lineRule="auto"/>
        <w:ind w:left="525" w:hanging="525" w:hangingChars="250"/>
        <w:jc w:val="both"/>
        <w:rPr>
          <w:bCs/>
          <w:color w:val="auto"/>
          <w:kern w:val="2"/>
          <w:sz w:val="21"/>
          <w:szCs w:val="21"/>
          <w:highlight w:val="none"/>
          <w:lang w:val="zh-CN"/>
        </w:rPr>
      </w:pPr>
      <w:r>
        <w:rPr>
          <w:rFonts w:hint="eastAsia"/>
          <w:bCs/>
          <w:color w:val="auto"/>
          <w:kern w:val="2"/>
          <w:sz w:val="21"/>
          <w:szCs w:val="21"/>
          <w:highlight w:val="none"/>
          <w:lang w:val="zh-CN"/>
        </w:rPr>
        <w:t>18.5 采购人可按照第8款的规定修改采购文件并酌情延长递交谈判响应文件的截止时间，因此，业已规定的采购代理机构和谈判供应商的一切权利和义务将按延期后的递交谈判响应文件截止时间履行。</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19</w:t>
      </w:r>
      <w:r>
        <w:rPr>
          <w:bCs/>
          <w:color w:val="auto"/>
          <w:kern w:val="2"/>
          <w:sz w:val="21"/>
          <w:szCs w:val="21"/>
          <w:highlight w:val="none"/>
          <w:lang w:val="zh-CN"/>
        </w:rPr>
        <w:tab/>
      </w:r>
      <w:r>
        <w:rPr>
          <w:rFonts w:hint="eastAsia"/>
          <w:bCs/>
          <w:color w:val="auto"/>
          <w:kern w:val="2"/>
          <w:sz w:val="21"/>
          <w:szCs w:val="21"/>
          <w:highlight w:val="none"/>
          <w:lang w:val="zh-CN"/>
        </w:rPr>
        <w:t>迟交的谈判响应文件</w:t>
      </w:r>
    </w:p>
    <w:p>
      <w:pPr>
        <w:spacing w:line="360" w:lineRule="auto"/>
        <w:ind w:left="571" w:leftChars="238"/>
        <w:jc w:val="both"/>
        <w:rPr>
          <w:bCs/>
          <w:color w:val="auto"/>
          <w:kern w:val="2"/>
          <w:sz w:val="21"/>
          <w:szCs w:val="21"/>
          <w:highlight w:val="none"/>
          <w:lang w:val="zh-CN"/>
        </w:rPr>
      </w:pPr>
      <w:r>
        <w:rPr>
          <w:rFonts w:hint="eastAsia"/>
          <w:bCs/>
          <w:color w:val="auto"/>
          <w:kern w:val="2"/>
          <w:sz w:val="21"/>
          <w:szCs w:val="21"/>
          <w:highlight w:val="none"/>
          <w:lang w:val="zh-CN"/>
        </w:rPr>
        <w:t>根据第</w:t>
      </w:r>
      <w:r>
        <w:rPr>
          <w:bCs/>
          <w:color w:val="auto"/>
          <w:kern w:val="2"/>
          <w:sz w:val="21"/>
          <w:szCs w:val="21"/>
          <w:highlight w:val="none"/>
          <w:lang w:val="zh-CN"/>
        </w:rPr>
        <w:t>1</w:t>
      </w:r>
      <w:r>
        <w:rPr>
          <w:rFonts w:hint="eastAsia"/>
          <w:bCs/>
          <w:color w:val="auto"/>
          <w:kern w:val="2"/>
          <w:sz w:val="21"/>
          <w:szCs w:val="21"/>
          <w:highlight w:val="none"/>
          <w:lang w:val="zh-CN"/>
        </w:rPr>
        <w:t>8款规定，采购代理机构将拒绝任何晚于递交谈判响应文件截止时间交到的谈判响应文件。</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0</w:t>
      </w:r>
      <w:r>
        <w:rPr>
          <w:bCs/>
          <w:color w:val="auto"/>
          <w:kern w:val="2"/>
          <w:sz w:val="21"/>
          <w:szCs w:val="21"/>
          <w:highlight w:val="none"/>
          <w:lang w:val="zh-CN"/>
        </w:rPr>
        <w:tab/>
      </w:r>
      <w:r>
        <w:rPr>
          <w:rFonts w:hint="eastAsia"/>
          <w:bCs/>
          <w:color w:val="auto"/>
          <w:kern w:val="2"/>
          <w:sz w:val="21"/>
          <w:szCs w:val="21"/>
          <w:highlight w:val="none"/>
          <w:lang w:val="zh-CN"/>
        </w:rPr>
        <w:t>谈判响应文件的修改和撤回</w:t>
      </w:r>
    </w:p>
    <w:p>
      <w:pPr>
        <w:tabs>
          <w:tab w:val="left" w:pos="567"/>
        </w:tabs>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0</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谈判供应商可在递交谈判响应文件截止时间前对其递交的谈判响应文件进行修改或撤回，但须在递交谈判响应文件截止时间前向采购代理机构提出修改或撤回的书面通知。</w:t>
      </w:r>
    </w:p>
    <w:p>
      <w:pPr>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0</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谈判供应商对谈判响应文件的修改或撤回的通知应按第</w:t>
      </w:r>
      <w:r>
        <w:rPr>
          <w:bCs/>
          <w:color w:val="auto"/>
          <w:kern w:val="2"/>
          <w:sz w:val="21"/>
          <w:szCs w:val="21"/>
          <w:highlight w:val="none"/>
          <w:lang w:val="zh-CN"/>
        </w:rPr>
        <w:t>1</w:t>
      </w:r>
      <w:r>
        <w:rPr>
          <w:rFonts w:hint="eastAsia"/>
          <w:bCs/>
          <w:color w:val="auto"/>
          <w:kern w:val="2"/>
          <w:sz w:val="21"/>
          <w:szCs w:val="21"/>
          <w:highlight w:val="none"/>
          <w:lang w:val="zh-CN"/>
        </w:rPr>
        <w:t>6款和第</w:t>
      </w:r>
      <w:r>
        <w:rPr>
          <w:bCs/>
          <w:color w:val="auto"/>
          <w:kern w:val="2"/>
          <w:sz w:val="21"/>
          <w:szCs w:val="21"/>
          <w:highlight w:val="none"/>
          <w:lang w:val="zh-CN"/>
        </w:rPr>
        <w:t>1</w:t>
      </w:r>
      <w:r>
        <w:rPr>
          <w:rFonts w:hint="eastAsia"/>
          <w:bCs/>
          <w:color w:val="auto"/>
          <w:kern w:val="2"/>
          <w:sz w:val="21"/>
          <w:szCs w:val="21"/>
          <w:highlight w:val="none"/>
          <w:lang w:val="zh-CN"/>
        </w:rPr>
        <w:t>7款规定进行准备、密封、标注和递送。</w:t>
      </w:r>
    </w:p>
    <w:p>
      <w:pPr>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0</w:t>
      </w:r>
      <w:r>
        <w:rPr>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递交谈判响应文件截止时间后，谈判供应商不得修改谈判响应文件。</w:t>
      </w:r>
    </w:p>
    <w:p>
      <w:pPr>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0</w:t>
      </w:r>
      <w:r>
        <w:rPr>
          <w:bCs/>
          <w:color w:val="auto"/>
          <w:kern w:val="2"/>
          <w:sz w:val="21"/>
          <w:szCs w:val="21"/>
          <w:highlight w:val="none"/>
          <w:lang w:val="zh-CN"/>
        </w:rPr>
        <w:t>.4</w:t>
      </w:r>
      <w:r>
        <w:rPr>
          <w:bCs/>
          <w:color w:val="auto"/>
          <w:kern w:val="2"/>
          <w:sz w:val="21"/>
          <w:szCs w:val="21"/>
          <w:highlight w:val="none"/>
          <w:lang w:val="zh-CN"/>
        </w:rPr>
        <w:tab/>
      </w:r>
      <w:r>
        <w:rPr>
          <w:rFonts w:hint="eastAsia"/>
          <w:bCs/>
          <w:color w:val="auto"/>
          <w:kern w:val="2"/>
          <w:sz w:val="21"/>
          <w:szCs w:val="21"/>
          <w:highlight w:val="none"/>
          <w:lang w:val="zh-CN"/>
        </w:rPr>
        <w:t>谈判供应商不得在递交谈判响应文件截止时间起至第</w:t>
      </w:r>
      <w:r>
        <w:rPr>
          <w:bCs/>
          <w:color w:val="auto"/>
          <w:kern w:val="2"/>
          <w:sz w:val="21"/>
          <w:szCs w:val="21"/>
          <w:highlight w:val="none"/>
          <w:lang w:val="zh-CN"/>
        </w:rPr>
        <w:t>1</w:t>
      </w:r>
      <w:r>
        <w:rPr>
          <w:rFonts w:hint="eastAsia"/>
          <w:bCs/>
          <w:color w:val="auto"/>
          <w:kern w:val="2"/>
          <w:sz w:val="21"/>
          <w:szCs w:val="21"/>
          <w:highlight w:val="none"/>
          <w:lang w:val="zh-CN"/>
        </w:rPr>
        <w:t>5款规定的谈判有效期期满前撤回其谈判响应文件，否则按采购相关法律法规追究其相关责任。</w:t>
      </w:r>
    </w:p>
    <w:p>
      <w:pPr>
        <w:pStyle w:val="4"/>
        <w:spacing w:line="360" w:lineRule="auto"/>
        <w:rPr>
          <w:bCs/>
          <w:color w:val="auto"/>
          <w:kern w:val="44"/>
          <w:sz w:val="21"/>
          <w:szCs w:val="21"/>
          <w:highlight w:val="none"/>
        </w:rPr>
      </w:pPr>
      <w:bookmarkStart w:id="24" w:name="_Toc396137237"/>
      <w:bookmarkStart w:id="25" w:name="_Toc508723465"/>
      <w:bookmarkStart w:id="26" w:name="_Toc413402435"/>
      <w:r>
        <w:rPr>
          <w:rFonts w:hint="eastAsia"/>
          <w:bCs/>
          <w:color w:val="auto"/>
          <w:kern w:val="44"/>
          <w:sz w:val="21"/>
          <w:szCs w:val="21"/>
          <w:highlight w:val="none"/>
          <w:lang w:val="zh-CN"/>
        </w:rPr>
        <w:t>（五）</w:t>
      </w:r>
      <w:r>
        <w:rPr>
          <w:rFonts w:hint="eastAsia"/>
          <w:bCs/>
          <w:color w:val="auto"/>
          <w:kern w:val="44"/>
          <w:sz w:val="21"/>
          <w:szCs w:val="21"/>
          <w:highlight w:val="none"/>
        </w:rPr>
        <w:t>签到</w:t>
      </w:r>
      <w:bookmarkEnd w:id="24"/>
      <w:bookmarkEnd w:id="25"/>
      <w:bookmarkEnd w:id="26"/>
      <w:r>
        <w:rPr>
          <w:rFonts w:hint="eastAsia"/>
          <w:bCs/>
          <w:color w:val="auto"/>
          <w:kern w:val="44"/>
          <w:sz w:val="21"/>
          <w:szCs w:val="21"/>
          <w:highlight w:val="none"/>
        </w:rPr>
        <w:t>及评审方法</w:t>
      </w:r>
    </w:p>
    <w:p>
      <w:pPr>
        <w:rPr>
          <w:bCs/>
          <w:color w:val="auto"/>
          <w:highlight w:val="none"/>
        </w:rPr>
      </w:pPr>
      <w:r>
        <w:rPr>
          <w:rFonts w:hint="eastAsia"/>
          <w:bCs/>
          <w:color w:val="auto"/>
          <w:kern w:val="44"/>
          <w:sz w:val="21"/>
          <w:szCs w:val="21"/>
          <w:highlight w:val="none"/>
        </w:rPr>
        <w:t>21.签到</w:t>
      </w:r>
    </w:p>
    <w:p>
      <w:pPr>
        <w:tabs>
          <w:tab w:val="left" w:pos="567"/>
        </w:tabs>
        <w:spacing w:line="360" w:lineRule="auto"/>
        <w:ind w:left="567" w:right="18" w:hanging="567"/>
        <w:jc w:val="both"/>
        <w:rPr>
          <w:bCs/>
          <w:color w:val="auto"/>
          <w:kern w:val="2"/>
          <w:sz w:val="21"/>
          <w:szCs w:val="21"/>
          <w:highlight w:val="none"/>
        </w:rPr>
      </w:pPr>
      <w:r>
        <w:rPr>
          <w:bCs/>
          <w:color w:val="auto"/>
          <w:kern w:val="2"/>
          <w:sz w:val="21"/>
          <w:szCs w:val="21"/>
          <w:highlight w:val="none"/>
          <w:lang w:val="zh-CN"/>
        </w:rPr>
        <w:t>2</w:t>
      </w:r>
      <w:r>
        <w:rPr>
          <w:rFonts w:hint="eastAsia"/>
          <w:bCs/>
          <w:color w:val="auto"/>
          <w:kern w:val="2"/>
          <w:sz w:val="21"/>
          <w:szCs w:val="21"/>
          <w:highlight w:val="none"/>
          <w:lang w:val="zh-CN"/>
        </w:rPr>
        <w:t>1</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供应商应在《</w:t>
      </w:r>
      <w:r>
        <w:rPr>
          <w:rFonts w:hint="eastAsia"/>
          <w:bCs/>
          <w:color w:val="auto"/>
          <w:kern w:val="2"/>
          <w:sz w:val="21"/>
          <w:szCs w:val="21"/>
          <w:highlight w:val="none"/>
        </w:rPr>
        <w:t>谈判邀请书</w:t>
      </w:r>
      <w:r>
        <w:rPr>
          <w:rFonts w:hint="eastAsia"/>
          <w:bCs/>
          <w:color w:val="auto"/>
          <w:kern w:val="2"/>
          <w:sz w:val="21"/>
          <w:szCs w:val="21"/>
          <w:highlight w:val="none"/>
          <w:lang w:val="zh-CN"/>
        </w:rPr>
        <w:t>》规定的日期、时间和地点递交响应文件并进行现场签到。</w:t>
      </w:r>
      <w:r>
        <w:rPr>
          <w:rFonts w:hint="eastAsia"/>
          <w:bCs/>
          <w:color w:val="auto"/>
          <w:kern w:val="2"/>
          <w:sz w:val="21"/>
          <w:szCs w:val="21"/>
          <w:highlight w:val="none"/>
        </w:rPr>
        <w:t>递交报价文件的供应商</w:t>
      </w:r>
      <w:r>
        <w:rPr>
          <w:rFonts w:hint="eastAsia"/>
          <w:bCs/>
          <w:color w:val="auto"/>
          <w:sz w:val="21"/>
          <w:szCs w:val="21"/>
          <w:highlight w:val="none"/>
        </w:rPr>
        <w:t>不足3家的，项目废标。</w:t>
      </w:r>
    </w:p>
    <w:p>
      <w:pPr>
        <w:spacing w:line="360" w:lineRule="auto"/>
        <w:ind w:left="567" w:right="18" w:hanging="567"/>
        <w:jc w:val="both"/>
        <w:rPr>
          <w:bCs/>
          <w:color w:val="auto"/>
          <w:kern w:val="2"/>
          <w:sz w:val="21"/>
          <w:szCs w:val="21"/>
          <w:highlight w:val="none"/>
          <w:lang w:val="zh-CN"/>
        </w:rPr>
      </w:pPr>
      <w:r>
        <w:rPr>
          <w:rFonts w:hint="eastAsia"/>
          <w:bCs/>
          <w:color w:val="auto"/>
          <w:kern w:val="2"/>
          <w:sz w:val="21"/>
          <w:szCs w:val="21"/>
          <w:highlight w:val="none"/>
          <w:lang w:val="zh-CN"/>
        </w:rPr>
        <w:t>21.2</w:t>
      </w:r>
      <w:r>
        <w:rPr>
          <w:rFonts w:hint="eastAsia"/>
          <w:bCs/>
          <w:color w:val="auto"/>
          <w:kern w:val="2"/>
          <w:sz w:val="21"/>
          <w:szCs w:val="21"/>
          <w:highlight w:val="none"/>
          <w:lang w:val="zh-CN"/>
        </w:rPr>
        <w:tab/>
      </w:r>
      <w:r>
        <w:rPr>
          <w:rFonts w:hint="eastAsia"/>
          <w:bCs/>
          <w:color w:val="auto"/>
          <w:kern w:val="2"/>
          <w:sz w:val="21"/>
          <w:szCs w:val="21"/>
          <w:highlight w:val="none"/>
          <w:lang w:val="zh-CN"/>
        </w:rPr>
        <w:t>按照第20款规定，提交了可接受的“撤回”通知的谈判响应文件将不予开封。</w:t>
      </w:r>
    </w:p>
    <w:p>
      <w:pPr>
        <w:spacing w:line="360" w:lineRule="auto"/>
        <w:ind w:left="567" w:right="18" w:hanging="567"/>
        <w:jc w:val="both"/>
        <w:rPr>
          <w:rFonts w:hint="default" w:eastAsia="宋体"/>
          <w:bCs/>
          <w:color w:val="auto"/>
          <w:kern w:val="2"/>
          <w:sz w:val="21"/>
          <w:szCs w:val="21"/>
          <w:highlight w:val="none"/>
          <w:lang w:val="en-US" w:eastAsia="zh-CN"/>
        </w:rPr>
      </w:pPr>
      <w:r>
        <w:rPr>
          <w:rFonts w:hint="eastAsia"/>
          <w:bCs/>
          <w:color w:val="auto"/>
          <w:kern w:val="2"/>
          <w:sz w:val="21"/>
          <w:szCs w:val="21"/>
          <w:highlight w:val="none"/>
          <w:lang w:val="zh-CN"/>
        </w:rPr>
        <w:t>21.3  递交响应文件时间截止后，由参与</w:t>
      </w:r>
      <w:r>
        <w:rPr>
          <w:rFonts w:hint="eastAsia"/>
          <w:bCs/>
          <w:color w:val="auto"/>
          <w:kern w:val="2"/>
          <w:sz w:val="21"/>
          <w:szCs w:val="21"/>
          <w:highlight w:val="none"/>
        </w:rPr>
        <w:t>谈判</w:t>
      </w:r>
      <w:r>
        <w:rPr>
          <w:rFonts w:hint="eastAsia"/>
          <w:bCs/>
          <w:color w:val="auto"/>
          <w:kern w:val="2"/>
          <w:sz w:val="21"/>
          <w:szCs w:val="21"/>
          <w:highlight w:val="none"/>
          <w:lang w:val="zh-CN"/>
        </w:rPr>
        <w:t>的供应商代表或者其推选的代表检查响应文件的密封情况</w:t>
      </w:r>
      <w:r>
        <w:rPr>
          <w:rFonts w:hint="eastAsia"/>
          <w:bCs/>
          <w:color w:val="auto"/>
          <w:kern w:val="2"/>
          <w:sz w:val="21"/>
          <w:szCs w:val="21"/>
          <w:highlight w:val="none"/>
          <w:lang w:val="en-US" w:eastAsia="zh-CN"/>
        </w:rPr>
        <w:t>并签字确认。</w:t>
      </w:r>
    </w:p>
    <w:p>
      <w:pPr>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1</w:t>
      </w:r>
      <w:r>
        <w:rPr>
          <w:bCs/>
          <w:color w:val="auto"/>
          <w:kern w:val="2"/>
          <w:sz w:val="21"/>
          <w:szCs w:val="21"/>
          <w:highlight w:val="none"/>
          <w:lang w:val="zh-CN"/>
        </w:rPr>
        <w:t>.</w:t>
      </w:r>
      <w:r>
        <w:rPr>
          <w:rFonts w:hint="eastAsia"/>
          <w:bCs/>
          <w:color w:val="auto"/>
          <w:kern w:val="2"/>
          <w:sz w:val="21"/>
          <w:szCs w:val="21"/>
          <w:highlight w:val="none"/>
          <w:lang w:val="zh-CN"/>
        </w:rPr>
        <w:t>4</w:t>
      </w:r>
      <w:r>
        <w:rPr>
          <w:bCs/>
          <w:color w:val="auto"/>
          <w:kern w:val="2"/>
          <w:sz w:val="21"/>
          <w:szCs w:val="21"/>
          <w:highlight w:val="none"/>
          <w:lang w:val="zh-CN"/>
        </w:rPr>
        <w:tab/>
      </w:r>
      <w:r>
        <w:rPr>
          <w:rFonts w:hint="eastAsia"/>
          <w:bCs/>
          <w:color w:val="auto"/>
          <w:kern w:val="2"/>
          <w:sz w:val="21"/>
          <w:szCs w:val="21"/>
          <w:highlight w:val="none"/>
          <w:lang w:val="zh-CN"/>
        </w:rPr>
        <w:t>谈判响应文件的报价出现前后不一致的，按照下列规定修正：（1）谈判响应文件中首次报价一览表（报价表）内容与谈判响应文件中相应内容不一致的，以首次报价一览表（报价表）为准；（2）谈判响应文件的大写金额和小写金额不一致的，以大写金额为准；（3）单价金额小数点或者百分比有明显错位的，以首次报价一览表的总价为准，并修改单价；（4）总价金额与按单价汇总金额不一致的，以单价金额计算结果为准。同时出现两种以上不一致的，按照前款规定的顺序修正。修正后的报价经谈判供应商确认后产生约束力，谈判供应商不确认的，其响应无效。对不同文字文本谈判响应文件的解释发生异议的，以中文文本为准。</w:t>
      </w:r>
    </w:p>
    <w:p>
      <w:pPr>
        <w:spacing w:line="360" w:lineRule="auto"/>
        <w:ind w:left="567" w:right="18" w:hanging="567"/>
        <w:jc w:val="both"/>
        <w:rPr>
          <w:bCs/>
          <w:color w:val="auto"/>
          <w:highlight w:val="none"/>
        </w:rPr>
      </w:pPr>
      <w:r>
        <w:rPr>
          <w:rFonts w:hint="eastAsia"/>
          <w:bCs/>
          <w:color w:val="auto"/>
          <w:kern w:val="2"/>
          <w:sz w:val="21"/>
          <w:szCs w:val="21"/>
          <w:highlight w:val="none"/>
          <w:lang w:val="zh-CN"/>
        </w:rPr>
        <w:t>21.5  通过资格性和符合性审查的有效供应商方有资格提交最终报价。</w:t>
      </w:r>
    </w:p>
    <w:p>
      <w:pPr>
        <w:spacing w:line="360" w:lineRule="auto"/>
        <w:ind w:left="567" w:right="18" w:hanging="567"/>
        <w:jc w:val="both"/>
        <w:rPr>
          <w:bCs/>
          <w:color w:val="auto"/>
          <w:highlight w:val="none"/>
          <w:lang w:val="zh-CN"/>
        </w:rPr>
      </w:pP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2</w:t>
      </w:r>
      <w:r>
        <w:rPr>
          <w:bCs/>
          <w:color w:val="auto"/>
          <w:kern w:val="2"/>
          <w:sz w:val="21"/>
          <w:szCs w:val="21"/>
          <w:highlight w:val="none"/>
          <w:lang w:val="zh-CN"/>
        </w:rPr>
        <w:tab/>
      </w:r>
      <w:r>
        <w:rPr>
          <w:rFonts w:hint="eastAsia"/>
          <w:bCs/>
          <w:color w:val="auto"/>
          <w:sz w:val="21"/>
          <w:szCs w:val="21"/>
          <w:highlight w:val="none"/>
        </w:rPr>
        <w:t>评标过程的保密性</w:t>
      </w:r>
    </w:p>
    <w:p>
      <w:pPr>
        <w:tabs>
          <w:tab w:val="left" w:pos="567"/>
        </w:tabs>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2</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递交谈判响应文件后，直至向成交人授予合同时止，凡与审查、澄清、评审和比较响应报价的有关资料以及</w:t>
      </w:r>
      <w:r>
        <w:rPr>
          <w:rFonts w:hint="eastAsia"/>
          <w:bCs/>
          <w:color w:val="auto"/>
          <w:sz w:val="21"/>
          <w:szCs w:val="21"/>
          <w:highlight w:val="none"/>
        </w:rPr>
        <w:t>授标</w:t>
      </w:r>
      <w:r>
        <w:rPr>
          <w:rFonts w:hint="eastAsia"/>
          <w:bCs/>
          <w:color w:val="auto"/>
          <w:kern w:val="2"/>
          <w:sz w:val="21"/>
          <w:szCs w:val="21"/>
          <w:highlight w:val="none"/>
          <w:lang w:val="zh-CN"/>
        </w:rPr>
        <w:t>意见等，</w:t>
      </w:r>
      <w:r>
        <w:rPr>
          <w:rFonts w:hint="eastAsia"/>
          <w:bCs/>
          <w:color w:val="auto"/>
          <w:sz w:val="21"/>
          <w:szCs w:val="21"/>
          <w:highlight w:val="none"/>
        </w:rPr>
        <w:t>参与评标工作的有关人员</w:t>
      </w:r>
      <w:r>
        <w:rPr>
          <w:rFonts w:hint="eastAsia"/>
          <w:bCs/>
          <w:color w:val="auto"/>
          <w:kern w:val="2"/>
          <w:sz w:val="21"/>
          <w:szCs w:val="21"/>
          <w:highlight w:val="none"/>
          <w:lang w:val="zh-CN"/>
        </w:rPr>
        <w:t>均不得向谈判供应商及与评审无关的其他人透露，否则追究有关当事人的法律责任。</w:t>
      </w:r>
    </w:p>
    <w:p>
      <w:pPr>
        <w:tabs>
          <w:tab w:val="left" w:pos="567"/>
        </w:tabs>
        <w:spacing w:line="360" w:lineRule="auto"/>
        <w:ind w:left="567" w:right="18"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2</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在评标过程中，如果谈判供应商试图在谈判响应文件审查、澄清、比较及授予合同方面向采购代理机构和采购人施加任何影响，其谈判响应文件将被拒绝。</w:t>
      </w:r>
    </w:p>
    <w:p>
      <w:pPr>
        <w:autoSpaceDE/>
        <w:autoSpaceDN/>
        <w:adjustRightInd/>
        <w:spacing w:line="360" w:lineRule="auto"/>
        <w:ind w:left="525" w:hanging="525" w:hangingChars="250"/>
        <w:jc w:val="both"/>
        <w:rPr>
          <w:bCs/>
          <w:color w:val="auto"/>
          <w:sz w:val="21"/>
          <w:szCs w:val="21"/>
          <w:highlight w:val="none"/>
        </w:rPr>
      </w:pPr>
      <w:r>
        <w:rPr>
          <w:rFonts w:hint="eastAsia"/>
          <w:bCs/>
          <w:color w:val="auto"/>
          <w:sz w:val="21"/>
          <w:szCs w:val="21"/>
          <w:highlight w:val="none"/>
          <w:lang w:val="zh-CN"/>
        </w:rPr>
        <w:t xml:space="preserve">22.3  </w:t>
      </w:r>
      <w:r>
        <w:rPr>
          <w:rFonts w:hint="eastAsia"/>
          <w:bCs/>
          <w:color w:val="auto"/>
          <w:sz w:val="21"/>
          <w:szCs w:val="21"/>
          <w:highlight w:val="none"/>
        </w:rPr>
        <w:t>凡参与评标工作的有关人员均应自觉接受相关采购主管部门的监督，不得向他人透露已获得采购文件的潜在谈判供应商的名称、数量以及可能影响公平竞争的有关</w:t>
      </w:r>
      <w:r>
        <w:rPr>
          <w:rFonts w:hint="eastAsia"/>
          <w:bCs/>
          <w:color w:val="auto"/>
          <w:sz w:val="21"/>
          <w:szCs w:val="21"/>
          <w:highlight w:val="none"/>
          <w:lang w:eastAsia="zh-CN"/>
        </w:rPr>
        <w:t>响应报价</w:t>
      </w:r>
      <w:r>
        <w:rPr>
          <w:rFonts w:hint="eastAsia"/>
          <w:bCs/>
          <w:color w:val="auto"/>
          <w:sz w:val="21"/>
          <w:szCs w:val="21"/>
          <w:highlight w:val="none"/>
        </w:rPr>
        <w:t>的其他情况。</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谈判小组</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3</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采购代理机构依法组建谈判小组。谈判小组成员</w:t>
      </w:r>
      <w:r>
        <w:rPr>
          <w:rFonts w:hint="eastAsia"/>
          <w:bCs/>
          <w:color w:val="auto"/>
          <w:kern w:val="2"/>
          <w:sz w:val="21"/>
          <w:szCs w:val="21"/>
          <w:highlight w:val="none"/>
          <w:lang w:val="en-US" w:eastAsia="zh-CN"/>
        </w:rPr>
        <w:t>由</w:t>
      </w:r>
      <w:r>
        <w:rPr>
          <w:rFonts w:hint="eastAsia"/>
          <w:bCs/>
          <w:color w:val="auto"/>
          <w:kern w:val="2"/>
          <w:sz w:val="21"/>
          <w:szCs w:val="21"/>
          <w:highlight w:val="none"/>
          <w:lang w:val="zh-CN"/>
        </w:rPr>
        <w:t>技术、经济等方面的专家在专门的专家库中随机抽取产生。谈判小组的成员在评标过程中必须严格遵守相关采购规定。</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3</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谈判小组将只对确定为实质上响应采购文件要求的响应，即通过初审的响应进行评价和比较，响应的依据是采购文件本身的内容，而不寻求其它证据。实质上响应的响应应该是与采购文件要求的全部主要条款、条件和规格相符，没有重大偏离的响应。</w:t>
      </w:r>
    </w:p>
    <w:p>
      <w:pPr>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3</w:t>
      </w:r>
      <w:r>
        <w:rPr>
          <w:bCs/>
          <w:color w:val="auto"/>
          <w:kern w:val="2"/>
          <w:sz w:val="21"/>
          <w:szCs w:val="21"/>
          <w:highlight w:val="none"/>
          <w:lang w:val="zh-CN"/>
        </w:rPr>
        <w:t>.</w:t>
      </w:r>
      <w:r>
        <w:rPr>
          <w:rFonts w:hint="eastAsia"/>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谈判小组依法根据采购文件的规定，进行谈判响应文件的评审、得出评审结果，谈判小组递交评标报告并依法向采购人推荐成交候选人。</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23.4 所有参加评标人员必须遵守国家、地方制定的有关采购的法则、规定，遵守有关采购的保密制度；如有违反者，给予行政处分；情节严重，构成犯罪的，由司法机关依法追究其刑事责任。</w:t>
      </w:r>
    </w:p>
    <w:p>
      <w:pPr>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23.5 全体参与评标人员：</w:t>
      </w:r>
    </w:p>
    <w:p>
      <w:pPr>
        <w:spacing w:line="360" w:lineRule="auto"/>
        <w:ind w:left="570" w:leftChars="220" w:hanging="42" w:hangingChars="20"/>
        <w:jc w:val="both"/>
        <w:rPr>
          <w:bCs/>
          <w:color w:val="auto"/>
          <w:kern w:val="2"/>
          <w:sz w:val="21"/>
          <w:szCs w:val="21"/>
          <w:highlight w:val="none"/>
          <w:lang w:val="zh-CN"/>
        </w:rPr>
      </w:pPr>
      <w:r>
        <w:rPr>
          <w:rFonts w:hint="eastAsia"/>
          <w:bCs/>
          <w:color w:val="auto"/>
          <w:kern w:val="2"/>
          <w:sz w:val="21"/>
          <w:szCs w:val="21"/>
          <w:highlight w:val="none"/>
          <w:lang w:val="zh-CN"/>
        </w:rPr>
        <w:t>24.5.1 必须遵守评标纪律、不得泄密；</w:t>
      </w:r>
    </w:p>
    <w:p>
      <w:pPr>
        <w:spacing w:line="360" w:lineRule="auto"/>
        <w:ind w:left="570" w:leftChars="220" w:hanging="42" w:hangingChars="20"/>
        <w:jc w:val="both"/>
        <w:rPr>
          <w:bCs/>
          <w:color w:val="auto"/>
          <w:kern w:val="2"/>
          <w:sz w:val="21"/>
          <w:szCs w:val="21"/>
          <w:highlight w:val="none"/>
          <w:lang w:val="zh-CN"/>
        </w:rPr>
      </w:pPr>
      <w:r>
        <w:rPr>
          <w:rFonts w:hint="eastAsia"/>
          <w:bCs/>
          <w:color w:val="auto"/>
          <w:kern w:val="2"/>
          <w:sz w:val="21"/>
          <w:szCs w:val="21"/>
          <w:highlight w:val="none"/>
          <w:lang w:val="zh-CN"/>
        </w:rPr>
        <w:t>24.5.2 必须公正、不得循私；</w:t>
      </w:r>
    </w:p>
    <w:p>
      <w:pPr>
        <w:spacing w:line="360" w:lineRule="auto"/>
        <w:ind w:left="570" w:leftChars="220" w:hanging="42" w:hangingChars="20"/>
        <w:jc w:val="both"/>
        <w:rPr>
          <w:bCs/>
          <w:color w:val="auto"/>
          <w:kern w:val="2"/>
          <w:sz w:val="21"/>
          <w:szCs w:val="21"/>
          <w:highlight w:val="none"/>
          <w:lang w:val="zh-CN"/>
        </w:rPr>
      </w:pPr>
      <w:r>
        <w:rPr>
          <w:rFonts w:hint="eastAsia"/>
          <w:bCs/>
          <w:color w:val="auto"/>
          <w:kern w:val="2"/>
          <w:sz w:val="21"/>
          <w:szCs w:val="21"/>
          <w:highlight w:val="none"/>
          <w:lang w:val="zh-CN"/>
        </w:rPr>
        <w:t>24.5.3 必须科学、不得草率；</w:t>
      </w:r>
    </w:p>
    <w:p>
      <w:pPr>
        <w:spacing w:line="360" w:lineRule="auto"/>
        <w:ind w:left="570" w:leftChars="220" w:hanging="42" w:hangingChars="20"/>
        <w:jc w:val="both"/>
        <w:rPr>
          <w:bCs/>
          <w:color w:val="auto"/>
          <w:kern w:val="2"/>
          <w:sz w:val="21"/>
          <w:szCs w:val="21"/>
          <w:highlight w:val="none"/>
          <w:lang w:val="zh-CN"/>
        </w:rPr>
      </w:pPr>
      <w:r>
        <w:rPr>
          <w:rFonts w:hint="eastAsia"/>
          <w:bCs/>
          <w:color w:val="auto"/>
          <w:kern w:val="2"/>
          <w:sz w:val="21"/>
          <w:szCs w:val="21"/>
          <w:highlight w:val="none"/>
          <w:lang w:val="zh-CN"/>
        </w:rPr>
        <w:t>24.5.4 必须客观、不得带有成见；</w:t>
      </w:r>
    </w:p>
    <w:p>
      <w:pPr>
        <w:spacing w:line="360" w:lineRule="auto"/>
        <w:ind w:left="570" w:leftChars="220" w:hanging="42" w:hangingChars="20"/>
        <w:jc w:val="both"/>
        <w:rPr>
          <w:bCs/>
          <w:color w:val="auto"/>
          <w:kern w:val="2"/>
          <w:sz w:val="21"/>
          <w:szCs w:val="21"/>
          <w:highlight w:val="none"/>
          <w:lang w:val="zh-CN"/>
        </w:rPr>
      </w:pPr>
      <w:r>
        <w:rPr>
          <w:rFonts w:hint="eastAsia"/>
          <w:bCs/>
          <w:color w:val="auto"/>
          <w:kern w:val="2"/>
          <w:sz w:val="21"/>
          <w:szCs w:val="21"/>
          <w:highlight w:val="none"/>
          <w:lang w:val="zh-CN"/>
        </w:rPr>
        <w:t>24.5.5 必须平等、不得强加于人；</w:t>
      </w:r>
    </w:p>
    <w:p>
      <w:pPr>
        <w:spacing w:line="360" w:lineRule="auto"/>
        <w:ind w:left="570" w:leftChars="220" w:hanging="42" w:hangingChars="20"/>
        <w:jc w:val="both"/>
        <w:rPr>
          <w:bCs/>
          <w:color w:val="auto"/>
          <w:kern w:val="2"/>
          <w:sz w:val="21"/>
          <w:szCs w:val="21"/>
          <w:highlight w:val="none"/>
          <w:lang w:val="zh-CN"/>
        </w:rPr>
      </w:pPr>
      <w:r>
        <w:rPr>
          <w:rFonts w:hint="eastAsia"/>
          <w:bCs/>
          <w:color w:val="auto"/>
          <w:kern w:val="2"/>
          <w:sz w:val="21"/>
          <w:szCs w:val="21"/>
          <w:highlight w:val="none"/>
          <w:lang w:val="zh-CN"/>
        </w:rPr>
        <w:t>24.5.6 必须严谨、不得随意马虎。</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24 关于回避</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xml:space="preserve">     在采购活动中，采购人员及相关人员与供应商有下列利害关系之一的，应当回避：</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（一）参加采购活动前3年内与供应商存在劳动关系；</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（二）参加采购活动前3年内担任供应商的董事、监事；</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（三）参加采购活动前3年内是供应商的控股股东或者实际控制人；</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（四）与供应商的法定代表人或者负责人有夫妻、直系血亲、三代以内旁系血亲或者近姻亲关系；</w:t>
      </w:r>
    </w:p>
    <w:p>
      <w:pPr>
        <w:spacing w:line="360" w:lineRule="auto"/>
        <w:jc w:val="both"/>
        <w:rPr>
          <w:bCs/>
          <w:color w:val="auto"/>
          <w:kern w:val="2"/>
          <w:sz w:val="21"/>
          <w:szCs w:val="21"/>
          <w:highlight w:val="none"/>
          <w:lang w:val="zh-CN"/>
        </w:rPr>
      </w:pPr>
      <w:r>
        <w:rPr>
          <w:rFonts w:hint="eastAsia"/>
          <w:bCs/>
          <w:color w:val="auto"/>
          <w:kern w:val="2"/>
          <w:sz w:val="21"/>
          <w:szCs w:val="21"/>
          <w:highlight w:val="none"/>
          <w:lang w:val="zh-CN"/>
        </w:rPr>
        <w:t>　　（五）与供应商有其他可能影响采购活动公平、公正进行的关系。</w:t>
      </w:r>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前款所称相关人员，包括招标采购中评标委员会的组成人员，竞争性谈判采购中谈判小组的组成人员，询价采购中询价小组的组成人员等。</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5</w:t>
      </w:r>
      <w:r>
        <w:rPr>
          <w:bCs/>
          <w:color w:val="auto"/>
          <w:kern w:val="2"/>
          <w:sz w:val="21"/>
          <w:szCs w:val="21"/>
          <w:highlight w:val="none"/>
          <w:lang w:val="zh-CN"/>
        </w:rPr>
        <w:tab/>
      </w:r>
      <w:r>
        <w:rPr>
          <w:rFonts w:hint="eastAsia"/>
          <w:bCs/>
          <w:color w:val="auto"/>
          <w:kern w:val="2"/>
          <w:sz w:val="21"/>
          <w:szCs w:val="21"/>
          <w:highlight w:val="none"/>
          <w:lang w:val="zh-CN"/>
        </w:rPr>
        <w:t>谈判响应文件的初审</w:t>
      </w:r>
    </w:p>
    <w:p>
      <w:pPr>
        <w:spacing w:line="360" w:lineRule="auto"/>
        <w:ind w:left="540" w:hanging="540"/>
        <w:jc w:val="both"/>
        <w:rPr>
          <w:bCs/>
          <w:color w:val="auto"/>
          <w:kern w:val="2"/>
          <w:sz w:val="21"/>
          <w:szCs w:val="21"/>
          <w:highlight w:val="none"/>
        </w:rPr>
      </w:pPr>
      <w:r>
        <w:rPr>
          <w:bCs/>
          <w:color w:val="auto"/>
          <w:kern w:val="2"/>
          <w:sz w:val="21"/>
          <w:szCs w:val="21"/>
          <w:highlight w:val="none"/>
          <w:lang w:val="zh-CN"/>
        </w:rPr>
        <w:t>2</w:t>
      </w:r>
      <w:r>
        <w:rPr>
          <w:rFonts w:hint="eastAsia"/>
          <w:bCs/>
          <w:color w:val="auto"/>
          <w:kern w:val="2"/>
          <w:sz w:val="21"/>
          <w:szCs w:val="21"/>
          <w:highlight w:val="none"/>
          <w:lang w:val="zh-CN"/>
        </w:rPr>
        <w:t>5</w:t>
      </w:r>
      <w:r>
        <w:rPr>
          <w:bCs/>
          <w:color w:val="auto"/>
          <w:kern w:val="2"/>
          <w:sz w:val="21"/>
          <w:szCs w:val="21"/>
          <w:highlight w:val="none"/>
          <w:lang w:val="zh-CN"/>
        </w:rPr>
        <w:t xml:space="preserve">.1 </w:t>
      </w:r>
      <w:r>
        <w:rPr>
          <w:rFonts w:hint="eastAsia"/>
          <w:bCs/>
          <w:color w:val="auto"/>
          <w:kern w:val="2"/>
          <w:sz w:val="21"/>
          <w:szCs w:val="21"/>
          <w:highlight w:val="none"/>
          <w:lang w:val="zh-CN"/>
        </w:rPr>
        <w:t>资格性检查：依据法律法规和采购文件的规定，对谈判响应文件中的资格证明、谈判保证金等进行审查，以确定谈判供应商是否具备响应资格。（</w:t>
      </w:r>
      <w:r>
        <w:rPr>
          <w:rFonts w:hint="eastAsia"/>
          <w:bCs/>
          <w:color w:val="auto"/>
          <w:sz w:val="21"/>
          <w:szCs w:val="21"/>
          <w:highlight w:val="none"/>
        </w:rPr>
        <w:t>详见评标工作大纲）。</w:t>
      </w:r>
    </w:p>
    <w:p>
      <w:pPr>
        <w:spacing w:line="360" w:lineRule="auto"/>
        <w:ind w:left="540" w:hanging="540"/>
        <w:jc w:val="both"/>
        <w:rPr>
          <w:bCs/>
          <w:color w:val="auto"/>
          <w:sz w:val="21"/>
          <w:szCs w:val="21"/>
          <w:highlight w:val="none"/>
        </w:rPr>
      </w:pPr>
      <w:r>
        <w:rPr>
          <w:bCs/>
          <w:color w:val="auto"/>
          <w:kern w:val="2"/>
          <w:sz w:val="21"/>
          <w:szCs w:val="21"/>
          <w:highlight w:val="none"/>
          <w:lang w:val="zh-CN"/>
        </w:rPr>
        <w:t>2</w:t>
      </w:r>
      <w:r>
        <w:rPr>
          <w:rFonts w:hint="eastAsia"/>
          <w:bCs/>
          <w:color w:val="auto"/>
          <w:kern w:val="2"/>
          <w:sz w:val="21"/>
          <w:szCs w:val="21"/>
          <w:highlight w:val="none"/>
          <w:lang w:val="zh-CN"/>
        </w:rPr>
        <w:t>5</w:t>
      </w:r>
      <w:r>
        <w:rPr>
          <w:bCs/>
          <w:color w:val="auto"/>
          <w:kern w:val="2"/>
          <w:sz w:val="21"/>
          <w:szCs w:val="21"/>
          <w:highlight w:val="none"/>
          <w:lang w:val="zh-CN"/>
        </w:rPr>
        <w:t xml:space="preserve">.2 </w:t>
      </w:r>
      <w:r>
        <w:rPr>
          <w:rFonts w:hint="eastAsia"/>
          <w:bCs/>
          <w:color w:val="auto"/>
          <w:kern w:val="2"/>
          <w:sz w:val="21"/>
          <w:szCs w:val="21"/>
          <w:highlight w:val="none"/>
          <w:lang w:val="zh-CN"/>
        </w:rPr>
        <w:t>符合性检查：依据采购文件的规定，从谈判响应文件的有效性、完整性和对采购文件的响应程度进行审查，以确定是否对采购文件的实质性要求作出响应。（</w:t>
      </w:r>
      <w:r>
        <w:rPr>
          <w:rFonts w:hint="eastAsia"/>
          <w:bCs/>
          <w:color w:val="auto"/>
          <w:sz w:val="21"/>
          <w:szCs w:val="21"/>
          <w:highlight w:val="none"/>
        </w:rPr>
        <w:t>详见评标工作大纲）</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6</w:t>
      </w:r>
      <w:r>
        <w:rPr>
          <w:bCs/>
          <w:color w:val="auto"/>
          <w:kern w:val="2"/>
          <w:sz w:val="21"/>
          <w:szCs w:val="21"/>
          <w:highlight w:val="none"/>
          <w:lang w:val="zh-CN"/>
        </w:rPr>
        <w:tab/>
      </w:r>
      <w:r>
        <w:rPr>
          <w:rFonts w:hint="eastAsia"/>
          <w:bCs/>
          <w:color w:val="auto"/>
          <w:kern w:val="2"/>
          <w:sz w:val="21"/>
          <w:szCs w:val="21"/>
          <w:highlight w:val="none"/>
          <w:lang w:val="zh-CN"/>
        </w:rPr>
        <w:t>谈判响应文件的澄清</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26.1 为有助于谈判响应文件的审查、评价和比较，评标期间，经谈判小组以书面形式提出动议，谈判小组书面发出澄清通知，要求谈判供应商对谈判响应文件含义不明确、同类问题表述不一致或者有明显文字和计算错误的内容作出澄清。</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26.2 谈判供应商应以书面形式进行澄清、说明或补正，澄清、说明或补正的内容属于谈判响应文件的组成部分，澄清中的承诺性意思表示在谈判响应文件有效期内均对谈判供应商有约束力。除谈判小组对评标中发现算术错误进行修正后要求谈判供应商以澄清形式进行的核实和确认外，澄清不得超出谈判响应文件的范围或改变谈判响应文件的实质性内容，超出部分不作为谈判小组评审的依据。除上述规定的情形之外，谈判小组在评审过程中，不得接收来自评审现场以外的任何形式的文件资料。除谈判小组主动要求澄清、说明或者纠正外，评标定标期间，任何谈判供应商均不得就与其响应相关的任何问题与谈判小组联系。</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26.3 谈判小组成员均应当阅读谈判供应商的澄清，但应独立参考澄清对谈判响应文件进行评审。整个澄清的过程不得存在排斥潜在谈判供应商的现象。</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26.4 如果谈判响应文件实质上不响应采购文件的各项要求，谈判小组将按照符合性审查标准予以拒绝，不接受谈判供应商通过修改或撤销其不符合要求的差异或保留，使之成为具有响应性的响应。</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7</w:t>
      </w:r>
      <w:r>
        <w:rPr>
          <w:bCs/>
          <w:color w:val="auto"/>
          <w:kern w:val="2"/>
          <w:sz w:val="21"/>
          <w:szCs w:val="21"/>
          <w:highlight w:val="none"/>
          <w:lang w:val="zh-CN"/>
        </w:rPr>
        <w:tab/>
      </w:r>
      <w:r>
        <w:rPr>
          <w:rFonts w:hint="eastAsia"/>
          <w:bCs/>
          <w:color w:val="auto"/>
          <w:kern w:val="2"/>
          <w:sz w:val="21"/>
          <w:szCs w:val="21"/>
          <w:highlight w:val="none"/>
          <w:lang w:val="zh-CN"/>
        </w:rPr>
        <w:t>对谈判响应文件的比较和评价</w:t>
      </w:r>
    </w:p>
    <w:p>
      <w:pPr>
        <w:tabs>
          <w:tab w:val="left" w:pos="540"/>
        </w:tabs>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7</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谈判小组将对资格性检查和符合性检查合格的谈判响应文件进行比较和评价，包括技术、商务的详细评审。（</w:t>
      </w:r>
      <w:r>
        <w:rPr>
          <w:rFonts w:hint="eastAsia"/>
          <w:bCs/>
          <w:color w:val="auto"/>
          <w:sz w:val="21"/>
          <w:szCs w:val="21"/>
          <w:highlight w:val="none"/>
        </w:rPr>
        <w:t>详见评标工作大纲）</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2</w:t>
      </w:r>
      <w:r>
        <w:rPr>
          <w:rFonts w:hint="eastAsia"/>
          <w:bCs/>
          <w:color w:val="auto"/>
          <w:kern w:val="2"/>
          <w:sz w:val="21"/>
          <w:szCs w:val="21"/>
          <w:highlight w:val="none"/>
          <w:lang w:val="zh-CN"/>
        </w:rPr>
        <w:t>8</w:t>
      </w:r>
      <w:r>
        <w:rPr>
          <w:bCs/>
          <w:color w:val="auto"/>
          <w:kern w:val="2"/>
          <w:sz w:val="21"/>
          <w:szCs w:val="21"/>
          <w:highlight w:val="none"/>
          <w:lang w:val="zh-CN"/>
        </w:rPr>
        <w:tab/>
      </w:r>
      <w:r>
        <w:rPr>
          <w:rFonts w:hint="eastAsia"/>
          <w:bCs/>
          <w:color w:val="auto"/>
          <w:kern w:val="2"/>
          <w:sz w:val="21"/>
          <w:szCs w:val="21"/>
          <w:highlight w:val="none"/>
          <w:lang w:val="zh-CN"/>
        </w:rPr>
        <w:t>评</w:t>
      </w:r>
      <w:r>
        <w:rPr>
          <w:rFonts w:hint="eastAsia"/>
          <w:bCs/>
          <w:color w:val="auto"/>
          <w:kern w:val="2"/>
          <w:sz w:val="21"/>
          <w:szCs w:val="21"/>
          <w:highlight w:val="none"/>
        </w:rPr>
        <w:t>审</w:t>
      </w:r>
      <w:r>
        <w:rPr>
          <w:rFonts w:hint="eastAsia"/>
          <w:bCs/>
          <w:color w:val="auto"/>
          <w:kern w:val="2"/>
          <w:sz w:val="21"/>
          <w:szCs w:val="21"/>
          <w:highlight w:val="none"/>
          <w:lang w:val="zh-CN"/>
        </w:rPr>
        <w:t>原则及方法</w:t>
      </w:r>
    </w:p>
    <w:p>
      <w:pPr>
        <w:tabs>
          <w:tab w:val="left" w:pos="360"/>
        </w:tabs>
        <w:spacing w:line="360" w:lineRule="auto"/>
        <w:ind w:left="540" w:right="51" w:hanging="540"/>
        <w:jc w:val="both"/>
        <w:rPr>
          <w:bCs/>
          <w:color w:val="auto"/>
          <w:sz w:val="21"/>
          <w:szCs w:val="21"/>
          <w:highlight w:val="none"/>
        </w:rPr>
      </w:pPr>
      <w:r>
        <w:rPr>
          <w:bCs/>
          <w:color w:val="auto"/>
          <w:kern w:val="2"/>
          <w:sz w:val="21"/>
          <w:szCs w:val="21"/>
          <w:highlight w:val="none"/>
          <w:lang w:val="zh-CN"/>
        </w:rPr>
        <w:t>2</w:t>
      </w:r>
      <w:r>
        <w:rPr>
          <w:rFonts w:hint="eastAsia"/>
          <w:bCs/>
          <w:color w:val="auto"/>
          <w:kern w:val="2"/>
          <w:sz w:val="21"/>
          <w:szCs w:val="21"/>
          <w:highlight w:val="none"/>
          <w:lang w:val="zh-CN"/>
        </w:rPr>
        <w:t>8</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sz w:val="21"/>
          <w:szCs w:val="21"/>
          <w:highlight w:val="none"/>
        </w:rPr>
        <w:t>坚持“公开、公平、公正、科学、择优”的评审原则，严格评审。</w:t>
      </w:r>
    </w:p>
    <w:p>
      <w:pPr>
        <w:tabs>
          <w:tab w:val="left" w:pos="360"/>
        </w:tabs>
        <w:spacing w:line="360" w:lineRule="auto"/>
        <w:ind w:left="540" w:right="51" w:hanging="540"/>
        <w:jc w:val="both"/>
        <w:rPr>
          <w:bCs/>
          <w:color w:val="auto"/>
          <w:kern w:val="2"/>
          <w:sz w:val="21"/>
          <w:szCs w:val="21"/>
          <w:highlight w:val="none"/>
          <w:lang w:val="zh-CN"/>
        </w:rPr>
      </w:pPr>
      <w:r>
        <w:rPr>
          <w:rFonts w:hint="eastAsia"/>
          <w:bCs/>
          <w:color w:val="auto"/>
          <w:kern w:val="2"/>
          <w:sz w:val="21"/>
          <w:szCs w:val="21"/>
          <w:highlight w:val="none"/>
          <w:lang w:val="zh-CN"/>
        </w:rPr>
        <w:t>28.2 确定成交候选人的评</w:t>
      </w:r>
      <w:r>
        <w:rPr>
          <w:rFonts w:hint="eastAsia"/>
          <w:bCs/>
          <w:color w:val="auto"/>
          <w:kern w:val="2"/>
          <w:sz w:val="21"/>
          <w:szCs w:val="21"/>
          <w:highlight w:val="none"/>
        </w:rPr>
        <w:t>审</w:t>
      </w:r>
      <w:r>
        <w:rPr>
          <w:rFonts w:hint="eastAsia"/>
          <w:bCs/>
          <w:color w:val="auto"/>
          <w:kern w:val="2"/>
          <w:sz w:val="21"/>
          <w:szCs w:val="21"/>
          <w:highlight w:val="none"/>
          <w:lang w:val="zh-CN"/>
        </w:rPr>
        <w:t>准则是：</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（1）对每个谈判供应商进行技术、商务谈判，内容包括：谈判保证金、谈判书、法人授权书、资格证明文件以及谈判文件中列明的其他导致废标的条款。最后进行价格谈判，给予谈判供应商最终报价机会。</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（2）谈判小组将根据谈判结果对谈判供应商进行符合性检查，通过符合性检查并最终报价低者为成交候选人。</w:t>
      </w:r>
    </w:p>
    <w:p>
      <w:pPr>
        <w:tabs>
          <w:tab w:val="left" w:pos="360"/>
        </w:tabs>
        <w:spacing w:line="360" w:lineRule="auto"/>
        <w:ind w:left="540" w:right="51" w:hanging="540"/>
        <w:jc w:val="both"/>
        <w:rPr>
          <w:bCs/>
          <w:color w:val="auto"/>
          <w:kern w:val="2"/>
          <w:sz w:val="21"/>
          <w:szCs w:val="21"/>
          <w:highlight w:val="none"/>
          <w:lang w:val="zh-CN"/>
        </w:rPr>
      </w:pPr>
      <w:r>
        <w:rPr>
          <w:rFonts w:hint="eastAsia"/>
          <w:bCs/>
          <w:color w:val="auto"/>
          <w:kern w:val="2"/>
          <w:sz w:val="21"/>
          <w:szCs w:val="21"/>
          <w:highlight w:val="none"/>
          <w:lang w:val="zh-CN"/>
        </w:rPr>
        <w:t>28.3 评</w:t>
      </w:r>
      <w:r>
        <w:rPr>
          <w:rFonts w:hint="eastAsia"/>
          <w:bCs/>
          <w:color w:val="auto"/>
          <w:kern w:val="2"/>
          <w:sz w:val="21"/>
          <w:szCs w:val="21"/>
          <w:highlight w:val="none"/>
        </w:rPr>
        <w:t>审</w:t>
      </w:r>
    </w:p>
    <w:p>
      <w:pPr>
        <w:tabs>
          <w:tab w:val="left" w:pos="360"/>
        </w:tabs>
        <w:spacing w:line="360" w:lineRule="auto"/>
        <w:ind w:right="51"/>
        <w:jc w:val="both"/>
        <w:rPr>
          <w:bCs/>
          <w:color w:val="auto"/>
          <w:kern w:val="2"/>
          <w:sz w:val="21"/>
          <w:szCs w:val="21"/>
          <w:highlight w:val="none"/>
        </w:rPr>
      </w:pPr>
      <w:r>
        <w:rPr>
          <w:rFonts w:hint="eastAsia"/>
          <w:bCs/>
          <w:color w:val="auto"/>
          <w:kern w:val="2"/>
          <w:sz w:val="21"/>
          <w:szCs w:val="21"/>
          <w:highlight w:val="none"/>
        </w:rPr>
        <w:t xml:space="preserve">28.3.1 </w:t>
      </w:r>
      <w:r>
        <w:rPr>
          <w:rFonts w:hint="eastAsia"/>
          <w:bCs/>
          <w:color w:val="auto"/>
          <w:kern w:val="2"/>
          <w:sz w:val="21"/>
          <w:szCs w:val="21"/>
          <w:highlight w:val="none"/>
          <w:lang w:val="zh-CN"/>
        </w:rPr>
        <w:t>评审</w:t>
      </w:r>
      <w:r>
        <w:rPr>
          <w:rFonts w:hint="eastAsia"/>
          <w:bCs/>
          <w:color w:val="auto"/>
          <w:kern w:val="2"/>
          <w:sz w:val="21"/>
          <w:szCs w:val="21"/>
          <w:highlight w:val="none"/>
        </w:rPr>
        <w:t>方法</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采用最低评标价法确定成交候选人，即在完全符合采购需求、质量和服务相等的前提下，以提出最后报价（评标价）最低的供应商为成交候选人。核心产品（“●”为核心产品）提供相同品牌相同型号的产品且通过资格审查、符合性审查的不同供应商参加同一合同项下响应的，报价最低的供应商获得推荐资格；不同品牌不同型号的产品且通过资格审查、符合性审查的不同供应商参加同一合同项下响应的，报价最低的供应商获得成交候选人推荐资格。最后报价相同的，按技术指标优劣顺序排列。谈判小组认为，排在前面的成交候选人的最低报价或者某些分项报价明显不合理或者低于成本，应当要求其在规定时间内提供书面文件予以解释说明，并提供相关证明材料。否则，谈判小组可以取消该谈判供应商的成交候选资格，按顺序由排在后面的成交候选人递补，以此类推。</w:t>
      </w:r>
    </w:p>
    <w:p>
      <w:pPr>
        <w:tabs>
          <w:tab w:val="left" w:pos="360"/>
        </w:tabs>
        <w:spacing w:line="360" w:lineRule="auto"/>
        <w:ind w:right="51"/>
        <w:jc w:val="both"/>
        <w:rPr>
          <w:bCs/>
          <w:color w:val="auto"/>
          <w:kern w:val="2"/>
          <w:sz w:val="21"/>
          <w:szCs w:val="21"/>
          <w:highlight w:val="none"/>
          <w:lang w:val="zh-CN"/>
        </w:rPr>
      </w:pPr>
      <w:r>
        <w:rPr>
          <w:rFonts w:hint="eastAsia"/>
          <w:bCs/>
          <w:color w:val="auto"/>
          <w:kern w:val="2"/>
          <w:sz w:val="21"/>
          <w:szCs w:val="21"/>
          <w:highlight w:val="none"/>
        </w:rPr>
        <w:t>28.3.2 评审步骤</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第一阶段：谈判小组对通过资格性和符合性的响应文件进行审核。谈判小组对响应文件的有效性、完整性和响应性进行审查时，可以要求供应商对响应文件中含义不明确、同类问题表述不一致或者明显文件计算错误的内容等作出必要的澄清、说明或者更正不得超出响应文件的范围或改变响应文件的实质性内容。谈判小组要求供应商澄清、说明或者更正响应文件应当书面形式作出。供应商的澄清、说明或更正应当由法定代表人或其授权代表签字或者加盖公章。由授权代表签字的，应当附法定代表人授权书。供应商为自然人的，应当由本人签字并附身份证明。</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第二阶段：谈判小组所有成员集中与单一供应商分别进行谈判。谈判文件有实质性变动的，谈判小组应当以书面形式通知所有谈判的供应商。如谈判小组认为有必要，可进行二轮及以上轮次的谈判。</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第三阶段：谈判小组要求所有谈判的供应商在规定的时间内提出最后报价及承诺，包括：最新方案、最后报价及有关承诺等。如谈判文件、响应文件没有重大修改，最终报价不能高于第一次报价。最后报价内容现场公布。</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供应商应在谈判小组规定的时间内密封提交最后报价。谈判小组对通过详细商务、技术评审的谈判供应商的最后报价进行复核，看其是否有计算上的错误，修正错误的原则如下：</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谈判报价的总价金额与按单价汇总金额不一致的，以单价金额计算结果为准；单价金额小数点有明显错位的，应以总价为准，并修改单价；对不同文字文本响应文件的解释发生异议的，以中文文本为准。</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谈判小组将按上述修正错误的方法调整响应文件中的报价，调整后的价格对供应商具有约束力。如果供应商不接受修正后的价格，则其报价将被拒绝。</w:t>
      </w:r>
    </w:p>
    <w:p>
      <w:pPr>
        <w:tabs>
          <w:tab w:val="left" w:pos="360"/>
        </w:tabs>
        <w:spacing w:line="360" w:lineRule="auto"/>
        <w:ind w:left="542" w:leftChars="220" w:right="51" w:hanging="14" w:hangingChars="7"/>
        <w:jc w:val="both"/>
        <w:rPr>
          <w:bCs/>
          <w:color w:val="auto"/>
          <w:kern w:val="2"/>
          <w:sz w:val="21"/>
          <w:szCs w:val="21"/>
          <w:highlight w:val="none"/>
          <w:lang w:val="zh-CN"/>
        </w:rPr>
      </w:pPr>
      <w:r>
        <w:rPr>
          <w:rFonts w:hint="eastAsia"/>
          <w:bCs/>
          <w:color w:val="auto"/>
          <w:kern w:val="2"/>
          <w:sz w:val="21"/>
          <w:szCs w:val="21"/>
          <w:highlight w:val="none"/>
          <w:lang w:val="zh-CN"/>
        </w:rPr>
        <w:t>谈判小组对供应商的响应文件、澄清、说明或者更正响应文件及最后报价等方面进行评审。谈判小组将校核后各供应商的最后报价从低到高排序。</w:t>
      </w:r>
    </w:p>
    <w:p>
      <w:pPr>
        <w:tabs>
          <w:tab w:val="left" w:pos="567"/>
          <w:tab w:val="left" w:pos="720"/>
          <w:tab w:val="left" w:pos="3460"/>
        </w:tabs>
        <w:spacing w:line="360" w:lineRule="auto"/>
        <w:ind w:left="567" w:hanging="567"/>
        <w:jc w:val="both"/>
        <w:rPr>
          <w:bCs/>
          <w:color w:val="auto"/>
          <w:sz w:val="21"/>
          <w:szCs w:val="21"/>
          <w:highlight w:val="none"/>
        </w:rPr>
      </w:pPr>
      <w:r>
        <w:rPr>
          <w:rFonts w:hint="eastAsia"/>
          <w:bCs/>
          <w:color w:val="auto"/>
          <w:sz w:val="21"/>
          <w:szCs w:val="21"/>
          <w:highlight w:val="none"/>
        </w:rPr>
        <w:t xml:space="preserve">29  </w:t>
      </w:r>
      <w:r>
        <w:rPr>
          <w:bCs/>
          <w:color w:val="auto"/>
          <w:sz w:val="21"/>
          <w:szCs w:val="21"/>
          <w:highlight w:val="none"/>
        </w:rPr>
        <w:t>定标</w:t>
      </w:r>
    </w:p>
    <w:p>
      <w:pPr>
        <w:tabs>
          <w:tab w:val="left" w:pos="540"/>
          <w:tab w:val="left" w:pos="720"/>
          <w:tab w:val="left" w:pos="346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29</w:t>
      </w:r>
      <w:r>
        <w:rPr>
          <w:bCs/>
          <w:color w:val="auto"/>
          <w:kern w:val="2"/>
          <w:sz w:val="21"/>
          <w:szCs w:val="21"/>
          <w:highlight w:val="none"/>
          <w:lang w:val="zh-CN"/>
        </w:rPr>
        <w:t>.1</w:t>
      </w:r>
      <w:r>
        <w:rPr>
          <w:rFonts w:hint="eastAsia"/>
          <w:bCs/>
          <w:color w:val="auto"/>
          <w:kern w:val="2"/>
          <w:sz w:val="21"/>
          <w:szCs w:val="21"/>
          <w:highlight w:val="none"/>
          <w:lang w:val="zh-CN"/>
        </w:rPr>
        <w:t xml:space="preserve"> 采购人确认谈判小组推荐的评标结果后，由采购人对成交候选供应商的资格和履约能力进行资料原件再次审查，凡发现成交候选供应商有下列情形之一的，将移交采购监督管理部门依法处理：</w:t>
      </w:r>
    </w:p>
    <w:p>
      <w:pPr>
        <w:numPr>
          <w:ilvl w:val="0"/>
          <w:numId w:val="3"/>
        </w:numPr>
        <w:tabs>
          <w:tab w:val="left" w:pos="540"/>
          <w:tab w:val="left" w:pos="1134"/>
          <w:tab w:val="clear" w:pos="960"/>
        </w:tabs>
        <w:spacing w:line="360" w:lineRule="auto"/>
        <w:ind w:left="1134" w:right="17" w:rightChars="7" w:hanging="594"/>
        <w:jc w:val="both"/>
        <w:rPr>
          <w:bCs/>
          <w:color w:val="auto"/>
          <w:kern w:val="2"/>
          <w:sz w:val="21"/>
          <w:szCs w:val="21"/>
          <w:highlight w:val="none"/>
          <w:lang w:val="zh-CN"/>
        </w:rPr>
      </w:pPr>
      <w:r>
        <w:rPr>
          <w:rFonts w:hint="eastAsia"/>
          <w:bCs/>
          <w:color w:val="auto"/>
          <w:kern w:val="2"/>
          <w:sz w:val="21"/>
          <w:szCs w:val="21"/>
          <w:highlight w:val="none"/>
          <w:lang w:val="zh-CN"/>
        </w:rPr>
        <w:t>提供虚假材料谋取中标的；</w:t>
      </w:r>
    </w:p>
    <w:p>
      <w:pPr>
        <w:numPr>
          <w:ilvl w:val="0"/>
          <w:numId w:val="3"/>
        </w:numPr>
        <w:tabs>
          <w:tab w:val="left" w:pos="540"/>
          <w:tab w:val="left" w:pos="1134"/>
          <w:tab w:val="clear" w:pos="960"/>
        </w:tabs>
        <w:spacing w:line="360" w:lineRule="auto"/>
        <w:ind w:left="1134" w:right="17" w:rightChars="7" w:hanging="594"/>
        <w:jc w:val="both"/>
        <w:rPr>
          <w:bCs/>
          <w:color w:val="auto"/>
          <w:kern w:val="2"/>
          <w:sz w:val="21"/>
          <w:szCs w:val="21"/>
          <w:highlight w:val="none"/>
          <w:lang w:val="zh-CN"/>
        </w:rPr>
      </w:pPr>
      <w:r>
        <w:rPr>
          <w:rFonts w:hint="eastAsia"/>
          <w:bCs/>
          <w:color w:val="auto"/>
          <w:kern w:val="2"/>
          <w:sz w:val="21"/>
          <w:szCs w:val="21"/>
          <w:highlight w:val="none"/>
          <w:lang w:val="zh-CN"/>
        </w:rPr>
        <w:t>采取不正当手段诋毁、排挤其他谈判供应商的；</w:t>
      </w:r>
    </w:p>
    <w:p>
      <w:pPr>
        <w:numPr>
          <w:ilvl w:val="0"/>
          <w:numId w:val="3"/>
        </w:numPr>
        <w:tabs>
          <w:tab w:val="left" w:pos="540"/>
          <w:tab w:val="left" w:pos="1134"/>
          <w:tab w:val="clear" w:pos="960"/>
        </w:tabs>
        <w:spacing w:line="360" w:lineRule="auto"/>
        <w:ind w:left="1134" w:right="17" w:rightChars="7" w:hanging="594"/>
        <w:jc w:val="both"/>
        <w:rPr>
          <w:bCs/>
          <w:color w:val="auto"/>
          <w:kern w:val="2"/>
          <w:sz w:val="21"/>
          <w:szCs w:val="21"/>
          <w:highlight w:val="none"/>
          <w:lang w:val="zh-CN"/>
        </w:rPr>
      </w:pPr>
      <w:r>
        <w:rPr>
          <w:rFonts w:hint="eastAsia"/>
          <w:bCs/>
          <w:color w:val="auto"/>
          <w:kern w:val="2"/>
          <w:sz w:val="21"/>
          <w:szCs w:val="21"/>
          <w:highlight w:val="none"/>
          <w:lang w:val="zh-CN"/>
        </w:rPr>
        <w:t>与采购单位、其他谈判供应商恶意串通的；</w:t>
      </w:r>
    </w:p>
    <w:p>
      <w:pPr>
        <w:numPr>
          <w:ilvl w:val="0"/>
          <w:numId w:val="3"/>
        </w:numPr>
        <w:tabs>
          <w:tab w:val="left" w:pos="540"/>
          <w:tab w:val="left" w:pos="1134"/>
          <w:tab w:val="clear" w:pos="960"/>
        </w:tabs>
        <w:spacing w:line="360" w:lineRule="auto"/>
        <w:ind w:left="1134" w:right="17" w:rightChars="7" w:hanging="594"/>
        <w:jc w:val="both"/>
        <w:rPr>
          <w:bCs/>
          <w:color w:val="auto"/>
          <w:kern w:val="2"/>
          <w:sz w:val="21"/>
          <w:szCs w:val="21"/>
          <w:highlight w:val="none"/>
          <w:lang w:val="zh-CN"/>
        </w:rPr>
      </w:pPr>
      <w:r>
        <w:rPr>
          <w:rFonts w:hint="eastAsia"/>
          <w:bCs/>
          <w:color w:val="auto"/>
          <w:kern w:val="2"/>
          <w:sz w:val="21"/>
          <w:szCs w:val="21"/>
          <w:highlight w:val="none"/>
          <w:lang w:val="zh-CN"/>
        </w:rPr>
        <w:t>向采购单位行贿或者提供其他不正当利益的；</w:t>
      </w:r>
    </w:p>
    <w:p>
      <w:pPr>
        <w:numPr>
          <w:ilvl w:val="0"/>
          <w:numId w:val="3"/>
        </w:numPr>
        <w:tabs>
          <w:tab w:val="left" w:pos="540"/>
          <w:tab w:val="left" w:pos="1134"/>
          <w:tab w:val="clear" w:pos="960"/>
        </w:tabs>
        <w:spacing w:line="360" w:lineRule="auto"/>
        <w:ind w:left="1134" w:right="17" w:rightChars="7" w:hanging="594"/>
        <w:jc w:val="both"/>
        <w:rPr>
          <w:bCs/>
          <w:color w:val="auto"/>
          <w:kern w:val="2"/>
          <w:sz w:val="21"/>
          <w:szCs w:val="21"/>
          <w:highlight w:val="none"/>
          <w:lang w:val="zh-CN"/>
        </w:rPr>
      </w:pPr>
      <w:r>
        <w:rPr>
          <w:rFonts w:hint="eastAsia"/>
          <w:bCs/>
          <w:color w:val="auto"/>
          <w:kern w:val="2"/>
          <w:sz w:val="21"/>
          <w:szCs w:val="21"/>
          <w:highlight w:val="none"/>
          <w:lang w:val="zh-CN"/>
        </w:rPr>
        <w:t>在采购过程中与采购单位进行协商谈判、不按照采购文件和中标供应商的谈判响应文件订立合同，或者与采购单位另行订立背离合同实质性内容的协议的；</w:t>
      </w:r>
    </w:p>
    <w:p>
      <w:pPr>
        <w:numPr>
          <w:ilvl w:val="0"/>
          <w:numId w:val="3"/>
        </w:numPr>
        <w:tabs>
          <w:tab w:val="left" w:pos="540"/>
          <w:tab w:val="left" w:pos="1134"/>
          <w:tab w:val="clear" w:pos="960"/>
        </w:tabs>
        <w:spacing w:line="360" w:lineRule="auto"/>
        <w:ind w:left="1134" w:right="17" w:rightChars="7" w:hanging="594"/>
        <w:jc w:val="both"/>
        <w:rPr>
          <w:bCs/>
          <w:color w:val="auto"/>
          <w:kern w:val="2"/>
          <w:sz w:val="21"/>
          <w:szCs w:val="21"/>
          <w:highlight w:val="none"/>
          <w:lang w:val="zh-CN"/>
        </w:rPr>
      </w:pPr>
      <w:r>
        <w:rPr>
          <w:rFonts w:hint="eastAsia"/>
          <w:bCs/>
          <w:color w:val="auto"/>
          <w:kern w:val="2"/>
          <w:sz w:val="21"/>
          <w:szCs w:val="21"/>
          <w:highlight w:val="none"/>
          <w:lang w:val="zh-CN"/>
        </w:rPr>
        <w:t>拒绝有关部门监督检查或者提供虚假情况的。</w:t>
      </w:r>
    </w:p>
    <w:p>
      <w:pPr>
        <w:tabs>
          <w:tab w:val="left" w:pos="540"/>
          <w:tab w:val="left" w:pos="720"/>
          <w:tab w:val="left" w:pos="346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29</w:t>
      </w:r>
      <w:r>
        <w:rPr>
          <w:bCs/>
          <w:color w:val="auto"/>
          <w:kern w:val="2"/>
          <w:sz w:val="21"/>
          <w:szCs w:val="21"/>
          <w:highlight w:val="none"/>
          <w:lang w:val="zh-CN"/>
        </w:rPr>
        <w:t>.</w:t>
      </w:r>
      <w:r>
        <w:rPr>
          <w:rFonts w:hint="eastAsia"/>
          <w:bCs/>
          <w:color w:val="auto"/>
          <w:kern w:val="2"/>
          <w:sz w:val="21"/>
          <w:szCs w:val="21"/>
          <w:highlight w:val="none"/>
          <w:lang w:val="zh-CN"/>
        </w:rPr>
        <w:t>2 谈判供应商有前款（1）至（5）项情形之一的，中标无效。</w:t>
      </w:r>
    </w:p>
    <w:p>
      <w:pPr>
        <w:tabs>
          <w:tab w:val="left" w:pos="540"/>
          <w:tab w:val="left" w:pos="720"/>
          <w:tab w:val="left" w:pos="346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29</w:t>
      </w:r>
      <w:r>
        <w:rPr>
          <w:bCs/>
          <w:color w:val="auto"/>
          <w:kern w:val="2"/>
          <w:sz w:val="21"/>
          <w:szCs w:val="21"/>
          <w:highlight w:val="none"/>
          <w:lang w:val="zh-CN"/>
        </w:rPr>
        <w:t>.</w:t>
      </w:r>
      <w:r>
        <w:rPr>
          <w:rFonts w:hint="eastAsia"/>
          <w:bCs/>
          <w:color w:val="auto"/>
          <w:kern w:val="2"/>
          <w:sz w:val="21"/>
          <w:szCs w:val="21"/>
          <w:highlight w:val="none"/>
          <w:lang w:val="zh-CN"/>
        </w:rPr>
        <w:t>3 采购代理机构在评标结束后将评标推荐意见及采购结果确认书送采购人。采购人依法确定成交供应商。采购代理机构将中标结果在《响应资料表》规定的媒体公告。</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0</w:t>
      </w:r>
      <w:r>
        <w:rPr>
          <w:bCs/>
          <w:color w:val="auto"/>
          <w:kern w:val="2"/>
          <w:sz w:val="21"/>
          <w:szCs w:val="21"/>
          <w:highlight w:val="none"/>
          <w:lang w:val="zh-CN"/>
        </w:rPr>
        <w:tab/>
      </w:r>
      <w:r>
        <w:rPr>
          <w:rFonts w:hint="eastAsia"/>
          <w:bCs/>
          <w:color w:val="auto"/>
          <w:kern w:val="2"/>
          <w:sz w:val="21"/>
          <w:szCs w:val="21"/>
          <w:highlight w:val="none"/>
          <w:lang w:val="zh-CN"/>
        </w:rPr>
        <w:t>成交人资料文件原件核对</w:t>
      </w:r>
    </w:p>
    <w:p>
      <w:pPr>
        <w:spacing w:line="360" w:lineRule="auto"/>
        <w:ind w:left="567" w:hanging="567" w:hangingChars="270"/>
        <w:rPr>
          <w:rFonts w:cs="Arial"/>
          <w:bCs/>
          <w:color w:val="auto"/>
          <w:sz w:val="21"/>
          <w:szCs w:val="21"/>
          <w:highlight w:val="none"/>
        </w:rPr>
      </w:pPr>
      <w:r>
        <w:rPr>
          <w:bCs/>
          <w:color w:val="auto"/>
          <w:kern w:val="2"/>
          <w:sz w:val="21"/>
          <w:szCs w:val="21"/>
          <w:highlight w:val="none"/>
          <w:lang w:val="zh-CN"/>
        </w:rPr>
        <w:t>3</w:t>
      </w:r>
      <w:r>
        <w:rPr>
          <w:rFonts w:hint="eastAsia"/>
          <w:bCs/>
          <w:color w:val="auto"/>
          <w:kern w:val="2"/>
          <w:sz w:val="21"/>
          <w:szCs w:val="21"/>
          <w:highlight w:val="none"/>
          <w:lang w:val="zh-CN"/>
        </w:rPr>
        <w:t>0</w:t>
      </w:r>
      <w:r>
        <w:rPr>
          <w:bCs/>
          <w:color w:val="auto"/>
          <w:kern w:val="2"/>
          <w:sz w:val="21"/>
          <w:szCs w:val="21"/>
          <w:highlight w:val="none"/>
          <w:lang w:val="zh-CN"/>
        </w:rPr>
        <w:t>.1</w:t>
      </w:r>
      <w:r>
        <w:rPr>
          <w:bCs/>
          <w:color w:val="auto"/>
          <w:kern w:val="2"/>
          <w:sz w:val="21"/>
          <w:szCs w:val="21"/>
          <w:highlight w:val="none"/>
          <w:lang w:val="zh-CN"/>
        </w:rPr>
        <w:tab/>
      </w:r>
      <w:r>
        <w:rPr>
          <w:rFonts w:hint="eastAsia" w:cs="Arial"/>
          <w:bCs/>
          <w:color w:val="auto"/>
          <w:sz w:val="21"/>
          <w:szCs w:val="21"/>
          <w:highlight w:val="none"/>
        </w:rPr>
        <w:t>采购代理机构可应采购人的要求，组织成交人资料文件原件核对，对所选择的提交了响应性的成交人是否有资格能圆满地履行合同作出资料文件原件核对。</w:t>
      </w:r>
    </w:p>
    <w:p>
      <w:pPr>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0</w:t>
      </w:r>
      <w:r>
        <w:rPr>
          <w:bCs/>
          <w:color w:val="auto"/>
          <w:kern w:val="2"/>
          <w:sz w:val="21"/>
          <w:szCs w:val="21"/>
          <w:highlight w:val="none"/>
          <w:lang w:val="zh-CN"/>
        </w:rPr>
        <w:t>.</w:t>
      </w:r>
      <w:r>
        <w:rPr>
          <w:rFonts w:hint="eastAsia"/>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审查将根据谈判供应商提交的谈判响应文件和资格后审认为其他必要的、合适的资料，包括有关验收报告、业绩合同的真实性，对谈判供应商的财务等进行审查。如发现谈判供应商存在弄虚作假行为，将追究其责任。</w:t>
      </w:r>
    </w:p>
    <w:p>
      <w:pPr>
        <w:spacing w:line="360" w:lineRule="auto"/>
        <w:ind w:left="540" w:right="18" w:hanging="540"/>
        <w:jc w:val="both"/>
        <w:rPr>
          <w:bCs/>
          <w:color w:val="auto"/>
          <w:kern w:val="2"/>
          <w:sz w:val="21"/>
          <w:szCs w:val="21"/>
          <w:highlight w:val="none"/>
          <w:lang w:val="zh-CN"/>
        </w:rPr>
      </w:pPr>
      <w:r>
        <w:rPr>
          <w:bCs/>
          <w:color w:val="auto"/>
          <w:sz w:val="21"/>
          <w:szCs w:val="21"/>
          <w:highlight w:val="none"/>
        </w:rPr>
        <w:t>3</w:t>
      </w:r>
      <w:r>
        <w:rPr>
          <w:rFonts w:hint="eastAsia"/>
          <w:bCs/>
          <w:color w:val="auto"/>
          <w:sz w:val="21"/>
          <w:szCs w:val="21"/>
          <w:highlight w:val="none"/>
        </w:rPr>
        <w:t>0</w:t>
      </w:r>
      <w:r>
        <w:rPr>
          <w:bCs/>
          <w:color w:val="auto"/>
          <w:sz w:val="21"/>
          <w:szCs w:val="21"/>
          <w:highlight w:val="none"/>
        </w:rPr>
        <w:t>.</w:t>
      </w:r>
      <w:r>
        <w:rPr>
          <w:rFonts w:hint="eastAsia"/>
          <w:bCs/>
          <w:color w:val="auto"/>
          <w:sz w:val="21"/>
          <w:szCs w:val="21"/>
          <w:highlight w:val="none"/>
        </w:rPr>
        <w:t>3</w:t>
      </w:r>
      <w:r>
        <w:rPr>
          <w:bCs/>
          <w:color w:val="auto"/>
          <w:sz w:val="21"/>
          <w:szCs w:val="21"/>
          <w:highlight w:val="none"/>
        </w:rPr>
        <w:tab/>
      </w:r>
      <w:r>
        <w:rPr>
          <w:rFonts w:hint="eastAsia"/>
          <w:bCs/>
          <w:color w:val="auto"/>
          <w:kern w:val="2"/>
          <w:sz w:val="21"/>
          <w:szCs w:val="21"/>
          <w:highlight w:val="none"/>
          <w:lang w:val="zh-CN"/>
        </w:rPr>
        <w:t>如果审查通过，则将合同授予该谈判供应商；如果审查没有通过，则其谈判响应文件被拒绝。在此情况下，将对下一个符合谈判文件要求的谈判供应商的能力做类似的审查</w:t>
      </w:r>
      <w:r>
        <w:rPr>
          <w:bCs/>
          <w:color w:val="auto"/>
          <w:sz w:val="21"/>
          <w:szCs w:val="21"/>
          <w:highlight w:val="none"/>
        </w:rPr>
        <w:t>或重新</w:t>
      </w:r>
      <w:r>
        <w:rPr>
          <w:rFonts w:hint="eastAsia"/>
          <w:bCs/>
          <w:color w:val="auto"/>
          <w:sz w:val="21"/>
          <w:szCs w:val="21"/>
          <w:highlight w:val="none"/>
        </w:rPr>
        <w:t>采购</w:t>
      </w:r>
      <w:r>
        <w:rPr>
          <w:bCs/>
          <w:color w:val="auto"/>
          <w:sz w:val="21"/>
          <w:szCs w:val="21"/>
          <w:highlight w:val="none"/>
        </w:rPr>
        <w:t>。</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谈判小组和采购人接受或拒绝任何响应或所有响应的权利</w:t>
      </w:r>
    </w:p>
    <w:p>
      <w:pPr>
        <w:spacing w:line="360" w:lineRule="auto"/>
        <w:ind w:left="540" w:right="18" w:hanging="540"/>
        <w:jc w:val="both"/>
        <w:rPr>
          <w:bCs/>
          <w:color w:val="auto"/>
          <w:kern w:val="2"/>
          <w:sz w:val="21"/>
          <w:szCs w:val="21"/>
          <w:highlight w:val="none"/>
          <w:lang w:val="zh-CN"/>
        </w:rPr>
      </w:pPr>
      <w:r>
        <w:rPr>
          <w:bCs/>
          <w:color w:val="auto"/>
          <w:sz w:val="21"/>
          <w:szCs w:val="21"/>
          <w:highlight w:val="none"/>
        </w:rPr>
        <w:t>3</w:t>
      </w:r>
      <w:r>
        <w:rPr>
          <w:rFonts w:hint="eastAsia"/>
          <w:bCs/>
          <w:color w:val="auto"/>
          <w:sz w:val="21"/>
          <w:szCs w:val="21"/>
          <w:highlight w:val="none"/>
        </w:rPr>
        <w:t>1</w:t>
      </w:r>
      <w:r>
        <w:rPr>
          <w:bCs/>
          <w:color w:val="auto"/>
          <w:sz w:val="21"/>
          <w:szCs w:val="21"/>
          <w:highlight w:val="none"/>
        </w:rPr>
        <w:t>.</w:t>
      </w:r>
      <w:r>
        <w:rPr>
          <w:rFonts w:hint="eastAsia"/>
          <w:bCs/>
          <w:color w:val="auto"/>
          <w:sz w:val="21"/>
          <w:szCs w:val="21"/>
          <w:highlight w:val="none"/>
        </w:rPr>
        <w:t>1</w:t>
      </w:r>
      <w:r>
        <w:rPr>
          <w:bCs/>
          <w:color w:val="auto"/>
          <w:sz w:val="21"/>
          <w:szCs w:val="21"/>
          <w:highlight w:val="none"/>
        </w:rPr>
        <w:tab/>
      </w:r>
      <w:r>
        <w:rPr>
          <w:rFonts w:hint="eastAsia"/>
          <w:bCs/>
          <w:color w:val="auto"/>
          <w:kern w:val="2"/>
          <w:sz w:val="21"/>
          <w:szCs w:val="21"/>
          <w:highlight w:val="none"/>
          <w:lang w:val="zh-CN"/>
        </w:rPr>
        <w:t>在授予合同前的任何时候，</w:t>
      </w:r>
      <w:r>
        <w:rPr>
          <w:rFonts w:hint="eastAsia"/>
          <w:bCs/>
          <w:color w:val="auto"/>
          <w:sz w:val="21"/>
          <w:szCs w:val="21"/>
          <w:highlight w:val="none"/>
        </w:rPr>
        <w:t>谈判小组和采购人仍保留接受或拒绝任何</w:t>
      </w:r>
      <w:r>
        <w:rPr>
          <w:rFonts w:hint="eastAsia"/>
          <w:bCs/>
          <w:color w:val="auto"/>
          <w:sz w:val="21"/>
          <w:szCs w:val="21"/>
          <w:highlight w:val="none"/>
          <w:lang w:eastAsia="zh-CN"/>
        </w:rPr>
        <w:t>响应</w:t>
      </w:r>
      <w:r>
        <w:rPr>
          <w:rFonts w:hint="eastAsia"/>
          <w:bCs/>
          <w:color w:val="auto"/>
          <w:kern w:val="2"/>
          <w:sz w:val="21"/>
          <w:szCs w:val="21"/>
          <w:highlight w:val="none"/>
          <w:lang w:val="zh-CN"/>
        </w:rPr>
        <w:t>，宣布采购程序无效或拒绝所有响应的权利，无需向受影响的谈判供应商承担任何责任。</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成交通知</w:t>
      </w:r>
    </w:p>
    <w:p>
      <w:pPr>
        <w:tabs>
          <w:tab w:val="left" w:pos="540"/>
        </w:tabs>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2</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谈判响应文件有效期期满前，采购代理机构将以书面形式通知成交人其谈判响应文件被接受。</w:t>
      </w:r>
    </w:p>
    <w:p>
      <w:pPr>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2</w:t>
      </w:r>
      <w:r>
        <w:rPr>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采购代理机构向成交人发出书面通知的同时，采购代理机构通知落选的谈判供应商其谈判响应文件未被接受而不提原因。</w:t>
      </w:r>
    </w:p>
    <w:p>
      <w:pPr>
        <w:tabs>
          <w:tab w:val="left" w:pos="540"/>
        </w:tabs>
        <w:spacing w:line="360" w:lineRule="auto"/>
        <w:ind w:left="540" w:right="18" w:hanging="540"/>
        <w:jc w:val="both"/>
        <w:rPr>
          <w:bCs/>
          <w:color w:val="auto"/>
          <w:kern w:val="2"/>
          <w:sz w:val="21"/>
          <w:szCs w:val="21"/>
          <w:highlight w:val="none"/>
          <w:u w:val="single"/>
          <w:lang w:val="zh-CN"/>
        </w:rPr>
      </w:pPr>
      <w:r>
        <w:rPr>
          <w:bCs/>
          <w:color w:val="auto"/>
          <w:kern w:val="2"/>
          <w:sz w:val="21"/>
          <w:szCs w:val="21"/>
          <w:highlight w:val="none"/>
          <w:lang w:val="zh-CN"/>
        </w:rPr>
        <w:t>3</w:t>
      </w:r>
      <w:r>
        <w:rPr>
          <w:rFonts w:hint="eastAsia"/>
          <w:bCs/>
          <w:color w:val="auto"/>
          <w:kern w:val="2"/>
          <w:sz w:val="21"/>
          <w:szCs w:val="21"/>
          <w:highlight w:val="none"/>
          <w:lang w:val="zh-CN"/>
        </w:rPr>
        <w:t>2</w:t>
      </w:r>
      <w:r>
        <w:rPr>
          <w:bCs/>
          <w:color w:val="auto"/>
          <w:kern w:val="2"/>
          <w:sz w:val="21"/>
          <w:szCs w:val="21"/>
          <w:highlight w:val="none"/>
          <w:lang w:val="zh-CN"/>
        </w:rPr>
        <w:t>.</w:t>
      </w:r>
      <w:r>
        <w:rPr>
          <w:rFonts w:hint="eastAsia"/>
          <w:bCs/>
          <w:color w:val="auto"/>
          <w:kern w:val="2"/>
          <w:sz w:val="21"/>
          <w:szCs w:val="21"/>
          <w:highlight w:val="none"/>
          <w:lang w:val="zh-CN"/>
        </w:rPr>
        <w:t>3 成交通知书是合同的一个组成部分。</w:t>
      </w:r>
    </w:p>
    <w:p>
      <w:pPr>
        <w:tabs>
          <w:tab w:val="left" w:pos="540"/>
        </w:tabs>
        <w:spacing w:line="360" w:lineRule="auto"/>
        <w:ind w:left="540" w:right="18" w:hanging="540"/>
        <w:jc w:val="both"/>
        <w:rPr>
          <w:rFonts w:cs="Arial"/>
          <w:bCs/>
          <w:color w:val="auto"/>
          <w:sz w:val="21"/>
          <w:szCs w:val="21"/>
          <w:highlight w:val="none"/>
        </w:rPr>
      </w:pPr>
      <w:r>
        <w:rPr>
          <w:bCs/>
          <w:color w:val="auto"/>
          <w:kern w:val="2"/>
          <w:sz w:val="21"/>
          <w:szCs w:val="21"/>
          <w:highlight w:val="none"/>
          <w:lang w:val="zh-CN"/>
        </w:rPr>
        <w:t>3</w:t>
      </w:r>
      <w:r>
        <w:rPr>
          <w:rFonts w:hint="eastAsia"/>
          <w:bCs/>
          <w:color w:val="auto"/>
          <w:kern w:val="2"/>
          <w:sz w:val="21"/>
          <w:szCs w:val="21"/>
          <w:highlight w:val="none"/>
          <w:lang w:val="zh-CN"/>
        </w:rPr>
        <w:t>2</w:t>
      </w:r>
      <w:r>
        <w:rPr>
          <w:bCs/>
          <w:color w:val="auto"/>
          <w:kern w:val="2"/>
          <w:sz w:val="21"/>
          <w:szCs w:val="21"/>
          <w:highlight w:val="none"/>
          <w:lang w:val="zh-CN"/>
        </w:rPr>
        <w:t>.</w:t>
      </w:r>
      <w:r>
        <w:rPr>
          <w:rFonts w:hint="eastAsia"/>
          <w:bCs/>
          <w:color w:val="auto"/>
          <w:kern w:val="2"/>
          <w:sz w:val="21"/>
          <w:szCs w:val="21"/>
          <w:highlight w:val="none"/>
          <w:lang w:val="zh-CN"/>
        </w:rPr>
        <w:t xml:space="preserve">4 </w:t>
      </w:r>
      <w:r>
        <w:rPr>
          <w:rFonts w:hint="eastAsia" w:cs="Arial"/>
          <w:bCs/>
          <w:color w:val="auto"/>
          <w:sz w:val="21"/>
          <w:szCs w:val="21"/>
          <w:highlight w:val="none"/>
        </w:rPr>
        <w:t>成交人如在收到采购结果通知后15天内不按规定领取成交通知书，则视为自动放弃成交资格，并按采购相关法律法规追究其相关责任。</w:t>
      </w:r>
    </w:p>
    <w:p>
      <w:pPr>
        <w:tabs>
          <w:tab w:val="left" w:pos="540"/>
        </w:tabs>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2</w:t>
      </w:r>
      <w:r>
        <w:rPr>
          <w:bCs/>
          <w:color w:val="auto"/>
          <w:kern w:val="2"/>
          <w:sz w:val="21"/>
          <w:szCs w:val="21"/>
          <w:highlight w:val="none"/>
          <w:lang w:val="zh-CN"/>
        </w:rPr>
        <w:t>.</w:t>
      </w:r>
      <w:r>
        <w:rPr>
          <w:rFonts w:hint="eastAsia"/>
          <w:bCs/>
          <w:color w:val="auto"/>
          <w:kern w:val="2"/>
          <w:sz w:val="21"/>
          <w:szCs w:val="21"/>
          <w:highlight w:val="none"/>
          <w:lang w:val="zh-CN"/>
        </w:rPr>
        <w:t>5 如果成交人没有按照上述第</w:t>
      </w:r>
      <w:r>
        <w:rPr>
          <w:bCs/>
          <w:color w:val="auto"/>
          <w:kern w:val="2"/>
          <w:sz w:val="21"/>
          <w:szCs w:val="21"/>
          <w:highlight w:val="none"/>
          <w:lang w:val="zh-CN"/>
        </w:rPr>
        <w:t>3</w:t>
      </w:r>
      <w:r>
        <w:rPr>
          <w:rFonts w:hint="eastAsia"/>
          <w:bCs/>
          <w:color w:val="auto"/>
          <w:kern w:val="2"/>
          <w:sz w:val="21"/>
          <w:szCs w:val="21"/>
          <w:highlight w:val="none"/>
          <w:lang w:val="zh-CN"/>
        </w:rPr>
        <w:t>1.4款规定执行，按采购相关法律法规追究其相关责任。在此情况下采购人可将成交资格授予下一个报价最低的成交人或重新采购。</w:t>
      </w:r>
    </w:p>
    <w:p>
      <w:pPr>
        <w:tabs>
          <w:tab w:val="left" w:pos="567"/>
          <w:tab w:val="left" w:pos="720"/>
          <w:tab w:val="left" w:pos="3460"/>
        </w:tabs>
        <w:spacing w:line="360" w:lineRule="auto"/>
        <w:ind w:left="567" w:hanging="567"/>
        <w:jc w:val="both"/>
        <w:rPr>
          <w:bCs/>
          <w:color w:val="auto"/>
          <w:sz w:val="21"/>
          <w:szCs w:val="21"/>
          <w:highlight w:val="none"/>
        </w:rPr>
      </w:pPr>
      <w:r>
        <w:rPr>
          <w:rFonts w:hint="eastAsia"/>
          <w:bCs/>
          <w:color w:val="auto"/>
          <w:sz w:val="21"/>
          <w:szCs w:val="21"/>
          <w:highlight w:val="none"/>
        </w:rPr>
        <w:t>33  废标的认定</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33</w:t>
      </w:r>
      <w:r>
        <w:rPr>
          <w:bCs/>
          <w:color w:val="auto"/>
          <w:kern w:val="2"/>
          <w:sz w:val="21"/>
          <w:szCs w:val="21"/>
          <w:highlight w:val="none"/>
          <w:lang w:val="zh-CN"/>
        </w:rPr>
        <w:t>.1</w:t>
      </w:r>
      <w:r>
        <w:rPr>
          <w:rFonts w:hint="eastAsia"/>
          <w:bCs/>
          <w:color w:val="auto"/>
          <w:kern w:val="2"/>
          <w:sz w:val="21"/>
          <w:szCs w:val="21"/>
          <w:highlight w:val="none"/>
          <w:lang w:val="zh-CN"/>
        </w:rPr>
        <w:t xml:space="preserve"> 符合专业条件的供应商或者对采购文件作实质响应的供应商不足三家的；</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33</w:t>
      </w:r>
      <w:r>
        <w:rPr>
          <w:bCs/>
          <w:color w:val="auto"/>
          <w:kern w:val="2"/>
          <w:sz w:val="21"/>
          <w:szCs w:val="21"/>
          <w:highlight w:val="none"/>
          <w:lang w:val="zh-CN"/>
        </w:rPr>
        <w:t>.</w:t>
      </w:r>
      <w:r>
        <w:rPr>
          <w:rFonts w:hint="eastAsia"/>
          <w:bCs/>
          <w:color w:val="auto"/>
          <w:kern w:val="2"/>
          <w:sz w:val="21"/>
          <w:szCs w:val="21"/>
          <w:highlight w:val="none"/>
          <w:lang w:val="zh-CN"/>
        </w:rPr>
        <w:t>2 出现影响采购公正的违法、违规行为的；</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33</w:t>
      </w:r>
      <w:r>
        <w:rPr>
          <w:bCs/>
          <w:color w:val="auto"/>
          <w:kern w:val="2"/>
          <w:sz w:val="21"/>
          <w:szCs w:val="21"/>
          <w:highlight w:val="none"/>
          <w:lang w:val="zh-CN"/>
        </w:rPr>
        <w:t>.</w:t>
      </w:r>
      <w:r>
        <w:rPr>
          <w:rFonts w:hint="eastAsia"/>
          <w:bCs/>
          <w:color w:val="auto"/>
          <w:kern w:val="2"/>
          <w:sz w:val="21"/>
          <w:szCs w:val="21"/>
          <w:highlight w:val="none"/>
          <w:lang w:val="zh-CN"/>
        </w:rPr>
        <w:t>3 谈判供应商的报价均超过了采购预算，采购人不能支付的</w:t>
      </w:r>
      <w:r>
        <w:rPr>
          <w:bCs/>
          <w:color w:val="auto"/>
          <w:kern w:val="2"/>
          <w:sz w:val="21"/>
          <w:szCs w:val="21"/>
          <w:highlight w:val="none"/>
          <w:lang w:val="zh-CN"/>
        </w:rPr>
        <w:t>或均超过了最高限额</w:t>
      </w:r>
      <w:r>
        <w:rPr>
          <w:rFonts w:hint="eastAsia"/>
          <w:bCs/>
          <w:color w:val="auto"/>
          <w:kern w:val="2"/>
          <w:sz w:val="21"/>
          <w:szCs w:val="21"/>
          <w:highlight w:val="none"/>
          <w:lang w:val="zh-CN"/>
        </w:rPr>
        <w:t>；</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33</w:t>
      </w:r>
      <w:r>
        <w:rPr>
          <w:bCs/>
          <w:color w:val="auto"/>
          <w:kern w:val="2"/>
          <w:sz w:val="21"/>
          <w:szCs w:val="21"/>
          <w:highlight w:val="none"/>
          <w:lang w:val="zh-CN"/>
        </w:rPr>
        <w:t>.</w:t>
      </w:r>
      <w:r>
        <w:rPr>
          <w:rFonts w:hint="eastAsia"/>
          <w:bCs/>
          <w:color w:val="auto"/>
          <w:kern w:val="2"/>
          <w:sz w:val="21"/>
          <w:szCs w:val="21"/>
          <w:highlight w:val="none"/>
          <w:lang w:val="zh-CN"/>
        </w:rPr>
        <w:t>4 因重大变故，采购任务取消的。</w:t>
      </w:r>
    </w:p>
    <w:p>
      <w:pPr>
        <w:pStyle w:val="4"/>
        <w:spacing w:line="360" w:lineRule="auto"/>
        <w:rPr>
          <w:bCs/>
          <w:color w:val="auto"/>
          <w:kern w:val="44"/>
          <w:sz w:val="21"/>
          <w:szCs w:val="21"/>
          <w:highlight w:val="none"/>
          <w:lang w:val="zh-CN"/>
        </w:rPr>
      </w:pPr>
      <w:bookmarkStart w:id="27" w:name="_Toc396137238"/>
      <w:bookmarkStart w:id="28" w:name="_Toc413402436"/>
      <w:bookmarkStart w:id="29" w:name="_Toc508723466"/>
      <w:r>
        <w:rPr>
          <w:rFonts w:hint="eastAsia"/>
          <w:bCs/>
          <w:color w:val="auto"/>
          <w:kern w:val="44"/>
          <w:sz w:val="21"/>
          <w:szCs w:val="21"/>
          <w:highlight w:val="none"/>
          <w:lang w:val="zh-CN"/>
        </w:rPr>
        <w:t>（六）授予合同</w:t>
      </w:r>
      <w:bookmarkEnd w:id="27"/>
      <w:bookmarkEnd w:id="28"/>
      <w:bookmarkEnd w:id="29"/>
    </w:p>
    <w:p>
      <w:pPr>
        <w:tabs>
          <w:tab w:val="left" w:pos="567"/>
        </w:tabs>
        <w:spacing w:line="360" w:lineRule="auto"/>
        <w:ind w:left="567" w:hanging="567"/>
        <w:jc w:val="both"/>
        <w:rPr>
          <w:bCs/>
          <w:color w:val="auto"/>
          <w:kern w:val="2"/>
          <w:sz w:val="21"/>
          <w:szCs w:val="21"/>
          <w:highlight w:val="none"/>
          <w:lang w:val="zh-CN"/>
        </w:rPr>
      </w:pPr>
      <w:r>
        <w:rPr>
          <w:rFonts w:hint="eastAsia"/>
          <w:bCs/>
          <w:color w:val="auto"/>
          <w:kern w:val="2"/>
          <w:sz w:val="21"/>
          <w:szCs w:val="21"/>
          <w:highlight w:val="none"/>
          <w:lang w:val="zh-CN"/>
        </w:rPr>
        <w:t>34</w:t>
      </w:r>
      <w:r>
        <w:rPr>
          <w:bCs/>
          <w:color w:val="auto"/>
          <w:kern w:val="2"/>
          <w:sz w:val="21"/>
          <w:szCs w:val="21"/>
          <w:highlight w:val="none"/>
          <w:lang w:val="zh-CN"/>
        </w:rPr>
        <w:tab/>
      </w:r>
      <w:r>
        <w:rPr>
          <w:rFonts w:hint="eastAsia"/>
          <w:bCs/>
          <w:color w:val="auto"/>
          <w:kern w:val="2"/>
          <w:sz w:val="21"/>
          <w:szCs w:val="21"/>
          <w:highlight w:val="none"/>
          <w:lang w:val="zh-CN"/>
        </w:rPr>
        <w:t>授予合同的准则</w:t>
      </w:r>
    </w:p>
    <w:p>
      <w:pPr>
        <w:tabs>
          <w:tab w:val="left" w:pos="540"/>
        </w:tabs>
        <w:spacing w:line="360" w:lineRule="auto"/>
        <w:ind w:left="540" w:right="51" w:hanging="540"/>
        <w:jc w:val="both"/>
        <w:rPr>
          <w:bCs/>
          <w:color w:val="auto"/>
          <w:kern w:val="2"/>
          <w:sz w:val="21"/>
          <w:szCs w:val="21"/>
          <w:highlight w:val="none"/>
          <w:lang w:val="zh-CN"/>
        </w:rPr>
      </w:pPr>
      <w:r>
        <w:rPr>
          <w:rFonts w:hint="eastAsia"/>
          <w:bCs/>
          <w:color w:val="auto"/>
          <w:kern w:val="2"/>
          <w:sz w:val="21"/>
          <w:szCs w:val="21"/>
          <w:highlight w:val="none"/>
          <w:lang w:val="zh-CN"/>
        </w:rPr>
        <w:t>34.1 除</w:t>
      </w:r>
      <w:r>
        <w:rPr>
          <w:color w:val="auto"/>
          <w:highlight w:val="none"/>
        </w:rPr>
        <w:fldChar w:fldCharType="begin"/>
      </w:r>
      <w:r>
        <w:rPr>
          <w:color w:val="auto"/>
          <w:highlight w:val="none"/>
        </w:rPr>
        <w:instrText xml:space="preserve"> HYPERLINK "file:///D:\\Documents\\WeChat%20Files\\cherryyao002\\FileStorage\\Documents\\WeChat%20Files\\sunny220555\\FileStorage\\Documents\\WeChat%20Files\\sunny220555\\FileStorage\\File\\2019-03\\l" </w:instrText>
      </w:r>
      <w:r>
        <w:rPr>
          <w:color w:val="auto"/>
          <w:highlight w:val="none"/>
        </w:rPr>
        <w:fldChar w:fldCharType="separate"/>
      </w:r>
      <w:r>
        <w:rPr>
          <w:rFonts w:hint="eastAsia"/>
          <w:bCs/>
          <w:color w:val="auto"/>
          <w:kern w:val="2"/>
          <w:sz w:val="21"/>
          <w:szCs w:val="21"/>
          <w:highlight w:val="none"/>
          <w:lang w:val="zh-CN"/>
        </w:rPr>
        <w:t>第</w:t>
      </w:r>
      <w:r>
        <w:rPr>
          <w:bCs/>
          <w:color w:val="auto"/>
          <w:kern w:val="2"/>
          <w:sz w:val="21"/>
          <w:szCs w:val="21"/>
          <w:highlight w:val="none"/>
          <w:lang w:val="zh-CN"/>
        </w:rPr>
        <w:t>3</w:t>
      </w:r>
      <w:r>
        <w:rPr>
          <w:rFonts w:hint="eastAsia"/>
          <w:bCs/>
          <w:color w:val="auto"/>
          <w:kern w:val="2"/>
          <w:sz w:val="21"/>
          <w:szCs w:val="21"/>
          <w:highlight w:val="none"/>
          <w:lang w:val="zh-CN"/>
        </w:rPr>
        <w:t>0款</w:t>
      </w:r>
      <w:r>
        <w:rPr>
          <w:rFonts w:hint="eastAsia"/>
          <w:bCs/>
          <w:color w:val="auto"/>
          <w:kern w:val="2"/>
          <w:sz w:val="21"/>
          <w:szCs w:val="21"/>
          <w:highlight w:val="none"/>
          <w:lang w:val="zh-CN"/>
        </w:rPr>
        <w:fldChar w:fldCharType="end"/>
      </w:r>
      <w:r>
        <w:rPr>
          <w:rFonts w:hint="eastAsia"/>
          <w:bCs/>
          <w:color w:val="auto"/>
          <w:kern w:val="2"/>
          <w:sz w:val="21"/>
          <w:szCs w:val="21"/>
          <w:highlight w:val="none"/>
          <w:lang w:val="zh-CN"/>
        </w:rPr>
        <w:t>规定外，采购人将合同授予其谈判响应文件符合谈判文件要求，并且能承诺履行合同，对采购人最为有利的谈判供应商。</w:t>
      </w:r>
    </w:p>
    <w:p>
      <w:pPr>
        <w:tabs>
          <w:tab w:val="left" w:pos="540"/>
        </w:tabs>
        <w:spacing w:line="360" w:lineRule="auto"/>
        <w:ind w:left="540" w:right="51" w:hanging="540"/>
        <w:jc w:val="both"/>
        <w:rPr>
          <w:bCs/>
          <w:color w:val="auto"/>
          <w:kern w:val="2"/>
          <w:sz w:val="21"/>
          <w:szCs w:val="21"/>
          <w:highlight w:val="none"/>
          <w:lang w:val="zh-CN"/>
        </w:rPr>
      </w:pPr>
      <w:r>
        <w:rPr>
          <w:rFonts w:hint="eastAsia"/>
          <w:bCs/>
          <w:color w:val="auto"/>
          <w:kern w:val="2"/>
          <w:sz w:val="21"/>
          <w:szCs w:val="21"/>
          <w:highlight w:val="none"/>
          <w:lang w:val="zh-CN"/>
        </w:rPr>
        <w:t>34.2 采购人依法</w:t>
      </w:r>
      <w:r>
        <w:rPr>
          <w:rFonts w:hint="eastAsia" w:cs="宋体"/>
          <w:bCs/>
          <w:color w:val="auto"/>
          <w:sz w:val="21"/>
          <w:szCs w:val="21"/>
          <w:highlight w:val="none"/>
        </w:rPr>
        <w:t>按照评标报告中推荐的成交候选人顺序</w:t>
      </w:r>
      <w:r>
        <w:rPr>
          <w:rFonts w:hint="eastAsia"/>
          <w:bCs/>
          <w:color w:val="auto"/>
          <w:kern w:val="2"/>
          <w:sz w:val="21"/>
          <w:szCs w:val="21"/>
          <w:highlight w:val="none"/>
          <w:lang w:val="zh-CN"/>
        </w:rPr>
        <w:t>确定成交人。</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5</w:t>
      </w:r>
      <w:r>
        <w:rPr>
          <w:bCs/>
          <w:color w:val="auto"/>
          <w:kern w:val="2"/>
          <w:sz w:val="21"/>
          <w:szCs w:val="21"/>
          <w:highlight w:val="none"/>
          <w:lang w:val="zh-CN"/>
        </w:rPr>
        <w:tab/>
      </w:r>
      <w:r>
        <w:rPr>
          <w:rFonts w:hint="eastAsia"/>
          <w:bCs/>
          <w:color w:val="auto"/>
          <w:kern w:val="2"/>
          <w:sz w:val="21"/>
          <w:szCs w:val="21"/>
          <w:highlight w:val="none"/>
          <w:lang w:val="zh-CN"/>
        </w:rPr>
        <w:t>合同的订立和履行</w:t>
      </w:r>
    </w:p>
    <w:p>
      <w:pPr>
        <w:tabs>
          <w:tab w:val="left" w:pos="540"/>
        </w:tabs>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5</w:t>
      </w:r>
      <w:r>
        <w:rPr>
          <w:bCs/>
          <w:color w:val="auto"/>
          <w:kern w:val="2"/>
          <w:sz w:val="21"/>
          <w:szCs w:val="21"/>
          <w:highlight w:val="none"/>
          <w:lang w:val="zh-CN"/>
        </w:rPr>
        <w:t>.1</w:t>
      </w:r>
      <w:r>
        <w:rPr>
          <w:rFonts w:hint="eastAsia"/>
          <w:bCs/>
          <w:color w:val="auto"/>
          <w:kern w:val="2"/>
          <w:sz w:val="21"/>
          <w:szCs w:val="21"/>
          <w:highlight w:val="none"/>
          <w:lang w:val="zh-CN"/>
        </w:rPr>
        <w:t xml:space="preserve"> 采购代理机构通知成交人中标时，将提供采购文件中的合同格式（包括双方之间的有关协议）给成交人。</w:t>
      </w:r>
    </w:p>
    <w:p>
      <w:pPr>
        <w:tabs>
          <w:tab w:val="left" w:pos="540"/>
        </w:tabs>
        <w:spacing w:line="360" w:lineRule="auto"/>
        <w:ind w:left="567" w:hanging="567" w:hangingChars="270"/>
        <w:jc w:val="both"/>
        <w:rPr>
          <w:bCs/>
          <w:color w:val="auto"/>
          <w:kern w:val="2"/>
          <w:sz w:val="21"/>
          <w:szCs w:val="21"/>
          <w:highlight w:val="none"/>
          <w:lang w:val="zh-CN"/>
        </w:rPr>
      </w:pPr>
      <w:r>
        <w:rPr>
          <w:rFonts w:hint="eastAsia"/>
          <w:bCs/>
          <w:color w:val="auto"/>
          <w:kern w:val="2"/>
          <w:sz w:val="21"/>
          <w:szCs w:val="21"/>
          <w:highlight w:val="none"/>
          <w:lang w:val="zh-CN"/>
        </w:rPr>
        <w:t>35.2 成交人在自成交通知书发出之日起30天内，应派授权代表前往按</w:t>
      </w:r>
      <w:r>
        <w:rPr>
          <w:rFonts w:hint="eastAsia"/>
          <w:bCs/>
          <w:color w:val="auto"/>
          <w:kern w:val="2"/>
          <w:sz w:val="21"/>
          <w:szCs w:val="21"/>
          <w:highlight w:val="none"/>
          <w:lang w:val="en-US" w:eastAsia="zh-CN"/>
        </w:rPr>
        <w:t>采购文件注明地点与采购人按</w:t>
      </w:r>
      <w:r>
        <w:rPr>
          <w:rFonts w:hint="eastAsia"/>
          <w:bCs/>
          <w:color w:val="auto"/>
          <w:kern w:val="2"/>
          <w:sz w:val="21"/>
          <w:szCs w:val="21"/>
          <w:highlight w:val="none"/>
          <w:lang w:val="zh-CN"/>
        </w:rPr>
        <w:t>采购文件要求和成交人谈判响应文件承诺签定采购合同，合同签订内容不得超出采购文件和成交人谈判响应文件的范围、也不得再行订立背离合同实质性内容的其他协议。</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35.3 签订采购合同后5个工作日内，采购人应将采购合同副本送至采购代理机构备案。</w:t>
      </w:r>
    </w:p>
    <w:p>
      <w:pPr>
        <w:tabs>
          <w:tab w:val="left" w:pos="540"/>
        </w:tabs>
        <w:spacing w:line="360" w:lineRule="auto"/>
        <w:ind w:left="567" w:right="17" w:hanging="567" w:hangingChars="270"/>
        <w:jc w:val="both"/>
        <w:rPr>
          <w:bCs/>
          <w:color w:val="auto"/>
          <w:kern w:val="2"/>
          <w:sz w:val="21"/>
          <w:szCs w:val="21"/>
          <w:highlight w:val="none"/>
          <w:lang w:val="zh-CN"/>
        </w:rPr>
      </w:pPr>
      <w:r>
        <w:rPr>
          <w:rFonts w:hint="eastAsia"/>
          <w:bCs/>
          <w:color w:val="auto"/>
          <w:kern w:val="2"/>
          <w:sz w:val="21"/>
          <w:szCs w:val="21"/>
          <w:highlight w:val="none"/>
          <w:lang w:val="zh-CN"/>
        </w:rPr>
        <w:t>35.4 采购合同订立后，合同各方不得擅自变更、中止或者终止合同。采购合同需要变更的，采购人应将有关合同变更内容，以书面形式送至采购代理机构备案；因特殊情况需要中止或终止合同的，采购人应将中止或终止合同的理由以及相应措施，以书面形式送至采购代理机构备案。</w:t>
      </w:r>
    </w:p>
    <w:p>
      <w:pPr>
        <w:tabs>
          <w:tab w:val="left" w:pos="540"/>
        </w:tabs>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35.5 采购合同履行中，采购人需追加与合同标的相同的货物或者服务（或工程）的，在不改变合同其他条款的前提下，可以与供应商签订补充合同，但所补充合同的采购金额不得超过原采购金额的百分之十。签订补充合同的必须按照35.3条的规定备案。</w:t>
      </w:r>
    </w:p>
    <w:p>
      <w:pPr>
        <w:tabs>
          <w:tab w:val="left" w:pos="540"/>
        </w:tabs>
        <w:spacing w:line="360" w:lineRule="auto"/>
        <w:ind w:left="540" w:right="18" w:hanging="540"/>
        <w:jc w:val="both"/>
        <w:rPr>
          <w:bCs/>
          <w:color w:val="auto"/>
          <w:highlight w:val="none"/>
          <w:lang w:val="zh-CN"/>
        </w:rPr>
      </w:pPr>
      <w:r>
        <w:rPr>
          <w:rFonts w:hint="eastAsia"/>
          <w:bCs/>
          <w:color w:val="auto"/>
          <w:kern w:val="2"/>
          <w:sz w:val="21"/>
          <w:szCs w:val="21"/>
          <w:highlight w:val="none"/>
        </w:rPr>
        <w:t>35.6 成交供应商</w:t>
      </w:r>
      <w:r>
        <w:rPr>
          <w:rFonts w:hint="eastAsia"/>
          <w:bCs/>
          <w:color w:val="auto"/>
          <w:kern w:val="2"/>
          <w:sz w:val="21"/>
          <w:szCs w:val="21"/>
          <w:highlight w:val="none"/>
          <w:lang w:val="zh-CN"/>
        </w:rPr>
        <w:t>根据</w:t>
      </w:r>
      <w:r>
        <w:rPr>
          <w:rFonts w:hint="eastAsia"/>
          <w:bCs/>
          <w:color w:val="auto"/>
          <w:kern w:val="2"/>
          <w:sz w:val="21"/>
          <w:szCs w:val="21"/>
          <w:highlight w:val="none"/>
        </w:rPr>
        <w:t>采购</w:t>
      </w:r>
      <w:r>
        <w:rPr>
          <w:rFonts w:hint="eastAsia"/>
          <w:bCs/>
          <w:color w:val="auto"/>
          <w:kern w:val="2"/>
          <w:sz w:val="21"/>
          <w:szCs w:val="21"/>
          <w:highlight w:val="none"/>
          <w:lang w:val="zh-CN"/>
        </w:rPr>
        <w:t>文件的规定和采购项目的实际情况，拟在</w:t>
      </w:r>
      <w:r>
        <w:rPr>
          <w:rFonts w:hint="eastAsia"/>
          <w:bCs/>
          <w:color w:val="auto"/>
          <w:kern w:val="2"/>
          <w:sz w:val="21"/>
          <w:szCs w:val="21"/>
          <w:highlight w:val="none"/>
        </w:rPr>
        <w:t>成交</w:t>
      </w:r>
      <w:r>
        <w:rPr>
          <w:rFonts w:hint="eastAsia"/>
          <w:bCs/>
          <w:color w:val="auto"/>
          <w:kern w:val="2"/>
          <w:sz w:val="21"/>
          <w:szCs w:val="21"/>
          <w:highlight w:val="none"/>
          <w:lang w:val="zh-CN"/>
        </w:rPr>
        <w:t>后将项目的非主体、非关键性工作分包的，应当在合同中载明分包承担主体，分包承担主体应当具备相应资质条件且不得再次分包。</w:t>
      </w:r>
    </w:p>
    <w:p>
      <w:pPr>
        <w:tabs>
          <w:tab w:val="left" w:pos="567"/>
        </w:tabs>
        <w:spacing w:line="360" w:lineRule="auto"/>
        <w:ind w:left="567" w:hanging="567"/>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6</w:t>
      </w:r>
      <w:r>
        <w:rPr>
          <w:bCs/>
          <w:color w:val="auto"/>
          <w:kern w:val="2"/>
          <w:sz w:val="21"/>
          <w:szCs w:val="21"/>
          <w:highlight w:val="none"/>
          <w:lang w:val="zh-CN"/>
        </w:rPr>
        <w:tab/>
      </w:r>
      <w:r>
        <w:rPr>
          <w:rFonts w:hint="eastAsia"/>
          <w:bCs/>
          <w:color w:val="auto"/>
          <w:kern w:val="2"/>
          <w:sz w:val="21"/>
          <w:szCs w:val="21"/>
          <w:highlight w:val="none"/>
          <w:lang w:val="zh-CN"/>
        </w:rPr>
        <w:t>履约</w:t>
      </w:r>
      <w:r>
        <w:rPr>
          <w:rFonts w:hint="eastAsia"/>
          <w:bCs/>
          <w:color w:val="auto"/>
          <w:sz w:val="21"/>
          <w:szCs w:val="21"/>
          <w:highlight w:val="none"/>
        </w:rPr>
        <w:t>保证金</w:t>
      </w:r>
    </w:p>
    <w:p>
      <w:pPr>
        <w:spacing w:line="360" w:lineRule="auto"/>
        <w:ind w:left="636" w:hanging="636" w:hangingChars="303"/>
        <w:rPr>
          <w:bCs/>
          <w:color w:val="auto"/>
          <w:kern w:val="2"/>
          <w:sz w:val="21"/>
          <w:szCs w:val="21"/>
          <w:highlight w:val="none"/>
          <w:lang w:val="zh-CN"/>
        </w:rPr>
      </w:pPr>
      <w:r>
        <w:rPr>
          <w:rFonts w:hint="eastAsia"/>
          <w:bCs/>
          <w:color w:val="auto"/>
          <w:kern w:val="2"/>
          <w:sz w:val="21"/>
          <w:szCs w:val="21"/>
          <w:highlight w:val="none"/>
          <w:lang w:val="zh-CN"/>
        </w:rPr>
        <w:t xml:space="preserve">36.1  </w:t>
      </w:r>
      <w:r>
        <w:rPr>
          <w:rFonts w:hint="eastAsia"/>
          <w:bCs/>
          <w:color w:val="auto"/>
          <w:sz w:val="21"/>
          <w:szCs w:val="21"/>
          <w:highlight w:val="none"/>
        </w:rPr>
        <w:t>成交人应在领取中标</w:t>
      </w:r>
      <w:r>
        <w:rPr>
          <w:rFonts w:hint="eastAsia"/>
          <w:bCs/>
          <w:color w:val="auto"/>
          <w:sz w:val="21"/>
          <w:szCs w:val="21"/>
          <w:highlight w:val="none"/>
          <w:lang w:eastAsia="zh-CN"/>
        </w:rPr>
        <w:t>（</w:t>
      </w:r>
      <w:r>
        <w:rPr>
          <w:rFonts w:hint="eastAsia"/>
          <w:bCs/>
          <w:color w:val="auto"/>
          <w:sz w:val="21"/>
          <w:szCs w:val="21"/>
          <w:highlight w:val="none"/>
          <w:lang w:val="en-US" w:eastAsia="zh-CN"/>
        </w:rPr>
        <w:t>成交</w:t>
      </w:r>
      <w:r>
        <w:rPr>
          <w:rFonts w:hint="eastAsia"/>
          <w:bCs/>
          <w:color w:val="auto"/>
          <w:sz w:val="21"/>
          <w:szCs w:val="21"/>
          <w:highlight w:val="none"/>
          <w:lang w:eastAsia="zh-CN"/>
        </w:rPr>
        <w:t>）</w:t>
      </w:r>
      <w:r>
        <w:rPr>
          <w:rFonts w:hint="eastAsia"/>
          <w:bCs/>
          <w:color w:val="auto"/>
          <w:sz w:val="21"/>
          <w:szCs w:val="21"/>
          <w:highlight w:val="none"/>
        </w:rPr>
        <w:t>通知书后十日内须递交履约保证金（如提交履约保函的,时间延至合同签订之前）</w:t>
      </w:r>
      <w:r>
        <w:rPr>
          <w:bCs/>
          <w:color w:val="auto"/>
          <w:sz w:val="21"/>
          <w:szCs w:val="21"/>
          <w:highlight w:val="none"/>
        </w:rPr>
        <w:t>,</w:t>
      </w:r>
      <w:r>
        <w:rPr>
          <w:rFonts w:hint="eastAsia"/>
          <w:bCs/>
          <w:color w:val="auto"/>
          <w:sz w:val="21"/>
          <w:szCs w:val="21"/>
          <w:highlight w:val="none"/>
        </w:rPr>
        <w:t xml:space="preserve"> 否则</w:t>
      </w:r>
      <w:r>
        <w:rPr>
          <w:rFonts w:hint="eastAsia" w:cs="Arial"/>
          <w:bCs/>
          <w:color w:val="auto"/>
          <w:sz w:val="21"/>
          <w:szCs w:val="21"/>
          <w:highlight w:val="none"/>
        </w:rPr>
        <w:t>按采购相关法律法规追究其相关责任</w:t>
      </w:r>
      <w:r>
        <w:rPr>
          <w:rFonts w:hint="eastAsia"/>
          <w:bCs/>
          <w:color w:val="auto"/>
          <w:sz w:val="21"/>
          <w:szCs w:val="21"/>
          <w:highlight w:val="none"/>
        </w:rPr>
        <w:t>。履约保证金金额及账户信息详见《</w:t>
      </w:r>
      <w:r>
        <w:rPr>
          <w:rFonts w:hint="eastAsia"/>
          <w:bCs/>
          <w:color w:val="auto"/>
          <w:sz w:val="21"/>
          <w:szCs w:val="21"/>
          <w:highlight w:val="none"/>
          <w:lang w:eastAsia="zh-CN"/>
        </w:rPr>
        <w:t>响应资料表</w:t>
      </w:r>
      <w:r>
        <w:rPr>
          <w:rFonts w:hint="eastAsia"/>
          <w:bCs/>
          <w:color w:val="auto"/>
          <w:sz w:val="21"/>
          <w:szCs w:val="21"/>
          <w:highlight w:val="none"/>
        </w:rPr>
        <w:t>》。给采购人造成的损失超过</w:t>
      </w:r>
      <w:r>
        <w:rPr>
          <w:rFonts w:hint="eastAsia"/>
          <w:bCs/>
          <w:color w:val="auto"/>
          <w:sz w:val="21"/>
          <w:szCs w:val="21"/>
          <w:highlight w:val="none"/>
          <w:lang w:val="en-US" w:eastAsia="zh-CN"/>
        </w:rPr>
        <w:t>谈判</w:t>
      </w:r>
      <w:r>
        <w:rPr>
          <w:rFonts w:hint="eastAsia"/>
          <w:bCs/>
          <w:color w:val="auto"/>
          <w:sz w:val="21"/>
          <w:szCs w:val="21"/>
          <w:highlight w:val="none"/>
        </w:rPr>
        <w:t>担保数额的，还应当由其对超过部分予以赔偿，并依法追究其责任。成交人应在汇入履约保证金时在汇款单备注中注明：成交通知书编号。成交人如在汇履约证保金时汇错账号或未按要求办理的作废标处理。履约保证金可以采用下列任何一种形式：</w:t>
      </w:r>
      <w:r>
        <w:rPr>
          <w:rFonts w:hint="eastAsia"/>
          <w:bCs/>
          <w:color w:val="auto"/>
          <w:kern w:val="2"/>
          <w:sz w:val="21"/>
          <w:szCs w:val="21"/>
          <w:highlight w:val="none"/>
          <w:lang w:val="zh-CN"/>
        </w:rPr>
        <w:t xml:space="preserve"> </w:t>
      </w:r>
    </w:p>
    <w:p>
      <w:pPr>
        <w:tabs>
          <w:tab w:val="left" w:pos="1260"/>
        </w:tabs>
        <w:snapToGrid w:val="0"/>
        <w:spacing w:line="360" w:lineRule="auto"/>
        <w:rPr>
          <w:bCs/>
          <w:color w:val="auto"/>
          <w:sz w:val="21"/>
          <w:szCs w:val="21"/>
          <w:highlight w:val="none"/>
        </w:rPr>
      </w:pP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）履约保函：</w:t>
      </w:r>
    </w:p>
    <w:p>
      <w:pPr>
        <w:tabs>
          <w:tab w:val="left" w:pos="1260"/>
        </w:tabs>
        <w:snapToGrid w:val="0"/>
        <w:spacing w:line="360" w:lineRule="auto"/>
        <w:ind w:left="547" w:leftChars="228" w:firstLine="315" w:firstLineChars="150"/>
        <w:rPr>
          <w:bCs/>
          <w:color w:val="auto"/>
          <w:sz w:val="21"/>
          <w:szCs w:val="21"/>
          <w:highlight w:val="none"/>
        </w:rPr>
      </w:pPr>
      <w:r>
        <w:rPr>
          <w:bCs/>
          <w:color w:val="auto"/>
          <w:sz w:val="21"/>
          <w:szCs w:val="21"/>
          <w:highlight w:val="none"/>
        </w:rPr>
        <w:t>1)</w:t>
      </w:r>
      <w:r>
        <w:rPr>
          <w:rFonts w:hint="eastAsia"/>
          <w:bCs/>
          <w:color w:val="auto"/>
          <w:sz w:val="21"/>
          <w:szCs w:val="21"/>
          <w:highlight w:val="none"/>
        </w:rPr>
        <w:t>履约保函应是合法经营的银行机构出具的银行保函。履约保函的内容，应符合采购文件、响应文件和采购合同的要求。履约保函应在采购合同有效期满后</w:t>
      </w:r>
      <w:r>
        <w:rPr>
          <w:bCs/>
          <w:color w:val="auto"/>
          <w:sz w:val="21"/>
          <w:szCs w:val="21"/>
          <w:highlight w:val="none"/>
        </w:rPr>
        <w:t>28</w:t>
      </w:r>
      <w:r>
        <w:rPr>
          <w:rFonts w:hint="eastAsia"/>
          <w:bCs/>
          <w:color w:val="auto"/>
          <w:sz w:val="21"/>
          <w:szCs w:val="21"/>
          <w:highlight w:val="none"/>
        </w:rPr>
        <w:t>天内继续有效。</w:t>
      </w:r>
    </w:p>
    <w:p>
      <w:pPr>
        <w:tabs>
          <w:tab w:val="left" w:pos="1260"/>
        </w:tabs>
        <w:snapToGrid w:val="0"/>
        <w:spacing w:line="360" w:lineRule="auto"/>
        <w:ind w:left="547" w:leftChars="228" w:firstLine="315" w:firstLineChars="150"/>
        <w:rPr>
          <w:bCs/>
          <w:color w:val="auto"/>
          <w:sz w:val="21"/>
          <w:szCs w:val="21"/>
          <w:highlight w:val="none"/>
        </w:rPr>
      </w:pPr>
      <w:r>
        <w:rPr>
          <w:rFonts w:hint="eastAsia"/>
          <w:bCs/>
          <w:color w:val="auto"/>
          <w:sz w:val="21"/>
          <w:szCs w:val="21"/>
          <w:highlight w:val="none"/>
        </w:rPr>
        <w:t>2</w:t>
      </w:r>
      <w:r>
        <w:rPr>
          <w:bCs/>
          <w:color w:val="auto"/>
          <w:sz w:val="21"/>
          <w:szCs w:val="21"/>
          <w:highlight w:val="none"/>
        </w:rPr>
        <w:t>)</w:t>
      </w:r>
      <w:r>
        <w:rPr>
          <w:rFonts w:hint="eastAsia"/>
          <w:bCs/>
          <w:color w:val="auto"/>
          <w:sz w:val="21"/>
          <w:szCs w:val="21"/>
          <w:highlight w:val="none"/>
        </w:rPr>
        <w:t xml:space="preserve"> 履约保证金以专业担保机构、商业银行出具的担保函的形式缴交</w:t>
      </w:r>
    </w:p>
    <w:p>
      <w:pPr>
        <w:spacing w:line="360" w:lineRule="auto"/>
        <w:ind w:left="528" w:leftChars="44" w:hanging="422" w:hangingChars="201"/>
        <w:rPr>
          <w:bCs/>
          <w:color w:val="auto"/>
          <w:sz w:val="21"/>
          <w:szCs w:val="21"/>
          <w:highlight w:val="none"/>
        </w:rPr>
      </w:pPr>
      <w:r>
        <w:rPr>
          <w:rFonts w:hint="eastAsia"/>
          <w:bCs/>
          <w:color w:val="auto"/>
          <w:sz w:val="21"/>
          <w:szCs w:val="21"/>
          <w:highlight w:val="none"/>
        </w:rPr>
        <w:t>（2）履约保证金：</w:t>
      </w:r>
    </w:p>
    <w:p>
      <w:pPr>
        <w:spacing w:line="360" w:lineRule="auto"/>
        <w:ind w:left="528" w:leftChars="220" w:firstLine="315" w:firstLineChars="150"/>
        <w:rPr>
          <w:rFonts w:hint="eastAsia"/>
          <w:bCs/>
          <w:color w:val="auto"/>
          <w:kern w:val="2"/>
          <w:sz w:val="21"/>
          <w:szCs w:val="21"/>
          <w:highlight w:val="none"/>
          <w:lang w:val="zh-CN"/>
        </w:rPr>
      </w:pPr>
      <w:r>
        <w:rPr>
          <w:rFonts w:hint="eastAsia"/>
          <w:bCs/>
          <w:color w:val="auto"/>
          <w:sz w:val="21"/>
          <w:szCs w:val="21"/>
          <w:highlight w:val="none"/>
        </w:rPr>
        <w:t>履约保证金以银行划账形式提交，谈判供应商必须保证资金以其谈判供应商的名称（以分公司或子公司汇款无效）在成交人领取成交通知书后十天内汇入到履约保证金专用账户（以银行到帐为准），可采用银行转帐方式提交，但不可以采用现金方式（包括以存现方式）提交</w:t>
      </w:r>
      <w:r>
        <w:rPr>
          <w:rFonts w:hint="eastAsia"/>
          <w:bCs/>
          <w:color w:val="auto"/>
          <w:kern w:val="2"/>
          <w:sz w:val="21"/>
          <w:szCs w:val="21"/>
          <w:highlight w:val="none"/>
          <w:lang w:val="zh-CN"/>
        </w:rPr>
        <w:t>。履约保证金汇入履约保证金专用账户后，到期后无息退还。</w:t>
      </w:r>
    </w:p>
    <w:p>
      <w:pPr>
        <w:spacing w:line="360" w:lineRule="auto"/>
        <w:ind w:left="528" w:leftChars="220" w:firstLine="525" w:firstLineChars="250"/>
        <w:rPr>
          <w:rFonts w:hint="default" w:eastAsia="宋体"/>
          <w:bCs/>
          <w:color w:val="auto"/>
          <w:kern w:val="2"/>
          <w:sz w:val="21"/>
          <w:szCs w:val="21"/>
          <w:highlight w:val="none"/>
          <w:lang w:val="en-US" w:eastAsia="zh-CN"/>
        </w:rPr>
      </w:pPr>
      <w:r>
        <w:rPr>
          <w:rFonts w:hint="eastAsia"/>
          <w:bCs/>
          <w:color w:val="auto"/>
          <w:kern w:val="2"/>
          <w:sz w:val="21"/>
          <w:szCs w:val="21"/>
          <w:highlight w:val="none"/>
          <w:lang w:val="en-US" w:eastAsia="zh-CN"/>
        </w:rPr>
        <w:t>成交人出现下列情形之一时，采购人有权不予退还履约保证金：1）将成交项目转让给他人，或者在响应文件中未说明，且未经采购招标机构人同意，将成交项目分包给他人的；2）未按主合同约定的质量、数量和期限供应货物/提供服务/完成工程的。3）成交人未在规定时间与采购人签订合同的。4）成交人拒绝与采购人签订合同的。5）成交人无故放弃成交资格的。</w:t>
      </w:r>
    </w:p>
    <w:p>
      <w:pPr>
        <w:spacing w:line="360" w:lineRule="auto"/>
        <w:ind w:left="529" w:hanging="529" w:hangingChars="252"/>
        <w:rPr>
          <w:bCs/>
          <w:color w:val="auto"/>
          <w:sz w:val="21"/>
          <w:szCs w:val="21"/>
          <w:highlight w:val="none"/>
        </w:rPr>
      </w:pPr>
      <w:r>
        <w:rPr>
          <w:rFonts w:hint="eastAsia"/>
          <w:bCs/>
          <w:color w:val="auto"/>
          <w:kern w:val="2"/>
          <w:sz w:val="21"/>
          <w:szCs w:val="21"/>
          <w:highlight w:val="none"/>
          <w:lang w:val="zh-CN"/>
        </w:rPr>
        <w:t xml:space="preserve">36.2 </w:t>
      </w:r>
      <w:r>
        <w:rPr>
          <w:rFonts w:hint="eastAsia"/>
          <w:bCs/>
          <w:color w:val="auto"/>
          <w:sz w:val="21"/>
          <w:szCs w:val="21"/>
          <w:highlight w:val="none"/>
        </w:rPr>
        <w:t>履约保证金汇入专用账户后，</w:t>
      </w:r>
      <w:r>
        <w:rPr>
          <w:rFonts w:hint="eastAsia"/>
          <w:bCs/>
          <w:color w:val="auto"/>
          <w:kern w:val="2"/>
          <w:sz w:val="21"/>
          <w:szCs w:val="21"/>
          <w:highlight w:val="none"/>
          <w:lang w:val="zh-CN"/>
        </w:rPr>
        <w:t>成交人</w:t>
      </w:r>
      <w:r>
        <w:rPr>
          <w:rFonts w:hint="eastAsia"/>
          <w:bCs/>
          <w:color w:val="auto"/>
          <w:sz w:val="21"/>
          <w:szCs w:val="21"/>
          <w:highlight w:val="none"/>
        </w:rPr>
        <w:t>将履约保证金的汇款凭证用A4纸复印件( 注明</w:t>
      </w:r>
      <w:r>
        <w:rPr>
          <w:rFonts w:hint="eastAsia"/>
          <w:bCs/>
          <w:color w:val="auto"/>
          <w:kern w:val="2"/>
          <w:sz w:val="21"/>
          <w:szCs w:val="21"/>
          <w:highlight w:val="none"/>
          <w:lang w:val="zh-CN"/>
        </w:rPr>
        <w:t>成交通知书</w:t>
      </w:r>
      <w:r>
        <w:rPr>
          <w:rFonts w:hint="eastAsia"/>
          <w:bCs/>
          <w:color w:val="auto"/>
          <w:sz w:val="21"/>
          <w:szCs w:val="21"/>
          <w:highlight w:val="none"/>
        </w:rPr>
        <w:t>编号)一份并加盖</w:t>
      </w:r>
      <w:r>
        <w:rPr>
          <w:rFonts w:hint="eastAsia"/>
          <w:bCs/>
          <w:color w:val="auto"/>
          <w:kern w:val="2"/>
          <w:sz w:val="21"/>
          <w:szCs w:val="21"/>
          <w:highlight w:val="none"/>
          <w:lang w:val="zh-CN"/>
        </w:rPr>
        <w:t>成交人</w:t>
      </w:r>
      <w:r>
        <w:rPr>
          <w:rFonts w:hint="eastAsia"/>
          <w:bCs/>
          <w:color w:val="auto"/>
          <w:sz w:val="21"/>
          <w:szCs w:val="21"/>
          <w:highlight w:val="none"/>
        </w:rPr>
        <w:t>的公章送采购代理机构（标书购买处）【注：若成交人采取履约保函的方式缴纳履约保证金时，成交人将履约保函原件</w:t>
      </w:r>
      <w:r>
        <w:rPr>
          <w:rFonts w:hint="eastAsia"/>
          <w:bCs/>
          <w:color w:val="auto"/>
          <w:kern w:val="2"/>
          <w:sz w:val="21"/>
          <w:szCs w:val="21"/>
          <w:highlight w:val="none"/>
          <w:lang w:val="zh-CN"/>
        </w:rPr>
        <w:t>（含37.1（1）款规定的其他原件）交给采购人，由采购人在复印件上每页加盖公章、并在复印件上注明“原件已收”及签收人、日期后，成交人在复印件上</w:t>
      </w:r>
      <w:r>
        <w:rPr>
          <w:rFonts w:hint="eastAsia"/>
          <w:bCs/>
          <w:color w:val="auto"/>
          <w:sz w:val="21"/>
          <w:szCs w:val="21"/>
          <w:highlight w:val="none"/>
        </w:rPr>
        <w:t>加盖</w:t>
      </w:r>
      <w:r>
        <w:rPr>
          <w:rFonts w:hint="eastAsia"/>
          <w:bCs/>
          <w:color w:val="auto"/>
          <w:kern w:val="2"/>
          <w:sz w:val="21"/>
          <w:szCs w:val="21"/>
          <w:highlight w:val="none"/>
          <w:lang w:val="zh-CN"/>
        </w:rPr>
        <w:t>成交人</w:t>
      </w:r>
      <w:r>
        <w:rPr>
          <w:rFonts w:hint="eastAsia"/>
          <w:bCs/>
          <w:color w:val="auto"/>
          <w:sz w:val="21"/>
          <w:szCs w:val="21"/>
          <w:highlight w:val="none"/>
        </w:rPr>
        <w:t>的公章，送采购代理机构】，采购代理机构收到成交人提交的履约保证金汇款凭证复印件后，办理退还谈判保证金手续。采购人必须收到履约保证金后，凭成交通知书与成交人签订项目的采购合同。</w:t>
      </w:r>
    </w:p>
    <w:p>
      <w:pPr>
        <w:spacing w:line="360" w:lineRule="auto"/>
        <w:ind w:left="529" w:hanging="529" w:hangingChars="252"/>
        <w:rPr>
          <w:bCs/>
          <w:color w:val="auto"/>
          <w:sz w:val="21"/>
          <w:szCs w:val="21"/>
          <w:highlight w:val="none"/>
        </w:rPr>
      </w:pPr>
      <w:r>
        <w:rPr>
          <w:rFonts w:hint="eastAsia"/>
          <w:bCs/>
          <w:color w:val="auto"/>
          <w:kern w:val="2"/>
          <w:sz w:val="21"/>
          <w:szCs w:val="21"/>
          <w:highlight w:val="none"/>
        </w:rPr>
        <w:t xml:space="preserve">36.3 </w:t>
      </w:r>
      <w:r>
        <w:rPr>
          <w:rFonts w:hint="eastAsia"/>
          <w:bCs/>
          <w:color w:val="auto"/>
          <w:sz w:val="21"/>
          <w:szCs w:val="21"/>
          <w:highlight w:val="none"/>
        </w:rPr>
        <w:t>在整个项目验收合格后，</w:t>
      </w:r>
      <w:r>
        <w:rPr>
          <w:rFonts w:hint="eastAsia"/>
          <w:bCs/>
          <w:color w:val="auto"/>
          <w:kern w:val="2"/>
          <w:sz w:val="21"/>
          <w:szCs w:val="21"/>
          <w:highlight w:val="none"/>
          <w:lang w:val="zh-CN"/>
        </w:rPr>
        <w:t>成交人</w:t>
      </w:r>
      <w:r>
        <w:rPr>
          <w:rFonts w:hint="eastAsia"/>
          <w:bCs/>
          <w:color w:val="auto"/>
          <w:sz w:val="21"/>
          <w:szCs w:val="21"/>
          <w:highlight w:val="none"/>
        </w:rPr>
        <w:t>的履约保证金可按东莞市采购相关规定进行退回。</w:t>
      </w:r>
    </w:p>
    <w:p>
      <w:pPr>
        <w:tabs>
          <w:tab w:val="left" w:pos="567"/>
        </w:tabs>
        <w:spacing w:line="360" w:lineRule="auto"/>
        <w:ind w:left="567" w:hanging="567"/>
        <w:jc w:val="both"/>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7</w:t>
      </w:r>
      <w:r>
        <w:rPr>
          <w:bCs/>
          <w:color w:val="auto"/>
          <w:kern w:val="2"/>
          <w:sz w:val="21"/>
          <w:szCs w:val="21"/>
          <w:highlight w:val="none"/>
        </w:rPr>
        <w:tab/>
      </w:r>
      <w:r>
        <w:rPr>
          <w:rFonts w:hint="eastAsia"/>
          <w:bCs/>
          <w:color w:val="auto"/>
          <w:kern w:val="2"/>
          <w:sz w:val="21"/>
          <w:szCs w:val="21"/>
          <w:highlight w:val="none"/>
          <w:lang w:val="zh-CN"/>
        </w:rPr>
        <w:t>中标（成交）服务费</w:t>
      </w:r>
    </w:p>
    <w:p>
      <w:pPr>
        <w:tabs>
          <w:tab w:val="left" w:pos="540"/>
        </w:tabs>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7</w:t>
      </w:r>
      <w:r>
        <w:rPr>
          <w:bCs/>
          <w:color w:val="auto"/>
          <w:kern w:val="2"/>
          <w:sz w:val="21"/>
          <w:szCs w:val="21"/>
          <w:highlight w:val="none"/>
          <w:lang w:val="zh-CN"/>
        </w:rPr>
        <w:t>.1</w:t>
      </w:r>
      <w:r>
        <w:rPr>
          <w:bCs/>
          <w:color w:val="auto"/>
          <w:kern w:val="2"/>
          <w:sz w:val="21"/>
          <w:szCs w:val="21"/>
          <w:highlight w:val="none"/>
          <w:lang w:val="zh-CN"/>
        </w:rPr>
        <w:tab/>
      </w:r>
      <w:r>
        <w:rPr>
          <w:rFonts w:hint="eastAsia"/>
          <w:bCs/>
          <w:color w:val="auto"/>
          <w:kern w:val="2"/>
          <w:sz w:val="21"/>
          <w:szCs w:val="21"/>
          <w:highlight w:val="none"/>
          <w:lang w:val="zh-CN"/>
        </w:rPr>
        <w:t>成交人向采购代理机构一次性支付中标（成交）服务费后，方可领取成交通知书。收费标准详见附件。</w:t>
      </w:r>
    </w:p>
    <w:p>
      <w:pPr>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7</w:t>
      </w:r>
      <w:r>
        <w:rPr>
          <w:bCs/>
          <w:color w:val="auto"/>
          <w:kern w:val="2"/>
          <w:sz w:val="21"/>
          <w:szCs w:val="21"/>
          <w:highlight w:val="none"/>
          <w:lang w:val="zh-CN"/>
        </w:rPr>
        <w:t>.</w:t>
      </w:r>
      <w:r>
        <w:rPr>
          <w:rFonts w:hint="eastAsia"/>
          <w:bCs/>
          <w:color w:val="auto"/>
          <w:kern w:val="2"/>
          <w:sz w:val="21"/>
          <w:szCs w:val="21"/>
          <w:highlight w:val="none"/>
          <w:lang w:val="zh-CN"/>
        </w:rPr>
        <w:t>2</w:t>
      </w:r>
      <w:r>
        <w:rPr>
          <w:bCs/>
          <w:color w:val="auto"/>
          <w:kern w:val="2"/>
          <w:sz w:val="21"/>
          <w:szCs w:val="21"/>
          <w:highlight w:val="none"/>
          <w:lang w:val="zh-CN"/>
        </w:rPr>
        <w:tab/>
      </w:r>
      <w:r>
        <w:rPr>
          <w:rFonts w:hint="eastAsia"/>
          <w:bCs/>
          <w:color w:val="auto"/>
          <w:kern w:val="2"/>
          <w:sz w:val="21"/>
          <w:szCs w:val="21"/>
          <w:highlight w:val="none"/>
          <w:lang w:val="zh-CN"/>
        </w:rPr>
        <w:t>中标（成交）服务费只接受现金、银行转帐或电汇的支付方式。</w:t>
      </w:r>
    </w:p>
    <w:p>
      <w:pPr>
        <w:spacing w:line="360" w:lineRule="auto"/>
        <w:ind w:left="540" w:right="18" w:hanging="540"/>
        <w:jc w:val="both"/>
        <w:rPr>
          <w:bCs/>
          <w:color w:val="auto"/>
          <w:kern w:val="2"/>
          <w:sz w:val="21"/>
          <w:szCs w:val="21"/>
          <w:highlight w:val="none"/>
          <w:lang w:val="zh-CN"/>
        </w:rPr>
      </w:pPr>
      <w:r>
        <w:rPr>
          <w:bCs/>
          <w:color w:val="auto"/>
          <w:kern w:val="2"/>
          <w:sz w:val="21"/>
          <w:szCs w:val="21"/>
          <w:highlight w:val="none"/>
          <w:lang w:val="zh-CN"/>
        </w:rPr>
        <w:t>3</w:t>
      </w:r>
      <w:r>
        <w:rPr>
          <w:rFonts w:hint="eastAsia"/>
          <w:bCs/>
          <w:color w:val="auto"/>
          <w:kern w:val="2"/>
          <w:sz w:val="21"/>
          <w:szCs w:val="21"/>
          <w:highlight w:val="none"/>
          <w:lang w:val="zh-CN"/>
        </w:rPr>
        <w:t>7</w:t>
      </w:r>
      <w:r>
        <w:rPr>
          <w:bCs/>
          <w:color w:val="auto"/>
          <w:kern w:val="2"/>
          <w:sz w:val="21"/>
          <w:szCs w:val="21"/>
          <w:highlight w:val="none"/>
          <w:lang w:val="zh-CN"/>
        </w:rPr>
        <w:t>.</w:t>
      </w:r>
      <w:r>
        <w:rPr>
          <w:rFonts w:hint="eastAsia"/>
          <w:bCs/>
          <w:color w:val="auto"/>
          <w:kern w:val="2"/>
          <w:sz w:val="21"/>
          <w:szCs w:val="21"/>
          <w:highlight w:val="none"/>
          <w:lang w:val="zh-CN"/>
        </w:rPr>
        <w:t>3</w:t>
      </w:r>
      <w:r>
        <w:rPr>
          <w:bCs/>
          <w:color w:val="auto"/>
          <w:kern w:val="2"/>
          <w:sz w:val="21"/>
          <w:szCs w:val="21"/>
          <w:highlight w:val="none"/>
          <w:lang w:val="zh-CN"/>
        </w:rPr>
        <w:tab/>
      </w:r>
      <w:r>
        <w:rPr>
          <w:rFonts w:hint="eastAsia"/>
          <w:bCs/>
          <w:color w:val="auto"/>
          <w:kern w:val="2"/>
          <w:sz w:val="21"/>
          <w:szCs w:val="21"/>
          <w:highlight w:val="none"/>
          <w:lang w:val="zh-CN"/>
        </w:rPr>
        <w:t>成交人如未按第36</w:t>
      </w:r>
      <w:r>
        <w:rPr>
          <w:bCs/>
          <w:color w:val="auto"/>
          <w:kern w:val="2"/>
          <w:sz w:val="21"/>
          <w:szCs w:val="21"/>
          <w:highlight w:val="none"/>
          <w:lang w:val="zh-CN"/>
        </w:rPr>
        <w:t>.1</w:t>
      </w:r>
      <w:r>
        <w:rPr>
          <w:rFonts w:hint="eastAsia"/>
          <w:bCs/>
          <w:color w:val="auto"/>
          <w:kern w:val="2"/>
          <w:sz w:val="21"/>
          <w:szCs w:val="21"/>
          <w:highlight w:val="none"/>
          <w:lang w:val="zh-CN"/>
        </w:rPr>
        <w:t>款、第37</w:t>
      </w:r>
      <w:r>
        <w:rPr>
          <w:bCs/>
          <w:color w:val="auto"/>
          <w:kern w:val="2"/>
          <w:sz w:val="21"/>
          <w:szCs w:val="21"/>
          <w:highlight w:val="none"/>
          <w:lang w:val="zh-CN"/>
        </w:rPr>
        <w:t>.2</w:t>
      </w:r>
      <w:r>
        <w:rPr>
          <w:rFonts w:hint="eastAsia"/>
          <w:bCs/>
          <w:color w:val="auto"/>
          <w:kern w:val="2"/>
          <w:sz w:val="21"/>
          <w:szCs w:val="21"/>
          <w:highlight w:val="none"/>
          <w:lang w:val="zh-CN"/>
        </w:rPr>
        <w:t>款规定办理，</w:t>
      </w:r>
      <w:r>
        <w:rPr>
          <w:rFonts w:hint="eastAsia" w:cs="Arial"/>
          <w:bCs/>
          <w:color w:val="auto"/>
          <w:sz w:val="21"/>
          <w:szCs w:val="21"/>
          <w:highlight w:val="none"/>
        </w:rPr>
        <w:t>按采购相关法律法规追究其相关责任</w:t>
      </w:r>
      <w:r>
        <w:rPr>
          <w:rFonts w:hint="eastAsia"/>
          <w:bCs/>
          <w:color w:val="auto"/>
          <w:kern w:val="2"/>
          <w:sz w:val="21"/>
          <w:szCs w:val="21"/>
          <w:highlight w:val="none"/>
          <w:lang w:val="zh-CN"/>
        </w:rPr>
        <w:t>。</w:t>
      </w:r>
    </w:p>
    <w:p>
      <w:pPr>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37.4 中标（成交）服务费不在响应报价中单列。</w:t>
      </w:r>
    </w:p>
    <w:p>
      <w:pPr>
        <w:spacing w:line="360" w:lineRule="auto"/>
        <w:ind w:left="539" w:right="17" w:hanging="539"/>
        <w:jc w:val="both"/>
        <w:rPr>
          <w:bCs/>
          <w:color w:val="auto"/>
          <w:kern w:val="2"/>
          <w:sz w:val="21"/>
          <w:szCs w:val="21"/>
          <w:highlight w:val="none"/>
          <w:lang w:val="zh-CN"/>
        </w:rPr>
      </w:pPr>
      <w:r>
        <w:rPr>
          <w:rFonts w:hint="eastAsia"/>
          <w:bCs/>
          <w:color w:val="auto"/>
          <w:kern w:val="2"/>
          <w:sz w:val="21"/>
          <w:szCs w:val="21"/>
          <w:highlight w:val="none"/>
          <w:lang w:val="zh-CN"/>
        </w:rPr>
        <w:t>38.</w:t>
      </w:r>
      <w:r>
        <w:rPr>
          <w:rFonts w:hint="eastAsia"/>
          <w:bCs/>
          <w:color w:val="auto"/>
          <w:sz w:val="21"/>
          <w:szCs w:val="21"/>
          <w:highlight w:val="none"/>
        </w:rPr>
        <w:t xml:space="preserve"> </w:t>
      </w:r>
      <w:r>
        <w:rPr>
          <w:rFonts w:hint="eastAsia"/>
          <w:bCs/>
          <w:color w:val="auto"/>
          <w:kern w:val="2"/>
          <w:sz w:val="21"/>
          <w:szCs w:val="21"/>
          <w:highlight w:val="none"/>
          <w:lang w:val="zh-CN"/>
        </w:rPr>
        <w:t>采购人在授予合同时变更采购货物和服务（或工程）数量的权利</w:t>
      </w:r>
    </w:p>
    <w:p>
      <w:pPr>
        <w:spacing w:line="360" w:lineRule="auto"/>
        <w:ind w:left="539" w:right="17" w:hanging="539"/>
        <w:jc w:val="both"/>
        <w:rPr>
          <w:bCs/>
          <w:color w:val="auto"/>
          <w:kern w:val="2"/>
          <w:sz w:val="21"/>
          <w:szCs w:val="21"/>
          <w:highlight w:val="none"/>
          <w:lang w:val="zh-CN"/>
        </w:rPr>
      </w:pPr>
      <w:bookmarkStart w:id="30" w:name="_Hlk35578184"/>
      <w:bookmarkStart w:id="31" w:name="_Hlk35578186"/>
      <w:bookmarkStart w:id="32" w:name="_Hlk35578185"/>
      <w:r>
        <w:rPr>
          <w:rFonts w:hint="eastAsia"/>
          <w:bCs/>
          <w:color w:val="auto"/>
          <w:kern w:val="2"/>
          <w:sz w:val="21"/>
          <w:szCs w:val="21"/>
          <w:highlight w:val="none"/>
          <w:lang w:val="zh-CN"/>
        </w:rPr>
        <w:t>38.1</w:t>
      </w:r>
      <w:bookmarkEnd w:id="30"/>
      <w:bookmarkEnd w:id="31"/>
      <w:bookmarkEnd w:id="32"/>
      <w:r>
        <w:rPr>
          <w:rFonts w:hint="eastAsia"/>
          <w:bCs/>
          <w:color w:val="auto"/>
          <w:kern w:val="2"/>
          <w:sz w:val="21"/>
          <w:szCs w:val="21"/>
          <w:highlight w:val="none"/>
          <w:lang w:val="zh-CN"/>
        </w:rPr>
        <w:t xml:space="preserve"> 采购合同履行中，采购人需追加与合同标的相同的货物、工程或者服务的，在不改变合同其他条款的前提下，可以与供应商签订补充合同，但所补充合同的采购金额不得超过</w:t>
      </w:r>
      <w:r>
        <w:rPr>
          <w:rFonts w:hint="eastAsia"/>
          <w:bCs/>
          <w:color w:val="auto"/>
          <w:sz w:val="21"/>
          <w:szCs w:val="21"/>
          <w:highlight w:val="none"/>
        </w:rPr>
        <w:t>《</w:t>
      </w:r>
      <w:r>
        <w:rPr>
          <w:rFonts w:hint="eastAsia"/>
          <w:bCs/>
          <w:color w:val="auto"/>
          <w:sz w:val="21"/>
          <w:szCs w:val="21"/>
          <w:highlight w:val="none"/>
          <w:lang w:eastAsia="zh-CN"/>
        </w:rPr>
        <w:t>响应</w:t>
      </w:r>
      <w:r>
        <w:rPr>
          <w:rFonts w:hint="eastAsia"/>
          <w:bCs/>
          <w:color w:val="auto"/>
          <w:sz w:val="21"/>
          <w:szCs w:val="21"/>
          <w:highlight w:val="none"/>
        </w:rPr>
        <w:t>资料表》</w:t>
      </w:r>
      <w:r>
        <w:rPr>
          <w:rFonts w:hint="eastAsia"/>
          <w:bCs/>
          <w:color w:val="auto"/>
          <w:kern w:val="2"/>
          <w:sz w:val="21"/>
          <w:szCs w:val="21"/>
          <w:highlight w:val="none"/>
          <w:lang w:val="zh-CN"/>
        </w:rPr>
        <w:t>规定的幅度，以成交人响应报价的单价进行计算。签订补充合同的必须按照35.3条的规定备案。</w:t>
      </w:r>
    </w:p>
    <w:p>
      <w:pPr>
        <w:spacing w:line="360" w:lineRule="auto"/>
        <w:ind w:left="539" w:right="17" w:hanging="539"/>
        <w:jc w:val="both"/>
        <w:rPr>
          <w:bCs/>
          <w:color w:val="auto"/>
          <w:kern w:val="2"/>
          <w:sz w:val="21"/>
          <w:szCs w:val="21"/>
          <w:highlight w:val="none"/>
          <w:lang w:val="zh-CN"/>
        </w:rPr>
      </w:pPr>
      <w:r>
        <w:rPr>
          <w:rFonts w:hint="eastAsia"/>
          <w:bCs/>
          <w:color w:val="auto"/>
          <w:kern w:val="2"/>
          <w:sz w:val="21"/>
          <w:szCs w:val="21"/>
          <w:highlight w:val="none"/>
          <w:lang w:val="zh-CN"/>
        </w:rPr>
        <w:t>39.  发票</w:t>
      </w:r>
    </w:p>
    <w:p>
      <w:pPr>
        <w:spacing w:line="360" w:lineRule="auto"/>
        <w:ind w:left="539" w:right="17" w:hanging="539"/>
        <w:jc w:val="both"/>
        <w:rPr>
          <w:bCs/>
          <w:color w:val="auto"/>
          <w:kern w:val="2"/>
          <w:sz w:val="21"/>
          <w:szCs w:val="21"/>
          <w:highlight w:val="none"/>
          <w:lang w:val="zh-CN"/>
        </w:rPr>
      </w:pPr>
      <w:r>
        <w:rPr>
          <w:rFonts w:hint="eastAsia"/>
          <w:bCs/>
          <w:color w:val="auto"/>
          <w:kern w:val="2"/>
          <w:sz w:val="21"/>
          <w:szCs w:val="21"/>
          <w:highlight w:val="none"/>
          <w:lang w:val="zh-CN"/>
        </w:rPr>
        <w:t>39.1 该项目获得中标的成交人在执行合同过程中，向采购人出具的发票必须是由成交人开具，不得以其他单位或个人名义出具。</w:t>
      </w:r>
    </w:p>
    <w:p>
      <w:pPr>
        <w:spacing w:line="360" w:lineRule="auto"/>
        <w:ind w:left="540" w:right="18" w:hanging="540"/>
        <w:jc w:val="both"/>
        <w:rPr>
          <w:bCs/>
          <w:color w:val="auto"/>
          <w:kern w:val="2"/>
          <w:sz w:val="21"/>
          <w:szCs w:val="21"/>
          <w:highlight w:val="none"/>
          <w:lang w:val="zh-CN"/>
        </w:rPr>
      </w:pPr>
      <w:r>
        <w:rPr>
          <w:rFonts w:hint="eastAsia"/>
          <w:bCs/>
          <w:color w:val="auto"/>
          <w:kern w:val="2"/>
          <w:sz w:val="21"/>
          <w:szCs w:val="21"/>
          <w:highlight w:val="none"/>
          <w:lang w:val="zh-CN"/>
        </w:rPr>
        <w:t>40.  融资担保</w:t>
      </w:r>
    </w:p>
    <w:p>
      <w:pPr>
        <w:spacing w:line="360" w:lineRule="auto"/>
        <w:ind w:left="539" w:right="17" w:hanging="539"/>
        <w:jc w:val="both"/>
        <w:rPr>
          <w:bCs/>
          <w:color w:val="auto"/>
          <w:sz w:val="21"/>
          <w:szCs w:val="21"/>
          <w:highlight w:val="none"/>
        </w:rPr>
      </w:pPr>
      <w:r>
        <w:rPr>
          <w:rFonts w:hint="eastAsia"/>
          <w:bCs/>
          <w:color w:val="auto"/>
          <w:kern w:val="2"/>
          <w:sz w:val="21"/>
          <w:szCs w:val="21"/>
          <w:highlight w:val="none"/>
          <w:lang w:val="zh-CN"/>
        </w:rPr>
        <w:t xml:space="preserve">40.1 </w:t>
      </w:r>
      <w:r>
        <w:rPr>
          <w:rFonts w:hint="eastAsia"/>
          <w:bCs/>
          <w:color w:val="auto"/>
          <w:sz w:val="21"/>
          <w:szCs w:val="21"/>
          <w:highlight w:val="none"/>
        </w:rPr>
        <w:t>融资担保，是指由专业担保机构为谈判供应商向银行融资提供的保证担保。谈判供应商可以自愿选择是否采取融资担保的形式为采购履约进行融资。</w:t>
      </w:r>
    </w:p>
    <w:p>
      <w:pPr>
        <w:spacing w:line="360" w:lineRule="auto"/>
        <w:ind w:left="539" w:right="17" w:hanging="539"/>
        <w:jc w:val="both"/>
        <w:rPr>
          <w:bCs/>
          <w:color w:val="auto"/>
          <w:kern w:val="2"/>
          <w:sz w:val="21"/>
          <w:szCs w:val="21"/>
          <w:highlight w:val="none"/>
          <w:lang w:val="zh-CN"/>
        </w:rPr>
      </w:pPr>
      <w:bookmarkStart w:id="33" w:name="_Toc396137239"/>
      <w:r>
        <w:rPr>
          <w:rFonts w:hint="eastAsia"/>
          <w:bCs/>
          <w:color w:val="auto"/>
          <w:kern w:val="2"/>
          <w:sz w:val="21"/>
          <w:szCs w:val="21"/>
          <w:highlight w:val="none"/>
          <w:lang w:val="zh-CN"/>
        </w:rPr>
        <w:t>40.2 采购信用融资担保：为进一步发挥采购政策功能作用，支持和促进中小企业发展，有效缓解企业资金短缺压力，依据相关规定，各谈判供应商可结合项目实际情况，与金融机构进行融资贷款或信用担保。</w:t>
      </w:r>
      <w:bookmarkStart w:id="34" w:name="_Toc413402437"/>
    </w:p>
    <w:p>
      <w:pPr>
        <w:pStyle w:val="4"/>
        <w:spacing w:line="360" w:lineRule="auto"/>
        <w:rPr>
          <w:bCs/>
          <w:color w:val="auto"/>
          <w:kern w:val="44"/>
          <w:sz w:val="21"/>
          <w:szCs w:val="21"/>
          <w:highlight w:val="none"/>
          <w:lang w:val="zh-CN"/>
        </w:rPr>
      </w:pPr>
      <w:bookmarkStart w:id="35" w:name="_Toc508723467"/>
      <w:r>
        <w:rPr>
          <w:rFonts w:hint="eastAsia"/>
          <w:bCs/>
          <w:color w:val="auto"/>
          <w:kern w:val="44"/>
          <w:sz w:val="21"/>
          <w:szCs w:val="21"/>
          <w:highlight w:val="none"/>
          <w:lang w:val="zh-CN"/>
        </w:rPr>
        <w:t>（七）质疑与回复</w:t>
      </w:r>
      <w:bookmarkEnd w:id="33"/>
      <w:bookmarkEnd w:id="34"/>
      <w:bookmarkEnd w:id="35"/>
    </w:p>
    <w:p>
      <w:pPr>
        <w:spacing w:line="360" w:lineRule="auto"/>
        <w:rPr>
          <w:bCs/>
          <w:color w:val="auto"/>
          <w:sz w:val="21"/>
          <w:szCs w:val="21"/>
          <w:highlight w:val="none"/>
        </w:rPr>
      </w:pPr>
      <w:r>
        <w:rPr>
          <w:rFonts w:hint="eastAsia"/>
          <w:bCs/>
          <w:color w:val="auto"/>
          <w:sz w:val="21"/>
          <w:szCs w:val="21"/>
          <w:highlight w:val="none"/>
        </w:rPr>
        <w:t>41   质疑与回复</w:t>
      </w:r>
    </w:p>
    <w:p>
      <w:pPr>
        <w:spacing w:line="360" w:lineRule="auto"/>
        <w:rPr>
          <w:bCs/>
          <w:color w:val="auto"/>
          <w:sz w:val="21"/>
          <w:szCs w:val="21"/>
          <w:highlight w:val="none"/>
        </w:rPr>
      </w:pPr>
      <w:r>
        <w:rPr>
          <w:rFonts w:hint="eastAsia"/>
          <w:bCs/>
          <w:color w:val="auto"/>
          <w:sz w:val="21"/>
          <w:szCs w:val="21"/>
          <w:highlight w:val="none"/>
        </w:rPr>
        <w:t>41.1 质疑书应当包括下列主要内容：</w:t>
      </w:r>
    </w:p>
    <w:p>
      <w:pPr>
        <w:spacing w:line="360" w:lineRule="auto"/>
        <w:rPr>
          <w:bCs/>
          <w:color w:val="auto"/>
          <w:sz w:val="21"/>
          <w:szCs w:val="21"/>
          <w:highlight w:val="none"/>
        </w:rPr>
      </w:pPr>
      <w:r>
        <w:rPr>
          <w:rFonts w:hint="eastAsia"/>
          <w:bCs/>
          <w:color w:val="auto"/>
          <w:sz w:val="21"/>
          <w:szCs w:val="21"/>
          <w:highlight w:val="none"/>
        </w:rPr>
        <w:t xml:space="preserve">    (1) 质疑人和被质疑人的名称、地址、电话等；</w:t>
      </w:r>
    </w:p>
    <w:p>
      <w:pPr>
        <w:spacing w:line="360" w:lineRule="auto"/>
        <w:rPr>
          <w:bCs/>
          <w:color w:val="auto"/>
          <w:sz w:val="21"/>
          <w:szCs w:val="21"/>
          <w:highlight w:val="none"/>
        </w:rPr>
      </w:pPr>
      <w:r>
        <w:rPr>
          <w:rFonts w:hint="eastAsia"/>
          <w:bCs/>
          <w:color w:val="auto"/>
          <w:sz w:val="21"/>
          <w:szCs w:val="21"/>
          <w:highlight w:val="none"/>
        </w:rPr>
        <w:t xml:space="preserve">    (2) 具体的质疑事项及事实依据；</w:t>
      </w:r>
    </w:p>
    <w:p>
      <w:pPr>
        <w:spacing w:line="360" w:lineRule="auto"/>
        <w:rPr>
          <w:bCs/>
          <w:color w:val="auto"/>
          <w:sz w:val="21"/>
          <w:szCs w:val="21"/>
          <w:highlight w:val="none"/>
        </w:rPr>
      </w:pPr>
      <w:r>
        <w:rPr>
          <w:rFonts w:hint="eastAsia"/>
          <w:bCs/>
          <w:color w:val="auto"/>
          <w:sz w:val="21"/>
          <w:szCs w:val="21"/>
          <w:highlight w:val="none"/>
        </w:rPr>
        <w:t xml:space="preserve">    (3) 提起质疑的日期。</w:t>
      </w:r>
    </w:p>
    <w:p>
      <w:pPr>
        <w:spacing w:line="360" w:lineRule="auto"/>
        <w:ind w:left="539" w:right="17" w:hanging="539"/>
        <w:jc w:val="both"/>
        <w:rPr>
          <w:bCs/>
          <w:color w:val="auto"/>
          <w:sz w:val="21"/>
          <w:szCs w:val="21"/>
          <w:highlight w:val="none"/>
        </w:rPr>
      </w:pPr>
      <w:r>
        <w:rPr>
          <w:rFonts w:hint="eastAsia"/>
          <w:bCs/>
          <w:color w:val="auto"/>
          <w:kern w:val="2"/>
          <w:sz w:val="21"/>
          <w:szCs w:val="21"/>
          <w:highlight w:val="none"/>
          <w:lang w:val="zh-CN"/>
        </w:rPr>
        <w:t>41</w:t>
      </w:r>
      <w:r>
        <w:rPr>
          <w:rFonts w:hint="eastAsia"/>
          <w:bCs/>
          <w:color w:val="auto"/>
          <w:sz w:val="21"/>
          <w:szCs w:val="21"/>
          <w:highlight w:val="none"/>
        </w:rPr>
        <w:t>.2. 质疑书应当署名。质疑人为自然人的，应当由本人签字；质疑人为法人或者</w:t>
      </w:r>
      <w:r>
        <w:rPr>
          <w:rFonts w:hint="eastAsia"/>
          <w:bCs/>
          <w:color w:val="auto"/>
          <w:kern w:val="2"/>
          <w:sz w:val="21"/>
          <w:szCs w:val="21"/>
          <w:highlight w:val="none"/>
          <w:lang w:val="zh-CN"/>
        </w:rPr>
        <w:t>其他</w:t>
      </w:r>
      <w:r>
        <w:rPr>
          <w:rFonts w:hint="eastAsia"/>
          <w:bCs/>
          <w:color w:val="auto"/>
          <w:sz w:val="21"/>
          <w:szCs w:val="21"/>
          <w:highlight w:val="none"/>
        </w:rPr>
        <w:t>组织的，应当由法定代表人或者主要负责人签字并加盖公章。</w:t>
      </w:r>
    </w:p>
    <w:p>
      <w:pPr>
        <w:spacing w:line="360" w:lineRule="auto"/>
        <w:ind w:left="539" w:right="17" w:hanging="539"/>
        <w:jc w:val="both"/>
        <w:rPr>
          <w:bCs/>
          <w:color w:val="auto"/>
          <w:sz w:val="21"/>
          <w:szCs w:val="21"/>
          <w:highlight w:val="none"/>
        </w:rPr>
      </w:pPr>
      <w:r>
        <w:rPr>
          <w:rFonts w:hint="eastAsia"/>
          <w:bCs/>
          <w:color w:val="auto"/>
          <w:sz w:val="21"/>
          <w:szCs w:val="21"/>
          <w:highlight w:val="none"/>
        </w:rPr>
        <w:t>41.3. 谈判供应商认为采购文件的内容损害其权益的，应当以书面形式（加盖公章）在递交谈判响应文件截止时间前向采购代理机构提交质疑书原件，逾期质疑无效。谈判供应商以电话、传真或电邮形式提交的质疑属于无效质疑。</w:t>
      </w:r>
    </w:p>
    <w:p>
      <w:pPr>
        <w:spacing w:line="360" w:lineRule="auto"/>
        <w:ind w:left="539" w:right="17" w:hanging="539"/>
        <w:jc w:val="both"/>
        <w:rPr>
          <w:bCs/>
          <w:color w:val="auto"/>
          <w:sz w:val="21"/>
          <w:szCs w:val="21"/>
          <w:highlight w:val="none"/>
        </w:rPr>
      </w:pPr>
      <w:r>
        <w:rPr>
          <w:rFonts w:hint="eastAsia"/>
          <w:bCs/>
          <w:color w:val="auto"/>
          <w:sz w:val="21"/>
          <w:szCs w:val="21"/>
          <w:highlight w:val="none"/>
        </w:rPr>
        <w:t>41.4. 谈判供应商认为采购过程和中标结果使自己的权益受到损害的，应当以书面形式（加盖公章）在知道或者应知其权益受到损害之日起7个工作日内向采购代理机构提交质疑书原件，逾期质疑无效。谈判供应商以电话、传真或电邮形式提交的质疑属于无效质疑。</w:t>
      </w:r>
    </w:p>
    <w:p>
      <w:pPr>
        <w:spacing w:line="360" w:lineRule="auto"/>
        <w:ind w:left="539" w:right="17" w:hanging="539"/>
        <w:jc w:val="both"/>
        <w:rPr>
          <w:bCs/>
          <w:color w:val="auto"/>
          <w:sz w:val="21"/>
          <w:szCs w:val="21"/>
          <w:highlight w:val="none"/>
        </w:rPr>
      </w:pPr>
      <w:r>
        <w:rPr>
          <w:rFonts w:hint="eastAsia"/>
          <w:bCs/>
          <w:color w:val="auto"/>
          <w:sz w:val="21"/>
          <w:szCs w:val="21"/>
          <w:highlight w:val="none"/>
        </w:rPr>
        <w:t>41.5. 质疑内容不得含有虚假、恶意成分。依据谁主张谁举证的原则，质疑者提供的质疑书应当包括下列主要内容：具体的质疑事项、事实依据及相关确凿的证明材料和注明事实的确切来源、谈判供应商名称、联系人与联系电话、质疑时间，质疑书应当署名并由法定代表人或授权代表签字并加盖公章。采购代理机构受理书面质疑书原件之日起，在规定的期限内作出答复。对于捏造事实、进行虚假质疑及投诉情节严重的，禁止参加采购活动一至三年。</w:t>
      </w:r>
    </w:p>
    <w:p>
      <w:pPr>
        <w:spacing w:line="360" w:lineRule="auto"/>
        <w:ind w:left="539" w:right="17" w:hanging="539"/>
        <w:jc w:val="both"/>
        <w:rPr>
          <w:bCs/>
          <w:color w:val="auto"/>
          <w:sz w:val="21"/>
          <w:szCs w:val="21"/>
          <w:highlight w:val="none"/>
        </w:rPr>
      </w:pPr>
      <w:r>
        <w:rPr>
          <w:rFonts w:hint="eastAsia"/>
          <w:bCs/>
          <w:color w:val="auto"/>
          <w:sz w:val="21"/>
          <w:szCs w:val="21"/>
          <w:highlight w:val="none"/>
        </w:rPr>
        <w:t>41.6.</w:t>
      </w:r>
      <w:r>
        <w:rPr>
          <w:rFonts w:hint="eastAsia"/>
          <w:bCs/>
          <w:color w:val="auto"/>
          <w:sz w:val="21"/>
          <w:szCs w:val="21"/>
          <w:highlight w:val="none"/>
        </w:rPr>
        <w:tab/>
      </w:r>
      <w:r>
        <w:rPr>
          <w:rFonts w:hint="eastAsia"/>
          <w:bCs/>
          <w:color w:val="auto"/>
          <w:sz w:val="21"/>
          <w:szCs w:val="21"/>
          <w:highlight w:val="none"/>
        </w:rPr>
        <w:t>采购代理机构在收到供应商的有效书面质疑后7个工作日内作出答复，但答复的内容不涉及商业秘密，质疑供应商对采购人、采购代理机构的质疑答复不满意，或采购人、采购代理机构未在规定期限内作出答复的，可以在答复期满后15个工作日内向采购监督管理部门提出投诉。投诉事项应该是经过质疑的事项。</w:t>
      </w:r>
    </w:p>
    <w:p>
      <w:pPr>
        <w:pStyle w:val="10"/>
        <w:spacing w:line="360" w:lineRule="auto"/>
        <w:rPr>
          <w:bCs/>
          <w:color w:val="auto"/>
          <w:kern w:val="0"/>
          <w:szCs w:val="21"/>
          <w:highlight w:val="none"/>
        </w:rPr>
      </w:pPr>
      <w:r>
        <w:rPr>
          <w:bCs/>
          <w:color w:val="auto"/>
          <w:szCs w:val="21"/>
          <w:highlight w:val="none"/>
        </w:rPr>
        <w:br w:type="page"/>
      </w:r>
      <w:r>
        <w:rPr>
          <w:rFonts w:hint="eastAsia"/>
          <w:bCs/>
          <w:color w:val="auto"/>
          <w:sz w:val="28"/>
          <w:szCs w:val="24"/>
          <w:highlight w:val="none"/>
        </w:rPr>
        <w:t>附件一：</w:t>
      </w:r>
      <w:r>
        <w:rPr>
          <w:rFonts w:hint="eastAsia"/>
          <w:bCs/>
          <w:color w:val="auto"/>
          <w:sz w:val="28"/>
          <w:szCs w:val="28"/>
          <w:highlight w:val="none"/>
          <w:lang w:val="zh-CN"/>
        </w:rPr>
        <w:t>收费标准</w:t>
      </w:r>
    </w:p>
    <w:p>
      <w:pPr>
        <w:spacing w:before="100" w:after="100" w:line="360" w:lineRule="auto"/>
        <w:jc w:val="center"/>
        <w:rPr>
          <w:bCs/>
          <w:color w:val="auto"/>
          <w:kern w:val="2"/>
          <w:sz w:val="28"/>
          <w:szCs w:val="28"/>
          <w:highlight w:val="none"/>
          <w:lang w:val="zh-CN"/>
        </w:rPr>
      </w:pPr>
      <w:r>
        <w:rPr>
          <w:rFonts w:hint="eastAsia"/>
          <w:bCs/>
          <w:color w:val="auto"/>
          <w:kern w:val="2"/>
          <w:sz w:val="28"/>
          <w:szCs w:val="28"/>
          <w:highlight w:val="none"/>
          <w:lang w:val="zh-CN"/>
        </w:rPr>
        <w:t>招标代理服务收费标准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485"/>
        <w:gridCol w:w="1875"/>
        <w:gridCol w:w="1940"/>
        <w:gridCol w:w="1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bCs/>
                <w:color w:val="auto"/>
                <w:kern w:val="2"/>
                <w:sz w:val="21"/>
                <w:szCs w:val="21"/>
                <w:highlight w:val="none"/>
                <w:lang w:val="zh-CN"/>
              </w:rPr>
            </w:pPr>
            <w:r>
              <w:rPr>
                <w:bCs/>
                <w:color w:val="auto"/>
                <w:kern w:val="2"/>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7620</wp:posOffset>
                      </wp:positionV>
                      <wp:extent cx="1598930" cy="1179195"/>
                      <wp:effectExtent l="2540" t="3810" r="17780" b="17145"/>
                      <wp:wrapNone/>
                      <wp:docPr id="8" name="直接连接符 8"/>
                      <wp:cNvGraphicFramePr/>
                      <a:graphic xmlns:a="http://schemas.openxmlformats.org/drawingml/2006/main">
                        <a:graphicData uri="http://schemas.microsoft.com/office/word/2010/wordprocessingShape">
                          <wps:wsp>
                            <wps:cNvCnPr/>
                            <wps:spPr>
                              <a:xfrm>
                                <a:off x="0" y="0"/>
                                <a:ext cx="1598930" cy="11791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5pt;margin-top:0.6pt;height:92.85pt;width:125.9pt;z-index:251660288;mso-width-relative:page;mso-height-relative:page;" filled="f" stroked="t" coordsize="21600,21600" o:gfxdata="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tN4Z3XAAAACAEAAA8AAAAAAAAAAQAgAAAAIgAAAGRycy9kb3ducmV2&#10;LnhtbFBLAQIUABQAAAAIAIdO4kAvw5Kb/QEAAPgDAAAOAAAAAAAAAAEAIAAAACYBAABkcnMvZTJv&#10;RG9jLnhtbFBLBQYAAAAABgAGAFkBAACVBQAAAAA=&#10;">
                      <v:fill on="f" focussize="0,0"/>
                      <v:stroke color="#000000" joinstyle="round"/>
                      <v:imagedata o:title=""/>
                      <o:lock v:ext="edit" aspectratio="f"/>
                    </v:line>
                  </w:pict>
                </mc:Fallback>
              </mc:AlternateContent>
            </w:r>
            <w:r>
              <w:rPr>
                <w:bCs/>
                <w:color w:val="auto"/>
                <w:kern w:val="2"/>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1905</wp:posOffset>
                      </wp:positionV>
                      <wp:extent cx="1598930" cy="533400"/>
                      <wp:effectExtent l="1270" t="4445" r="19050" b="14605"/>
                      <wp:wrapNone/>
                      <wp:docPr id="15" name="直接连接符 15"/>
                      <wp:cNvGraphicFramePr/>
                      <a:graphic xmlns:a="http://schemas.openxmlformats.org/drawingml/2006/main">
                        <a:graphicData uri="http://schemas.microsoft.com/office/word/2010/wordprocessingShape">
                          <wps:wsp>
                            <wps:cNvCnPr/>
                            <wps:spPr>
                              <a:xfrm>
                                <a:off x="0" y="0"/>
                                <a:ext cx="1598930" cy="533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5pt;margin-top:0.15pt;height:42pt;width:125.9pt;z-index:251659264;mso-width-relative:page;mso-height-relative:page;" filled="f" stroked="t" coordsize="21600,21600" o:gfxdata="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SDkfdUAAAAGAQAADwAAAAAAAAABACAAAAAiAAAAZHJzL2Rvd25y&#10;ZXYueG1sUEsBAhQAFAAAAAgAh07iQCM+7boBAgAA+QMAAA4AAAAAAAAAAQAgAAAAJAEAAGRycy9l&#10;Mm9Eb2MueG1sUEsFBgAAAAAGAAYAWQEAAJcFAAAAAA==&#10;">
                      <v:fill on="f" focussize="0,0"/>
                      <v:stroke color="#000000" joinstyle="round"/>
                      <v:imagedata o:title=""/>
                      <o:lock v:ext="edit" aspectratio="f"/>
                    </v:line>
                  </w:pict>
                </mc:Fallback>
              </mc:AlternateContent>
            </w:r>
            <w:r>
              <w:rPr>
                <w:bCs/>
                <w:color w:val="auto"/>
                <w:kern w:val="2"/>
                <w:sz w:val="21"/>
                <w:szCs w:val="21"/>
                <w:highlight w:val="none"/>
                <w:lang w:val="zh-CN"/>
              </w:rPr>
              <w:t xml:space="preserve">          </w:t>
            </w:r>
            <w:r>
              <w:rPr>
                <w:rFonts w:hint="eastAsia"/>
                <w:bCs/>
                <w:color w:val="auto"/>
                <w:kern w:val="2"/>
                <w:sz w:val="21"/>
                <w:szCs w:val="21"/>
                <w:highlight w:val="none"/>
                <w:lang w:val="zh-CN"/>
              </w:rPr>
              <w:t>服务类型</w:t>
            </w:r>
          </w:p>
          <w:p>
            <w:pPr>
              <w:spacing w:before="100" w:after="100" w:line="360" w:lineRule="auto"/>
              <w:ind w:firstLine="1104"/>
              <w:jc w:val="both"/>
              <w:rPr>
                <w:bCs/>
                <w:color w:val="auto"/>
                <w:kern w:val="2"/>
                <w:sz w:val="21"/>
                <w:szCs w:val="21"/>
                <w:highlight w:val="none"/>
                <w:lang w:val="zh-CN"/>
              </w:rPr>
            </w:pPr>
            <w:r>
              <w:rPr>
                <w:rFonts w:hint="eastAsia"/>
                <w:bCs/>
                <w:color w:val="auto"/>
                <w:kern w:val="2"/>
                <w:sz w:val="21"/>
                <w:szCs w:val="21"/>
                <w:highlight w:val="none"/>
                <w:lang w:val="zh-CN"/>
              </w:rPr>
              <w:t>费率</w:t>
            </w:r>
          </w:p>
          <w:p>
            <w:pPr>
              <w:spacing w:before="100" w:after="100" w:line="360" w:lineRule="auto"/>
              <w:jc w:val="both"/>
              <w:rPr>
                <w:bCs/>
                <w:color w:val="auto"/>
                <w:kern w:val="2"/>
                <w:sz w:val="21"/>
                <w:szCs w:val="21"/>
                <w:highlight w:val="none"/>
                <w:lang w:val="zh-CN"/>
              </w:rPr>
            </w:pPr>
            <w:r>
              <w:rPr>
                <w:rFonts w:hint="eastAsia"/>
                <w:bCs/>
                <w:color w:val="auto"/>
                <w:kern w:val="2"/>
                <w:sz w:val="21"/>
                <w:szCs w:val="21"/>
                <w:highlight w:val="none"/>
                <w:lang w:val="zh-CN"/>
              </w:rPr>
              <w:t>中标金额（万元）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bCs/>
                <w:color w:val="auto"/>
                <w:kern w:val="2"/>
                <w:sz w:val="21"/>
                <w:szCs w:val="21"/>
                <w:highlight w:val="none"/>
                <w:lang w:val="zh-CN"/>
              </w:rPr>
            </w:pPr>
            <w:r>
              <w:rPr>
                <w:rFonts w:hint="eastAsia"/>
                <w:bCs/>
                <w:color w:val="auto"/>
                <w:kern w:val="2"/>
                <w:sz w:val="21"/>
                <w:szCs w:val="21"/>
                <w:highlight w:val="none"/>
                <w:lang w:val="zh-CN"/>
              </w:rPr>
              <w:t>货物招标</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bCs/>
                <w:color w:val="auto"/>
                <w:kern w:val="2"/>
                <w:sz w:val="21"/>
                <w:szCs w:val="21"/>
                <w:highlight w:val="none"/>
                <w:lang w:val="zh-CN"/>
              </w:rPr>
            </w:pPr>
            <w:r>
              <w:rPr>
                <w:rFonts w:hint="eastAsia"/>
                <w:bCs/>
                <w:color w:val="auto"/>
                <w:kern w:val="2"/>
                <w:sz w:val="21"/>
                <w:szCs w:val="21"/>
                <w:highlight w:val="none"/>
                <w:lang w:val="zh-CN"/>
              </w:rPr>
              <w:t>服务招标</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bCs/>
                <w:color w:val="auto"/>
                <w:kern w:val="2"/>
                <w:sz w:val="21"/>
                <w:szCs w:val="21"/>
                <w:highlight w:val="none"/>
                <w:lang w:val="zh-CN"/>
              </w:rPr>
            </w:pPr>
            <w:r>
              <w:rPr>
                <w:rFonts w:hint="eastAsia"/>
                <w:bCs/>
                <w:color w:val="auto"/>
                <w:kern w:val="2"/>
                <w:sz w:val="21"/>
                <w:szCs w:val="21"/>
                <w:highlight w:val="none"/>
                <w:lang w:val="zh-CN"/>
              </w:rPr>
              <w:t>工程招标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100万元以下</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cs="宋体"/>
                <w:bCs/>
                <w:color w:val="auto"/>
                <w:sz w:val="21"/>
                <w:szCs w:val="21"/>
                <w:highlight w:val="none"/>
              </w:rPr>
              <w:t xml:space="preserve">  </w:t>
            </w:r>
            <w:r>
              <w:rPr>
                <w:rFonts w:cs="宋体"/>
                <w:bCs/>
                <w:color w:val="auto"/>
                <w:sz w:val="21"/>
                <w:szCs w:val="21"/>
                <w:highlight w:val="none"/>
              </w:rPr>
              <w:t xml:space="preserve">1.5% </w:t>
            </w:r>
            <w:r>
              <w:rPr>
                <w:rFonts w:hint="eastAsia" w:cs="宋体"/>
                <w:bCs/>
                <w:color w:val="auto"/>
                <w:sz w:val="21"/>
                <w:szCs w:val="21"/>
                <w:highlight w:val="none"/>
              </w:rPr>
              <w:t xml:space="preserve">          </w:t>
            </w:r>
            <w:r>
              <w:rPr>
                <w:rFonts w:cs="宋体"/>
                <w:bCs/>
                <w:color w:val="auto"/>
                <w:sz w:val="21"/>
                <w:szCs w:val="21"/>
                <w:highlight w:val="none"/>
              </w:rPr>
              <w:t xml:space="preserve"> </w:t>
            </w:r>
            <w:r>
              <w:rPr>
                <w:rFonts w:hint="eastAsia" w:cs="宋体"/>
                <w:bCs/>
                <w:color w:val="auto"/>
                <w:sz w:val="21"/>
                <w:szCs w:val="21"/>
                <w:highlight w:val="none"/>
              </w:rPr>
              <w:t xml:space="preserve">    </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1.5%</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100～500万元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 xml:space="preserve">1.1% </w:t>
            </w:r>
            <w:r>
              <w:rPr>
                <w:rFonts w:hint="eastAsia" w:cs="宋体"/>
                <w:bCs/>
                <w:color w:val="auto"/>
                <w:sz w:val="21"/>
                <w:szCs w:val="21"/>
                <w:highlight w:val="none"/>
              </w:rPr>
              <w:t xml:space="preserve">                </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0.8%</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500～1000万元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cs="宋体"/>
                <w:bCs/>
                <w:color w:val="auto"/>
                <w:sz w:val="21"/>
                <w:szCs w:val="21"/>
                <w:highlight w:val="none"/>
              </w:rPr>
              <w:t xml:space="preserve">  </w:t>
            </w:r>
            <w:r>
              <w:rPr>
                <w:rFonts w:cs="宋体"/>
                <w:bCs/>
                <w:color w:val="auto"/>
                <w:sz w:val="21"/>
                <w:szCs w:val="21"/>
                <w:highlight w:val="none"/>
              </w:rPr>
              <w:t xml:space="preserve">0.8% </w:t>
            </w:r>
            <w:r>
              <w:rPr>
                <w:rFonts w:hint="eastAsia" w:cs="宋体"/>
                <w:bCs/>
                <w:color w:val="auto"/>
                <w:sz w:val="21"/>
                <w:szCs w:val="21"/>
                <w:highlight w:val="none"/>
              </w:rPr>
              <w:t xml:space="preserve">               </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0.45%</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1000～5000万元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 xml:space="preserve">0.5% </w:t>
            </w:r>
            <w:r>
              <w:rPr>
                <w:rFonts w:hint="eastAsia" w:cs="宋体"/>
                <w:bCs/>
                <w:color w:val="auto"/>
                <w:sz w:val="21"/>
                <w:szCs w:val="21"/>
                <w:highlight w:val="none"/>
              </w:rPr>
              <w:t xml:space="preserve">               </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0.25%</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5000万元～1亿元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 xml:space="preserve">0.25% </w:t>
            </w:r>
            <w:r>
              <w:rPr>
                <w:rFonts w:hint="eastAsia" w:cs="宋体"/>
                <w:bCs/>
                <w:color w:val="auto"/>
                <w:sz w:val="21"/>
                <w:szCs w:val="21"/>
                <w:highlight w:val="none"/>
              </w:rPr>
              <w:t xml:space="preserve">      </w:t>
            </w:r>
            <w:r>
              <w:rPr>
                <w:rFonts w:cs="宋体"/>
                <w:bCs/>
                <w:color w:val="auto"/>
                <w:sz w:val="21"/>
                <w:szCs w:val="21"/>
                <w:highlight w:val="none"/>
              </w:rPr>
              <w:t xml:space="preserve"> </w:t>
            </w:r>
            <w:r>
              <w:rPr>
                <w:rFonts w:hint="eastAsia" w:cs="宋体"/>
                <w:bCs/>
                <w:color w:val="auto"/>
                <w:sz w:val="21"/>
                <w:szCs w:val="21"/>
                <w:highlight w:val="none"/>
              </w:rPr>
              <w:t xml:space="preserve">         </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0.1%</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cs="宋体"/>
                <w:bCs/>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1～5亿元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hint="eastAsia"/>
                <w:bCs/>
                <w:color w:val="auto"/>
                <w:sz w:val="21"/>
                <w:szCs w:val="21"/>
                <w:highlight w:val="none"/>
              </w:rPr>
              <w:t>0.05%</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 xml:space="preserve">  0.05%</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5～10亿元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bCs/>
                <w:color w:val="auto"/>
                <w:sz w:val="21"/>
                <w:szCs w:val="21"/>
                <w:highlight w:val="none"/>
              </w:rPr>
            </w:pPr>
            <w:r>
              <w:rPr>
                <w:rFonts w:hint="eastAsia"/>
                <w:bCs/>
                <w:color w:val="auto"/>
                <w:sz w:val="21"/>
                <w:szCs w:val="21"/>
                <w:highlight w:val="none"/>
              </w:rPr>
              <w:t>0.035%</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 xml:space="preserve">  0.035%</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bCs/>
                <w:color w:val="auto"/>
                <w:sz w:val="21"/>
                <w:szCs w:val="21"/>
                <w:highlight w:val="none"/>
              </w:rPr>
            </w:pPr>
            <w:r>
              <w:rPr>
                <w:rFonts w:hint="eastAsia"/>
                <w:bCs/>
                <w:color w:val="auto"/>
                <w:sz w:val="21"/>
                <w:szCs w:val="21"/>
                <w:highlight w:val="none"/>
              </w:rPr>
              <w:t>0.035%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10～50亿元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bCs/>
                <w:color w:val="auto"/>
                <w:sz w:val="21"/>
                <w:szCs w:val="21"/>
                <w:highlight w:val="none"/>
              </w:rPr>
            </w:pPr>
            <w:r>
              <w:rPr>
                <w:rFonts w:hint="eastAsia"/>
                <w:bCs/>
                <w:color w:val="auto"/>
                <w:sz w:val="21"/>
                <w:szCs w:val="21"/>
                <w:highlight w:val="none"/>
              </w:rPr>
              <w:t>0.008%</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hint="eastAsia"/>
                <w:bCs/>
                <w:color w:val="auto"/>
                <w:sz w:val="21"/>
                <w:szCs w:val="21"/>
                <w:highlight w:val="none"/>
              </w:rPr>
              <w:t>0.008%</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bCs/>
                <w:color w:val="auto"/>
                <w:sz w:val="21"/>
                <w:szCs w:val="21"/>
                <w:highlight w:val="none"/>
              </w:rPr>
            </w:pPr>
            <w:r>
              <w:rPr>
                <w:rFonts w:hint="eastAsia"/>
                <w:bCs/>
                <w:color w:val="auto"/>
                <w:sz w:val="21"/>
                <w:szCs w:val="21"/>
                <w:highlight w:val="none"/>
              </w:rPr>
              <w:t>0.008%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50～100亿元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 xml:space="preserve"> 0.006%</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hint="eastAsia"/>
                <w:bCs/>
                <w:color w:val="auto"/>
                <w:sz w:val="21"/>
                <w:szCs w:val="21"/>
                <w:highlight w:val="none"/>
              </w:rPr>
              <w:t>0.006%</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bCs/>
                <w:color w:val="auto"/>
                <w:sz w:val="21"/>
                <w:szCs w:val="21"/>
                <w:highlight w:val="none"/>
              </w:rPr>
            </w:pPr>
            <w:r>
              <w:rPr>
                <w:rFonts w:hint="eastAsia"/>
                <w:bCs/>
                <w:color w:val="auto"/>
                <w:sz w:val="21"/>
                <w:szCs w:val="21"/>
                <w:highlight w:val="none"/>
              </w:rPr>
              <w:t>0.006%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7"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100亿以上</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Cs/>
                <w:color w:val="auto"/>
                <w:sz w:val="21"/>
                <w:szCs w:val="21"/>
                <w:highlight w:val="none"/>
              </w:rPr>
            </w:pPr>
            <w:r>
              <w:rPr>
                <w:rFonts w:hint="eastAsia"/>
                <w:bCs/>
                <w:color w:val="auto"/>
                <w:sz w:val="21"/>
                <w:szCs w:val="21"/>
                <w:highlight w:val="none"/>
              </w:rPr>
              <w:t xml:space="preserve"> 0.004%</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bCs/>
                <w:color w:val="auto"/>
                <w:sz w:val="21"/>
                <w:szCs w:val="21"/>
                <w:highlight w:val="none"/>
              </w:rPr>
            </w:pPr>
            <w:r>
              <w:rPr>
                <w:rFonts w:hint="eastAsia"/>
                <w:bCs/>
                <w:color w:val="auto"/>
                <w:sz w:val="21"/>
                <w:szCs w:val="21"/>
                <w:highlight w:val="none"/>
              </w:rPr>
              <w:t>0.004%</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bCs/>
                <w:color w:val="auto"/>
                <w:sz w:val="21"/>
                <w:szCs w:val="21"/>
                <w:highlight w:val="none"/>
              </w:rPr>
            </w:pPr>
            <w:r>
              <w:rPr>
                <w:rFonts w:hint="eastAsia"/>
                <w:bCs/>
                <w:color w:val="auto"/>
                <w:sz w:val="21"/>
                <w:szCs w:val="21"/>
                <w:highlight w:val="none"/>
              </w:rPr>
              <w:t>0.004%</w:t>
            </w:r>
          </w:p>
        </w:tc>
      </w:tr>
    </w:tbl>
    <w:p>
      <w:pPr>
        <w:spacing w:line="360" w:lineRule="auto"/>
        <w:jc w:val="both"/>
        <w:rPr>
          <w:bCs/>
          <w:color w:val="auto"/>
          <w:kern w:val="2"/>
          <w:sz w:val="21"/>
          <w:highlight w:val="none"/>
          <w:lang w:val="zh-CN"/>
        </w:rPr>
      </w:pPr>
    </w:p>
    <w:p>
      <w:pPr>
        <w:pStyle w:val="10"/>
        <w:spacing w:line="360" w:lineRule="auto"/>
        <w:rPr>
          <w:bCs/>
          <w:color w:val="auto"/>
          <w:sz w:val="24"/>
          <w:szCs w:val="24"/>
          <w:highlight w:val="none"/>
          <w:lang w:val="zh-CN"/>
        </w:rPr>
      </w:pPr>
      <w:r>
        <w:rPr>
          <w:bCs/>
          <w:color w:val="auto"/>
          <w:highlight w:val="none"/>
          <w:lang w:val="zh-CN"/>
        </w:rPr>
        <w:br w:type="page"/>
      </w:r>
      <w:r>
        <w:rPr>
          <w:rFonts w:hint="eastAsia"/>
          <w:bCs/>
          <w:color w:val="auto"/>
          <w:sz w:val="28"/>
          <w:szCs w:val="24"/>
          <w:highlight w:val="none"/>
        </w:rPr>
        <w:t>附件二：评标工作大纲</w:t>
      </w:r>
    </w:p>
    <w:p>
      <w:pPr>
        <w:rPr>
          <w:bCs/>
          <w:color w:val="auto"/>
          <w:highlight w:val="none"/>
        </w:rPr>
      </w:pPr>
      <w:bookmarkStart w:id="36" w:name="_Toc413402462"/>
      <w:bookmarkStart w:id="37" w:name="_Toc396137263"/>
      <w:r>
        <w:rPr>
          <w:rFonts w:hint="eastAsia"/>
          <w:bCs/>
          <w:color w:val="auto"/>
          <w:highlight w:val="none"/>
        </w:rPr>
        <w:t>一、评标原则和目的</w:t>
      </w:r>
      <w:bookmarkEnd w:id="36"/>
      <w:bookmarkEnd w:id="37"/>
    </w:p>
    <w:p>
      <w:pPr>
        <w:numPr>
          <w:ilvl w:val="1"/>
          <w:numId w:val="4"/>
        </w:numPr>
        <w:autoSpaceDE/>
        <w:autoSpaceDN/>
        <w:adjustRightInd/>
        <w:spacing w:line="360" w:lineRule="auto"/>
        <w:jc w:val="both"/>
        <w:rPr>
          <w:bCs/>
          <w:color w:val="auto"/>
          <w:sz w:val="21"/>
          <w:szCs w:val="21"/>
          <w:highlight w:val="none"/>
        </w:rPr>
      </w:pPr>
      <w:r>
        <w:rPr>
          <w:rFonts w:hint="eastAsia"/>
          <w:bCs/>
          <w:color w:val="auto"/>
          <w:sz w:val="21"/>
          <w:szCs w:val="21"/>
          <w:highlight w:val="none"/>
        </w:rPr>
        <w:t>本项目评标必须遵循公开、公平、公正、诚实信用的原则。</w:t>
      </w:r>
    </w:p>
    <w:p>
      <w:pPr>
        <w:numPr>
          <w:ilvl w:val="1"/>
          <w:numId w:val="4"/>
        </w:numPr>
        <w:autoSpaceDE/>
        <w:autoSpaceDN/>
        <w:adjustRightInd/>
        <w:spacing w:line="360" w:lineRule="auto"/>
        <w:jc w:val="both"/>
        <w:rPr>
          <w:bCs/>
          <w:color w:val="auto"/>
          <w:szCs w:val="21"/>
          <w:highlight w:val="none"/>
        </w:rPr>
      </w:pPr>
      <w:r>
        <w:rPr>
          <w:rFonts w:hint="eastAsia"/>
          <w:bCs/>
          <w:color w:val="auto"/>
          <w:sz w:val="21"/>
          <w:szCs w:val="21"/>
          <w:highlight w:val="none"/>
        </w:rPr>
        <w:t>本办法的评标对象是指谈判供应商按照采购文件要求提供的有效谈判响应文件，包括谈判供应商应谈判小组要求对原谈判响应文件作出的正式书面澄清文件。</w:t>
      </w:r>
    </w:p>
    <w:p>
      <w:pPr>
        <w:rPr>
          <w:bCs/>
          <w:color w:val="auto"/>
          <w:highlight w:val="none"/>
        </w:rPr>
      </w:pPr>
      <w:bookmarkStart w:id="38" w:name="_Toc413402463"/>
      <w:bookmarkStart w:id="39" w:name="_Toc396137264"/>
      <w:r>
        <w:rPr>
          <w:rFonts w:hint="eastAsia"/>
          <w:bCs/>
          <w:color w:val="auto"/>
          <w:highlight w:val="none"/>
        </w:rPr>
        <w:t>二、评标程序</w:t>
      </w:r>
      <w:bookmarkEnd w:id="38"/>
      <w:bookmarkEnd w:id="39"/>
    </w:p>
    <w:p>
      <w:pPr>
        <w:tabs>
          <w:tab w:val="left" w:pos="984"/>
        </w:tabs>
        <w:snapToGrid w:val="0"/>
        <w:spacing w:line="360" w:lineRule="auto"/>
        <w:ind w:left="-171" w:hanging="9"/>
        <w:rPr>
          <w:bCs/>
          <w:color w:val="auto"/>
          <w:sz w:val="21"/>
          <w:szCs w:val="21"/>
          <w:highlight w:val="none"/>
        </w:rPr>
      </w:pPr>
      <w:r>
        <w:rPr>
          <w:rFonts w:hint="eastAsia"/>
          <w:bCs/>
          <w:color w:val="auto"/>
          <w:sz w:val="21"/>
          <w:szCs w:val="21"/>
          <w:highlight w:val="none"/>
        </w:rPr>
        <w:t>（一）对谈判供应商的资格性检查</w:t>
      </w:r>
    </w:p>
    <w:p>
      <w:pPr>
        <w:snapToGrid w:val="0"/>
        <w:spacing w:line="360" w:lineRule="auto"/>
        <w:ind w:left="-171" w:firstLine="576"/>
        <w:rPr>
          <w:bCs/>
          <w:color w:val="auto"/>
          <w:sz w:val="21"/>
          <w:szCs w:val="21"/>
          <w:highlight w:val="none"/>
        </w:rPr>
      </w:pPr>
      <w:r>
        <w:rPr>
          <w:rFonts w:hint="eastAsia"/>
          <w:bCs/>
          <w:color w:val="auto"/>
          <w:sz w:val="21"/>
          <w:szCs w:val="21"/>
          <w:highlight w:val="none"/>
        </w:rPr>
        <w:t>评标过程应在开标后立即开始。依据法律法规和采购文件的规定，对每个谈判供应商进行技术、商务谈判，内容包括：谈判保证金、谈判书、法人授权书、资格证明文件以及谈判文件中列明的其他导致废标的条款。最后进行价格谈判，给予谈判供应商最终报价机会。</w:t>
      </w:r>
    </w:p>
    <w:p>
      <w:pPr>
        <w:pStyle w:val="17"/>
        <w:widowControl w:val="0"/>
        <w:spacing w:before="0" w:beforeAutospacing="0" w:after="0" w:afterAutospacing="0" w:line="360" w:lineRule="auto"/>
        <w:ind w:left="-26" w:leftChars="-85" w:hanging="178" w:hangingChars="85"/>
        <w:rPr>
          <w:bCs/>
          <w:color w:val="auto"/>
          <w:kern w:val="2"/>
          <w:sz w:val="21"/>
          <w:szCs w:val="21"/>
          <w:highlight w:val="none"/>
        </w:rPr>
      </w:pPr>
      <w:r>
        <w:rPr>
          <w:rFonts w:hint="eastAsia"/>
          <w:bCs/>
          <w:color w:val="auto"/>
          <w:kern w:val="2"/>
          <w:sz w:val="21"/>
          <w:szCs w:val="21"/>
          <w:highlight w:val="none"/>
        </w:rPr>
        <w:t>（二）对谈判供应商的符合性检查</w:t>
      </w:r>
    </w:p>
    <w:p>
      <w:pPr>
        <w:pStyle w:val="17"/>
        <w:widowControl w:val="0"/>
        <w:tabs>
          <w:tab w:val="left" w:pos="1080"/>
        </w:tabs>
        <w:spacing w:before="0" w:beforeAutospacing="0" w:after="0" w:afterAutospacing="0" w:line="360" w:lineRule="auto"/>
        <w:ind w:left="154" w:leftChars="64" w:firstLine="420" w:firstLineChars="200"/>
        <w:rPr>
          <w:bCs/>
          <w:color w:val="auto"/>
          <w:kern w:val="2"/>
          <w:sz w:val="21"/>
          <w:szCs w:val="21"/>
          <w:highlight w:val="none"/>
        </w:rPr>
      </w:pPr>
      <w:r>
        <w:rPr>
          <w:rFonts w:hint="eastAsia"/>
          <w:bCs/>
          <w:color w:val="auto"/>
          <w:kern w:val="2"/>
          <w:sz w:val="21"/>
          <w:szCs w:val="21"/>
          <w:highlight w:val="none"/>
        </w:rPr>
        <w:t>符合性检查是依据采购文件的规定，从谈判响应文件的有效性、完整性和对采购文件的响应程度进行审查，以确定是否对采购文件的实质性要求作出响应。</w:t>
      </w:r>
    </w:p>
    <w:p>
      <w:pPr>
        <w:pStyle w:val="17"/>
        <w:widowControl w:val="0"/>
        <w:spacing w:before="0" w:beforeAutospacing="0" w:after="0" w:afterAutospacing="0" w:line="360" w:lineRule="auto"/>
        <w:ind w:left="-26" w:leftChars="-85" w:hanging="178" w:hangingChars="85"/>
        <w:rPr>
          <w:bCs/>
          <w:color w:val="auto"/>
          <w:kern w:val="2"/>
          <w:sz w:val="21"/>
          <w:szCs w:val="21"/>
          <w:highlight w:val="none"/>
        </w:rPr>
      </w:pPr>
      <w:r>
        <w:rPr>
          <w:rFonts w:hint="eastAsia"/>
          <w:bCs/>
          <w:color w:val="auto"/>
          <w:kern w:val="2"/>
          <w:sz w:val="21"/>
          <w:szCs w:val="21"/>
          <w:highlight w:val="none"/>
        </w:rPr>
        <w:t>（三）资格性检查和符合性检查过程中，谈判供应商有不符合下列情况之一的，被认定为无效</w:t>
      </w:r>
      <w:r>
        <w:rPr>
          <w:rFonts w:hint="eastAsia"/>
          <w:bCs/>
          <w:color w:val="auto"/>
          <w:kern w:val="2"/>
          <w:sz w:val="21"/>
          <w:szCs w:val="21"/>
          <w:highlight w:val="none"/>
          <w:lang w:eastAsia="zh-CN"/>
        </w:rPr>
        <w:t>响应</w:t>
      </w:r>
      <w:r>
        <w:rPr>
          <w:rFonts w:hint="eastAsia"/>
          <w:bCs/>
          <w:color w:val="auto"/>
          <w:kern w:val="2"/>
          <w:sz w:val="21"/>
          <w:szCs w:val="21"/>
          <w:highlight w:val="none"/>
        </w:rPr>
        <w:t>：</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rPr>
        <w:t>1）已按采购文件要求交纳谈判保证金；</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rPr>
        <w:t>2）</w:t>
      </w:r>
      <w:r>
        <w:rPr>
          <w:rFonts w:hint="eastAsia" w:ascii="宋体" w:eastAsia="宋体"/>
          <w:bCs/>
          <w:color w:val="auto"/>
          <w:sz w:val="21"/>
          <w:szCs w:val="21"/>
          <w:highlight w:val="none"/>
          <w:lang w:eastAsia="zh-CN"/>
        </w:rPr>
        <w:t>响应报价</w:t>
      </w:r>
      <w:r>
        <w:rPr>
          <w:rFonts w:hint="eastAsia" w:ascii="宋体" w:eastAsia="宋体"/>
          <w:bCs/>
          <w:color w:val="auto"/>
          <w:sz w:val="21"/>
          <w:szCs w:val="21"/>
          <w:highlight w:val="none"/>
        </w:rPr>
        <w:t>未超出本项目的最高限价或采购预算；</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rPr>
        <w:t>3）符合合格谈判供应商的基本条件（提供资格证明文件并符合采购文件要求）；</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rPr>
        <w:t xml:space="preserve">4）谈判响应文件按照采购文件规定要求签字盖章，签字人有法定代表人有效授权； </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rPr>
        <w:t>5）</w:t>
      </w:r>
      <w:r>
        <w:rPr>
          <w:rFonts w:hint="eastAsia" w:ascii="宋体" w:eastAsia="宋体"/>
          <w:bCs/>
          <w:color w:val="auto"/>
          <w:sz w:val="21"/>
          <w:szCs w:val="21"/>
          <w:highlight w:val="none"/>
          <w:lang w:eastAsia="zh-CN"/>
        </w:rPr>
        <w:t>谈判有效期</w:t>
      </w:r>
      <w:r>
        <w:rPr>
          <w:rFonts w:hint="eastAsia" w:ascii="宋体" w:eastAsia="宋体"/>
          <w:bCs/>
          <w:color w:val="auto"/>
          <w:sz w:val="21"/>
          <w:szCs w:val="21"/>
          <w:highlight w:val="none"/>
        </w:rPr>
        <w:t>限符合要求；</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lang w:val="en-US" w:eastAsia="zh-CN"/>
        </w:rPr>
        <w:t>7</w:t>
      </w:r>
      <w:r>
        <w:rPr>
          <w:rFonts w:hint="eastAsia" w:ascii="宋体" w:eastAsia="宋体"/>
          <w:bCs/>
          <w:color w:val="auto"/>
          <w:sz w:val="21"/>
          <w:szCs w:val="21"/>
          <w:highlight w:val="none"/>
        </w:rPr>
        <w:t>）未将一个包中的内容拆开进行部分</w:t>
      </w:r>
      <w:r>
        <w:rPr>
          <w:rFonts w:hint="eastAsia" w:ascii="宋体" w:eastAsia="宋体"/>
          <w:bCs/>
          <w:color w:val="auto"/>
          <w:sz w:val="21"/>
          <w:szCs w:val="21"/>
          <w:highlight w:val="none"/>
          <w:lang w:eastAsia="zh-CN"/>
        </w:rPr>
        <w:t>响应</w:t>
      </w:r>
      <w:r>
        <w:rPr>
          <w:rFonts w:hint="eastAsia" w:ascii="宋体" w:eastAsia="宋体"/>
          <w:bCs/>
          <w:color w:val="auto"/>
          <w:sz w:val="21"/>
          <w:szCs w:val="21"/>
          <w:highlight w:val="none"/>
        </w:rPr>
        <w:t>且</w:t>
      </w:r>
      <w:r>
        <w:rPr>
          <w:rFonts w:hint="eastAsia" w:ascii="宋体" w:eastAsia="宋体"/>
          <w:bCs/>
          <w:color w:val="auto"/>
          <w:sz w:val="21"/>
          <w:szCs w:val="21"/>
          <w:highlight w:val="none"/>
          <w:lang w:eastAsia="zh-CN"/>
        </w:rPr>
        <w:t>供应商</w:t>
      </w:r>
      <w:r>
        <w:rPr>
          <w:rFonts w:hint="eastAsia" w:ascii="宋体" w:eastAsia="宋体"/>
          <w:bCs/>
          <w:color w:val="auto"/>
          <w:sz w:val="21"/>
          <w:szCs w:val="21"/>
          <w:highlight w:val="none"/>
        </w:rPr>
        <w:t>案唯一；</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lang w:val="en-US" w:eastAsia="zh-CN"/>
        </w:rPr>
        <w:t>8</w:t>
      </w:r>
      <w:r>
        <w:rPr>
          <w:rFonts w:hint="eastAsia" w:ascii="宋体" w:eastAsia="宋体"/>
          <w:bCs/>
          <w:color w:val="auto"/>
          <w:sz w:val="21"/>
          <w:szCs w:val="21"/>
          <w:highlight w:val="none"/>
        </w:rPr>
        <w:t>) 谈判响应文件商务、技术响应与事实相符，无虚假</w:t>
      </w:r>
      <w:r>
        <w:rPr>
          <w:rFonts w:hint="eastAsia" w:ascii="宋体" w:eastAsia="宋体"/>
          <w:bCs/>
          <w:color w:val="auto"/>
          <w:sz w:val="21"/>
          <w:szCs w:val="21"/>
          <w:highlight w:val="none"/>
          <w:lang w:eastAsia="zh-CN"/>
        </w:rPr>
        <w:t>响应</w:t>
      </w:r>
      <w:r>
        <w:rPr>
          <w:rFonts w:hint="eastAsia" w:ascii="宋体" w:eastAsia="宋体"/>
          <w:bCs/>
          <w:color w:val="auto"/>
          <w:sz w:val="21"/>
          <w:szCs w:val="21"/>
          <w:highlight w:val="none"/>
        </w:rPr>
        <w:t>；</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lang w:val="en-US" w:eastAsia="zh-CN"/>
        </w:rPr>
        <w:t>9</w:t>
      </w:r>
      <w:r>
        <w:rPr>
          <w:rFonts w:hint="eastAsia" w:ascii="宋体" w:eastAsia="宋体"/>
          <w:bCs/>
          <w:color w:val="auto"/>
          <w:sz w:val="21"/>
          <w:szCs w:val="21"/>
          <w:highlight w:val="none"/>
        </w:rPr>
        <w:t>) 响应采购文件提出标注★条款的要求和条件；</w:t>
      </w:r>
    </w:p>
    <w:p>
      <w:pPr>
        <w:pStyle w:val="24"/>
        <w:spacing w:line="360" w:lineRule="auto"/>
        <w:ind w:firstLine="210" w:firstLineChars="100"/>
        <w:rPr>
          <w:rFonts w:ascii="宋体" w:eastAsia="宋体"/>
          <w:bCs/>
          <w:color w:val="auto"/>
          <w:sz w:val="21"/>
          <w:szCs w:val="21"/>
          <w:highlight w:val="none"/>
        </w:rPr>
      </w:pPr>
      <w:r>
        <w:rPr>
          <w:rFonts w:hint="eastAsia" w:ascii="宋体" w:eastAsia="宋体"/>
          <w:bCs/>
          <w:color w:val="auto"/>
          <w:sz w:val="21"/>
          <w:szCs w:val="21"/>
          <w:highlight w:val="none"/>
        </w:rPr>
        <w:t>1</w:t>
      </w:r>
      <w:r>
        <w:rPr>
          <w:rFonts w:hint="eastAsia" w:ascii="宋体" w:eastAsia="宋体"/>
          <w:bCs/>
          <w:color w:val="auto"/>
          <w:sz w:val="21"/>
          <w:szCs w:val="21"/>
          <w:highlight w:val="none"/>
          <w:lang w:val="en-US" w:eastAsia="zh-CN"/>
        </w:rPr>
        <w:t>0</w:t>
      </w:r>
      <w:r>
        <w:rPr>
          <w:rFonts w:hint="eastAsia" w:ascii="宋体" w:eastAsia="宋体"/>
          <w:bCs/>
          <w:color w:val="auto"/>
          <w:sz w:val="21"/>
          <w:szCs w:val="21"/>
          <w:highlight w:val="none"/>
        </w:rPr>
        <w:t>）法律、法规和招标文件规定的其他无效情形。</w:t>
      </w:r>
    </w:p>
    <w:p>
      <w:pPr>
        <w:pStyle w:val="17"/>
        <w:widowControl w:val="0"/>
        <w:spacing w:before="0" w:beforeAutospacing="0" w:after="0" w:afterAutospacing="0" w:line="360" w:lineRule="auto"/>
        <w:ind w:left="512" w:leftChars="-85" w:hanging="716" w:hangingChars="341"/>
        <w:rPr>
          <w:bCs/>
          <w:color w:val="auto"/>
          <w:sz w:val="21"/>
          <w:szCs w:val="21"/>
          <w:highlight w:val="none"/>
        </w:rPr>
      </w:pPr>
      <w:r>
        <w:rPr>
          <w:rFonts w:hint="eastAsia"/>
          <w:bCs/>
          <w:color w:val="auto"/>
          <w:sz w:val="21"/>
          <w:szCs w:val="21"/>
          <w:highlight w:val="none"/>
        </w:rPr>
        <w:t>（四） 以上资格性检查、符合性检查中带部分有不合格分项的谈判响应文件，将作废标处理。经谈判小组确认的无效谈判响应文件，采购人和采购代理机构将予以拒绝，并且不允许通过修正或撤消其不符合要求的差异，使之成为具有符合性的谈判响应文件。</w:t>
      </w:r>
    </w:p>
    <w:p>
      <w:pPr>
        <w:pStyle w:val="17"/>
        <w:widowControl w:val="0"/>
        <w:spacing w:before="0" w:beforeAutospacing="0" w:after="0" w:afterAutospacing="0" w:line="360" w:lineRule="auto"/>
        <w:ind w:left="384" w:leftChars="-85" w:hanging="588" w:hangingChars="280"/>
        <w:rPr>
          <w:bCs/>
          <w:color w:val="auto"/>
          <w:sz w:val="21"/>
          <w:szCs w:val="21"/>
          <w:highlight w:val="none"/>
        </w:rPr>
      </w:pPr>
      <w:r>
        <w:rPr>
          <w:rFonts w:hint="eastAsia"/>
          <w:bCs/>
          <w:color w:val="auto"/>
          <w:sz w:val="21"/>
          <w:szCs w:val="21"/>
          <w:highlight w:val="none"/>
        </w:rPr>
        <w:t>（五）谈判小组应于开标之后首先就谈判供应商的谈判响应文件进行资格性检查和符合性检查，经谈判小组确认具有有效谈判响应文件的谈判供应商不足三家时将重新组织采购。</w:t>
      </w:r>
    </w:p>
    <w:p>
      <w:pPr>
        <w:pStyle w:val="17"/>
        <w:widowControl w:val="0"/>
        <w:spacing w:before="0" w:beforeAutospacing="0" w:after="0" w:afterAutospacing="0" w:line="360" w:lineRule="auto"/>
        <w:ind w:left="-26" w:leftChars="-85" w:hanging="178" w:hangingChars="85"/>
        <w:rPr>
          <w:bCs/>
          <w:color w:val="auto"/>
          <w:sz w:val="21"/>
          <w:szCs w:val="21"/>
          <w:highlight w:val="none"/>
        </w:rPr>
      </w:pPr>
      <w:r>
        <w:rPr>
          <w:rFonts w:hint="eastAsia"/>
          <w:bCs/>
          <w:color w:val="auto"/>
          <w:sz w:val="21"/>
          <w:szCs w:val="21"/>
          <w:highlight w:val="none"/>
        </w:rPr>
        <w:t>（六）现场澄清：按采购文件第二篇。</w:t>
      </w:r>
    </w:p>
    <w:p>
      <w:pPr>
        <w:pStyle w:val="17"/>
        <w:widowControl w:val="0"/>
        <w:spacing w:before="0" w:beforeAutospacing="0" w:after="0" w:afterAutospacing="0" w:line="360" w:lineRule="auto"/>
        <w:ind w:left="-26" w:leftChars="-85" w:hanging="178" w:hangingChars="85"/>
        <w:rPr>
          <w:bCs/>
          <w:color w:val="auto"/>
          <w:sz w:val="21"/>
          <w:szCs w:val="21"/>
          <w:highlight w:val="none"/>
        </w:rPr>
      </w:pPr>
      <w:r>
        <w:rPr>
          <w:rFonts w:hint="eastAsia"/>
          <w:bCs/>
          <w:color w:val="auto"/>
          <w:sz w:val="21"/>
          <w:szCs w:val="21"/>
          <w:highlight w:val="none"/>
        </w:rPr>
        <w:t>（七）细微偏差修正</w:t>
      </w:r>
    </w:p>
    <w:p>
      <w:pPr>
        <w:pStyle w:val="17"/>
        <w:widowControl w:val="0"/>
        <w:spacing w:before="0" w:beforeAutospacing="0" w:after="0" w:afterAutospacing="0" w:line="360" w:lineRule="auto"/>
        <w:ind w:left="936" w:leftChars="257" w:hanging="319" w:hangingChars="152"/>
        <w:rPr>
          <w:bCs/>
          <w:color w:val="auto"/>
          <w:sz w:val="21"/>
          <w:szCs w:val="21"/>
          <w:highlight w:val="none"/>
        </w:rPr>
      </w:pPr>
      <w:r>
        <w:rPr>
          <w:rFonts w:hint="eastAsia"/>
          <w:bCs/>
          <w:color w:val="auto"/>
          <w:sz w:val="21"/>
          <w:szCs w:val="21"/>
          <w:highlight w:val="none"/>
        </w:rPr>
        <w:t>1、细微偏差是指经谈判小组确认为具有符合性的谈判响应文件虽然实质上响应采购文件要求，但个别地方存在遗漏或者提供了不完整的技术信息及数据，并且修正这些遗漏或者不完整不会更改谈判响应文件的实质性内容。</w:t>
      </w:r>
    </w:p>
    <w:p>
      <w:pPr>
        <w:pStyle w:val="17"/>
        <w:widowControl w:val="0"/>
        <w:spacing w:before="0" w:beforeAutospacing="0" w:after="0" w:afterAutospacing="0" w:line="360" w:lineRule="auto"/>
        <w:ind w:left="939" w:leftChars="260" w:hanging="315" w:hangingChars="150"/>
        <w:rPr>
          <w:bCs/>
          <w:color w:val="auto"/>
          <w:sz w:val="21"/>
          <w:szCs w:val="21"/>
          <w:highlight w:val="none"/>
        </w:rPr>
      </w:pPr>
      <w:r>
        <w:rPr>
          <w:rFonts w:hint="eastAsia"/>
          <w:bCs/>
          <w:color w:val="auto"/>
          <w:sz w:val="21"/>
          <w:szCs w:val="21"/>
          <w:highlight w:val="none"/>
        </w:rPr>
        <w:t>2、经谈判小组确认为具有符合性的谈判响应文件，若存在个别计算或累计方面的算术错误可视为谈判响应文件存在细微偏差并按照以下原则进行修正：</w:t>
      </w:r>
    </w:p>
    <w:p>
      <w:pPr>
        <w:pStyle w:val="17"/>
        <w:widowControl w:val="0"/>
        <w:spacing w:before="0" w:beforeAutospacing="0" w:after="0" w:afterAutospacing="0" w:line="360" w:lineRule="auto"/>
        <w:ind w:left="1154" w:leftChars="306" w:hanging="420" w:hangingChars="200"/>
        <w:rPr>
          <w:bCs/>
          <w:color w:val="auto"/>
          <w:sz w:val="21"/>
          <w:szCs w:val="21"/>
          <w:highlight w:val="none"/>
        </w:rPr>
      </w:pPr>
      <w:r>
        <w:rPr>
          <w:rFonts w:hint="eastAsia"/>
          <w:bCs/>
          <w:color w:val="auto"/>
          <w:sz w:val="21"/>
          <w:szCs w:val="21"/>
          <w:highlight w:val="none"/>
        </w:rPr>
        <w:t>（1）用数字表示的数额与用文字表示的数额不一致时，以文字数额为准进行修正；</w:t>
      </w:r>
    </w:p>
    <w:p>
      <w:pPr>
        <w:pStyle w:val="17"/>
        <w:widowControl w:val="0"/>
        <w:spacing w:before="0" w:beforeAutospacing="0" w:after="0" w:afterAutospacing="0" w:line="360" w:lineRule="auto"/>
        <w:ind w:left="1259" w:leftChars="306" w:hanging="525" w:hangingChars="250"/>
        <w:rPr>
          <w:bCs/>
          <w:color w:val="auto"/>
          <w:sz w:val="21"/>
          <w:szCs w:val="21"/>
          <w:highlight w:val="none"/>
        </w:rPr>
      </w:pPr>
      <w:r>
        <w:rPr>
          <w:rFonts w:hint="eastAsia"/>
          <w:bCs/>
          <w:color w:val="auto"/>
          <w:sz w:val="21"/>
          <w:szCs w:val="21"/>
          <w:highlight w:val="none"/>
        </w:rPr>
        <w:t>（2）单价与数量的乘积与合价不一致时，通常以单价为准。除非谈判小组认为单价有明显的小数点错位，此时应以合价为准，并修正单价；</w:t>
      </w:r>
    </w:p>
    <w:p>
      <w:pPr>
        <w:pStyle w:val="17"/>
        <w:widowControl w:val="0"/>
        <w:spacing w:before="0" w:beforeAutospacing="0" w:after="0" w:afterAutospacing="0" w:line="360" w:lineRule="auto"/>
        <w:ind w:left="1259" w:leftChars="306" w:hanging="525" w:hangingChars="250"/>
        <w:rPr>
          <w:bCs/>
          <w:color w:val="auto"/>
          <w:sz w:val="21"/>
          <w:szCs w:val="21"/>
          <w:highlight w:val="none"/>
        </w:rPr>
      </w:pPr>
      <w:r>
        <w:rPr>
          <w:rFonts w:hint="eastAsia"/>
          <w:bCs/>
          <w:color w:val="auto"/>
          <w:sz w:val="21"/>
          <w:szCs w:val="21"/>
          <w:highlight w:val="none"/>
        </w:rPr>
        <w:t>（3）分项报价累计与总价不一致时，通常以分项报价累计为准。除非谈判小组认为分项报价有明显的小数点错位，此时应以总价为准，并修正分项报价。</w:t>
      </w:r>
    </w:p>
    <w:p>
      <w:pPr>
        <w:pStyle w:val="17"/>
        <w:widowControl w:val="0"/>
        <w:spacing w:before="0" w:beforeAutospacing="0" w:after="0" w:afterAutospacing="0" w:line="360" w:lineRule="auto"/>
        <w:ind w:left="936" w:leftChars="257" w:hanging="319" w:hangingChars="152"/>
        <w:rPr>
          <w:bCs/>
          <w:color w:val="auto"/>
          <w:sz w:val="21"/>
          <w:szCs w:val="21"/>
          <w:highlight w:val="none"/>
        </w:rPr>
      </w:pPr>
      <w:r>
        <w:rPr>
          <w:rFonts w:hint="eastAsia"/>
          <w:bCs/>
          <w:color w:val="auto"/>
          <w:sz w:val="21"/>
          <w:szCs w:val="21"/>
          <w:highlight w:val="none"/>
        </w:rPr>
        <w:t>3、按照上述修正调整后的内容经谈判供应商确认后，对谈判供应商起约束作用。</w:t>
      </w:r>
    </w:p>
    <w:p>
      <w:pPr>
        <w:pStyle w:val="17"/>
        <w:widowControl w:val="0"/>
        <w:spacing w:before="0" w:beforeAutospacing="0" w:after="0" w:afterAutospacing="0" w:line="360" w:lineRule="auto"/>
        <w:ind w:left="936" w:leftChars="257" w:hanging="319" w:hangingChars="152"/>
        <w:rPr>
          <w:bCs/>
          <w:color w:val="auto"/>
          <w:sz w:val="21"/>
          <w:szCs w:val="21"/>
          <w:highlight w:val="none"/>
        </w:rPr>
      </w:pPr>
      <w:r>
        <w:rPr>
          <w:rFonts w:hint="eastAsia"/>
          <w:bCs/>
          <w:color w:val="auto"/>
          <w:sz w:val="21"/>
          <w:szCs w:val="21"/>
          <w:highlight w:val="none"/>
        </w:rPr>
        <w:t>4、经谈判小组确认存在细微偏差的谈判响应文件，谈判小组可以于评标结果宣布之前要求谈判供应商对谈判响应文件中存在的细微偏差进行修正，若谈判供应商拒绝修正，则其谈判响应文件将被拒绝并被没收谈判保证金。</w:t>
      </w:r>
    </w:p>
    <w:p>
      <w:pPr>
        <w:spacing w:line="360" w:lineRule="auto"/>
        <w:rPr>
          <w:bCs/>
          <w:color w:val="auto"/>
          <w:sz w:val="21"/>
          <w:szCs w:val="21"/>
          <w:highlight w:val="none"/>
        </w:rPr>
      </w:pPr>
      <w:r>
        <w:rPr>
          <w:rFonts w:hint="eastAsia"/>
          <w:bCs/>
          <w:color w:val="auto"/>
          <w:sz w:val="21"/>
          <w:szCs w:val="21"/>
          <w:highlight w:val="none"/>
        </w:rPr>
        <w:t>（八）推荐成交候选人名单</w:t>
      </w:r>
    </w:p>
    <w:p>
      <w:pPr>
        <w:spacing w:line="360" w:lineRule="auto"/>
        <w:ind w:left="559" w:leftChars="233"/>
        <w:rPr>
          <w:bCs/>
          <w:color w:val="auto"/>
          <w:sz w:val="21"/>
          <w:szCs w:val="21"/>
          <w:highlight w:val="none"/>
        </w:rPr>
      </w:pPr>
      <w:r>
        <w:rPr>
          <w:rFonts w:hint="eastAsia"/>
          <w:bCs/>
          <w:color w:val="auto"/>
          <w:sz w:val="21"/>
          <w:szCs w:val="21"/>
          <w:highlight w:val="none"/>
        </w:rPr>
        <w:t>（1）对每个谈判供应商进行技术、商务谈判，内容包括：谈判保证金、谈判书、法人授权书、资格证明文件以及谈判文件中列明的其他导致废标的条款。最后进行价格谈判，给予谈判供应商最终报价机会。</w:t>
      </w:r>
    </w:p>
    <w:p>
      <w:pPr>
        <w:spacing w:line="360" w:lineRule="auto"/>
        <w:ind w:left="559" w:leftChars="233"/>
        <w:rPr>
          <w:bCs/>
          <w:color w:val="auto"/>
          <w:sz w:val="21"/>
          <w:szCs w:val="21"/>
          <w:highlight w:val="none"/>
        </w:rPr>
      </w:pPr>
      <w:r>
        <w:rPr>
          <w:rFonts w:hint="eastAsia"/>
          <w:bCs/>
          <w:color w:val="auto"/>
          <w:sz w:val="21"/>
          <w:szCs w:val="21"/>
          <w:highlight w:val="none"/>
        </w:rPr>
        <w:t>（2）谈判小组将根据谈判结果对谈判供应商进行符合性检查，通过符合性检查并最终报价低者为成交候选人。</w:t>
      </w:r>
    </w:p>
    <w:p>
      <w:pPr>
        <w:spacing w:line="360" w:lineRule="auto"/>
        <w:rPr>
          <w:bCs/>
          <w:color w:val="auto"/>
          <w:sz w:val="21"/>
          <w:szCs w:val="21"/>
          <w:highlight w:val="none"/>
        </w:rPr>
      </w:pPr>
      <w:r>
        <w:rPr>
          <w:rFonts w:hint="eastAsia"/>
          <w:bCs/>
          <w:color w:val="auto"/>
          <w:sz w:val="21"/>
          <w:szCs w:val="21"/>
          <w:highlight w:val="none"/>
        </w:rPr>
        <w:t>（九）编制评标报告。</w:t>
      </w:r>
    </w:p>
    <w:p>
      <w:pPr>
        <w:spacing w:line="360" w:lineRule="auto"/>
        <w:ind w:left="634" w:leftChars="264" w:firstLine="420" w:firstLineChars="200"/>
        <w:rPr>
          <w:bCs/>
          <w:color w:val="auto"/>
          <w:sz w:val="21"/>
          <w:szCs w:val="21"/>
          <w:highlight w:val="none"/>
        </w:rPr>
      </w:pPr>
      <w:r>
        <w:rPr>
          <w:rFonts w:hint="eastAsia"/>
          <w:bCs/>
          <w:color w:val="auto"/>
          <w:sz w:val="21"/>
          <w:szCs w:val="21"/>
          <w:highlight w:val="none"/>
        </w:rPr>
        <w:t>谈判小组根据评标结果撰写评标报告。评标报告是谈判小组根据全体评标成员签字的原始评标记录和评标结果编写的报告，其主要内容包括：</w:t>
      </w:r>
    </w:p>
    <w:p>
      <w:pPr>
        <w:spacing w:line="360" w:lineRule="auto"/>
        <w:rPr>
          <w:bCs/>
          <w:color w:val="auto"/>
          <w:sz w:val="21"/>
          <w:szCs w:val="21"/>
          <w:highlight w:val="none"/>
        </w:rPr>
      </w:pPr>
      <w:r>
        <w:rPr>
          <w:rFonts w:hint="eastAsia"/>
          <w:bCs/>
          <w:color w:val="auto"/>
          <w:sz w:val="21"/>
          <w:szCs w:val="21"/>
          <w:highlight w:val="none"/>
        </w:rPr>
        <w:t>　　  1、采购公告刊登的媒体名称、开标日期和地点；</w:t>
      </w:r>
    </w:p>
    <w:p>
      <w:pPr>
        <w:spacing w:line="360" w:lineRule="auto"/>
        <w:rPr>
          <w:bCs/>
          <w:color w:val="auto"/>
          <w:sz w:val="21"/>
          <w:szCs w:val="21"/>
          <w:highlight w:val="none"/>
        </w:rPr>
      </w:pPr>
      <w:r>
        <w:rPr>
          <w:rFonts w:hint="eastAsia"/>
          <w:bCs/>
          <w:color w:val="auto"/>
          <w:sz w:val="21"/>
          <w:szCs w:val="21"/>
          <w:highlight w:val="none"/>
        </w:rPr>
        <w:t>　　  2、购买采购文件的谈判供应商名单和谈判小组成员名单；</w:t>
      </w:r>
    </w:p>
    <w:p>
      <w:pPr>
        <w:spacing w:line="360" w:lineRule="auto"/>
        <w:rPr>
          <w:bCs/>
          <w:color w:val="auto"/>
          <w:sz w:val="21"/>
          <w:szCs w:val="21"/>
          <w:highlight w:val="none"/>
        </w:rPr>
      </w:pPr>
      <w:r>
        <w:rPr>
          <w:rFonts w:hint="eastAsia"/>
          <w:bCs/>
          <w:color w:val="auto"/>
          <w:sz w:val="21"/>
          <w:szCs w:val="21"/>
          <w:highlight w:val="none"/>
        </w:rPr>
        <w:t>　　  3、评标方法和标准；</w:t>
      </w:r>
    </w:p>
    <w:p>
      <w:pPr>
        <w:spacing w:line="360" w:lineRule="auto"/>
        <w:rPr>
          <w:bCs/>
          <w:color w:val="auto"/>
          <w:sz w:val="21"/>
          <w:szCs w:val="21"/>
          <w:highlight w:val="none"/>
        </w:rPr>
      </w:pPr>
      <w:r>
        <w:rPr>
          <w:rFonts w:hint="eastAsia"/>
          <w:bCs/>
          <w:color w:val="auto"/>
          <w:sz w:val="21"/>
          <w:szCs w:val="21"/>
          <w:highlight w:val="none"/>
        </w:rPr>
        <w:t>　　  4、开标记录和评标情况及说明，包括</w:t>
      </w:r>
      <w:r>
        <w:rPr>
          <w:rFonts w:hint="eastAsia"/>
          <w:bCs/>
          <w:color w:val="auto"/>
          <w:sz w:val="21"/>
          <w:szCs w:val="21"/>
          <w:highlight w:val="none"/>
          <w:lang w:eastAsia="zh-CN"/>
        </w:rPr>
        <w:t>响应</w:t>
      </w:r>
      <w:r>
        <w:rPr>
          <w:rFonts w:hint="eastAsia"/>
          <w:bCs/>
          <w:color w:val="auto"/>
          <w:sz w:val="21"/>
          <w:szCs w:val="21"/>
          <w:highlight w:val="none"/>
        </w:rPr>
        <w:t>无效谈判供应商名单及原因；</w:t>
      </w:r>
    </w:p>
    <w:p>
      <w:pPr>
        <w:spacing w:line="360" w:lineRule="auto"/>
        <w:rPr>
          <w:bCs/>
          <w:color w:val="auto"/>
          <w:sz w:val="21"/>
          <w:szCs w:val="21"/>
          <w:highlight w:val="none"/>
        </w:rPr>
      </w:pPr>
      <w:r>
        <w:rPr>
          <w:rFonts w:hint="eastAsia"/>
          <w:bCs/>
          <w:color w:val="auto"/>
          <w:sz w:val="21"/>
          <w:szCs w:val="21"/>
          <w:highlight w:val="none"/>
        </w:rPr>
        <w:t>　　  5、评标结果和成交候选供应商排序表；</w:t>
      </w:r>
    </w:p>
    <w:p>
      <w:pPr>
        <w:spacing w:line="360" w:lineRule="auto"/>
        <w:ind w:firstLine="630" w:firstLineChars="300"/>
        <w:rPr>
          <w:bCs/>
          <w:color w:val="auto"/>
          <w:sz w:val="21"/>
          <w:szCs w:val="21"/>
          <w:highlight w:val="none"/>
        </w:rPr>
      </w:pPr>
      <w:r>
        <w:rPr>
          <w:rFonts w:hint="eastAsia"/>
          <w:bCs/>
          <w:color w:val="auto"/>
          <w:sz w:val="21"/>
          <w:szCs w:val="21"/>
          <w:highlight w:val="none"/>
        </w:rPr>
        <w:t>6、谈判小组的授标建议。</w:t>
      </w:r>
    </w:p>
    <w:p>
      <w:pPr>
        <w:spacing w:line="360" w:lineRule="auto"/>
        <w:jc w:val="center"/>
        <w:outlineLvl w:val="0"/>
        <w:rPr>
          <w:rFonts w:hint="eastAsia" w:cs="仿宋_GB2312"/>
          <w:b/>
          <w:color w:val="auto"/>
          <w:sz w:val="32"/>
          <w:szCs w:val="21"/>
          <w:highlight w:val="none"/>
        </w:rPr>
      </w:pPr>
      <w:bookmarkStart w:id="40" w:name="_Toc413402464"/>
      <w:bookmarkStart w:id="41" w:name="_Toc396137265"/>
      <w:r>
        <w:rPr>
          <w:bCs/>
          <w:color w:val="auto"/>
          <w:highlight w:val="none"/>
        </w:rPr>
        <w:br w:type="page"/>
      </w:r>
      <w:bookmarkEnd w:id="40"/>
      <w:bookmarkEnd w:id="41"/>
      <w:bookmarkStart w:id="42" w:name="_Toc508723468"/>
      <w:r>
        <w:rPr>
          <w:rFonts w:hint="eastAsia" w:cs="仿宋_GB2312"/>
          <w:b/>
          <w:color w:val="auto"/>
          <w:sz w:val="32"/>
          <w:szCs w:val="21"/>
          <w:highlight w:val="none"/>
        </w:rPr>
        <w:t>第三章  用户需求</w:t>
      </w:r>
      <w:bookmarkEnd w:id="42"/>
    </w:p>
    <w:p>
      <w:pPr>
        <w:pStyle w:val="4"/>
        <w:spacing w:line="360" w:lineRule="auto"/>
        <w:jc w:val="center"/>
        <w:rPr>
          <w:rFonts w:hint="eastAsia" w:ascii="宋体" w:hAnsi="宋体" w:eastAsia="宋体" w:cs="宋体"/>
          <w:b/>
          <w:bCs/>
          <w:color w:val="auto"/>
          <w:sz w:val="24"/>
          <w:szCs w:val="24"/>
          <w:highlight w:val="none"/>
        </w:rPr>
      </w:pPr>
      <w:bookmarkStart w:id="43" w:name="_Toc1593"/>
      <w:r>
        <w:rPr>
          <w:rFonts w:hint="eastAsia" w:ascii="宋体" w:hAnsi="宋体" w:eastAsia="宋体" w:cs="宋体"/>
          <w:b/>
          <w:bCs/>
          <w:color w:val="auto"/>
          <w:sz w:val="24"/>
          <w:szCs w:val="24"/>
          <w:highlight w:val="none"/>
        </w:rPr>
        <w:t>第一章 商务需求书</w:t>
      </w:r>
      <w:bookmarkEnd w:id="4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65"/>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Times New Roman"/>
                <w:b/>
                <w:color w:val="auto"/>
                <w:kern w:val="2"/>
                <w:sz w:val="24"/>
                <w:szCs w:val="22"/>
                <w:highlight w:val="none"/>
                <w:vertAlign w:val="baseline"/>
                <w:lang w:val="en-US" w:eastAsia="zh-CN" w:bidi="ar-SA"/>
              </w:rPr>
            </w:pPr>
            <w:r>
              <w:rPr>
                <w:rFonts w:hint="eastAsia" w:ascii="宋体" w:hAnsi="宋体" w:eastAsia="宋体" w:cs="宋体"/>
                <w:b/>
                <w:bCs w:val="0"/>
                <w:color w:val="auto"/>
                <w:kern w:val="2"/>
                <w:sz w:val="21"/>
                <w:szCs w:val="21"/>
                <w:highlight w:val="none"/>
                <w:lang w:val="en-US" w:eastAsia="zh-CN" w:bidi="ar-SA"/>
              </w:rPr>
              <w:t>序号</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仿宋_GB2312" w:cs="Times New Roman"/>
                <w:b/>
                <w:color w:val="auto"/>
                <w:kern w:val="2"/>
                <w:sz w:val="24"/>
                <w:szCs w:val="20"/>
                <w:highlight w:val="none"/>
                <w:vertAlign w:val="baseline"/>
                <w:lang w:val="en-US" w:eastAsia="zh-CN"/>
              </w:rPr>
            </w:pPr>
            <w:r>
              <w:rPr>
                <w:rFonts w:hint="eastAsia" w:ascii="宋体" w:hAnsi="宋体" w:eastAsia="宋体" w:cs="宋体"/>
                <w:b/>
                <w:bCs w:val="0"/>
                <w:color w:val="auto"/>
                <w:kern w:val="2"/>
                <w:sz w:val="21"/>
                <w:szCs w:val="21"/>
                <w:highlight w:val="none"/>
              </w:rPr>
              <w:t>需求名称</w:t>
            </w:r>
          </w:p>
        </w:tc>
        <w:tc>
          <w:tcPr>
            <w:tcW w:w="748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仿宋_GB2312" w:cs="Times New Roman"/>
                <w:b/>
                <w:color w:val="auto"/>
                <w:kern w:val="2"/>
                <w:sz w:val="24"/>
                <w:szCs w:val="20"/>
                <w:highlight w:val="none"/>
                <w:vertAlign w:val="baseline"/>
                <w:lang w:val="en-US" w:eastAsia="zh-CN"/>
              </w:rPr>
            </w:pPr>
            <w:r>
              <w:rPr>
                <w:rFonts w:hint="eastAsia" w:ascii="宋体" w:hAnsi="宋体" w:eastAsia="宋体" w:cs="宋体"/>
                <w:b/>
                <w:bCs w:val="0"/>
                <w:color w:val="auto"/>
                <w:kern w:val="2"/>
                <w:sz w:val="21"/>
                <w:szCs w:val="21"/>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1</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eastAsia="zh-CN"/>
              </w:rPr>
              <w:t>完工期</w:t>
            </w:r>
          </w:p>
        </w:tc>
        <w:tc>
          <w:tcPr>
            <w:tcW w:w="7488" w:type="dxa"/>
            <w:noWrap w:val="0"/>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签订合同后，</w:t>
            </w:r>
            <w:r>
              <w:rPr>
                <w:rFonts w:hint="eastAsia" w:hAnsi="宋体" w:cs="宋体"/>
                <w:color w:val="auto"/>
                <w:kern w:val="2"/>
                <w:sz w:val="21"/>
                <w:szCs w:val="21"/>
                <w:highlight w:val="none"/>
                <w:lang w:val="en-US" w:eastAsia="zh-CN"/>
              </w:rPr>
              <w:t>70</w:t>
            </w:r>
            <w:r>
              <w:rPr>
                <w:rFonts w:hint="eastAsia" w:ascii="宋体" w:hAnsi="宋体" w:eastAsia="宋体" w:cs="宋体"/>
                <w:color w:val="auto"/>
                <w:kern w:val="2"/>
                <w:sz w:val="21"/>
                <w:szCs w:val="21"/>
                <w:highlight w:val="none"/>
              </w:rPr>
              <w:t>天内完成（包括供货、施工、调试、验收</w:t>
            </w:r>
            <w:r>
              <w:rPr>
                <w:rFonts w:hint="eastAsia" w:ascii="宋体" w:hAnsi="宋体" w:eastAsia="宋体" w:cs="宋体"/>
                <w:color w:val="auto"/>
                <w:kern w:val="2"/>
                <w:sz w:val="21"/>
                <w:szCs w:val="21"/>
                <w:highlight w:val="none"/>
                <w:lang w:eastAsia="zh-CN"/>
              </w:rPr>
              <w:t>等</w:t>
            </w:r>
            <w:r>
              <w:rPr>
                <w:rFonts w:hint="eastAsia" w:ascii="宋体" w:hAnsi="宋体" w:eastAsia="宋体" w:cs="宋体"/>
                <w:color w:val="auto"/>
                <w:kern w:val="2"/>
                <w:sz w:val="21"/>
                <w:szCs w:val="21"/>
                <w:highlight w:val="none"/>
              </w:rPr>
              <w:t>工作）</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2</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eastAsia="zh-CN"/>
              </w:rPr>
              <w:t>服务地点</w:t>
            </w:r>
          </w:p>
        </w:tc>
        <w:tc>
          <w:tcPr>
            <w:tcW w:w="7488" w:type="dxa"/>
            <w:noWrap w:val="0"/>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eastAsia="zh-CN"/>
              </w:rPr>
              <w:t>招标</w:t>
            </w:r>
            <w:r>
              <w:rPr>
                <w:rFonts w:hint="eastAsia" w:ascii="宋体" w:hAnsi="宋体" w:eastAsia="宋体" w:cs="宋体"/>
                <w:b w:val="0"/>
                <w:bCs/>
                <w:color w:val="auto"/>
                <w:kern w:val="2"/>
                <w:sz w:val="21"/>
                <w:szCs w:val="21"/>
                <w:highlight w:val="none"/>
              </w:rPr>
              <w:t>人指定地点。（如有变化另行确定）。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3</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rPr>
              <w:t>报价要求</w:t>
            </w:r>
          </w:p>
        </w:tc>
        <w:tc>
          <w:tcPr>
            <w:tcW w:w="7488" w:type="dxa"/>
            <w:noWrap w:val="0"/>
            <w:vAlign w:val="center"/>
          </w:tcPr>
          <w:p>
            <w:pPr>
              <w:keepNext w:val="0"/>
              <w:keepLines w:val="0"/>
              <w:pageBreakBefore w:val="0"/>
              <w:widowControl/>
              <w:kinsoku/>
              <w:wordWrap/>
              <w:overflowPunct/>
              <w:topLinePunct w:val="0"/>
              <w:autoSpaceDE/>
              <w:autoSpaceDN/>
              <w:bidi w:val="0"/>
              <w:adjustRightInd/>
              <w:snapToGrid/>
              <w:spacing w:after="0" w:line="288" w:lineRule="auto"/>
              <w:ind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 xml:space="preserve">1、供应商的报价包括但不限于绿色施工安全防护措施费、其他措施项目费、货物及零配件的购置和安装费、人工费、材料费、运输费、质保期售后服务费、应向中华人民共和国政府缴纳的增值税和其它税等全部税费以及履行合同所需的费用、所有风险、责任等其他一切隐含及不可预见的费用。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8" w:lineRule="auto"/>
              <w:ind w:left="0" w:leftChars="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zh-CN"/>
              </w:rPr>
              <w:t>2、</w:t>
            </w:r>
            <w:r>
              <w:rPr>
                <w:rFonts w:hint="eastAsia" w:ascii="宋体" w:hAnsi="宋体" w:eastAsia="宋体" w:cs="宋体"/>
                <w:color w:val="auto"/>
                <w:kern w:val="2"/>
                <w:sz w:val="21"/>
                <w:szCs w:val="21"/>
                <w:highlight w:val="none"/>
                <w:lang w:val="zh-CN" w:eastAsia="zh-CN" w:bidi="zh-CN"/>
              </w:rPr>
              <w:t>本项目预算包含绿色施工安全防护措施费：235000.00元，</w:t>
            </w:r>
            <w:r>
              <w:rPr>
                <w:rFonts w:hint="eastAsia" w:ascii="宋体" w:hAnsi="宋体" w:eastAsia="宋体" w:cs="宋体"/>
                <w:b/>
                <w:bCs/>
                <w:color w:val="auto"/>
                <w:kern w:val="2"/>
                <w:sz w:val="21"/>
                <w:szCs w:val="21"/>
                <w:highlight w:val="none"/>
                <w:lang w:val="zh-CN" w:eastAsia="zh-CN" w:bidi="zh-CN"/>
              </w:rPr>
              <w:t>绿色施工安全防护措施费按给定固定金额进行填报，不作下浮。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4</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rPr>
              <w:t>★付款方式</w:t>
            </w:r>
          </w:p>
        </w:tc>
        <w:tc>
          <w:tcPr>
            <w:tcW w:w="74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88" w:lineRule="auto"/>
              <w:ind w:firstLine="422" w:firstLineChars="200"/>
              <w:jc w:val="left"/>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1、预付款支付</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（1）预付款的金额或比例为：合同金额的30%；</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（2）预付款支付期限：签合同后15天内；</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（3）预付款扣回的方式：第一次进度款中扣减。</w:t>
            </w:r>
          </w:p>
          <w:p>
            <w:pPr>
              <w:keepNext w:val="0"/>
              <w:keepLines w:val="0"/>
              <w:pageBreakBefore w:val="0"/>
              <w:widowControl/>
              <w:kinsoku/>
              <w:wordWrap/>
              <w:overflowPunct/>
              <w:topLinePunct w:val="0"/>
              <w:autoSpaceDE/>
              <w:autoSpaceDN/>
              <w:bidi w:val="0"/>
              <w:adjustRightInd w:val="0"/>
              <w:snapToGrid w:val="0"/>
              <w:spacing w:after="0" w:line="288" w:lineRule="auto"/>
              <w:ind w:firstLine="422" w:firstLineChars="200"/>
              <w:jc w:val="left"/>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rPr>
              <w:t>2、后续</w:t>
            </w:r>
            <w:r>
              <w:rPr>
                <w:rFonts w:hint="eastAsia" w:ascii="宋体" w:hAnsi="宋体" w:eastAsia="宋体" w:cs="宋体"/>
                <w:b/>
                <w:bCs w:val="0"/>
                <w:color w:val="auto"/>
                <w:kern w:val="2"/>
                <w:sz w:val="21"/>
                <w:szCs w:val="21"/>
                <w:highlight w:val="none"/>
              </w:rPr>
              <w:t>按进度款支付费用：</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工程进度付款申请方式：按工程进度分阶段申请支付</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（1）工程的主设备(组件、逆变器)全部进场后，承包人向发包人申请支付合同金额的50%的进度款。</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（2）工程现场安装施工完毕后，承包人向发包人申请支付合同金额的30%的进度款。</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（3）本工程经相关部门验收合格、并网送电后，承包人向发包人申请支付至合同总结算金额的95%工程款，剩余合同总结算金额5%为质保金。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5</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结算说明</w:t>
            </w:r>
          </w:p>
        </w:tc>
        <w:tc>
          <w:tcPr>
            <w:tcW w:w="74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88" w:lineRule="auto"/>
              <w:ind w:firstLine="422" w:firstLineChars="200"/>
              <w:jc w:val="left"/>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1、市场价格波动引起的调整</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（1）关于是否采用《价格指数权重表》的约定：否。</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（2）关于采用其他方式调整合同价款的约定：不作调整。</w:t>
            </w:r>
          </w:p>
          <w:p>
            <w:pPr>
              <w:keepNext w:val="0"/>
              <w:keepLines w:val="0"/>
              <w:pageBreakBefore w:val="0"/>
              <w:widowControl/>
              <w:kinsoku/>
              <w:wordWrap/>
              <w:overflowPunct/>
              <w:topLinePunct w:val="0"/>
              <w:autoSpaceDE/>
              <w:autoSpaceDN/>
              <w:bidi w:val="0"/>
              <w:adjustRightInd w:val="0"/>
              <w:snapToGrid w:val="0"/>
              <w:spacing w:after="0" w:line="288" w:lineRule="auto"/>
              <w:ind w:firstLine="422" w:firstLineChars="200"/>
              <w:jc w:val="left"/>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2、合同价格形式</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（1）关于合同价格形式的约定：总承包价。</w:t>
            </w:r>
          </w:p>
          <w:p>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（2）关于合同价格调整的约定：根据最终报装容量及国家相关法律法规作相应调整。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6</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合同条款</w:t>
            </w:r>
          </w:p>
        </w:tc>
        <w:tc>
          <w:tcPr>
            <w:tcW w:w="74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供应商响应本项目合同各项条款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Times New Roman"/>
                <w:b w:val="0"/>
                <w:bCs/>
                <w:color w:val="auto"/>
                <w:kern w:val="2"/>
                <w:sz w:val="21"/>
                <w:szCs w:val="20"/>
                <w:highlight w:val="none"/>
                <w:vertAlign w:val="baseline"/>
                <w:lang w:val="en-US" w:eastAsia="zh-CN" w:bidi="ar-SA"/>
              </w:rPr>
            </w:pPr>
            <w:r>
              <w:rPr>
                <w:rFonts w:hint="eastAsia" w:ascii="宋体" w:hAnsi="宋体" w:eastAsia="宋体" w:cs="Times New Roman"/>
                <w:b w:val="0"/>
                <w:bCs/>
                <w:color w:val="auto"/>
                <w:kern w:val="2"/>
                <w:sz w:val="21"/>
                <w:szCs w:val="20"/>
                <w:highlight w:val="none"/>
                <w:vertAlign w:val="baseline"/>
                <w:lang w:val="en-US" w:eastAsia="zh-CN" w:bidi="ar-SA"/>
              </w:rPr>
              <w:t>7</w:t>
            </w:r>
          </w:p>
        </w:tc>
        <w:tc>
          <w:tcPr>
            <w:tcW w:w="126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工程质量要求</w:t>
            </w:r>
          </w:p>
        </w:tc>
        <w:tc>
          <w:tcPr>
            <w:tcW w:w="74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达到国家或行业质量检验评定的</w:t>
            </w:r>
            <w:r>
              <w:rPr>
                <w:rFonts w:hint="eastAsia" w:ascii="宋体" w:hAnsi="宋体" w:eastAsia="宋体" w:cs="宋体"/>
                <w:b w:val="0"/>
                <w:bCs/>
                <w:color w:val="auto"/>
                <w:kern w:val="2"/>
                <w:sz w:val="21"/>
                <w:szCs w:val="21"/>
                <w:highlight w:val="none"/>
                <w:u w:val="single"/>
                <w:lang w:val="en-US" w:eastAsia="zh-CN" w:bidi="ar-SA"/>
              </w:rPr>
              <w:t xml:space="preserve"> 合格 </w:t>
            </w:r>
            <w:r>
              <w:rPr>
                <w:rFonts w:hint="eastAsia" w:ascii="宋体" w:hAnsi="宋体" w:eastAsia="宋体" w:cs="宋体"/>
                <w:b w:val="0"/>
                <w:bCs/>
                <w:color w:val="auto"/>
                <w:kern w:val="2"/>
                <w:sz w:val="21"/>
                <w:szCs w:val="21"/>
                <w:highlight w:val="none"/>
                <w:lang w:val="en-US" w:eastAsia="zh-CN" w:bidi="ar-SA"/>
              </w:rPr>
              <w:t>标准。</w:t>
            </w:r>
          </w:p>
        </w:tc>
      </w:tr>
    </w:tbl>
    <w:p>
      <w:pPr>
        <w:spacing w:line="360" w:lineRule="auto"/>
        <w:rPr>
          <w:rFonts w:hint="eastAsia" w:ascii="宋体" w:hAnsi="宋体" w:eastAsia="宋体" w:cs="宋体"/>
          <w:color w:val="auto"/>
          <w:sz w:val="21"/>
          <w:szCs w:val="21"/>
          <w:highlight w:val="none"/>
        </w:rPr>
      </w:pPr>
    </w:p>
    <w:p>
      <w:pPr>
        <w:pStyle w:val="8"/>
        <w:spacing w:line="360" w:lineRule="auto"/>
        <w:rPr>
          <w:rFonts w:hint="eastAsia" w:ascii="宋体" w:hAnsi="宋体" w:eastAsia="宋体" w:cs="宋体"/>
          <w:color w:val="auto"/>
          <w:sz w:val="21"/>
          <w:szCs w:val="21"/>
          <w:highlight w:val="none"/>
          <w:lang w:val="en-US"/>
        </w:rPr>
      </w:pPr>
    </w:p>
    <w:p>
      <w:pPr>
        <w:rPr>
          <w:rFonts w:hint="eastAsia"/>
          <w:color w:val="auto"/>
          <w:highlight w:val="none"/>
          <w:lang w:val="en-US"/>
        </w:rPr>
      </w:pPr>
    </w:p>
    <w:p>
      <w:pPr>
        <w:pStyle w:val="4"/>
        <w:spacing w:line="360" w:lineRule="auto"/>
        <w:jc w:val="center"/>
        <w:rPr>
          <w:rFonts w:hint="eastAsia" w:ascii="宋体" w:hAnsi="宋体" w:eastAsia="宋体" w:cs="宋体"/>
          <w:b/>
          <w:bCs/>
          <w:color w:val="auto"/>
          <w:sz w:val="24"/>
          <w:szCs w:val="24"/>
          <w:highlight w:val="none"/>
        </w:rPr>
      </w:pPr>
      <w:bookmarkStart w:id="44" w:name="_Toc19316"/>
      <w:r>
        <w:rPr>
          <w:rFonts w:hint="eastAsia" w:ascii="宋体" w:hAnsi="宋体" w:eastAsia="宋体" w:cs="宋体"/>
          <w:b/>
          <w:bCs/>
          <w:color w:val="auto"/>
          <w:sz w:val="24"/>
          <w:szCs w:val="24"/>
          <w:highlight w:val="none"/>
        </w:rPr>
        <w:t>第二章 技术需求书</w:t>
      </w:r>
      <w:bookmarkEnd w:id="44"/>
    </w:p>
    <w:p>
      <w:pPr>
        <w:pStyle w:val="5"/>
        <w:bidi w:val="0"/>
        <w:rPr>
          <w:rFonts w:hint="eastAsia" w:ascii="Arial" w:hAnsi="Arial" w:eastAsia="宋体"/>
          <w:color w:val="auto"/>
          <w:highlight w:val="none"/>
        </w:rPr>
      </w:pPr>
      <w:bookmarkStart w:id="45" w:name="_Toc24679"/>
      <w:bookmarkStart w:id="46" w:name="_Toc13112"/>
      <w:bookmarkStart w:id="47" w:name="_Toc31278"/>
      <w:bookmarkStart w:id="48" w:name="_Toc14462"/>
      <w:r>
        <w:rPr>
          <w:rFonts w:hint="eastAsia" w:ascii="Arial" w:hAnsi="Arial" w:eastAsia="宋体"/>
          <w:color w:val="auto"/>
          <w:highlight w:val="none"/>
        </w:rPr>
        <w:t xml:space="preserve"> </w:t>
      </w:r>
      <w:r>
        <w:rPr>
          <w:rFonts w:hint="eastAsia" w:ascii="Arial" w:hAnsi="Arial" w:eastAsia="宋体"/>
          <w:color w:val="auto"/>
          <w:highlight w:val="none"/>
          <w:lang w:val="en-US" w:eastAsia="zh-CN"/>
        </w:rPr>
        <w:t>一、</w:t>
      </w:r>
      <w:r>
        <w:rPr>
          <w:rFonts w:hint="eastAsia" w:ascii="Arial" w:hAnsi="Arial" w:eastAsia="宋体"/>
          <w:color w:val="auto"/>
          <w:highlight w:val="none"/>
        </w:rPr>
        <w:t>光伏发电设施技术要求</w:t>
      </w:r>
    </w:p>
    <w:p>
      <w:pPr>
        <w:pStyle w:val="6"/>
        <w:bidi w:val="0"/>
        <w:rPr>
          <w:rFonts w:hint="eastAsia"/>
          <w:color w:val="auto"/>
          <w:highlight w:val="none"/>
        </w:rPr>
      </w:pPr>
      <w:r>
        <w:rPr>
          <w:rFonts w:hint="eastAsia"/>
          <w:color w:val="auto"/>
          <w:highlight w:val="none"/>
          <w:lang w:val="en-US" w:eastAsia="zh-CN"/>
        </w:rPr>
        <w:t>1、</w:t>
      </w:r>
      <w:r>
        <w:rPr>
          <w:rFonts w:hint="eastAsia"/>
          <w:color w:val="auto"/>
          <w:highlight w:val="none"/>
        </w:rPr>
        <w:t>光伏支架、基础技术要求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（1）图纸要求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本项目已提供设计图纸，</w:t>
      </w:r>
      <w:r>
        <w:rPr>
          <w:rFonts w:hint="eastAsia" w:hAnsi="宋体" w:cs="宋体"/>
          <w:color w:val="auto"/>
          <w:sz w:val="21"/>
          <w:szCs w:val="21"/>
          <w:highlight w:val="none"/>
          <w:lang w:eastAsia="zh-CN"/>
        </w:rPr>
        <w:t>成交人</w:t>
      </w:r>
      <w:r>
        <w:rPr>
          <w:rFonts w:hint="eastAsia"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后可根据实际情况对图纸进行深化设计，并按最终图纸施工。</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（2）如需进行深化设计时的设计要求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①本项目光伏系统的支架应按照国家规范所规定的50年一遇风压进行支架结构及基础设计。</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②彩钢瓦屋面光伏系统安装后的总荷载原则上必须≤15kG/m2，混凝土屋面光伏系统安装 后的总荷载原则上必须≤150kG/m2, 且必须找设计院核算是否满足屋面结构荷载要求，出具屋面承重报告。</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③彩钢瓦屋面的支架应采用轻质铝合金材料作为支架及基础，需选用 6005-T5 及以上材质，要求做到阳极氧化处理以达到充分的防腐效果。彩钢瓦铝合金夹具的厚度应在 4mm 及以上； 铝合金导轨的厚度在 2mm 及以上；铝合金中压块的厚度应在 3mm 及以上，铝合金边压块的厚度应在 4mm 及以上。采取的支架和夹具必须只能夹在屋面瓦楞上，不得在屋面开孔、开洞、打钉，以充分保证原屋面的防水效果。</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④项目混凝土屋顶支架形式采用固定式钢支架，需选用 Q235 及以上钢材，钢材防腐可采 用热浸锌和镀镁铝锌两种方式。若采用热浸锌防腐，锌层平均厚度不低于 65um；若采用镀镁 铝锌防腐，双面镀层重量不少于 275g/m2。主梁和立柱的厚度不小于 2.5mm，用于次梁的板厚 不小于 2.0mm，用于主次构件连接的钢板和构件厚度不得小于 3mm。为防止混凝土开裂，按规范要求配置钢筋，混凝土强度等级选用 C25 以上。</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⑤棚架结构可采用固定式钢支架，需选用 Q235B 及以上钢材，锌层厚度不低于 65um。棚 架的檐口高度不得低于 2.5m，最高点不得高于 2.8m，安装倾角经模拟后判断后确定，整体棚架设计必须通过供电部门验收。</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⑥混凝土屋面不得采用膨胀螺栓或化学锚栓固定支架的方式，而应采用混凝土支墩基础的方案来达到抗风荷载的要求；若因光伏项目造成屋面漏水的，由</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负责处理完好。</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⑦光伏支架设计应满足 10 年内可拆卸再利用和 25 年内安全使用的要求。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⑧设计时，整个支架结构的强度、挠度、稳定性应符合国家结构设计相关规范的安全性要求；同时，支架结构的的节点连接也应满足国家结构设计规范的结构安全性的要求。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①光伏组件安装时必须在天窗周边、天沟周边、女儿墙边、出屋面风管等设备周边、采光 带周边、高低跨交界面边等位置预留好检修维护通道和空间；屋顶光伏安装区域的维护、参观 通道，以及屋顶边缘需要安装防坠落保护设施，确保登上屋顶人员的人身安全。相关防护设施的参数需要满足国家和我司安全管理的相关安全要求。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②组件安装时，必须对屋面板做好相应的安全防护措施，避免光伏板安装过程中对屋面板 造成损坏（尤其是屋面板的油漆层）。如不慎造成损坏，必须无条件维修好，因此造成厂房漏雨的，</w:t>
      </w:r>
      <w:r>
        <w:rPr>
          <w:rFonts w:hint="eastAsia" w:hAnsi="宋体" w:cs="宋体"/>
          <w:color w:val="auto"/>
          <w:sz w:val="21"/>
          <w:szCs w:val="21"/>
          <w:highlight w:val="none"/>
          <w:lang w:eastAsia="zh-CN"/>
        </w:rPr>
        <w:t>成交人</w:t>
      </w:r>
      <w:r>
        <w:rPr>
          <w:rFonts w:hint="eastAsia" w:ascii="宋体" w:hAnsi="宋体" w:eastAsia="宋体" w:cs="宋体"/>
          <w:color w:val="auto"/>
          <w:sz w:val="21"/>
          <w:szCs w:val="21"/>
          <w:highlight w:val="none"/>
        </w:rPr>
        <w:t>应按照采购人遭受的连带损失统一进行赔偿。</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③组件安装螺栓选用不锈钢 304 及以上材质，表面需钝化，安装前须点胶或采用防松动螺母。</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④本项目的部分屋面的利用率，各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前认真查看图纸核算。</w:t>
      </w:r>
    </w:p>
    <w:p>
      <w:pPr>
        <w:pStyle w:val="6"/>
        <w:bidi w:val="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光伏系统的电气接入（并网）技术要求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需完成接入系统部分电网部门的备案、相关报验流程及验收手续。</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（2）项目的电气接入电压等级、接线等应满足国标及南方电网有关的技术规程规范的要求。并网接入须考虑接入点、接入条件、变压器容量、功率因数及负荷情况。应根据有关光伏系统 接入规程规范做接入系统的技术经济研究，确定最优的、满足当地电网公司相关要求的电气接入系统方案，并需得到当地供电部门的批准。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（3）伏系统接入后应不降低原有配电系统的供电稳定性、可靠性，应把对原配电系统的影响降低到最小限度。</w:t>
      </w:r>
    </w:p>
    <w:p>
      <w:pPr>
        <w:pStyle w:val="6"/>
        <w:bidi w:val="0"/>
        <w:rPr>
          <w:rFonts w:hint="eastAsia" w:ascii="宋体" w:hAnsi="宋体" w:eastAsia="宋体"/>
          <w:b/>
          <w:color w:val="auto"/>
          <w:highlight w:val="none"/>
        </w:rPr>
      </w:pPr>
      <w:r>
        <w:rPr>
          <w:rFonts w:hint="eastAsia" w:ascii="宋体" w:hAnsi="宋体" w:eastAsia="宋体"/>
          <w:b/>
          <w:color w:val="auto"/>
          <w:highlight w:val="none"/>
        </w:rPr>
        <w:t>3</w:t>
      </w:r>
      <w:r>
        <w:rPr>
          <w:rFonts w:hint="eastAsia" w:ascii="宋体" w:hAnsi="宋体" w:eastAsia="宋体"/>
          <w:b/>
          <w:color w:val="auto"/>
          <w:highlight w:val="none"/>
          <w:lang w:eastAsia="zh-CN"/>
        </w:rPr>
        <w:t>、</w:t>
      </w:r>
      <w:r>
        <w:rPr>
          <w:rFonts w:hint="eastAsia" w:ascii="宋体" w:hAnsi="宋体" w:eastAsia="宋体"/>
          <w:b/>
          <w:color w:val="auto"/>
          <w:highlight w:val="none"/>
        </w:rPr>
        <w:t>光伏组件技术要求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（1）采用高效率单晶硅 550Wp太阳能光伏组件，使用寿命不低于 25 年，功率质保不少于 25年，且必须为线性功率质保，</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文件中提供质保说明书，技术参数要求如下表：</w:t>
      </w:r>
    </w:p>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组件主要技术参数表</w:t>
      </w:r>
    </w:p>
    <w:tbl>
      <w:tblPr>
        <w:tblStyle w:val="18"/>
        <w:tblW w:w="500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093"/>
        <w:gridCol w:w="4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单晶 550Wp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标称功率 Pma（W）</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功率公差（W）</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组件效率 μm（W）</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开路电压 Uoc（%）</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短路电流 Isc（A）</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最佳工作点电压 Um（V）</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最佳工作点电流 ImA（A）</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功率误差（%）</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短路电流温度系数（%/℃)</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开路电压温度系数（%/℃)</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最大功率温度系数（%/℃)</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最大系统电压</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DC1500V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温度范围</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接线盒类型</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密封防水型 防护等级 IP68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28.6kg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611" w:type="pct"/>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外形尺寸（mm）L*W*H</w:t>
            </w:r>
          </w:p>
        </w:tc>
        <w:tc>
          <w:tcPr>
            <w:tcW w:w="2389"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2384*1096*35</w:t>
            </w:r>
          </w:p>
        </w:tc>
      </w:tr>
    </w:tbl>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（2）光伏组件型号获得抗 PID 认证、抗盐雾腐蚀认证、荷载认证、产品定型认证（金太阳认证或是TUV、CSA、UL、SGS、VDE、JET 等国际认证），并附实验报告、认证证书全部内容。 （3）光伏组件首年功率衰减率不得低于 2%，次年后每年衰减率不得低于 0.55%，当衰减率低于 80%时，必须更换光伏组件。</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（4）负责组件装卸货及保管，按原包装存放，开箱必须有监理在场旁站确认组件完好，如开箱时有破损则需现场拍照取证，如有损坏需承担更换所需全部费用。</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（5）组件安装方式：根据建筑类型采用镀锌钢或铝合金支架安装。</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（6）施工时禁止直接踩踏组件，如有损坏需承担更换所需全部费用。</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（7）组件的布置方案需兼顾发电量、抗风、总容量等因素。</w:t>
      </w:r>
    </w:p>
    <w:p>
      <w:pPr>
        <w:pStyle w:val="6"/>
        <w:bidi w:val="0"/>
        <w:rPr>
          <w:rFonts w:hint="eastAsia" w:ascii="宋体" w:hAnsi="宋体" w:eastAsia="宋体"/>
          <w:b/>
          <w:color w:val="auto"/>
          <w:highlight w:val="none"/>
        </w:rPr>
      </w:pPr>
      <w:r>
        <w:rPr>
          <w:rFonts w:hint="eastAsia" w:ascii="宋体" w:hAnsi="宋体" w:eastAsia="宋体"/>
          <w:b/>
          <w:color w:val="auto"/>
          <w:highlight w:val="none"/>
        </w:rPr>
        <w:t>4</w:t>
      </w:r>
      <w:r>
        <w:rPr>
          <w:rFonts w:hint="eastAsia" w:ascii="宋体" w:hAnsi="宋体" w:eastAsia="宋体"/>
          <w:b/>
          <w:color w:val="auto"/>
          <w:highlight w:val="none"/>
          <w:lang w:eastAsia="zh-CN"/>
        </w:rPr>
        <w:t>、</w:t>
      </w:r>
      <w:r>
        <w:rPr>
          <w:rFonts w:hint="eastAsia" w:ascii="宋体" w:hAnsi="宋体" w:eastAsia="宋体"/>
          <w:b/>
          <w:color w:val="auto"/>
          <w:highlight w:val="none"/>
        </w:rPr>
        <w:t>并网逆变器技术要求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（1）根据场景合理设计选型光伏系统匹配的逆变器，使用寿命不低于 12 年，产品质保不少于5 年，在</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文件中提供质保说明书，若采用 110KW 组串型逆变器，其技术参数要求如下表：</w:t>
      </w:r>
    </w:p>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并网逆变器主要技术参数表</w:t>
      </w:r>
    </w:p>
    <w:tbl>
      <w:tblPr>
        <w:tblStyle w:val="18"/>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88"/>
        <w:gridCol w:w="3048"/>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21" w:type="pct"/>
            <w:vMerge w:val="restar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直流侧参数</w:t>
            </w: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最大输入电压 Vdc</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额定输入电压 Vdc</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MPPT 电压范围 Vdc</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最大输入路数</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restar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交流测参数</w:t>
            </w: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额定输出功率 kW</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最大输出功率 kW</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额定输出电流 A</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最大输出电流 A</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额定电网电压 V</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三相 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允许电网电压 V</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额定电网频率 Hz</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总电流畸变率</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功率因数</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&gt;0.990.8 超前...0.8 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restar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系统特性</w:t>
            </w: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最大效率%</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中国效率%</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防护等级</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夜间自耗电 W</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环境温度℃</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冷却方式</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允许相对湿度</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0-100% 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允许相对海拔 m</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1121" w:type="pct"/>
            <w:vMerge w:val="restar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显示与通讯</w:t>
            </w: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 指示灯、蓝牙+APP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21" w:type="pct"/>
            <w:vMerge w:val="continue"/>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通讯方式</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RS485、USB、WIFI、4G、MBUS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121" w:type="pct"/>
            <w:vMerge w:val="restar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机械参数</w:t>
            </w: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宽*高*深 mm</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1035*700*365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21" w:type="pct"/>
            <w:vMerge w:val="continue"/>
            <w:noWrap w:val="0"/>
            <w:vAlign w:val="top"/>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p>
        </w:tc>
        <w:tc>
          <w:tcPr>
            <w:tcW w:w="1562"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 kg</w:t>
            </w:r>
          </w:p>
        </w:tc>
        <w:tc>
          <w:tcPr>
            <w:tcW w:w="2317" w:type="pct"/>
            <w:noWrap w:val="0"/>
            <w:vAlign w:val="center"/>
          </w:tcPr>
          <w:p>
            <w:pPr>
              <w:keepNext w:val="0"/>
              <w:keepLines w:val="0"/>
              <w:pageBreakBefore w:val="0"/>
              <w:tabs>
                <w:tab w:val="left" w:pos="360"/>
              </w:tabs>
              <w:kinsoku/>
              <w:wordWrap/>
              <w:overflowPunct/>
              <w:topLinePunct w:val="0"/>
              <w:bidi w:val="0"/>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r>
    </w:tbl>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sectPr>
          <w:footerReference r:id="rId6" w:type="default"/>
          <w:pgSz w:w="11906" w:h="16839"/>
          <w:pgMar w:top="1118" w:right="1079" w:bottom="1266" w:left="1080" w:header="878" w:footer="1102" w:gutter="0"/>
          <w:pgNumType w:fmt="decimal"/>
          <w:cols w:space="720" w:num="1"/>
        </w:sectPr>
      </w:pP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（2）逆变器应具有最大功率跟踪、绝缘阻抗检测、温度保护、直流反接保护、交流短路保护、 漏电流保护、过电流保护、残余电流检测、并网保护、电网监控、防孤岛效应等基本功能并可发出告警信号。</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（3）逆变器内置交直流防雷和直流开关，交直流浪涌保护 II 级以上，具备良好的电气隔离性，整机符合国家相关标准。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（4）可进行高精度组串检测及智能 I-V 曲线扫描诊断，精确定位异常组串方便后期运维。</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 PLC 通讯，项目并网后</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负责注册 APP 监控软件，并将光伏电站现场实时监测数据联通传送至东莞新锋光伏能源科技有限公司数据控制中心 PC 端，实现集中监控。</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（6）逆变器与光伏组件布置采用就近原则，逆变器对应的最近距离的光伏组串不能超过 5m。</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（7）为避免烈日暴晒或雨淋，逆变器须安装遮阳棚。</w:t>
      </w:r>
    </w:p>
    <w:p>
      <w:pPr>
        <w:pStyle w:val="6"/>
        <w:bidi w:val="0"/>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交流汇流箱技术要求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（1）产品质保不少于 2 年，在</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文件中提供质保</w:t>
      </w:r>
      <w:r>
        <w:rPr>
          <w:rFonts w:hint="eastAsia"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（2）电气元件应使用国际国内知名品牌，汇流箱与电气元件均具备国内 3C 认证。</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（3）内置漏电保护和浪涌保护，采用交直 II 级防雷保护，整体符合国家相关标准。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（4）箱体的防护等级不低于 IP65，适合户外安装，满足防水、防尘、防紫外线、防盐雾、耐腐蚀等，安装位置干燥、通风良好。</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（5）箱体需采用冷扎钢板制作，钢板的厚度≥1.5mm，经过静电喷塑处理，内部全部的金属结构都需经过防腐处理，内外表面平整、光洁，无锈蚀、涂层脱落和磕碰损伤现象。</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（6）箱体内部结构具有足够的机械强度，保证元器件安装后及操作时无摇晃、不变形；元器 件安装走线应整齐、可靠、合理布置；电器间绝缘应符合国家有关标准，进出线必须通过接线端子。</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（7）箱体内应该针对接入的设备及线路，拥有明显的电气开断元件，能够确保检修时能够逐级断开系统，每个汇流箱必须给出一次及二次接线图。</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（8）为避免烈日暴晒或雨淋，交流汇流箱须安装遮阳棚。</w:t>
      </w:r>
    </w:p>
    <w:p>
      <w:pPr>
        <w:pStyle w:val="6"/>
        <w:bidi w:val="0"/>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光伏并网柜技术要求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（1）产品质保不少于 2 年，在</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文件中提供质保</w:t>
      </w:r>
      <w:r>
        <w:rPr>
          <w:rFonts w:hint="eastAsia"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（2）电气元件应使用国际国内知名品牌，并网柜与电气元件均具备国内 3C 认证。</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（3）并网柜具备被动孤岛检测、有压自动重合闸、失压跳闸、过欠压保护、过电流保护、防 雷保护、短路保护、高低频保护、防孤岛保护等基本功能，若当地供电部门要求，还需配置逆 功率保护；同时具备智能通讯功能，可以和后台系统通讯组网，远程操作断路器分合闸，远程查看并网柜各种电参量及开关位置信息。</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（4）光伏并网柜可以加装计量仓，计量仓带铅封装置，可以有效防止窃电。计量仓内可以安 装计量装置和负控装置（一般当地供电局提供），能很好的记录发电量情况，计量表具备双向计量功能，计量电表数据均接入到监控系统后台。</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（5）柜体的防护等级不低于 IP30，配电房内安装，柜型按照原有配电房开关柜定做，整体符合国家相关标准。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（6）柜体需采用冷扎钢板制作，钢板的厚度≥1.5mm，经过静电喷塑处理，内部全部的金属结构都需经过防腐处理，内外表面平整、光洁，无锈蚀、涂层脱落和磕碰损伤现象。</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（7）柜体内部结构具有足够的机械强度，保证元器件安装后及操作时无摇晃、不变形；元器 件安装走线应整齐、可靠、合理布置；电器间绝缘应符合国家有关标准，进出线必须通过接线端子。</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（8）柜体内应该针对接入的设备及线路，拥有明显的电气开断元件，能够确保检修时能够逐级断开系统，每个并网柜必须给出一次及二次接线图。</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（9）有光伏系统接入的配电房需配置含有光伏并网柜的电力系统图版。</w:t>
      </w:r>
    </w:p>
    <w:p>
      <w:pPr>
        <w:pStyle w:val="6"/>
        <w:bidi w:val="0"/>
        <w:rPr>
          <w:rFonts w:hint="eastAsia"/>
          <w:color w:val="auto"/>
          <w:highlight w:val="none"/>
        </w:rPr>
      </w:pPr>
      <w:r>
        <w:rPr>
          <w:rFonts w:hint="eastAsia"/>
          <w:color w:val="auto"/>
          <w:highlight w:val="none"/>
        </w:rPr>
        <w:t>7</w:t>
      </w:r>
      <w:r>
        <w:rPr>
          <w:rFonts w:hint="eastAsia"/>
          <w:color w:val="auto"/>
          <w:highlight w:val="none"/>
          <w:lang w:eastAsia="zh-CN"/>
        </w:rPr>
        <w:t>、</w:t>
      </w:r>
      <w:r>
        <w:rPr>
          <w:rFonts w:hint="eastAsia"/>
          <w:color w:val="auto"/>
          <w:highlight w:val="none"/>
        </w:rPr>
        <w:t>电缆桥架技术要求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（1）本项目涉及的所有电缆走廊均属</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工作范围。</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（2）电缆走廊均采用底部开放的梯形桥架或封闭式电缆沟，所有电缆桥架及套管应采用金属 材质，桥架表面应有防火涂料，涂料耐火时间不低于 1h。电缆沟内桥架采用金属托架。所有 电缆桥架均密闭，不能看到电缆及接头外露，且保证桥架内的通风、散热，电缆在桥架里占的空间不超过 35%。</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（3）彩钢瓦屋面要求在选用底部开放的梯形桥架时，应在底部铺满防火隔热板，防止电缆发 生火灾时，燃烧物溅落至彩钢瓦屋面，烧坏屋顶。桥架结合处用非自攻螺钉连接，所有联接件为 304 及以上不锈钢质材料。</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（4）所有桥架每隔一定距离均必须用金属抱箍（扎带）固定，避免桥架上下部分 变形与移位，且需考虑 25 年使用寿命。汇流箱和逆变器线缆进出线也需考虑转弯半径，预留操作空间。桥架壁厚不少于 2.0mm。</w:t>
      </w:r>
    </w:p>
    <w:p>
      <w:pPr>
        <w:pStyle w:val="6"/>
        <w:bidi w:val="0"/>
        <w:rPr>
          <w:rFonts w:hint="eastAsia"/>
          <w:color w:val="auto"/>
          <w:highlight w:val="none"/>
        </w:rPr>
      </w:pPr>
      <w:r>
        <w:rPr>
          <w:rFonts w:hint="eastAsia"/>
          <w:color w:val="auto"/>
          <w:highlight w:val="none"/>
        </w:rPr>
        <w:t>8</w:t>
      </w:r>
      <w:r>
        <w:rPr>
          <w:rFonts w:hint="eastAsia"/>
          <w:color w:val="auto"/>
          <w:highlight w:val="none"/>
          <w:lang w:eastAsia="zh-CN"/>
        </w:rPr>
        <w:t>、</w:t>
      </w:r>
      <w:r>
        <w:rPr>
          <w:rFonts w:hint="eastAsia"/>
          <w:color w:val="auto"/>
          <w:highlight w:val="none"/>
        </w:rPr>
        <w:t>防雷系统技术要求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（1）光伏系统的防雷设计,应满足雷电防护分区、分级确定的防雷等级要求。各连接点的连接 电阻应小于 4Ω。接地网的制作应符合国家相关规范要求。屋顶必须有等电位接地地网作为接地连接。</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（2）提供的并网逆变器安全可靠，能确保 25 年内有效防止光伏组件 PID 现象的发生。</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（3）带边框的光伏太阳能组件防雷接地要牢靠，并网逆变器将外壳可靠接地，避雷针、避雷扁钢、接地线及接地级要符合规范要求，每年进行防雷接地检测。</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（4）组件与组件之间、组件与导轨之间需用接地线连接，线槽需做好等电位连接与接地。</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（5）光伏组件作为建筑一部分，本身要具备很好的防雷措施，能够与建筑物的防雷带有很明 显的防雷连接点。在并网逆变器、交流汇流箱，光伏并网柜都应该有分级别的防雷防浪涌保护模块，保护相关的电气设备和线路。</w:t>
      </w:r>
    </w:p>
    <w:p>
      <w:pPr>
        <w:pStyle w:val="6"/>
        <w:bidi w:val="0"/>
        <w:rPr>
          <w:rFonts w:hint="eastAsia"/>
          <w:color w:val="auto"/>
          <w:highlight w:val="none"/>
        </w:rPr>
      </w:pPr>
      <w:r>
        <w:rPr>
          <w:rFonts w:hint="eastAsia"/>
          <w:color w:val="auto"/>
          <w:highlight w:val="none"/>
        </w:rPr>
        <w:t>9</w:t>
      </w:r>
      <w:r>
        <w:rPr>
          <w:rFonts w:hint="eastAsia"/>
          <w:color w:val="auto"/>
          <w:highlight w:val="none"/>
          <w:lang w:eastAsia="zh-CN"/>
        </w:rPr>
        <w:t>、</w:t>
      </w:r>
      <w:r>
        <w:rPr>
          <w:rFonts w:hint="eastAsia"/>
          <w:color w:val="auto"/>
          <w:highlight w:val="none"/>
        </w:rPr>
        <w:t>综合自动化监控系统技术要求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提供整套光伏项目的智能型综合自动化系统，实时监测系统的运行情况；该系统集电站设备监控、电站发电量整体分析、生产报表等于一体，充分利用数据分析与挖掘等智能 化手段，使光伏电站实现安全、规范、高效、智能的运行，保证电站获得持续稳定的发电收益。本项目中系统监控管理由</w:t>
      </w:r>
      <w:r>
        <w:rPr>
          <w:rFonts w:hint="eastAsia" w:hAnsi="宋体" w:cs="宋体"/>
          <w:color w:val="auto"/>
          <w:sz w:val="21"/>
          <w:szCs w:val="21"/>
          <w:highlight w:val="none"/>
          <w:lang w:eastAsia="zh-CN"/>
        </w:rPr>
        <w:t>成交人</w:t>
      </w:r>
      <w:r>
        <w:rPr>
          <w:rFonts w:hint="eastAsia" w:ascii="宋体" w:hAnsi="宋体" w:eastAsia="宋体" w:cs="宋体"/>
          <w:color w:val="auto"/>
          <w:sz w:val="21"/>
          <w:szCs w:val="21"/>
          <w:highlight w:val="none"/>
        </w:rPr>
        <w:t>提供，</w:t>
      </w:r>
      <w:r>
        <w:rPr>
          <w:rFonts w:hint="eastAsia" w:hAnsi="宋体" w:cs="宋体"/>
          <w:color w:val="auto"/>
          <w:sz w:val="21"/>
          <w:szCs w:val="21"/>
          <w:highlight w:val="none"/>
          <w:lang w:eastAsia="zh-CN"/>
        </w:rPr>
        <w:t>成交人</w:t>
      </w:r>
      <w:r>
        <w:rPr>
          <w:rFonts w:hint="eastAsia" w:ascii="宋体" w:hAnsi="宋体" w:eastAsia="宋体" w:cs="宋体"/>
          <w:color w:val="auto"/>
          <w:sz w:val="21"/>
          <w:szCs w:val="21"/>
          <w:highlight w:val="none"/>
        </w:rPr>
        <w:t>需配合业主安装调试及维护。</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（2）屋面阵列、逆变器及配电室需配备实时视频监控系统，采购人能通过</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提供的网络 地址实施远程对电站过程实施监控，且所有摄像头均可 360° 自由转动巡检，所有摄像头均须接入到 MIS 系统以及采购人集中监控系统中，具体要求如下：</w:t>
      </w:r>
    </w:p>
    <w:tbl>
      <w:tblPr>
        <w:tblStyle w:val="18"/>
        <w:tblW w:w="500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2"/>
        <w:gridCol w:w="1698"/>
        <w:gridCol w:w="5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79"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区域</w:t>
            </w:r>
          </w:p>
        </w:tc>
        <w:tc>
          <w:tcPr>
            <w:tcW w:w="959"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摄像头数量</w:t>
            </w:r>
          </w:p>
        </w:tc>
        <w:tc>
          <w:tcPr>
            <w:tcW w:w="3362"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79"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屋面</w:t>
            </w:r>
          </w:p>
        </w:tc>
        <w:tc>
          <w:tcPr>
            <w:tcW w:w="959"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8</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6"/>
                <w:sz w:val="21"/>
                <w:szCs w:val="21"/>
                <w:highlight w:val="none"/>
              </w:rPr>
              <w:t>个</w:t>
            </w:r>
          </w:p>
        </w:tc>
        <w:tc>
          <w:tcPr>
            <w:tcW w:w="3362" w:type="pct"/>
            <w:vMerge w:val="restart"/>
            <w:tcBorders>
              <w:bottom w:val="nil"/>
            </w:tcBorders>
            <w:noWrap w:val="0"/>
            <w:vAlign w:val="center"/>
          </w:tcPr>
          <w:p>
            <w:pPr>
              <w:pStyle w:val="33"/>
              <w:keepNext w:val="0"/>
              <w:keepLines w:val="0"/>
              <w:pageBreakBefore w:val="0"/>
              <w:kinsoku/>
              <w:wordWrap/>
              <w:overflowPunct/>
              <w:topLinePunct w:val="0"/>
              <w:bidi w:val="0"/>
              <w:spacing w:before="0" w:after="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1.直接插移动</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4"/>
                <w:sz w:val="21"/>
                <w:szCs w:val="21"/>
                <w:highlight w:val="none"/>
              </w:rPr>
              <w:t>4G</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4"/>
                <w:sz w:val="21"/>
                <w:szCs w:val="21"/>
                <w:highlight w:val="none"/>
              </w:rPr>
              <w:t>手机卡；</w:t>
            </w:r>
          </w:p>
          <w:p>
            <w:pPr>
              <w:pStyle w:val="33"/>
              <w:keepNext w:val="0"/>
              <w:keepLines w:val="0"/>
              <w:pageBreakBefore w:val="0"/>
              <w:kinsoku/>
              <w:wordWrap/>
              <w:overflowPunct/>
              <w:topLinePunct w:val="0"/>
              <w:bidi w:val="0"/>
              <w:spacing w:before="0" w:after="0" w:line="360" w:lineRule="auto"/>
              <w:ind w:left="0" w:right="0" w:hanging="1"/>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2.支持手机远程监控，TF</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5"/>
                <w:sz w:val="21"/>
                <w:szCs w:val="21"/>
                <w:highlight w:val="none"/>
              </w:rPr>
              <w:t>卡容量不小于</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5"/>
                <w:sz w:val="21"/>
                <w:szCs w:val="21"/>
                <w:highlight w:val="none"/>
              </w:rPr>
              <w:t>32G；</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3.具有夜视功能，支持移动侦测报警；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79"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监控室</w:t>
            </w:r>
          </w:p>
        </w:tc>
        <w:tc>
          <w:tcPr>
            <w:tcW w:w="959" w:type="pct"/>
            <w:noWrap w:val="0"/>
            <w:vAlign w:val="center"/>
          </w:tcPr>
          <w:p>
            <w:pPr>
              <w:pStyle w:val="33"/>
              <w:keepNext w:val="0"/>
              <w:keepLines w:val="0"/>
              <w:pageBreakBefore w:val="0"/>
              <w:kinsoku/>
              <w:wordWrap/>
              <w:overflowPunct/>
              <w:topLinePunct w:val="0"/>
              <w:bidi w:val="0"/>
              <w:spacing w:before="0" w:after="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4"/>
                <w:sz w:val="21"/>
                <w:szCs w:val="21"/>
                <w:highlight w:val="none"/>
              </w:rPr>
              <w:t>个</w:t>
            </w:r>
          </w:p>
        </w:tc>
        <w:tc>
          <w:tcPr>
            <w:tcW w:w="3362" w:type="pct"/>
            <w:vMerge w:val="continue"/>
            <w:tcBorders>
              <w:top w:val="nil"/>
            </w:tcBorders>
            <w:noWrap w:val="0"/>
            <w:vAlign w:val="top"/>
          </w:tcPr>
          <w:p>
            <w:pPr>
              <w:keepNext w:val="0"/>
              <w:keepLines w:val="0"/>
              <w:pageBreakBefore w:val="0"/>
              <w:kinsoku/>
              <w:wordWrap/>
              <w:overflowPunct/>
              <w:topLinePunct w:val="0"/>
              <w:bidi w:val="0"/>
              <w:spacing w:line="360" w:lineRule="auto"/>
              <w:ind w:left="0" w:right="0"/>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pacing w:line="360" w:lineRule="auto"/>
        <w:ind w:left="0" w:right="0"/>
        <w:textAlignment w:val="auto"/>
        <w:rPr>
          <w:rFonts w:hint="eastAsia" w:ascii="宋体" w:hAnsi="宋体" w:eastAsia="宋体" w:cs="宋体"/>
          <w:b/>
          <w:bCs/>
          <w:color w:val="auto"/>
          <w:sz w:val="21"/>
          <w:szCs w:val="21"/>
          <w:highlight w:val="none"/>
        </w:rPr>
      </w:pPr>
    </w:p>
    <w:p>
      <w:pPr>
        <w:pStyle w:val="5"/>
        <w:bidi w:val="0"/>
        <w:rPr>
          <w:rFonts w:hint="eastAsia"/>
          <w:color w:val="auto"/>
          <w:highlight w:val="none"/>
        </w:rPr>
      </w:pPr>
      <w:r>
        <w:rPr>
          <w:rFonts w:hint="eastAsia"/>
          <w:color w:val="auto"/>
          <w:highlight w:val="none"/>
          <w:lang w:val="en-US" w:eastAsia="zh-CN"/>
        </w:rPr>
        <w:t>二、</w:t>
      </w:r>
      <w:r>
        <w:rPr>
          <w:rFonts w:hint="eastAsia"/>
          <w:color w:val="auto"/>
          <w:highlight w:val="none"/>
        </w:rPr>
        <w:t>电气安装要求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（1）光伏电站必须在逆变器输出汇总点设置易于操作、可闭锁、且具有明显断开点的并网总断路器，以保证电力设备检修维护人员的人身安全。</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（2）光伏电站和并网点设备的防雷和接地应符合南方电网公司规定要求，光伏电站接地网接地电阻合格，接地电阻应按规定周期进行测试。</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（3）光伏电站或电网异常、故障时为保护设备和人身安全，应具有相应继电保护功能，保护 电网和光伏设备的安全运行，确保维护人员和公众人身安全。光伏电站的保护应符合南方电网规定的可靠性、选择性、灵活性和速动性的要求。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（4）光伏电站的过流与短路保护、防孤岛能力、逆变器保护、恢复并网等应满足南方电网规定的要求。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（5）光伏电站的二次用直流系统的设计配置及蓄电池的放电容量应符合相关规程的技术要求。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（6）光伏电站的电能质量满足规程要求，电压谐波和波形畸变、电压偏差、电压波动和闪变、电压不平衡度、直流分量在南方电网规定的范围内，保证功率因素在 0.98 以上。</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（7）光伏电站的安全自动装置应按国家规定配置齐全。</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（8）直流部分和交流低压部分的总线路损耗应控制在 2%以内。</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（9）配线线槽在建筑物上的布置应美观，与整个建筑协调一致，布线应隐蔽，从底部不能明显的看到线缆。各方阵的线缆便于连接，并有足够的强度，线缆连接附件应防水、抗老化。</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（10）直流侧电缆要以减少线损并防止外界干扰的原则选型，选用双绝缘防紫外线阻燃铜芯电 缆，电缆性能符合 GB/T18950-2003 性能测试的要求；交流侧需要考虑敷设的形式和安全来选择，采用铜芯阻燃电缆。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（11）各类线缆通过 TUV、UL、VDE 认证，能满足室外 30 年的使用年限。</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（12）光伏线缆 MC4 插头制作应严格按规范进行，各类线缆不能裸露。</w:t>
      </w:r>
    </w:p>
    <w:p>
      <w:pPr>
        <w:keepNext w:val="0"/>
        <w:keepLines w:val="0"/>
        <w:pageBreakBefore w:val="0"/>
        <w:kinsoku/>
        <w:wordWrap/>
        <w:overflowPunct/>
        <w:topLinePunct w:val="0"/>
        <w:bidi w:val="0"/>
        <w:spacing w:line="360" w:lineRule="auto"/>
        <w:ind w:left="0" w:right="0"/>
        <w:textAlignment w:val="auto"/>
        <w:rPr>
          <w:rFonts w:hint="eastAsia" w:ascii="宋体" w:hAnsi="宋体" w:eastAsia="宋体" w:cs="宋体"/>
          <w:b/>
          <w:bCs/>
          <w:color w:val="auto"/>
          <w:sz w:val="21"/>
          <w:szCs w:val="21"/>
          <w:highlight w:val="none"/>
        </w:rPr>
      </w:pPr>
    </w:p>
    <w:p>
      <w:pPr>
        <w:pStyle w:val="5"/>
        <w:bidi w:val="0"/>
        <w:rPr>
          <w:rFonts w:hint="eastAsia"/>
          <w:color w:val="auto"/>
          <w:highlight w:val="none"/>
        </w:rPr>
      </w:pPr>
      <w:r>
        <w:rPr>
          <w:rFonts w:hint="eastAsia"/>
          <w:color w:val="auto"/>
          <w:highlight w:val="none"/>
          <w:lang w:val="en-US" w:eastAsia="zh-CN"/>
        </w:rPr>
        <w:t>三、</w:t>
      </w:r>
      <w:r>
        <w:rPr>
          <w:rFonts w:hint="eastAsia"/>
          <w:color w:val="auto"/>
          <w:highlight w:val="none"/>
        </w:rPr>
        <w:t>本工程设备采用的设计规范和设计依据</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（1）建筑平面、总平面；其他相关专业提出的要求。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（2）建设方所提供的设计任务委托书、设计要点、经批准的扩初设计文件、配电房管线资料等。</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（3）国家及省的有关规范、标准、规程：</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光伏发电站防雷技术规程 DL/T 1364-2014(国家能源局)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光伏发电并网逆变器技术规范 NB/T 32004-2013(国家能源局)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光伏发电站电能质量检测技术规程 NB/T 32006-2013(国家能源局)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光伏发电站功率预测系统技术要求 NB/T 32011-2013(国家能源局)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光伏发电站防孤岛效应检测技术规程 NB/T 32014-2013(国家能源局)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并网光伏发电监控系统技术规范 NB/T 32016-2013(国家能源局)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太阳能光伏系统防雷技术规范 QX/T 263-2015(中国气象局)</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光伏发电接入配电网设计规范 GB/T 50865-2013</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光伏发电站接入电力系统设计规范 GB/T 50866-2013</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光伏发电站继电保护技术规范 GB/T_32900-2016</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分布式光伏发电系统接入电网技术规范 Q/CSG_1211001-2014</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光伏发电站接入电网技术规范 Q/CSG_1211002-2014</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光伏发电并网技术标准 Q/CSG_1211006-2016</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并网光伏发电站监控系统技术规范 Q/CSG_1211011-2016</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建筑结构荷载规范 GB50009-2012</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p>
    <w:p>
      <w:pPr>
        <w:pStyle w:val="5"/>
        <w:bidi w:val="0"/>
        <w:rPr>
          <w:rFonts w:hint="eastAsia"/>
          <w:color w:val="auto"/>
          <w:highlight w:val="none"/>
        </w:rPr>
      </w:pPr>
      <w:r>
        <w:rPr>
          <w:rFonts w:hint="eastAsia"/>
          <w:color w:val="auto"/>
          <w:highlight w:val="none"/>
          <w:lang w:val="en-US" w:eastAsia="zh-CN"/>
        </w:rPr>
        <w:t>四、</w:t>
      </w:r>
      <w:r>
        <w:rPr>
          <w:rFonts w:hint="eastAsia"/>
          <w:color w:val="auto"/>
          <w:highlight w:val="none"/>
        </w:rPr>
        <w:t>施工技术要求</w:t>
      </w:r>
    </w:p>
    <w:p>
      <w:pPr>
        <w:pStyle w:val="6"/>
        <w:bidi w:val="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执行的标准和规范</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光伏发电工程验收规范 GB 50796-2012</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屋面工程质量验收规范 GB 50207-2012</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建筑结构加固工程施工质量验收规范 GB 50550-2010</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 GB 50300-2013</w:t>
      </w:r>
    </w:p>
    <w:p>
      <w:pPr>
        <w:pStyle w:val="6"/>
        <w:bidi w:val="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施工组织布署</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（1）建立项目管理组织机构，健全安全质量保证体系。</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（2）组织建设所用的机械、劳动力等保障资源，以满足建设进度的要求。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（3）采购项目所需的组件等设备、支架等材料。</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（4）项目设计图纸、施工方案满足项目建设要求。</w:t>
      </w:r>
    </w:p>
    <w:p>
      <w:pPr>
        <w:pStyle w:val="6"/>
        <w:bidi w:val="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质量要求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（1）达到国家或行业质量检验评定的</w:t>
      </w:r>
      <w:r>
        <w:rPr>
          <w:rFonts w:hint="eastAsia" w:ascii="宋体" w:hAnsi="宋体" w:eastAsia="宋体" w:cs="宋体"/>
          <w:color w:val="auto"/>
          <w:sz w:val="21"/>
          <w:szCs w:val="21"/>
          <w:highlight w:val="none"/>
          <w:u w:val="single"/>
        </w:rPr>
        <w:t xml:space="preserve"> 合格 </w:t>
      </w:r>
      <w:r>
        <w:rPr>
          <w:rFonts w:hint="eastAsia" w:ascii="宋体" w:hAnsi="宋体" w:eastAsia="宋体" w:cs="宋体"/>
          <w:color w:val="auto"/>
          <w:sz w:val="21"/>
          <w:szCs w:val="21"/>
          <w:highlight w:val="none"/>
        </w:rPr>
        <w:t>标准。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（2）建立健全质量保证体系，并保证其正常运作。</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（3）加强施工过程控制，设专人对施工质量进行跟踪检查。</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（4）对工程质量的检查严格执行三检制（自检、互检、专检）。</w:t>
      </w:r>
    </w:p>
    <w:p>
      <w:pPr>
        <w:pStyle w:val="6"/>
        <w:bidi w:val="0"/>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安全保证措施</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（1）建立安全生产体系，制定详细的安全保证措施，加强安全管理，保证安全生产无事故。</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（2）施工现场的布置符合防火、防爆、防雷电等安全规定及文明施工的要求。施工现场生活办公用房、仓库、材料堆放场按批准的总平面布置图进行布置。</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（3）现场道路保持畅通，危险地点悬挂安全警示标牌，施工现场设置安全宣传标语。</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（4）各类房屋、库棚、料场等安全消防距离符合有关规定，现场易燃杂物随时清理，严禁在有火种的场所或其近旁堆放易燃物品。</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（5）施工现场的临时用电严格按照《施工现场临时用电安全技术规范》JGJ46-2005 的规定执行。</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（6）施工现场用电严格按照三相五线制布设电线，做到二级保护，三级控制，一机一闸。</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（7）施工现场设立安全标志。危险地区悬挂“危险 ”或“禁止通行 ”、“严禁烟火 ”等标志，夜间设红灯警示。</w:t>
      </w:r>
    </w:p>
    <w:p>
      <w:pPr>
        <w:keepNext w:val="0"/>
        <w:keepLines w:val="0"/>
        <w:pageBreakBefore w:val="0"/>
        <w:kinsoku/>
        <w:wordWrap/>
        <w:overflowPunct/>
        <w:topLinePunct w:val="0"/>
        <w:bidi w:val="0"/>
        <w:spacing w:line="360" w:lineRule="auto"/>
        <w:ind w:left="0" w:right="0"/>
        <w:textAlignment w:val="auto"/>
        <w:rPr>
          <w:rFonts w:hint="eastAsia" w:ascii="宋体" w:hAnsi="宋体" w:eastAsia="宋体" w:cs="宋体"/>
          <w:b/>
          <w:bCs/>
          <w:color w:val="auto"/>
          <w:sz w:val="21"/>
          <w:szCs w:val="21"/>
          <w:highlight w:val="none"/>
        </w:rPr>
      </w:pPr>
    </w:p>
    <w:p>
      <w:pPr>
        <w:pStyle w:val="5"/>
        <w:bidi w:val="0"/>
        <w:rPr>
          <w:rFonts w:hint="eastAsia"/>
          <w:color w:val="auto"/>
          <w:highlight w:val="none"/>
        </w:rPr>
      </w:pPr>
      <w:r>
        <w:rPr>
          <w:rFonts w:hint="eastAsia"/>
          <w:color w:val="auto"/>
          <w:highlight w:val="none"/>
          <w:lang w:val="en-US" w:eastAsia="zh-CN"/>
        </w:rPr>
        <w:t>五、</w:t>
      </w:r>
      <w:r>
        <w:rPr>
          <w:rFonts w:hint="eastAsia"/>
          <w:color w:val="auto"/>
          <w:highlight w:val="none"/>
        </w:rPr>
        <w:t>安全运维技术要求</w:t>
      </w:r>
    </w:p>
    <w:p>
      <w:pPr>
        <w:pStyle w:val="6"/>
        <w:bidi w:val="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运维要求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（1）设施投入运行后，投资方应当制定相应的运维制度，成立专门的管理团队，确保光伏设施的安全运行；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在质保期内需配合投资方运维管理。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（2）设施运行经营期最高不得超过 25 年；最低不得低于 10 年；</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（3）质保期内</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应确保系统安全、稳定、可靠运行，定期派人检查、监管和记录项目的运行情况，并定期汇总给投资方。投资方承诺对节能设备提供合同期内维修保养服务，并由投资方承担维修保养费用。</w:t>
      </w:r>
    </w:p>
    <w:p>
      <w:pPr>
        <w:pStyle w:val="6"/>
        <w:bidi w:val="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维护设施</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（1）上水系统</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考虑到后期清洗，每个光伏屋面设计上水系统，要求在组件排布屋面安装水龙头，并配置 相应的计量水表。系统冲洗端设置增压泵，出口压力可调节，最小出口压力保证三个终端同时 开启时冲洗压力大于 0.2MPa，泵入口设置可拆卸式滤网保证冲洗水不含杂质。所有的冲洗水 管采用镀锌钢管，喷淋主管道为 DN40 镀锌钢管，喷淋管道为 DN32 镀锌钢管，清洗水管管网放在通道上。水管拖长不超过 25 米且不能放在组件板上，按只能走通道的原则来布置水龙头。</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（2）维护通道</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各项目根据组件排布设置合理的运维通道，运维通道可以确保运维人员方便的进行运维。运维通道应连成一体，并和水管、线槽等统一布置。</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彩钢瓦屋面需设置格栅板通道，通道能直达到每一路逆变器。且不影响光伏系统件的正常运行。运维格栅板要求如下：</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①格栅板材质为镀锌钢或其他金属材料，格栅板的重量在 15kg/m2 以内，宽度不低于400mm；</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②格栅能够满足并能覆盖整个屋面太阳能板区域运维过程中的清洗、检修等工作；</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③格栅与格栅衔接处可靠固定，格栅板与屋面可靠连接；</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④格栅强度和质量，满足如下要求：每间隔 500mm 在格栅底部加一道支撑，同时格栅两边需用角铁支撑（如下图所示），确保格栅不移位晃动，不下垂并满足踩踏强度要求；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⑤格栅板需考虑防腐措施，寿命要求 25 年以上。</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（3）安全护栏、斜梯、采光带标识</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若项目无护栏或女儿墙的屋顶，需加装高度为 1200mm 的永久铝合金材质保护栏杆，铝合 金栏杆的厚度应在 4mm 以上，栏杆立柱之间的间距小于 1.5m，以保护人身安全，护栏按间隔可靠接地。另外需设置安全绳挂钩点。</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若项目各建筑面积较大，为方便运维，未设置钢梯的屋面，须增设钢斜梯。钢斜梯入口要有带锁的活动门，钢斜梯旁边需设置安全警示牌看板。</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采光带周围需用宽度不少于 100mm 黄色油漆标识，涂上荧光涂料，并喷上禁止踩踏字样；同时设置保护，起到保护人员不踩空的作用，同时对厂房采光影响较小。</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（4）视频监控</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①采用高清光口网络摄像机加光口高速摄像机的模式，能够在变电站本地、远端监控中心 都能够看到清晰的图像，图像分辨率达到 1280*960 以上，镜头变倍≥20 倍光学变焦，能够分 辨出设备的外观及运行状态、识别出人员车辆等，防护等级要求达到 IP67，TVS 8000V 防雷、 防浪涌、防突波，具有红外夜视功能，夜视距离≥150 米，使用先进的压缩编码技术，视频图 像直接在前端进行压缩，通过网络传输回电站监控室，避免外界电磁场对图像的影响。</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③系统既支持变电站全景展示又能进行细节展示，对于重要设备还具有从多个摄像机进行多角度监视的功能。对于监控室可展现全景图像，能够实现 2048*1536 的高清监控。</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④在本地及远端的视频监控工作站上可以可实时监视同一发电阵列多路实时图像信息并 实现一机同屏同时监视；也可同时实时监视多个发电阵列，并能够通过鼠标在画面上控制每个摄像机的旋转、变倍，其他摄像机不受影响，同时监控的发电阵列数量大于 6 个。</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⑤实时图像自动复位，即可对发电阵列内可旋转的摄像机设定默认监视位置，正常状态下摄像机保持默认位置；在控制完成后自动恢复到默认监视位置。</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⑥每个屋顶、配电房、逆变器室的所有设备均在监控范围内，室外设备实现无死角监控。所有监控数据要保留 6 个月以上</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⑦视频摄像头电源需引自市电电源。</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⑧本项目视频监控画面通过独立的数字电视展示；本项目方的工作范围为现场设备监控到监控 PC。现场监控 PC 有预留无线传输数据传送接口，传送数据格式为统一规约格式。</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p>
    <w:p>
      <w:pPr>
        <w:pStyle w:val="5"/>
        <w:bidi w:val="0"/>
        <w:rPr>
          <w:rFonts w:hint="eastAsia"/>
          <w:color w:val="auto"/>
          <w:highlight w:val="none"/>
        </w:rPr>
      </w:pPr>
      <w:r>
        <w:rPr>
          <w:rFonts w:hint="eastAsia"/>
          <w:color w:val="auto"/>
          <w:highlight w:val="none"/>
          <w:lang w:val="en-US" w:eastAsia="zh-CN"/>
        </w:rPr>
        <w:t>六、</w:t>
      </w:r>
      <w:r>
        <w:rPr>
          <w:rFonts w:hint="eastAsia"/>
          <w:color w:val="auto"/>
          <w:highlight w:val="none"/>
        </w:rPr>
        <w:t>消防要求</w:t>
      </w:r>
    </w:p>
    <w:p>
      <w:pPr>
        <w:pStyle w:val="6"/>
        <w:bidi w:val="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主要设计原则、功能及配置</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本项目依据国家有关消防条例、规范进行设计，本着“预防为主、防消结合 ”的消防工作 方针，消防系统的设置以加强自身防范力量为主，立足于自救，同时与消防部门联防，做到“防患于未然 ”，从积极的方面预防火灾的发生及蔓延。变电站内电气设备较多，消防设计的重点是防止电气火灾。</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（1）对设有电气仪表设备的房间，应配置移动式气体灭火器和手动火灾报警（警铃）。</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（2）对光伏组件屋面应按方阵配置干粉灭火器，用于发电单元电气设备的灭火。</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（3）根据“预防为主、防消结合 ”的原则，本着减少着火机率，阻止电缆着火延燃及窜燃的 目的，结合现场实际情况，主要采取“封 ”“堵 ”“隔 ”“涂 ”等技术措施，封堵施工按照国 家及行业有关标准和以往的电缆防火封堵措施并结合电站实际情况进行 。施工主要达到DLGJ154-2000 《电缆防火措施设计和施工验收标准》。</w:t>
      </w:r>
    </w:p>
    <w:p>
      <w:pPr>
        <w:pStyle w:val="6"/>
        <w:bidi w:val="0"/>
        <w:rPr>
          <w:rFonts w:hint="eastAsia" w:eastAsia="宋体"/>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消防设计及消防验收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须依据《中华人名共和国消防法》、《建设工程消防监督管理规定》等法律法规及当地消防管理部门的要求，完成如下事项（包括但不限于）:</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（1）光伏发电项目的消防设计及备案；</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（2）委托有资质的第三方机构进行消防检测，并取得消防设施检测合格证明文件；</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（3）竣工验收消防备案；</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（4）如本项目被确定为抽查对象，须通过当地消防管理部门的检测检验。</w:t>
      </w:r>
    </w:p>
    <w:p>
      <w:pPr>
        <w:keepNext w:val="0"/>
        <w:keepLines w:val="0"/>
        <w:pageBreakBefore w:val="0"/>
        <w:tabs>
          <w:tab w:val="left" w:pos="360"/>
        </w:tabs>
        <w:kinsoku/>
        <w:wordWrap/>
        <w:overflowPunct/>
        <w:topLinePunct w:val="0"/>
        <w:bidi w:val="0"/>
        <w:spacing w:line="360" w:lineRule="auto"/>
        <w:ind w:left="0" w:right="0"/>
        <w:textAlignment w:val="auto"/>
        <w:rPr>
          <w:rFonts w:hint="eastAsia" w:ascii="宋体" w:hAnsi="宋体" w:eastAsia="宋体" w:cs="宋体"/>
          <w:color w:val="auto"/>
          <w:sz w:val="21"/>
          <w:szCs w:val="21"/>
          <w:highlight w:val="none"/>
        </w:rPr>
      </w:pPr>
    </w:p>
    <w:p>
      <w:pPr>
        <w:pStyle w:val="5"/>
        <w:bidi w:val="0"/>
        <w:rPr>
          <w:rFonts w:hint="eastAsia"/>
          <w:color w:val="auto"/>
          <w:highlight w:val="none"/>
        </w:rPr>
      </w:pPr>
      <w:r>
        <w:rPr>
          <w:rFonts w:hint="eastAsia"/>
          <w:color w:val="auto"/>
          <w:highlight w:val="none"/>
          <w:lang w:val="en-US" w:eastAsia="zh-CN"/>
        </w:rPr>
        <w:t>七、</w:t>
      </w:r>
      <w:r>
        <w:rPr>
          <w:rFonts w:hint="eastAsia"/>
          <w:color w:val="auto"/>
          <w:highlight w:val="none"/>
        </w:rPr>
        <w:t>特别要求</w:t>
      </w:r>
    </w:p>
    <w:p>
      <w:pPr>
        <w:keepNext w:val="0"/>
        <w:keepLines w:val="0"/>
        <w:pageBreakBefore w:val="0"/>
        <w:tabs>
          <w:tab w:val="left" w:pos="360"/>
        </w:tabs>
        <w:kinsoku/>
        <w:wordWrap/>
        <w:overflowPunct/>
        <w:topLinePunct w:val="0"/>
        <w:bidi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由于涉及系统并网验收及报批，需与当地供电公司协调沟通。</w:t>
      </w:r>
    </w:p>
    <w:p>
      <w:pPr>
        <w:bidi w:val="0"/>
        <w:rPr>
          <w:rFonts w:hint="eastAsia"/>
          <w:color w:val="auto"/>
          <w:highlight w:val="none"/>
        </w:rPr>
      </w:pPr>
    </w:p>
    <w:p>
      <w:pPr>
        <w:pStyle w:val="5"/>
        <w:bidi w:val="0"/>
        <w:rPr>
          <w:rFonts w:hint="default" w:eastAsia="宋体"/>
          <w:color w:val="auto"/>
          <w:highlight w:val="none"/>
          <w:lang w:val="en-US" w:eastAsia="zh-CN"/>
        </w:rPr>
      </w:pPr>
      <w:r>
        <w:rPr>
          <w:rFonts w:hint="eastAsia"/>
          <w:color w:val="auto"/>
          <w:highlight w:val="none"/>
          <w:lang w:val="en-US" w:eastAsia="zh-CN"/>
        </w:rPr>
        <w:t>八、项目清单</w:t>
      </w:r>
    </w:p>
    <w:tbl>
      <w:tblPr>
        <w:tblStyle w:val="18"/>
        <w:tblW w:w="9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1003"/>
        <w:gridCol w:w="2165"/>
        <w:gridCol w:w="645"/>
        <w:gridCol w:w="690"/>
        <w:gridCol w:w="1170"/>
        <w:gridCol w:w="1260"/>
        <w:gridCol w:w="495"/>
        <w:gridCol w:w="492"/>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要求备注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光伏组件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550Wp 单晶硅高效 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并网逆变器</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AC380V 组串式 含监控模块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光伏支架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铝合金导轨、含压块、夹具等所需配件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光伏防水棚架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铝合金W型槽防水支架、工字钢立柱、主梁、横梁，含压块、结构防水等所需配件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棚架排水槽</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含漏斗、垂直排水管等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光伏专用电缆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PV1-F-1×4mm²、配MC4接头、配管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ZRC-YJV-3×300+2×150mm²、配电缆头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ZRC-YJV-3×185+2×95mm²、配电缆头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ZRC-YJV-3×70+2×35mm²、配电缆头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ZRC-YJV-3×50+2×25mm²、配电缆头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ZRC-YJV-3×25+2×16mm²、配电缆头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电缆桥架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100×60mm、配吊架、连接件、接地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电缆桥架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100×50mm、配吊架、连接件、接地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并网计量柜</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室内、GGD、防护等级IP30、含底座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避雷接地系统</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支架、电气设备避雷接地、接地极等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视频监控系统</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360度24h视频监控、4G卡、含电源接线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光伏监控系统（云平台）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电站发电后台监控、含软件注册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消防器材</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配置两个灭火器,两个沙桶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清洗系统</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含清洗水管、水龙头、清洗工具等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逆变器遮雨棚</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土建及配电等基础设施</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埋管、电缆井、防火封堵等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防护材料及辅材</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安健环、防火泥、接线耳、套管等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试验费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满足供电要求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三、绿色施工安全防护措施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绿色施工安全防护措施费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left"/>
              <w:rPr>
                <w:rFonts w:hint="eastAsia" w:ascii="宋体" w:hAnsi="宋体" w:eastAsia="宋体" w:cs="宋体"/>
                <w:i w:val="0"/>
                <w:iCs w:val="0"/>
                <w:color w:val="auto"/>
                <w:sz w:val="21"/>
                <w:szCs w:val="21"/>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6203"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235000.00 </w:t>
            </w:r>
          </w:p>
        </w:tc>
        <w:tc>
          <w:tcPr>
            <w:tcW w:w="4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20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5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人民币</w:t>
            </w:r>
          </w:p>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（大写）：</w:t>
            </w:r>
          </w:p>
        </w:tc>
        <w:tc>
          <w:tcPr>
            <w:tcW w:w="764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rPr>
                <w:rFonts w:hint="eastAsia" w:ascii="宋体" w:hAnsi="宋体" w:eastAsia="宋体" w:cs="宋体"/>
                <w:b/>
                <w:bCs/>
                <w:i w:val="0"/>
                <w:iCs w:val="0"/>
                <w:color w:val="auto"/>
                <w:sz w:val="21"/>
                <w:szCs w:val="21"/>
                <w:highlight w:val="none"/>
                <w:u w:val="none"/>
              </w:rPr>
            </w:pPr>
          </w:p>
        </w:tc>
      </w:tr>
    </w:tbl>
    <w:p>
      <w:pPr>
        <w:rPr>
          <w:rFonts w:hint="eastAsia"/>
          <w:color w:val="auto"/>
          <w:highlight w:val="none"/>
          <w:lang w:val="en-US" w:eastAsia="zh-CN"/>
        </w:rPr>
      </w:pPr>
      <w:r>
        <w:rPr>
          <w:rFonts w:hint="eastAsia"/>
          <w:color w:val="auto"/>
          <w:highlight w:val="none"/>
          <w:lang w:val="en-US" w:eastAsia="zh-CN"/>
        </w:rPr>
        <w:t>注：</w:t>
      </w:r>
    </w:p>
    <w:bookmarkEnd w:id="45"/>
    <w:bookmarkEnd w:id="46"/>
    <w:bookmarkEnd w:id="47"/>
    <w:bookmarkEnd w:id="48"/>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（1）本项目为总承包，包含人工、项目并网报装所需的相关手续、必要的配套设施，投标单位需要考虑此部分费用在报价中。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（2）本项目报价需参考招标技术要求。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（3）本项目报价含税。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（4）本项目报价须标明设备材料型号与品牌。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（5）具体施工详见技术要求和图纸《另册》，本工程建设清单中未标注数量的设备材料，投标单位应根据图纸及项目各项技术要求自行衡量数量并考虑在投标报价中。</w:t>
      </w:r>
    </w:p>
    <w:p>
      <w:pPr>
        <w:bidi w:val="0"/>
        <w:rPr>
          <w:rFonts w:hint="eastAsia"/>
          <w:color w:val="auto"/>
          <w:highlight w:val="none"/>
        </w:rPr>
      </w:pPr>
    </w:p>
    <w:p>
      <w:pPr>
        <w:bidi w:val="0"/>
        <w:rPr>
          <w:rFonts w:hint="eastAsia"/>
          <w:b/>
          <w:bCs/>
          <w:color w:val="auto"/>
          <w:highlight w:val="none"/>
          <w:lang w:val="zh-CN"/>
        </w:rPr>
      </w:pPr>
      <w:r>
        <w:rPr>
          <w:rFonts w:hint="eastAsia"/>
          <w:b/>
          <w:bCs/>
          <w:color w:val="auto"/>
          <w:highlight w:val="none"/>
        </w:rPr>
        <w:t>注：不满足采购文件中 “★”条款的谈判响应文件将作无效处理。</w:t>
      </w:r>
      <w:bookmarkStart w:id="49" w:name="_Toc413402440"/>
      <w:bookmarkStart w:id="50" w:name="_Toc396137242"/>
      <w:bookmarkStart w:id="51" w:name="_Toc508723469"/>
    </w:p>
    <w:p>
      <w:pPr>
        <w:spacing w:line="360" w:lineRule="auto"/>
        <w:jc w:val="center"/>
        <w:outlineLvl w:val="0"/>
        <w:rPr>
          <w:rFonts w:hint="eastAsia" w:ascii="宋体" w:hAnsi="Times New Roman" w:eastAsia="宋体" w:cs="仿宋_GB2312"/>
          <w:b/>
          <w:color w:val="auto"/>
          <w:sz w:val="32"/>
          <w:szCs w:val="21"/>
          <w:highlight w:val="none"/>
          <w:lang w:val="zh-CN"/>
        </w:rPr>
      </w:pPr>
      <w:r>
        <w:rPr>
          <w:rFonts w:hint="eastAsia" w:ascii="宋体" w:hAnsi="Times New Roman" w:eastAsia="宋体" w:cs="仿宋_GB2312"/>
          <w:b/>
          <w:color w:val="auto"/>
          <w:sz w:val="32"/>
          <w:szCs w:val="21"/>
          <w:highlight w:val="none"/>
          <w:lang w:val="zh-CN"/>
        </w:rPr>
        <w:br w:type="page"/>
      </w:r>
      <w:r>
        <w:rPr>
          <w:rFonts w:hint="eastAsia" w:ascii="宋体" w:hAnsi="Times New Roman" w:eastAsia="宋体" w:cs="仿宋_GB2312"/>
          <w:b/>
          <w:color w:val="auto"/>
          <w:sz w:val="32"/>
          <w:szCs w:val="21"/>
          <w:highlight w:val="none"/>
          <w:lang w:val="zh-CN"/>
        </w:rPr>
        <w:t>第四章   谈判响应文件格式</w:t>
      </w:r>
      <w:bookmarkEnd w:id="49"/>
      <w:bookmarkEnd w:id="50"/>
      <w:bookmarkEnd w:id="51"/>
    </w:p>
    <w:p>
      <w:pPr>
        <w:jc w:val="center"/>
        <w:rPr>
          <w:bCs/>
          <w:color w:val="auto"/>
          <w:highlight w:val="none"/>
          <w:lang w:val="zh-CN"/>
        </w:rPr>
      </w:pPr>
      <w:r>
        <w:rPr>
          <w:rFonts w:hint="eastAsia"/>
          <w:bCs/>
          <w:color w:val="auto"/>
          <w:highlight w:val="none"/>
          <w:lang w:val="zh-CN"/>
        </w:rPr>
        <w:t>（响应文件格式仅供参考，供应商可按实际情况调整格式）</w:t>
      </w:r>
    </w:p>
    <w:p>
      <w:pPr>
        <w:rPr>
          <w:bCs/>
          <w:color w:val="auto"/>
          <w:highlight w:val="none"/>
          <w:lang w:val="zh-CN"/>
        </w:rPr>
      </w:pPr>
    </w:p>
    <w:p>
      <w:pPr>
        <w:pStyle w:val="8"/>
        <w:jc w:val="both"/>
        <w:rPr>
          <w:b w:val="0"/>
          <w:color w:val="auto"/>
          <w:highlight w:val="none"/>
        </w:rPr>
      </w:pPr>
    </w:p>
    <w:p>
      <w:pPr>
        <w:pStyle w:val="4"/>
        <w:jc w:val="both"/>
        <w:rPr>
          <w:rFonts w:cs="仿宋_GB2312"/>
          <w:bCs/>
          <w:color w:val="auto"/>
          <w:sz w:val="28"/>
          <w:highlight w:val="none"/>
        </w:rPr>
      </w:pPr>
      <w:bookmarkStart w:id="52" w:name="_Toc508723470"/>
      <w:bookmarkStart w:id="53" w:name="_Toc502240068"/>
      <w:r>
        <w:rPr>
          <w:rFonts w:hint="eastAsia" w:cs="仿宋_GB2312"/>
          <w:bCs/>
          <w:color w:val="auto"/>
          <w:sz w:val="28"/>
          <w:highlight w:val="none"/>
        </w:rPr>
        <w:t>一、报价文件格式</w:t>
      </w:r>
      <w:bookmarkEnd w:id="52"/>
      <w:bookmarkEnd w:id="53"/>
    </w:p>
    <w:p>
      <w:pPr>
        <w:pStyle w:val="8"/>
        <w:numPr>
          <w:ilvl w:val="0"/>
          <w:numId w:val="5"/>
        </w:numPr>
        <w:autoSpaceDE/>
        <w:autoSpaceDN/>
        <w:adjustRightInd/>
        <w:spacing w:after="120" w:line="520" w:lineRule="exact"/>
        <w:ind w:right="0"/>
        <w:rPr>
          <w:rFonts w:cs="仿宋_GB2312"/>
          <w:b w:val="0"/>
          <w:color w:val="auto"/>
          <w:sz w:val="28"/>
          <w:szCs w:val="28"/>
          <w:highlight w:val="none"/>
        </w:rPr>
      </w:pPr>
      <w:bookmarkStart w:id="54" w:name="_Toc273345311"/>
      <w:r>
        <w:rPr>
          <w:rFonts w:hint="eastAsia" w:cs="仿宋_GB2312"/>
          <w:b w:val="0"/>
          <w:color w:val="auto"/>
          <w:sz w:val="28"/>
          <w:szCs w:val="28"/>
          <w:highlight w:val="none"/>
        </w:rPr>
        <w:t>报价总表</w:t>
      </w:r>
      <w:bookmarkEnd w:id="54"/>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485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541" w:type="dxa"/>
            <w:noWrap w:val="0"/>
            <w:vAlign w:val="center"/>
          </w:tcPr>
          <w:p>
            <w:pPr>
              <w:pStyle w:val="29"/>
              <w:widowControl w:val="0"/>
              <w:overflowPunct w:val="0"/>
              <w:adjustRightInd w:val="0"/>
              <w:spacing w:line="240" w:lineRule="auto"/>
              <w:ind w:firstLine="0"/>
              <w:jc w:val="center"/>
              <w:rPr>
                <w:rFonts w:ascii="宋体" w:eastAsia="宋体" w:cs="仿宋_GB2312"/>
                <w:bCs/>
                <w:color w:val="auto"/>
                <w:sz w:val="28"/>
                <w:highlight w:val="none"/>
              </w:rPr>
            </w:pPr>
            <w:r>
              <w:rPr>
                <w:rFonts w:hint="eastAsia" w:ascii="宋体" w:eastAsia="宋体" w:cs="仿宋_GB2312"/>
                <w:bCs/>
                <w:color w:val="auto"/>
                <w:sz w:val="28"/>
                <w:highlight w:val="none"/>
              </w:rPr>
              <w:t>项目名称/包号</w:t>
            </w:r>
          </w:p>
        </w:tc>
        <w:tc>
          <w:tcPr>
            <w:tcW w:w="4851" w:type="dxa"/>
            <w:noWrap w:val="0"/>
            <w:vAlign w:val="center"/>
          </w:tcPr>
          <w:p>
            <w:pPr>
              <w:pStyle w:val="29"/>
              <w:widowControl w:val="0"/>
              <w:overflowPunct w:val="0"/>
              <w:adjustRightInd w:val="0"/>
              <w:spacing w:line="240" w:lineRule="auto"/>
              <w:ind w:firstLine="0"/>
              <w:jc w:val="center"/>
              <w:rPr>
                <w:rFonts w:ascii="宋体" w:eastAsia="宋体" w:cs="仿宋_GB2312"/>
                <w:bCs/>
                <w:color w:val="auto"/>
                <w:sz w:val="28"/>
                <w:highlight w:val="none"/>
              </w:rPr>
            </w:pPr>
            <w:r>
              <w:rPr>
                <w:rFonts w:hint="eastAsia" w:ascii="宋体" w:eastAsia="宋体" w:cs="仿宋_GB2312"/>
                <w:bCs/>
                <w:color w:val="auto"/>
                <w:sz w:val="28"/>
                <w:highlight w:val="none"/>
              </w:rPr>
              <w:t>响应报价</w:t>
            </w:r>
          </w:p>
        </w:tc>
        <w:tc>
          <w:tcPr>
            <w:tcW w:w="1669" w:type="dxa"/>
            <w:noWrap w:val="0"/>
            <w:vAlign w:val="center"/>
          </w:tcPr>
          <w:p>
            <w:pPr>
              <w:pStyle w:val="29"/>
              <w:widowControl w:val="0"/>
              <w:overflowPunct w:val="0"/>
              <w:adjustRightInd w:val="0"/>
              <w:spacing w:line="240" w:lineRule="auto"/>
              <w:ind w:firstLine="0"/>
              <w:jc w:val="center"/>
              <w:rPr>
                <w:rFonts w:ascii="宋体" w:eastAsia="宋体" w:cs="仿宋_GB2312"/>
                <w:bCs/>
                <w:color w:val="auto"/>
                <w:sz w:val="28"/>
                <w:highlight w:val="none"/>
              </w:rPr>
            </w:pPr>
            <w:r>
              <w:rPr>
                <w:rFonts w:hint="eastAsia" w:ascii="宋体" w:eastAsia="宋体" w:cs="仿宋_GB2312"/>
                <w:bCs/>
                <w:color w:val="auto"/>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541" w:type="dxa"/>
            <w:noWrap w:val="0"/>
            <w:vAlign w:val="top"/>
          </w:tcPr>
          <w:p>
            <w:pPr>
              <w:pStyle w:val="29"/>
              <w:widowControl w:val="0"/>
              <w:overflowPunct w:val="0"/>
              <w:adjustRightInd w:val="0"/>
              <w:spacing w:line="600" w:lineRule="exact"/>
              <w:ind w:firstLine="0"/>
              <w:jc w:val="center"/>
              <w:rPr>
                <w:rFonts w:ascii="宋体" w:eastAsia="宋体" w:cs="仿宋_GB2312"/>
                <w:bCs/>
                <w:color w:val="auto"/>
                <w:sz w:val="28"/>
                <w:highlight w:val="none"/>
              </w:rPr>
            </w:pPr>
          </w:p>
        </w:tc>
        <w:tc>
          <w:tcPr>
            <w:tcW w:w="4851" w:type="dxa"/>
            <w:noWrap w:val="0"/>
            <w:vAlign w:val="top"/>
          </w:tcPr>
          <w:p>
            <w:pPr>
              <w:pStyle w:val="29"/>
              <w:widowControl w:val="0"/>
              <w:overflowPunct w:val="0"/>
              <w:adjustRightInd w:val="0"/>
              <w:spacing w:line="600" w:lineRule="exact"/>
              <w:ind w:firstLine="0"/>
              <w:jc w:val="center"/>
              <w:rPr>
                <w:rFonts w:ascii="宋体" w:eastAsia="宋体" w:cs="仿宋_GB2312"/>
                <w:bCs/>
                <w:color w:val="auto"/>
                <w:sz w:val="28"/>
                <w:highlight w:val="none"/>
              </w:rPr>
            </w:pPr>
          </w:p>
        </w:tc>
        <w:tc>
          <w:tcPr>
            <w:tcW w:w="1669" w:type="dxa"/>
            <w:noWrap w:val="0"/>
            <w:vAlign w:val="top"/>
          </w:tcPr>
          <w:p>
            <w:pPr>
              <w:pStyle w:val="29"/>
              <w:widowControl w:val="0"/>
              <w:overflowPunct w:val="0"/>
              <w:adjustRightInd w:val="0"/>
              <w:spacing w:line="600" w:lineRule="exact"/>
              <w:ind w:firstLine="0"/>
              <w:jc w:val="center"/>
              <w:rPr>
                <w:rFonts w:ascii="宋体" w:eastAsia="宋体" w:cs="仿宋_GB2312"/>
                <w:bCs/>
                <w:color w:val="auto"/>
                <w:sz w:val="28"/>
                <w:highlight w:val="none"/>
              </w:rPr>
            </w:pPr>
          </w:p>
        </w:tc>
      </w:tr>
    </w:tbl>
    <w:p>
      <w:pPr>
        <w:pStyle w:val="8"/>
        <w:spacing w:line="520" w:lineRule="exact"/>
        <w:rPr>
          <w:rFonts w:cs="仿宋_GB2312"/>
          <w:b w:val="0"/>
          <w:color w:val="auto"/>
          <w:sz w:val="28"/>
          <w:szCs w:val="28"/>
          <w:highlight w:val="none"/>
        </w:rPr>
      </w:pPr>
    </w:p>
    <w:p>
      <w:pPr>
        <w:rPr>
          <w:rFonts w:cs="仿宋_GB2312"/>
          <w:bCs/>
          <w:color w:val="auto"/>
          <w:highlight w:val="none"/>
        </w:rPr>
      </w:pPr>
    </w:p>
    <w:p>
      <w:pPr>
        <w:rPr>
          <w:rFonts w:cs="仿宋_GB2312"/>
          <w:bCs/>
          <w:color w:val="auto"/>
          <w:highlight w:val="none"/>
        </w:rPr>
      </w:pPr>
    </w:p>
    <w:p>
      <w:pPr>
        <w:pStyle w:val="24"/>
        <w:ind w:firstLine="638" w:firstLineChars="228"/>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（盖章）：</w:t>
      </w:r>
    </w:p>
    <w:p>
      <w:pPr>
        <w:pStyle w:val="24"/>
        <w:ind w:firstLine="638" w:firstLineChars="228"/>
        <w:rPr>
          <w:rFonts w:ascii="宋体" w:eastAsia="宋体" w:cs="仿宋_GB2312"/>
          <w:bCs/>
          <w:color w:val="auto"/>
          <w:sz w:val="28"/>
          <w:highlight w:val="none"/>
        </w:rPr>
      </w:pPr>
      <w:r>
        <w:rPr>
          <w:rFonts w:hint="eastAsia" w:ascii="宋体" w:eastAsia="宋体" w:cs="仿宋_GB2312"/>
          <w:bCs/>
          <w:color w:val="auto"/>
          <w:sz w:val="28"/>
          <w:highlight w:val="none"/>
        </w:rPr>
        <w:t>授权代表（签字或盖章）：</w:t>
      </w:r>
    </w:p>
    <w:p>
      <w:pPr>
        <w:pStyle w:val="24"/>
        <w:ind w:firstLine="638" w:firstLineChars="228"/>
        <w:rPr>
          <w:rFonts w:ascii="宋体" w:eastAsia="宋体" w:cs="仿宋_GB2312"/>
          <w:bCs/>
          <w:color w:val="auto"/>
          <w:sz w:val="28"/>
          <w:highlight w:val="none"/>
        </w:rPr>
      </w:pPr>
      <w:r>
        <w:rPr>
          <w:rFonts w:hint="eastAsia" w:ascii="宋体" w:eastAsia="宋体" w:cs="仿宋_GB2312"/>
          <w:bCs/>
          <w:color w:val="auto"/>
          <w:sz w:val="28"/>
          <w:highlight w:val="none"/>
        </w:rPr>
        <w:t>日       期：</w:t>
      </w:r>
    </w:p>
    <w:p>
      <w:pPr>
        <w:pStyle w:val="8"/>
        <w:numPr>
          <w:ilvl w:val="0"/>
          <w:numId w:val="5"/>
        </w:numPr>
        <w:rPr>
          <w:rFonts w:cs="仿宋_GB2312"/>
          <w:b w:val="0"/>
          <w:color w:val="auto"/>
          <w:sz w:val="28"/>
          <w:szCs w:val="28"/>
          <w:highlight w:val="none"/>
          <w:lang w:val="en-US"/>
        </w:rPr>
      </w:pPr>
      <w:r>
        <w:rPr>
          <w:rFonts w:hint="eastAsia" w:cs="仿宋_GB2312"/>
          <w:b w:val="0"/>
          <w:color w:val="auto"/>
          <w:sz w:val="28"/>
          <w:highlight w:val="none"/>
        </w:rPr>
        <w:br w:type="page"/>
      </w:r>
      <w:r>
        <w:rPr>
          <w:rFonts w:hint="eastAsia" w:cs="仿宋_GB2312"/>
          <w:b w:val="0"/>
          <w:color w:val="auto"/>
          <w:sz w:val="28"/>
          <w:szCs w:val="28"/>
          <w:highlight w:val="none"/>
          <w:lang w:val="en-US" w:eastAsia="zh-CN"/>
        </w:rPr>
        <w:t>报价明细表</w:t>
      </w:r>
    </w:p>
    <w:p>
      <w:pPr>
        <w:pStyle w:val="8"/>
        <w:tabs>
          <w:tab w:val="left" w:pos="0"/>
        </w:tabs>
        <w:jc w:val="left"/>
        <w:rPr>
          <w:rFonts w:cs="仿宋_GB2312"/>
          <w:b w:val="0"/>
          <w:color w:val="auto"/>
          <w:sz w:val="28"/>
          <w:szCs w:val="28"/>
          <w:highlight w:val="none"/>
          <w:lang w:val="en-US"/>
        </w:rPr>
      </w:pPr>
      <w:r>
        <w:rPr>
          <w:rFonts w:hint="eastAsia" w:cs="仿宋_GB2312"/>
          <w:b w:val="0"/>
          <w:color w:val="auto"/>
          <w:sz w:val="28"/>
          <w:szCs w:val="28"/>
          <w:highlight w:val="none"/>
          <w:lang w:val="en-US"/>
        </w:rPr>
        <w:t>项目名称：</w:t>
      </w:r>
      <w:r>
        <w:rPr>
          <w:rFonts w:hint="eastAsia" w:ascii="宋体" w:cs="仿宋_GB2312"/>
          <w:b w:val="0"/>
          <w:color w:val="auto"/>
          <w:sz w:val="28"/>
          <w:highlight w:val="none"/>
          <w:u w:val="single"/>
        </w:rPr>
        <w:t xml:space="preserve">　　　　　　      </w:t>
      </w:r>
      <w:r>
        <w:rPr>
          <w:rFonts w:hint="eastAsia" w:ascii="宋体" w:cs="仿宋_GB2312"/>
          <w:b w:val="0"/>
          <w:color w:val="auto"/>
          <w:sz w:val="28"/>
          <w:highlight w:val="none"/>
          <w:u w:val="single"/>
          <w:lang w:val="en-US"/>
        </w:rPr>
        <w:t xml:space="preserve"> </w:t>
      </w:r>
      <w:r>
        <w:rPr>
          <w:rFonts w:hint="eastAsia" w:ascii="宋体" w:cs="仿宋_GB2312"/>
          <w:b w:val="0"/>
          <w:color w:val="auto"/>
          <w:sz w:val="28"/>
          <w:highlight w:val="none"/>
          <w:lang w:val="en-US"/>
        </w:rPr>
        <w:t xml:space="preserve">    采购编号</w:t>
      </w:r>
      <w:r>
        <w:rPr>
          <w:rFonts w:hint="eastAsia" w:ascii="宋体" w:cs="仿宋_GB2312"/>
          <w:b w:val="0"/>
          <w:color w:val="auto"/>
          <w:sz w:val="28"/>
          <w:highlight w:val="none"/>
          <w:u w:val="single"/>
          <w:lang w:val="en-US"/>
        </w:rPr>
        <w:t xml:space="preserve">：                          </w:t>
      </w:r>
    </w:p>
    <w:p>
      <w:pPr>
        <w:rPr>
          <w:bCs/>
          <w:color w:val="auto"/>
          <w:highlight w:val="none"/>
        </w:rPr>
      </w:pPr>
      <w:bookmarkStart w:id="55" w:name="_Toc502240069"/>
    </w:p>
    <w:tbl>
      <w:tblPr>
        <w:tblStyle w:val="18"/>
        <w:tblW w:w="9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1003"/>
        <w:gridCol w:w="2165"/>
        <w:gridCol w:w="645"/>
        <w:gridCol w:w="690"/>
        <w:gridCol w:w="1170"/>
        <w:gridCol w:w="1260"/>
        <w:gridCol w:w="495"/>
        <w:gridCol w:w="492"/>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jc w:val="center"/>
        </w:trPr>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bCs/>
                <w:i w:val="0"/>
                <w:iCs w:val="0"/>
                <w:color w:val="auto"/>
                <w:sz w:val="21"/>
                <w:szCs w:val="21"/>
                <w:highlight w:val="none"/>
                <w:u w:val="none"/>
              </w:rPr>
            </w:pPr>
            <w:bookmarkStart w:id="56" w:name="_Toc508723471"/>
            <w:r>
              <w:rPr>
                <w:rFonts w:hint="eastAsia" w:ascii="宋体" w:hAnsi="宋体" w:eastAsia="宋体" w:cs="宋体"/>
                <w:b/>
                <w:bCs/>
                <w:i w:val="0"/>
                <w:iCs w:val="0"/>
                <w:color w:val="auto"/>
                <w:kern w:val="0"/>
                <w:sz w:val="21"/>
                <w:szCs w:val="21"/>
                <w:highlight w:val="none"/>
                <w:u w:val="none"/>
                <w:lang w:val="en-US" w:eastAsia="zh-CN" w:bidi="ar"/>
              </w:rPr>
              <w:t>一、设备材料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要求备注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光伏组件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550Wp 单晶硅高效 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并网逆变器</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AC380V 组串式 含监控模块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光伏支架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铝合金导轨、含压块、夹具等所需配件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光伏防水棚架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铝合金W型槽防水支架、工字钢立柱、主梁、横梁，含压块、结构防水等所需配件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棚架排水槽</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含漏斗、垂直排水管等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光伏专用电缆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PV1-F-1×4mm²、配MC4接头、配管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ZRC-YJV-3×300+2×150mm²、配电缆头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ZRC-YJV-3×185+2×95mm²、配电缆头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ZRC-YJV-3×70+2×35mm²、配电缆头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ZRC-YJV-3×50+2×25mm²、配电缆头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交流铜芯电缆</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ZRC-YJV-3×25+2×16mm²、配电缆头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电缆桥架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100×60mm、配吊架、连接件、接地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电缆桥架</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100×50mm、配吊架、连接件、接地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并网计量柜</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室内、GGD、防护等级IP30、含底座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避雷接地系统</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支架、电气设备避雷接地、接地极等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视频监控系统</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360度24h视频监控、4G卡、含电源接线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光伏监控系统（云平台）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电站发电后台监控、含软件注册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消防器材</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配置两个灭火器,两个沙桶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清洗系统</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含清洗水管、水龙头、清洗工具等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逆变器遮雨棚</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土建及配电等基础设施</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埋管、电缆井、防火封堵等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防护材料及辅材</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安健环、防火泥、接线耳、套管等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试验费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满足供电要求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三、绿色施工安全防护措施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含税单价（元）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绿色施工安全防护措施费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left"/>
              <w:rPr>
                <w:rFonts w:hint="eastAsia" w:ascii="宋体" w:hAnsi="宋体" w:eastAsia="宋体" w:cs="宋体"/>
                <w:i w:val="0"/>
                <w:iCs w:val="0"/>
                <w:color w:val="auto"/>
                <w:sz w:val="21"/>
                <w:szCs w:val="21"/>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6203"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235000.00 </w:t>
            </w:r>
          </w:p>
        </w:tc>
        <w:tc>
          <w:tcPr>
            <w:tcW w:w="4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4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i w:val="0"/>
                <w:iCs w:val="0"/>
                <w:color w:val="auto"/>
                <w:sz w:val="21"/>
                <w:szCs w:val="21"/>
                <w:highlight w:val="none"/>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20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righ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jc w:val="center"/>
        </w:trPr>
        <w:tc>
          <w:tcPr>
            <w:tcW w:w="15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人民币（大写）：</w:t>
            </w:r>
          </w:p>
        </w:tc>
        <w:tc>
          <w:tcPr>
            <w:tcW w:w="764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rPr>
                <w:rFonts w:hint="eastAsia" w:ascii="宋体" w:hAnsi="宋体" w:eastAsia="宋体" w:cs="宋体"/>
                <w:b/>
                <w:bCs/>
                <w:i w:val="0"/>
                <w:iCs w:val="0"/>
                <w:color w:val="auto"/>
                <w:sz w:val="21"/>
                <w:szCs w:val="21"/>
                <w:highlight w:val="none"/>
                <w:u w:val="none"/>
              </w:rPr>
            </w:pPr>
          </w:p>
        </w:tc>
      </w:tr>
    </w:tbl>
    <w:p>
      <w:pPr>
        <w:rPr>
          <w:rFonts w:hint="eastAsia"/>
          <w:color w:val="auto"/>
          <w:highlight w:val="none"/>
          <w:lang w:val="en-US" w:eastAsia="zh-CN"/>
        </w:rPr>
      </w:pPr>
      <w:r>
        <w:rPr>
          <w:rFonts w:hint="eastAsia"/>
          <w:color w:val="auto"/>
          <w:highlight w:val="none"/>
          <w:lang w:val="en-US" w:eastAsia="zh-CN"/>
        </w:rPr>
        <w:t>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（1）本项目为总承包，包含人工、项目并网报装所需的相关手续、必要的配套设施，投标单位需要考虑此部分费用在报价中。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（2）本项目报价需参考招标技术要求。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（3）本项目报价含税。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（4）本项目报价须标明设备材料型号与品牌。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（5）具体施工详见技术要求和图纸《另册》，本工程建设清单中未标注数量的设备材料，投标单位应根据图纸及项目各项技术要求自行衡量数量并考虑在投标报价中。</w:t>
      </w:r>
    </w:p>
    <w:p>
      <w:pPr>
        <w:rPr>
          <w:rFonts w:cs="仿宋_GB2312"/>
          <w:bCs/>
          <w:color w:val="auto"/>
          <w:sz w:val="28"/>
          <w:highlight w:val="none"/>
        </w:rPr>
      </w:pPr>
      <w:r>
        <w:rPr>
          <w:rFonts w:hint="eastAsia" w:cs="仿宋_GB2312"/>
          <w:bCs/>
          <w:color w:val="auto"/>
          <w:sz w:val="28"/>
          <w:highlight w:val="none"/>
        </w:rPr>
        <w:br w:type="page"/>
      </w:r>
    </w:p>
    <w:p>
      <w:pPr>
        <w:pStyle w:val="4"/>
        <w:jc w:val="both"/>
        <w:rPr>
          <w:rFonts w:cs="仿宋_GB2312"/>
          <w:bCs/>
          <w:color w:val="auto"/>
          <w:sz w:val="28"/>
          <w:szCs w:val="28"/>
          <w:highlight w:val="none"/>
        </w:rPr>
      </w:pPr>
      <w:r>
        <w:rPr>
          <w:rFonts w:hint="eastAsia" w:cs="仿宋_GB2312"/>
          <w:bCs/>
          <w:color w:val="auto"/>
          <w:sz w:val="28"/>
          <w:highlight w:val="none"/>
        </w:rPr>
        <w:t>二、谈判承诺书格式</w:t>
      </w:r>
      <w:bookmarkEnd w:id="55"/>
      <w:bookmarkEnd w:id="56"/>
    </w:p>
    <w:p>
      <w:pPr>
        <w:jc w:val="center"/>
        <w:rPr>
          <w:rFonts w:cs="仿宋_GB2312"/>
          <w:bCs/>
          <w:color w:val="auto"/>
          <w:sz w:val="28"/>
          <w:szCs w:val="28"/>
          <w:highlight w:val="none"/>
        </w:rPr>
      </w:pPr>
      <w:r>
        <w:rPr>
          <w:rFonts w:hint="eastAsia" w:cs="仿宋_GB2312"/>
          <w:bCs/>
          <w:color w:val="auto"/>
          <w:sz w:val="28"/>
          <w:szCs w:val="28"/>
          <w:highlight w:val="none"/>
        </w:rPr>
        <w:t>谈判承诺书</w:t>
      </w:r>
    </w:p>
    <w:p>
      <w:pPr>
        <w:pStyle w:val="30"/>
        <w:spacing w:line="520" w:lineRule="exact"/>
        <w:rPr>
          <w:rFonts w:ascii="宋体" w:eastAsia="宋体" w:cs="仿宋_GB2312"/>
          <w:bCs/>
          <w:color w:val="auto"/>
          <w:sz w:val="28"/>
          <w:highlight w:val="none"/>
        </w:rPr>
      </w:pPr>
    </w:p>
    <w:p>
      <w:pPr>
        <w:pStyle w:val="30"/>
        <w:spacing w:line="520" w:lineRule="exact"/>
        <w:rPr>
          <w:rFonts w:hint="eastAsia" w:ascii="宋体" w:eastAsia="宋体" w:cs="仿宋_GB2312"/>
          <w:bCs/>
          <w:color w:val="auto"/>
          <w:sz w:val="28"/>
          <w:highlight w:val="none"/>
          <w:lang w:eastAsia="zh-CN"/>
        </w:rPr>
      </w:pPr>
      <w:r>
        <w:rPr>
          <w:rFonts w:hint="eastAsia" w:ascii="宋体" w:eastAsia="宋体" w:cs="仿宋_GB2312"/>
          <w:bCs/>
          <w:color w:val="auto"/>
          <w:sz w:val="28"/>
          <w:highlight w:val="none"/>
        </w:rPr>
        <w:t>致：</w:t>
      </w:r>
      <w:r>
        <w:rPr>
          <w:rFonts w:hint="eastAsia" w:ascii="宋体" w:eastAsia="宋体" w:cs="仿宋_GB2312"/>
          <w:bCs/>
          <w:color w:val="auto"/>
          <w:sz w:val="28"/>
          <w:highlight w:val="none"/>
          <w:lang w:eastAsia="zh-CN"/>
        </w:rPr>
        <w:t>广东政通招标有限公司</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我方确认收到贵方提供的</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相关</w:t>
      </w:r>
      <w:r>
        <w:rPr>
          <w:rFonts w:hint="eastAsia" w:ascii="宋体" w:eastAsia="宋体" w:cs="仿宋_GB2312"/>
          <w:bCs/>
          <w:color w:val="auto"/>
          <w:sz w:val="28"/>
          <w:highlight w:val="none"/>
          <w:lang w:eastAsia="zh-CN"/>
        </w:rPr>
        <w:t>服务（或工程）</w:t>
      </w:r>
      <w:r>
        <w:rPr>
          <w:rFonts w:hint="eastAsia" w:ascii="宋体" w:eastAsia="宋体" w:cs="仿宋_GB2312"/>
          <w:bCs/>
          <w:color w:val="auto"/>
          <w:sz w:val="28"/>
          <w:highlight w:val="none"/>
        </w:rPr>
        <w:t>的谈判文件[采购编号：</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]的全部内容，我方：</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名称）作为</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正式委托</w:t>
      </w:r>
      <w:r>
        <w:rPr>
          <w:rFonts w:hint="eastAsia" w:ascii="宋体" w:eastAsia="宋体" w:cs="仿宋_GB2312"/>
          <w:bCs/>
          <w:color w:val="auto"/>
          <w:sz w:val="28"/>
          <w:highlight w:val="none"/>
          <w:u w:val="single"/>
        </w:rPr>
        <w:t>　　　　</w:t>
      </w:r>
      <w:r>
        <w:rPr>
          <w:rFonts w:hint="eastAsia" w:ascii="宋体" w:eastAsia="宋体" w:cs="仿宋_GB2312"/>
          <w:bCs/>
          <w:color w:val="auto"/>
          <w:sz w:val="28"/>
          <w:highlight w:val="none"/>
        </w:rPr>
        <w:t>（受委托人全名，职务）代表我方进行有关本谈判的一切事宜。</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在此提交的报价文件，正本</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份，副本</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份，</w:t>
      </w:r>
      <w:r>
        <w:rPr>
          <w:rFonts w:hint="eastAsia" w:ascii="宋体" w:eastAsia="宋体" w:cs="仿宋_GB2312"/>
          <w:bCs/>
          <w:color w:val="auto"/>
          <w:sz w:val="28"/>
          <w:highlight w:val="none"/>
          <w:lang w:eastAsia="zh-CN"/>
        </w:rPr>
        <w:t>报价信封</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份包括如下等内容：</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1．</w:t>
      </w:r>
      <w:r>
        <w:rPr>
          <w:rFonts w:hint="eastAsia" w:ascii="宋体" w:eastAsia="宋体" w:cs="仿宋_GB2312"/>
          <w:bCs/>
          <w:color w:val="auto"/>
          <w:sz w:val="28"/>
          <w:highlight w:val="none"/>
          <w:lang w:eastAsia="zh-CN"/>
        </w:rPr>
        <w:t>报价信封</w:t>
      </w:r>
      <w:r>
        <w:rPr>
          <w:rFonts w:hint="eastAsia" w:ascii="宋体" w:eastAsia="宋体" w:cs="仿宋_GB2312"/>
          <w:bCs/>
          <w:color w:val="auto"/>
          <w:sz w:val="28"/>
          <w:highlight w:val="none"/>
        </w:rPr>
        <w:t>（一份，独立密封）；</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 xml:space="preserve">2．响应文件。 </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我方己完全明白谈判文件的所有条款要求，并重申以下几点：</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（—）我方决定参加采购编号</w:t>
      </w:r>
      <w:r>
        <w:rPr>
          <w:rFonts w:hint="eastAsia" w:ascii="宋体" w:eastAsia="宋体" w:cs="仿宋_GB2312"/>
          <w:bCs/>
          <w:color w:val="auto"/>
          <w:sz w:val="28"/>
          <w:highlight w:val="none"/>
          <w:u w:val="single"/>
        </w:rPr>
        <w:t>　　　　　　</w:t>
      </w:r>
      <w:r>
        <w:rPr>
          <w:rFonts w:hint="eastAsia" w:ascii="宋体" w:eastAsia="宋体" w:cs="仿宋_GB2312"/>
          <w:bCs/>
          <w:color w:val="auto"/>
          <w:sz w:val="28"/>
          <w:highlight w:val="none"/>
        </w:rPr>
        <w:t>的谈判；</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（二）全部货物或</w:t>
      </w:r>
      <w:r>
        <w:rPr>
          <w:rFonts w:hint="eastAsia" w:ascii="宋体" w:eastAsia="宋体" w:cs="仿宋_GB2312"/>
          <w:bCs/>
          <w:color w:val="auto"/>
          <w:sz w:val="28"/>
          <w:highlight w:val="none"/>
          <w:lang w:eastAsia="zh-CN"/>
        </w:rPr>
        <w:t>服务（或工程）</w:t>
      </w:r>
      <w:r>
        <w:rPr>
          <w:rFonts w:hint="eastAsia" w:ascii="宋体" w:eastAsia="宋体" w:cs="仿宋_GB2312"/>
          <w:bCs/>
          <w:color w:val="auto"/>
          <w:sz w:val="28"/>
          <w:highlight w:val="none"/>
        </w:rPr>
        <w:t>之供应和有关</w:t>
      </w:r>
      <w:r>
        <w:rPr>
          <w:rFonts w:hint="eastAsia" w:ascii="宋体" w:eastAsia="宋体" w:cs="仿宋_GB2312"/>
          <w:bCs/>
          <w:color w:val="auto"/>
          <w:sz w:val="28"/>
          <w:highlight w:val="none"/>
          <w:lang w:eastAsia="zh-CN"/>
        </w:rPr>
        <w:t>服务（或工程）</w:t>
      </w:r>
      <w:r>
        <w:rPr>
          <w:rFonts w:hint="eastAsia" w:ascii="宋体" w:eastAsia="宋体" w:cs="仿宋_GB2312"/>
          <w:bCs/>
          <w:color w:val="auto"/>
          <w:sz w:val="28"/>
          <w:highlight w:val="none"/>
        </w:rPr>
        <w:t>的谈判总价（详见谈判报价表）；</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（三）本报价文件的有效期自谈判截止日后90天有效，如中标（成交），有效期将延至合同终止日为止；</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（四）我方已详细研究了谈判文件的所有内容包括相关资料及修正文（如果有），对本项目谈判文件的所有内容已清楚，接受本谈判文件的所有条款及要求；</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（五）我方明白并愿意在规定的谈判时间和日期之后，谈判有效期之内撤回谈判，则谈判保证金将被贵方没收；</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（六）我方同意按照贵方可能提出的要求而提供与谈判有关的任何其它数据或信息；</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（七）我方理解贵方不一定接受最低标价或任何贵方可能收到的谈判；</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（八）我方如果中标（成交），将保证履行谈判文件以及谈判文件修改书（如果有的话）中的全部责任和义务，按质、按量、按期完成《合同书》中的全部任务；</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（九）所有与本谈判有关的函件请发往下列地址：</w:t>
      </w:r>
    </w:p>
    <w:p>
      <w:pPr>
        <w:pStyle w:val="30"/>
        <w:spacing w:line="520" w:lineRule="exact"/>
        <w:rPr>
          <w:rFonts w:ascii="宋体" w:eastAsia="宋体" w:cs="仿宋_GB2312"/>
          <w:bCs/>
          <w:color w:val="auto"/>
          <w:sz w:val="28"/>
          <w:highlight w:val="none"/>
        </w:rPr>
      </w:pPr>
      <w:r>
        <w:rPr>
          <w:rFonts w:hint="eastAsia" w:ascii="宋体" w:eastAsia="宋体" w:cs="仿宋_GB2312"/>
          <w:bCs/>
          <w:color w:val="auto"/>
          <w:sz w:val="28"/>
          <w:highlight w:val="none"/>
        </w:rPr>
        <w:t>地  　址：　　　　　　　　　　　邮政编码：　　　　　</w:t>
      </w:r>
    </w:p>
    <w:p>
      <w:pPr>
        <w:pStyle w:val="30"/>
        <w:spacing w:line="520" w:lineRule="exact"/>
        <w:rPr>
          <w:rFonts w:ascii="宋体" w:eastAsia="宋体" w:cs="仿宋_GB2312"/>
          <w:bCs/>
          <w:color w:val="auto"/>
          <w:sz w:val="28"/>
          <w:highlight w:val="none"/>
        </w:rPr>
      </w:pPr>
      <w:r>
        <w:rPr>
          <w:rFonts w:hint="eastAsia" w:ascii="宋体" w:eastAsia="宋体" w:cs="仿宋_GB2312"/>
          <w:bCs/>
          <w:color w:val="auto"/>
          <w:sz w:val="28"/>
          <w:highlight w:val="none"/>
        </w:rPr>
        <w:t>电　　话：　　　　　　　　　　　传　　真： 　　　　　  　　　　　　　　　　　</w:t>
      </w:r>
    </w:p>
    <w:p>
      <w:pPr>
        <w:pStyle w:val="30"/>
        <w:spacing w:line="520" w:lineRule="exact"/>
        <w:rPr>
          <w:rFonts w:ascii="宋体" w:eastAsia="宋体" w:cs="仿宋_GB2312"/>
          <w:bCs/>
          <w:color w:val="auto"/>
          <w:sz w:val="28"/>
          <w:highlight w:val="none"/>
        </w:rPr>
      </w:pPr>
      <w:r>
        <w:rPr>
          <w:rFonts w:hint="eastAsia" w:ascii="宋体" w:eastAsia="宋体" w:cs="仿宋_GB2312"/>
          <w:bCs/>
          <w:color w:val="auto"/>
          <w:sz w:val="28"/>
          <w:highlight w:val="none"/>
        </w:rPr>
        <w:t>代表姓名：　　　　　　　　　　　职　　务：　　　　</w:t>
      </w:r>
    </w:p>
    <w:p>
      <w:pPr>
        <w:pStyle w:val="30"/>
        <w:spacing w:line="520" w:lineRule="exact"/>
        <w:rPr>
          <w:rFonts w:ascii="宋体" w:eastAsia="宋体" w:cs="仿宋_GB2312"/>
          <w:bCs/>
          <w:color w:val="auto"/>
          <w:sz w:val="28"/>
          <w:highlight w:val="none"/>
        </w:rPr>
      </w:pPr>
    </w:p>
    <w:p>
      <w:pPr>
        <w:pStyle w:val="30"/>
        <w:spacing w:line="520" w:lineRule="exact"/>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（公章）</w:t>
      </w:r>
    </w:p>
    <w:p>
      <w:pPr>
        <w:pStyle w:val="30"/>
        <w:spacing w:line="520" w:lineRule="exact"/>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地址：</w:t>
      </w:r>
    </w:p>
    <w:p>
      <w:pPr>
        <w:pStyle w:val="30"/>
        <w:spacing w:line="520" w:lineRule="exact"/>
        <w:rPr>
          <w:rFonts w:ascii="宋体" w:eastAsia="宋体" w:cs="仿宋_GB2312"/>
          <w:bCs/>
          <w:color w:val="auto"/>
          <w:sz w:val="28"/>
          <w:highlight w:val="none"/>
        </w:rPr>
      </w:pPr>
      <w:r>
        <w:rPr>
          <w:rFonts w:hint="eastAsia" w:ascii="宋体" w:eastAsia="宋体" w:cs="仿宋_GB2312"/>
          <w:bCs/>
          <w:color w:val="auto"/>
          <w:sz w:val="28"/>
          <w:highlight w:val="none"/>
        </w:rPr>
        <w:t>日　　　期</w:t>
      </w:r>
    </w:p>
    <w:p>
      <w:pPr>
        <w:pStyle w:val="30"/>
        <w:spacing w:line="520" w:lineRule="exact"/>
        <w:rPr>
          <w:rFonts w:ascii="宋体" w:eastAsia="宋体" w:cs="仿宋_GB2312"/>
          <w:bCs/>
          <w:color w:val="auto"/>
          <w:sz w:val="28"/>
          <w:highlight w:val="none"/>
        </w:rPr>
        <w:sectPr>
          <w:footerReference r:id="rId7" w:type="default"/>
          <w:pgSz w:w="11907" w:h="16840"/>
          <w:pgMar w:top="2041" w:right="1531" w:bottom="2041" w:left="1531" w:header="1701" w:footer="1474" w:gutter="0"/>
          <w:paperSrc w:first="534" w:other="534"/>
          <w:pgNumType w:fmt="decimal"/>
          <w:cols w:space="720" w:num="1"/>
          <w:docGrid w:linePitch="523" w:charSpace="0"/>
        </w:sectPr>
      </w:pPr>
    </w:p>
    <w:p>
      <w:pPr>
        <w:rPr>
          <w:bCs/>
          <w:color w:val="auto"/>
          <w:highlight w:val="none"/>
        </w:rPr>
      </w:pPr>
      <w:bookmarkStart w:id="57" w:name="_Toc502240070"/>
    </w:p>
    <w:p>
      <w:pPr>
        <w:pStyle w:val="4"/>
        <w:jc w:val="center"/>
        <w:rPr>
          <w:rFonts w:cs="仿宋_GB2312"/>
          <w:bCs/>
          <w:color w:val="auto"/>
          <w:sz w:val="28"/>
          <w:szCs w:val="28"/>
          <w:highlight w:val="none"/>
        </w:rPr>
      </w:pPr>
      <w:bookmarkStart w:id="58" w:name="_Toc508723472"/>
      <w:r>
        <w:rPr>
          <w:rFonts w:hint="eastAsia" w:cs="仿宋_GB2312"/>
          <w:bCs/>
          <w:color w:val="auto"/>
          <w:sz w:val="28"/>
          <w:szCs w:val="28"/>
          <w:highlight w:val="none"/>
        </w:rPr>
        <w:t>三、谈判授权委托书</w:t>
      </w:r>
      <w:bookmarkEnd w:id="57"/>
      <w:bookmarkEnd w:id="58"/>
    </w:p>
    <w:p>
      <w:pPr>
        <w:rPr>
          <w:bCs/>
          <w:color w:val="auto"/>
          <w:highlight w:val="none"/>
        </w:rPr>
      </w:pPr>
    </w:p>
    <w:p>
      <w:pPr>
        <w:pStyle w:val="30"/>
        <w:spacing w:line="520" w:lineRule="exact"/>
        <w:rPr>
          <w:rFonts w:hint="eastAsia" w:ascii="宋体" w:eastAsia="宋体" w:cs="仿宋_GB2312"/>
          <w:bCs/>
          <w:color w:val="auto"/>
          <w:sz w:val="28"/>
          <w:highlight w:val="none"/>
          <w:lang w:eastAsia="zh-CN"/>
        </w:rPr>
      </w:pPr>
      <w:r>
        <w:rPr>
          <w:rFonts w:hint="eastAsia" w:ascii="宋体" w:eastAsia="宋体" w:cs="仿宋_GB2312"/>
          <w:bCs/>
          <w:color w:val="auto"/>
          <w:sz w:val="28"/>
          <w:highlight w:val="none"/>
        </w:rPr>
        <w:t>致：</w:t>
      </w:r>
      <w:r>
        <w:rPr>
          <w:rFonts w:hint="eastAsia" w:ascii="宋体" w:eastAsia="宋体" w:cs="仿宋_GB2312"/>
          <w:bCs/>
          <w:color w:val="auto"/>
          <w:sz w:val="28"/>
          <w:highlight w:val="none"/>
          <w:lang w:eastAsia="zh-CN"/>
        </w:rPr>
        <w:t>广东政通招标有限公司</w:t>
      </w: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本委托书声明：在下面签字的</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（法定代表人姓名、职务）代表</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名称）委托在下面签字的</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（受委托人的姓名、职务）为本公司的合法代表人，就</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等相关</w:t>
      </w:r>
      <w:r>
        <w:rPr>
          <w:rFonts w:hint="eastAsia" w:ascii="宋体" w:eastAsia="宋体" w:cs="仿宋_GB2312"/>
          <w:bCs/>
          <w:color w:val="auto"/>
          <w:sz w:val="28"/>
          <w:highlight w:val="none"/>
          <w:lang w:eastAsia="zh-CN"/>
        </w:rPr>
        <w:t>服务（或工程）</w:t>
      </w:r>
      <w:r>
        <w:rPr>
          <w:rFonts w:hint="eastAsia" w:ascii="宋体" w:eastAsia="宋体" w:cs="仿宋_GB2312"/>
          <w:bCs/>
          <w:color w:val="auto"/>
          <w:sz w:val="28"/>
          <w:highlight w:val="none"/>
        </w:rPr>
        <w:t>的谈判［采购编号：</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］的谈判和合同的执行，以我方的名义处理一切与之有关的事宜（相关身份证复印件须附后）。</w:t>
      </w:r>
    </w:p>
    <w:p>
      <w:pPr>
        <w:pStyle w:val="24"/>
        <w:spacing w:line="520" w:lineRule="exact"/>
        <w:ind w:firstLine="577"/>
        <w:rPr>
          <w:rFonts w:ascii="宋体" w:eastAsia="宋体" w:cs="仿宋_GB2312"/>
          <w:bCs/>
          <w:color w:val="auto"/>
          <w:sz w:val="28"/>
          <w:highlight w:val="none"/>
        </w:rPr>
      </w:pPr>
    </w:p>
    <w:p>
      <w:pPr>
        <w:pStyle w:val="24"/>
        <w:spacing w:line="520" w:lineRule="exact"/>
        <w:ind w:firstLine="577"/>
        <w:rPr>
          <w:rFonts w:ascii="宋体" w:eastAsia="宋体" w:cs="仿宋_GB2312"/>
          <w:bCs/>
          <w:color w:val="auto"/>
          <w:sz w:val="28"/>
          <w:highlight w:val="none"/>
        </w:rPr>
      </w:pPr>
      <w:r>
        <w:rPr>
          <w:rFonts w:hint="eastAsia" w:ascii="宋体" w:eastAsia="宋体" w:cs="仿宋_GB2312"/>
          <w:bCs/>
          <w:color w:val="auto"/>
          <w:sz w:val="28"/>
          <w:highlight w:val="none"/>
        </w:rPr>
        <w:t>本委托书于</w:t>
      </w:r>
      <w:r>
        <w:rPr>
          <w:rFonts w:hint="eastAsia" w:ascii="宋体" w:eastAsia="宋体" w:cs="仿宋_GB2312"/>
          <w:bCs/>
          <w:color w:val="auto"/>
          <w:sz w:val="28"/>
          <w:highlight w:val="none"/>
          <w:u w:val="single"/>
        </w:rPr>
        <w:t xml:space="preserve">　   </w:t>
      </w:r>
      <w:r>
        <w:rPr>
          <w:rFonts w:hint="eastAsia" w:ascii="宋体" w:eastAsia="宋体" w:cs="仿宋_GB2312"/>
          <w:bCs/>
          <w:color w:val="auto"/>
          <w:sz w:val="28"/>
          <w:highlight w:val="none"/>
        </w:rPr>
        <w:t>年</w:t>
      </w:r>
      <w:r>
        <w:rPr>
          <w:rFonts w:hint="eastAsia" w:ascii="宋体" w:eastAsia="宋体" w:cs="仿宋_GB2312"/>
          <w:bCs/>
          <w:color w:val="auto"/>
          <w:sz w:val="28"/>
          <w:highlight w:val="none"/>
          <w:u w:val="single"/>
        </w:rPr>
        <w:t>　</w:t>
      </w:r>
      <w:r>
        <w:rPr>
          <w:rFonts w:hint="eastAsia" w:ascii="宋体" w:eastAsia="宋体" w:cs="仿宋_GB2312"/>
          <w:bCs/>
          <w:color w:val="auto"/>
          <w:sz w:val="28"/>
          <w:highlight w:val="none"/>
        </w:rPr>
        <w:t>月</w:t>
      </w:r>
      <w:r>
        <w:rPr>
          <w:rFonts w:hint="eastAsia" w:ascii="宋体" w:eastAsia="宋体" w:cs="仿宋_GB2312"/>
          <w:bCs/>
          <w:color w:val="auto"/>
          <w:sz w:val="28"/>
          <w:highlight w:val="none"/>
          <w:u w:val="single"/>
        </w:rPr>
        <w:t>　</w:t>
      </w:r>
      <w:r>
        <w:rPr>
          <w:rFonts w:hint="eastAsia" w:ascii="宋体" w:eastAsia="宋体" w:cs="仿宋_GB2312"/>
          <w:bCs/>
          <w:color w:val="auto"/>
          <w:sz w:val="28"/>
          <w:highlight w:val="none"/>
        </w:rPr>
        <w:t>日签字生效， 特此声明。</w:t>
      </w:r>
    </w:p>
    <w:p>
      <w:pPr>
        <w:pStyle w:val="24"/>
        <w:spacing w:line="520" w:lineRule="exact"/>
        <w:ind w:firstLine="577"/>
        <w:rPr>
          <w:rFonts w:ascii="宋体" w:eastAsia="宋体" w:cs="仿宋_GB2312"/>
          <w:bCs/>
          <w:color w:val="auto"/>
          <w:sz w:val="28"/>
          <w:highlight w:val="none"/>
        </w:rPr>
      </w:pPr>
    </w:p>
    <w:p>
      <w:pPr>
        <w:pStyle w:val="24"/>
        <w:spacing w:line="520" w:lineRule="exact"/>
        <w:ind w:left="4022" w:leftChars="1676"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（公章）</w:t>
      </w:r>
    </w:p>
    <w:p>
      <w:pPr>
        <w:pStyle w:val="24"/>
        <w:spacing w:line="520" w:lineRule="exact"/>
        <w:ind w:left="4022" w:leftChars="1676"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地址：</w:t>
      </w:r>
    </w:p>
    <w:p>
      <w:pPr>
        <w:pStyle w:val="24"/>
        <w:spacing w:line="520" w:lineRule="exact"/>
        <w:ind w:left="4022" w:leftChars="1676"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法定代表人（签字或盖章）：</w:t>
      </w:r>
    </w:p>
    <w:p>
      <w:pPr>
        <w:pStyle w:val="24"/>
        <w:spacing w:line="520" w:lineRule="exact"/>
        <w:ind w:left="4022" w:leftChars="1676"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职　　　务：</w:t>
      </w:r>
    </w:p>
    <w:p>
      <w:pPr>
        <w:pStyle w:val="24"/>
        <w:spacing w:line="520" w:lineRule="exact"/>
        <w:ind w:left="4022" w:leftChars="1676"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受委托人（签字或盖章）：</w:t>
      </w:r>
    </w:p>
    <w:p>
      <w:pPr>
        <w:pStyle w:val="24"/>
        <w:spacing w:line="520" w:lineRule="exact"/>
        <w:ind w:left="4022" w:leftChars="1676"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职　　　务：</w:t>
      </w:r>
    </w:p>
    <w:p>
      <w:pPr>
        <w:rPr>
          <w:bCs/>
          <w:color w:val="auto"/>
          <w:highlight w:val="none"/>
        </w:rPr>
      </w:pPr>
      <w:r>
        <w:rPr>
          <w:rFonts w:hint="eastAsia"/>
          <w:bCs/>
          <w:color w:val="auto"/>
          <w:highlight w:val="none"/>
        </w:rPr>
        <w:br w:type="page"/>
      </w:r>
      <w:bookmarkStart w:id="59" w:name="_Toc502240071"/>
    </w:p>
    <w:p>
      <w:pPr>
        <w:pStyle w:val="4"/>
        <w:jc w:val="center"/>
        <w:rPr>
          <w:rFonts w:cs="仿宋_GB2312"/>
          <w:bCs/>
          <w:color w:val="auto"/>
          <w:sz w:val="28"/>
          <w:szCs w:val="28"/>
          <w:highlight w:val="none"/>
        </w:rPr>
      </w:pPr>
      <w:bookmarkStart w:id="60" w:name="_Toc508723473"/>
      <w:r>
        <w:rPr>
          <w:rFonts w:hint="eastAsia" w:cs="仿宋_GB2312"/>
          <w:bCs/>
          <w:color w:val="auto"/>
          <w:sz w:val="28"/>
          <w:szCs w:val="28"/>
          <w:highlight w:val="none"/>
        </w:rPr>
        <w:t>四、法定代表人身份证明书</w:t>
      </w:r>
      <w:bookmarkEnd w:id="59"/>
      <w:bookmarkEnd w:id="60"/>
    </w:p>
    <w:p>
      <w:pPr>
        <w:spacing w:line="520" w:lineRule="exact"/>
        <w:rPr>
          <w:rFonts w:cs="仿宋_GB2312"/>
          <w:bCs/>
          <w:color w:val="auto"/>
          <w:sz w:val="28"/>
          <w:szCs w:val="28"/>
          <w:highlight w:val="none"/>
        </w:rPr>
      </w:pPr>
    </w:p>
    <w:p>
      <w:pPr>
        <w:spacing w:line="520" w:lineRule="exact"/>
        <w:rPr>
          <w:rFonts w:hint="eastAsia" w:eastAsia="宋体" w:cs="仿宋_GB2312"/>
          <w:bCs/>
          <w:color w:val="auto"/>
          <w:sz w:val="28"/>
          <w:szCs w:val="28"/>
          <w:highlight w:val="none"/>
          <w:lang w:eastAsia="zh-CN"/>
        </w:rPr>
      </w:pPr>
      <w:r>
        <w:rPr>
          <w:rFonts w:hint="eastAsia" w:cs="仿宋_GB2312"/>
          <w:bCs/>
          <w:color w:val="auto"/>
          <w:sz w:val="28"/>
          <w:szCs w:val="28"/>
          <w:highlight w:val="none"/>
        </w:rPr>
        <w:t>致：</w:t>
      </w:r>
      <w:r>
        <w:rPr>
          <w:rFonts w:hint="eastAsia" w:cs="仿宋_GB2312"/>
          <w:bCs/>
          <w:color w:val="auto"/>
          <w:sz w:val="28"/>
          <w:szCs w:val="28"/>
          <w:highlight w:val="none"/>
          <w:lang w:eastAsia="zh-CN"/>
        </w:rPr>
        <w:t>广东政通招标有限公司</w:t>
      </w:r>
    </w:p>
    <w:p>
      <w:pPr>
        <w:spacing w:line="520" w:lineRule="exact"/>
        <w:ind w:firstLine="576" w:firstLineChars="206"/>
        <w:rPr>
          <w:rFonts w:cs="仿宋_GB2312"/>
          <w:bCs/>
          <w:color w:val="auto"/>
          <w:sz w:val="28"/>
          <w:szCs w:val="28"/>
          <w:highlight w:val="none"/>
        </w:rPr>
      </w:pPr>
      <w:r>
        <w:rPr>
          <w:rFonts w:hint="eastAsia" w:cs="仿宋_GB2312"/>
          <w:bCs/>
          <w:color w:val="auto"/>
          <w:sz w:val="28"/>
          <w:szCs w:val="28"/>
          <w:highlight w:val="none"/>
        </w:rPr>
        <w:t>本证明书声明：注册于</w:t>
      </w:r>
      <w:r>
        <w:rPr>
          <w:rFonts w:hint="eastAsia" w:cs="仿宋_GB2312"/>
          <w:bCs/>
          <w:color w:val="auto"/>
          <w:sz w:val="28"/>
          <w:szCs w:val="28"/>
          <w:highlight w:val="none"/>
          <w:u w:val="single"/>
        </w:rPr>
        <w:t xml:space="preserve">                    </w:t>
      </w:r>
      <w:r>
        <w:rPr>
          <w:rFonts w:hint="eastAsia" w:cs="仿宋_GB2312"/>
          <w:bCs/>
          <w:color w:val="auto"/>
          <w:sz w:val="28"/>
          <w:szCs w:val="28"/>
          <w:highlight w:val="none"/>
        </w:rPr>
        <w:t>（国家名称）的</w:t>
      </w:r>
      <w:r>
        <w:rPr>
          <w:rFonts w:hint="eastAsia" w:cs="仿宋_GB2312"/>
          <w:bCs/>
          <w:color w:val="auto"/>
          <w:sz w:val="28"/>
          <w:szCs w:val="28"/>
          <w:highlight w:val="none"/>
          <w:u w:val="single"/>
        </w:rPr>
        <w:t>　           　</w:t>
      </w:r>
      <w:r>
        <w:rPr>
          <w:rFonts w:hint="eastAsia" w:cs="仿宋_GB2312"/>
          <w:bCs/>
          <w:color w:val="auto"/>
          <w:sz w:val="28"/>
          <w:szCs w:val="28"/>
          <w:highlight w:val="none"/>
        </w:rPr>
        <w:t>（</w:t>
      </w:r>
      <w:r>
        <w:rPr>
          <w:rFonts w:hint="eastAsia" w:cs="仿宋_GB2312"/>
          <w:bCs/>
          <w:color w:val="auto"/>
          <w:sz w:val="28"/>
          <w:szCs w:val="28"/>
          <w:highlight w:val="none"/>
          <w:lang w:eastAsia="zh-CN"/>
        </w:rPr>
        <w:t>供应商</w:t>
      </w:r>
      <w:r>
        <w:rPr>
          <w:rFonts w:hint="eastAsia" w:cs="仿宋_GB2312"/>
          <w:bCs/>
          <w:color w:val="auto"/>
          <w:sz w:val="28"/>
          <w:szCs w:val="28"/>
          <w:highlight w:val="none"/>
        </w:rPr>
        <w:t>名称）在下面签字的</w:t>
      </w:r>
      <w:r>
        <w:rPr>
          <w:rFonts w:hint="eastAsia" w:cs="仿宋_GB2312"/>
          <w:bCs/>
          <w:color w:val="auto"/>
          <w:sz w:val="28"/>
          <w:szCs w:val="28"/>
          <w:highlight w:val="none"/>
          <w:u w:val="single"/>
        </w:rPr>
        <w:t>　　　　　</w:t>
      </w:r>
      <w:r>
        <w:rPr>
          <w:rFonts w:hint="eastAsia" w:cs="仿宋_GB2312"/>
          <w:bCs/>
          <w:color w:val="auto"/>
          <w:sz w:val="28"/>
          <w:szCs w:val="28"/>
          <w:highlight w:val="none"/>
        </w:rPr>
        <w:t>（法定代表人姓名、职务）为本公司的合法代表人（相关身份证复印件须附后）。</w:t>
      </w:r>
    </w:p>
    <w:p>
      <w:pPr>
        <w:pStyle w:val="31"/>
        <w:spacing w:line="520" w:lineRule="exact"/>
        <w:ind w:firstLine="560" w:firstLineChars="200"/>
        <w:rPr>
          <w:rFonts w:ascii="宋体" w:eastAsia="宋体" w:cs="仿宋_GB2312"/>
          <w:bCs/>
          <w:color w:val="auto"/>
          <w:sz w:val="28"/>
          <w:szCs w:val="28"/>
          <w:highlight w:val="none"/>
        </w:rPr>
      </w:pPr>
      <w:r>
        <w:rPr>
          <w:rFonts w:hint="eastAsia" w:ascii="宋体" w:eastAsia="宋体" w:cs="仿宋_GB2312"/>
          <w:bCs/>
          <w:color w:val="auto"/>
          <w:sz w:val="28"/>
          <w:szCs w:val="28"/>
          <w:highlight w:val="none"/>
        </w:rPr>
        <w:t>特此证明</w:t>
      </w:r>
    </w:p>
    <w:p>
      <w:pPr>
        <w:pStyle w:val="31"/>
        <w:spacing w:line="520" w:lineRule="exact"/>
        <w:rPr>
          <w:rFonts w:ascii="宋体" w:eastAsia="宋体" w:cs="仿宋_GB2312"/>
          <w:bCs/>
          <w:color w:val="auto"/>
          <w:sz w:val="28"/>
          <w:szCs w:val="28"/>
          <w:highlight w:val="none"/>
        </w:rPr>
      </w:pPr>
    </w:p>
    <w:p>
      <w:pPr>
        <w:spacing w:line="520" w:lineRule="exact"/>
        <w:rPr>
          <w:rFonts w:cs="仿宋_GB2312"/>
          <w:bCs/>
          <w:color w:val="auto"/>
          <w:sz w:val="28"/>
          <w:szCs w:val="28"/>
          <w:highlight w:val="none"/>
        </w:rPr>
      </w:pPr>
    </w:p>
    <w:p>
      <w:pPr>
        <w:spacing w:line="520" w:lineRule="exact"/>
        <w:rPr>
          <w:rFonts w:cs="仿宋_GB2312"/>
          <w:bCs/>
          <w:color w:val="auto"/>
          <w:sz w:val="28"/>
          <w:szCs w:val="28"/>
          <w:highlight w:val="none"/>
        </w:rPr>
      </w:pPr>
    </w:p>
    <w:p>
      <w:pPr>
        <w:spacing w:line="520" w:lineRule="exact"/>
        <w:ind w:left="4937" w:leftChars="2057"/>
        <w:rPr>
          <w:rFonts w:cs="仿宋_GB2312"/>
          <w:bCs/>
          <w:color w:val="auto"/>
          <w:sz w:val="28"/>
          <w:szCs w:val="28"/>
          <w:highlight w:val="none"/>
        </w:rPr>
      </w:pPr>
      <w:r>
        <w:rPr>
          <w:rFonts w:hint="eastAsia" w:cs="仿宋_GB2312"/>
          <w:bCs/>
          <w:color w:val="auto"/>
          <w:sz w:val="28"/>
          <w:szCs w:val="28"/>
          <w:highlight w:val="none"/>
          <w:lang w:eastAsia="zh-CN"/>
        </w:rPr>
        <w:t>供应商</w:t>
      </w:r>
      <w:r>
        <w:rPr>
          <w:rFonts w:hint="eastAsia" w:cs="仿宋_GB2312"/>
          <w:bCs/>
          <w:color w:val="auto"/>
          <w:sz w:val="28"/>
          <w:szCs w:val="28"/>
          <w:highlight w:val="none"/>
        </w:rPr>
        <w:t>（公章）</w:t>
      </w:r>
    </w:p>
    <w:p>
      <w:pPr>
        <w:spacing w:line="520" w:lineRule="exact"/>
        <w:ind w:left="4937" w:leftChars="2057"/>
        <w:rPr>
          <w:rFonts w:cs="仿宋_GB2312"/>
          <w:bCs/>
          <w:color w:val="auto"/>
          <w:sz w:val="28"/>
          <w:szCs w:val="28"/>
          <w:highlight w:val="none"/>
        </w:rPr>
      </w:pPr>
      <w:r>
        <w:rPr>
          <w:rFonts w:hint="eastAsia" w:cs="仿宋_GB2312"/>
          <w:bCs/>
          <w:color w:val="auto"/>
          <w:sz w:val="28"/>
          <w:szCs w:val="28"/>
          <w:highlight w:val="none"/>
          <w:lang w:eastAsia="zh-CN"/>
        </w:rPr>
        <w:t>供应商</w:t>
      </w:r>
      <w:r>
        <w:rPr>
          <w:rFonts w:hint="eastAsia" w:cs="仿宋_GB2312"/>
          <w:bCs/>
          <w:color w:val="auto"/>
          <w:sz w:val="28"/>
          <w:szCs w:val="28"/>
          <w:highlight w:val="none"/>
        </w:rPr>
        <w:t>地址：</w:t>
      </w:r>
    </w:p>
    <w:p>
      <w:pPr>
        <w:spacing w:line="520" w:lineRule="exact"/>
        <w:ind w:left="4937" w:leftChars="2057"/>
        <w:rPr>
          <w:rFonts w:cs="仿宋_GB2312"/>
          <w:bCs/>
          <w:color w:val="auto"/>
          <w:sz w:val="28"/>
          <w:szCs w:val="28"/>
          <w:highlight w:val="none"/>
        </w:rPr>
      </w:pPr>
      <w:r>
        <w:rPr>
          <w:rFonts w:hint="eastAsia" w:cs="仿宋_GB2312"/>
          <w:bCs/>
          <w:color w:val="auto"/>
          <w:sz w:val="28"/>
          <w:szCs w:val="28"/>
          <w:highlight w:val="none"/>
        </w:rPr>
        <w:t>法定代表人（签字或盖章）：</w:t>
      </w:r>
    </w:p>
    <w:p>
      <w:pPr>
        <w:spacing w:line="520" w:lineRule="exact"/>
        <w:ind w:left="4937" w:leftChars="2057"/>
        <w:rPr>
          <w:rFonts w:cs="仿宋_GB2312"/>
          <w:bCs/>
          <w:color w:val="auto"/>
          <w:sz w:val="28"/>
          <w:szCs w:val="28"/>
          <w:highlight w:val="none"/>
        </w:rPr>
      </w:pPr>
      <w:r>
        <w:rPr>
          <w:rFonts w:hint="eastAsia" w:cs="仿宋_GB2312"/>
          <w:bCs/>
          <w:color w:val="auto"/>
          <w:sz w:val="28"/>
          <w:szCs w:val="28"/>
          <w:highlight w:val="none"/>
        </w:rPr>
        <w:t>职　　　务：</w:t>
      </w:r>
    </w:p>
    <w:p>
      <w:pPr>
        <w:pStyle w:val="24"/>
        <w:ind w:firstLine="639"/>
        <w:rPr>
          <w:rFonts w:ascii="宋体" w:eastAsia="宋体" w:cs="仿宋_GB2312"/>
          <w:bCs/>
          <w:color w:val="auto"/>
          <w:highlight w:val="none"/>
        </w:rPr>
      </w:pPr>
    </w:p>
    <w:p>
      <w:pPr>
        <w:pStyle w:val="24"/>
        <w:ind w:firstLine="639"/>
        <w:rPr>
          <w:rFonts w:ascii="宋体" w:eastAsia="宋体" w:cs="仿宋_GB2312"/>
          <w:bCs/>
          <w:color w:val="auto"/>
          <w:highlight w:val="none"/>
        </w:rPr>
      </w:pPr>
    </w:p>
    <w:p>
      <w:pPr>
        <w:pStyle w:val="24"/>
        <w:ind w:firstLine="639"/>
        <w:rPr>
          <w:rFonts w:ascii="宋体" w:eastAsia="宋体" w:cs="仿宋_GB2312"/>
          <w:bCs/>
          <w:color w:val="auto"/>
          <w:highlight w:val="none"/>
        </w:rPr>
      </w:pPr>
    </w:p>
    <w:p>
      <w:pPr>
        <w:pStyle w:val="30"/>
        <w:rPr>
          <w:rFonts w:ascii="宋体" w:eastAsia="宋体" w:cs="仿宋_GB2312"/>
          <w:bCs/>
          <w:color w:val="auto"/>
          <w:highlight w:val="none"/>
        </w:rPr>
        <w:sectPr>
          <w:pgSz w:w="11907" w:h="16840"/>
          <w:pgMar w:top="2041" w:right="1531" w:bottom="2041" w:left="1531" w:header="1701" w:footer="1474" w:gutter="0"/>
          <w:paperSrc w:first="534" w:other="534"/>
          <w:pgNumType w:fmt="decimal"/>
          <w:cols w:space="720" w:num="1"/>
          <w:docGrid w:linePitch="523" w:charSpace="0"/>
        </w:sectPr>
      </w:pPr>
    </w:p>
    <w:p>
      <w:pPr>
        <w:rPr>
          <w:bCs/>
          <w:color w:val="auto"/>
          <w:highlight w:val="none"/>
        </w:rPr>
      </w:pPr>
      <w:bookmarkStart w:id="61" w:name="_Toc502240072"/>
    </w:p>
    <w:p>
      <w:pPr>
        <w:pStyle w:val="4"/>
        <w:jc w:val="center"/>
        <w:rPr>
          <w:rFonts w:cs="仿宋_GB2312"/>
          <w:bCs/>
          <w:color w:val="auto"/>
          <w:sz w:val="28"/>
          <w:szCs w:val="28"/>
          <w:highlight w:val="none"/>
        </w:rPr>
      </w:pPr>
      <w:bookmarkStart w:id="62" w:name="_Toc508723474"/>
      <w:r>
        <w:rPr>
          <w:rFonts w:hint="eastAsia" w:cs="仿宋_GB2312"/>
          <w:bCs/>
          <w:color w:val="auto"/>
          <w:sz w:val="28"/>
          <w:szCs w:val="28"/>
          <w:highlight w:val="none"/>
        </w:rPr>
        <w:t>五、资格证明文件格式</w:t>
      </w:r>
      <w:bookmarkEnd w:id="61"/>
      <w:bookmarkEnd w:id="62"/>
    </w:p>
    <w:p>
      <w:pPr>
        <w:rPr>
          <w:rFonts w:cs="仿宋_GB2312"/>
          <w:bCs/>
          <w:color w:val="auto"/>
          <w:highlight w:val="none"/>
        </w:rPr>
      </w:pPr>
    </w:p>
    <w:p>
      <w:pPr>
        <w:pStyle w:val="29"/>
        <w:widowControl w:val="0"/>
        <w:overflowPunct w:val="0"/>
        <w:spacing w:line="500" w:lineRule="exact"/>
        <w:ind w:firstLine="0"/>
        <w:rPr>
          <w:rFonts w:ascii="宋体" w:eastAsia="宋体" w:cs="仿宋_GB2312"/>
          <w:bCs/>
          <w:color w:val="auto"/>
          <w:sz w:val="28"/>
          <w:highlight w:val="none"/>
        </w:rPr>
      </w:pPr>
      <w:r>
        <w:rPr>
          <w:rFonts w:hint="eastAsia" w:ascii="宋体" w:eastAsia="宋体" w:cs="仿宋_GB2312"/>
          <w:bCs/>
          <w:color w:val="auto"/>
          <w:sz w:val="28"/>
          <w:highlight w:val="none"/>
        </w:rPr>
        <w:t xml:space="preserve">[说明] </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按照谈判采购文件的要求提交以下格式（包括但不限于以下各项）的内容，。</w:t>
      </w:r>
    </w:p>
    <w:p>
      <w:pPr>
        <w:pStyle w:val="8"/>
        <w:spacing w:line="540" w:lineRule="exact"/>
        <w:jc w:val="left"/>
        <w:rPr>
          <w:rFonts w:cs="仿宋_GB2312"/>
          <w:b w:val="0"/>
          <w:color w:val="auto"/>
          <w:sz w:val="28"/>
          <w:highlight w:val="none"/>
        </w:rPr>
      </w:pPr>
      <w:r>
        <w:rPr>
          <w:rFonts w:hint="eastAsia" w:cs="仿宋_GB2312"/>
          <w:b w:val="0"/>
          <w:color w:val="auto"/>
          <w:sz w:val="28"/>
          <w:highlight w:val="none"/>
        </w:rPr>
        <w:t>（一）必要资格证明材料</w:t>
      </w:r>
    </w:p>
    <w:p>
      <w:pPr>
        <w:pStyle w:val="8"/>
        <w:spacing w:line="520" w:lineRule="exact"/>
        <w:jc w:val="left"/>
        <w:rPr>
          <w:rFonts w:cs="仿宋_GB2312"/>
          <w:b w:val="0"/>
          <w:color w:val="auto"/>
          <w:sz w:val="28"/>
          <w:szCs w:val="28"/>
          <w:highlight w:val="none"/>
        </w:rPr>
      </w:pPr>
      <w:r>
        <w:rPr>
          <w:rFonts w:hint="eastAsia" w:cs="仿宋_GB2312"/>
          <w:b w:val="0"/>
          <w:color w:val="auto"/>
          <w:sz w:val="28"/>
          <w:highlight w:val="none"/>
        </w:rPr>
        <w:t>1．《法人</w:t>
      </w:r>
      <w:r>
        <w:rPr>
          <w:rFonts w:hint="eastAsia" w:cs="仿宋_GB2312"/>
          <w:b w:val="0"/>
          <w:color w:val="auto"/>
          <w:sz w:val="28"/>
          <w:szCs w:val="28"/>
          <w:highlight w:val="none"/>
        </w:rPr>
        <w:t>营业执照》（或执业许可证）、《税务登记证》和《组织机构代码证》（如有）复印件。</w:t>
      </w:r>
    </w:p>
    <w:p>
      <w:pPr>
        <w:pStyle w:val="8"/>
        <w:spacing w:line="520" w:lineRule="exact"/>
        <w:jc w:val="left"/>
        <w:rPr>
          <w:rFonts w:cs="仿宋_GB2312"/>
          <w:b w:val="0"/>
          <w:color w:val="auto"/>
          <w:sz w:val="28"/>
          <w:szCs w:val="28"/>
          <w:highlight w:val="none"/>
        </w:rPr>
      </w:pPr>
      <w:r>
        <w:rPr>
          <w:rFonts w:hint="eastAsia" w:cs="仿宋_GB2312"/>
          <w:b w:val="0"/>
          <w:color w:val="auto"/>
          <w:sz w:val="28"/>
          <w:szCs w:val="28"/>
          <w:highlight w:val="none"/>
        </w:rPr>
        <w:t>2．法定代表人及委托代理人身份证复印件。</w:t>
      </w:r>
    </w:p>
    <w:p>
      <w:pPr>
        <w:pStyle w:val="24"/>
        <w:spacing w:line="520" w:lineRule="exact"/>
        <w:ind w:firstLine="0" w:firstLineChars="0"/>
        <w:jc w:val="left"/>
        <w:rPr>
          <w:rFonts w:ascii="宋体" w:eastAsia="宋体" w:cs="仿宋_GB2312"/>
          <w:bCs/>
          <w:color w:val="auto"/>
          <w:sz w:val="28"/>
          <w:highlight w:val="none"/>
        </w:rPr>
      </w:pPr>
      <w:r>
        <w:rPr>
          <w:rFonts w:hint="eastAsia" w:ascii="宋体" w:eastAsia="宋体" w:cs="仿宋_GB2312"/>
          <w:bCs/>
          <w:color w:val="auto"/>
          <w:sz w:val="28"/>
          <w:highlight w:val="none"/>
        </w:rPr>
        <w:t>3. 相关资质证明文件。</w:t>
      </w:r>
    </w:p>
    <w:p>
      <w:pPr>
        <w:pStyle w:val="24"/>
        <w:spacing w:line="520" w:lineRule="exact"/>
        <w:ind w:firstLine="0" w:firstLineChars="0"/>
        <w:jc w:val="left"/>
        <w:rPr>
          <w:rFonts w:ascii="宋体" w:eastAsia="宋体" w:cs="仿宋_GB2312"/>
          <w:bCs/>
          <w:color w:val="auto"/>
          <w:sz w:val="28"/>
          <w:highlight w:val="none"/>
        </w:rPr>
      </w:pPr>
      <w:r>
        <w:rPr>
          <w:rFonts w:hint="eastAsia" w:ascii="宋体" w:eastAsia="宋体" w:cs="仿宋_GB2312"/>
          <w:bCs/>
          <w:color w:val="auto"/>
          <w:sz w:val="28"/>
          <w:highlight w:val="none"/>
        </w:rPr>
        <w:t>4. 采购文件中要求的其他必要证明材料。</w:t>
      </w:r>
    </w:p>
    <w:p>
      <w:pPr>
        <w:pStyle w:val="8"/>
        <w:spacing w:line="540" w:lineRule="exact"/>
        <w:jc w:val="left"/>
        <w:rPr>
          <w:rFonts w:cs="仿宋_GB2312"/>
          <w:b w:val="0"/>
          <w:color w:val="auto"/>
          <w:sz w:val="28"/>
          <w:highlight w:val="none"/>
        </w:rPr>
      </w:pPr>
      <w:r>
        <w:rPr>
          <w:rFonts w:hint="eastAsia" w:cs="仿宋_GB2312"/>
          <w:b w:val="0"/>
          <w:color w:val="auto"/>
          <w:sz w:val="28"/>
          <w:highlight w:val="none"/>
        </w:rPr>
        <w:t>（二）其它证明材料</w:t>
      </w:r>
    </w:p>
    <w:p>
      <w:pPr>
        <w:pStyle w:val="8"/>
        <w:spacing w:line="520" w:lineRule="exact"/>
        <w:jc w:val="left"/>
        <w:rPr>
          <w:rFonts w:cs="仿宋_GB2312"/>
          <w:b w:val="0"/>
          <w:color w:val="auto"/>
          <w:sz w:val="28"/>
          <w:szCs w:val="28"/>
          <w:highlight w:val="none"/>
        </w:rPr>
      </w:pPr>
      <w:r>
        <w:rPr>
          <w:rFonts w:hint="eastAsia" w:cs="仿宋_GB2312"/>
          <w:b w:val="0"/>
          <w:color w:val="auto"/>
          <w:sz w:val="28"/>
          <w:szCs w:val="28"/>
          <w:highlight w:val="none"/>
        </w:rPr>
        <w:t>1．</w:t>
      </w:r>
      <w:r>
        <w:rPr>
          <w:rFonts w:hint="eastAsia" w:cs="仿宋_GB2312"/>
          <w:b w:val="0"/>
          <w:color w:val="auto"/>
          <w:sz w:val="28"/>
          <w:szCs w:val="28"/>
          <w:highlight w:val="none"/>
          <w:lang w:eastAsia="zh-CN"/>
        </w:rPr>
        <w:t>供应商</w:t>
      </w:r>
      <w:r>
        <w:rPr>
          <w:rFonts w:hint="eastAsia" w:cs="仿宋_GB2312"/>
          <w:b w:val="0"/>
          <w:color w:val="auto"/>
          <w:sz w:val="28"/>
          <w:szCs w:val="28"/>
          <w:highlight w:val="none"/>
        </w:rPr>
        <w:t>简介（自行编写）。</w:t>
      </w:r>
    </w:p>
    <w:p>
      <w:pPr>
        <w:pStyle w:val="8"/>
        <w:spacing w:line="520" w:lineRule="exact"/>
        <w:jc w:val="left"/>
        <w:rPr>
          <w:rFonts w:cs="仿宋_GB2312"/>
          <w:b w:val="0"/>
          <w:color w:val="auto"/>
          <w:sz w:val="28"/>
          <w:szCs w:val="28"/>
          <w:highlight w:val="none"/>
        </w:rPr>
      </w:pPr>
      <w:r>
        <w:rPr>
          <w:rFonts w:hint="eastAsia" w:cs="仿宋_GB2312"/>
          <w:b w:val="0"/>
          <w:color w:val="auto"/>
          <w:sz w:val="28"/>
          <w:szCs w:val="28"/>
          <w:highlight w:val="none"/>
        </w:rPr>
        <w:t>2．提供本项目技术人员的相关证明文件。</w:t>
      </w:r>
    </w:p>
    <w:p>
      <w:pPr>
        <w:pStyle w:val="8"/>
        <w:spacing w:line="520" w:lineRule="exact"/>
        <w:jc w:val="left"/>
        <w:rPr>
          <w:rFonts w:cs="仿宋_GB2312"/>
          <w:b w:val="0"/>
          <w:color w:val="auto"/>
          <w:sz w:val="28"/>
          <w:szCs w:val="28"/>
          <w:highlight w:val="none"/>
        </w:rPr>
      </w:pPr>
      <w:r>
        <w:rPr>
          <w:rFonts w:hint="eastAsia" w:cs="仿宋_GB2312"/>
          <w:b w:val="0"/>
          <w:color w:val="auto"/>
          <w:sz w:val="28"/>
          <w:szCs w:val="28"/>
          <w:highlight w:val="none"/>
          <w:lang w:val="en-US"/>
        </w:rPr>
        <w:t>3</w:t>
      </w:r>
      <w:r>
        <w:rPr>
          <w:rFonts w:hint="eastAsia" w:cs="仿宋_GB2312"/>
          <w:b w:val="0"/>
          <w:color w:val="auto"/>
          <w:sz w:val="28"/>
          <w:szCs w:val="28"/>
          <w:highlight w:val="none"/>
        </w:rPr>
        <w:t>．</w:t>
      </w:r>
      <w:r>
        <w:rPr>
          <w:rFonts w:hint="eastAsia" w:cs="仿宋_GB2312"/>
          <w:b w:val="0"/>
          <w:color w:val="auto"/>
          <w:sz w:val="28"/>
          <w:szCs w:val="28"/>
          <w:highlight w:val="none"/>
          <w:lang w:eastAsia="zh-CN"/>
        </w:rPr>
        <w:t>供应商</w:t>
      </w:r>
      <w:r>
        <w:rPr>
          <w:rFonts w:hint="eastAsia" w:cs="仿宋_GB2312"/>
          <w:b w:val="0"/>
          <w:color w:val="auto"/>
          <w:sz w:val="28"/>
          <w:szCs w:val="28"/>
          <w:highlight w:val="none"/>
        </w:rPr>
        <w:t>参加采购活动前三年内，在经营活动中没有重大违法记录（须提供书面声明）。</w:t>
      </w:r>
    </w:p>
    <w:p>
      <w:pPr>
        <w:pStyle w:val="8"/>
        <w:spacing w:line="520" w:lineRule="exact"/>
        <w:jc w:val="left"/>
        <w:rPr>
          <w:rFonts w:cs="仿宋_GB2312"/>
          <w:b w:val="0"/>
          <w:color w:val="auto"/>
          <w:sz w:val="28"/>
          <w:szCs w:val="28"/>
          <w:highlight w:val="none"/>
        </w:rPr>
      </w:pPr>
      <w:r>
        <w:rPr>
          <w:rFonts w:hint="eastAsia" w:cs="仿宋_GB2312"/>
          <w:b w:val="0"/>
          <w:color w:val="auto"/>
          <w:sz w:val="28"/>
          <w:szCs w:val="28"/>
          <w:highlight w:val="none"/>
          <w:lang w:val="en-US"/>
        </w:rPr>
        <w:t>4．</w:t>
      </w:r>
      <w:r>
        <w:rPr>
          <w:rFonts w:hint="eastAsia" w:cs="仿宋_GB2312"/>
          <w:b w:val="0"/>
          <w:color w:val="auto"/>
          <w:sz w:val="28"/>
          <w:szCs w:val="28"/>
          <w:highlight w:val="none"/>
          <w:lang w:eastAsia="zh-CN"/>
        </w:rPr>
        <w:t>供应商</w:t>
      </w:r>
      <w:r>
        <w:rPr>
          <w:rFonts w:hint="eastAsia" w:cs="仿宋_GB2312"/>
          <w:b w:val="0"/>
          <w:color w:val="auto"/>
          <w:sz w:val="28"/>
          <w:szCs w:val="28"/>
          <w:highlight w:val="none"/>
        </w:rPr>
        <w:t>认为有必要提供的其它资料。</w:t>
      </w:r>
      <w:r>
        <w:rPr>
          <w:rFonts w:hint="eastAsia" w:cs="仿宋_GB2312"/>
          <w:b w:val="0"/>
          <w:color w:val="auto"/>
          <w:highlight w:val="none"/>
        </w:rPr>
        <w:br w:type="page"/>
      </w:r>
      <w:r>
        <w:rPr>
          <w:rFonts w:hint="eastAsia" w:cs="仿宋_GB2312"/>
          <w:b w:val="0"/>
          <w:color w:val="auto"/>
          <w:sz w:val="28"/>
          <w:szCs w:val="28"/>
          <w:highlight w:val="none"/>
          <w:lang w:eastAsia="zh-CN"/>
        </w:rPr>
        <w:t>供应商</w:t>
      </w:r>
      <w:r>
        <w:rPr>
          <w:rFonts w:hint="eastAsia" w:cs="仿宋_GB2312"/>
          <w:b w:val="0"/>
          <w:color w:val="auto"/>
          <w:sz w:val="28"/>
          <w:szCs w:val="28"/>
          <w:highlight w:val="none"/>
        </w:rPr>
        <w:t>业绩表格式</w:t>
      </w:r>
    </w:p>
    <w:p>
      <w:pPr>
        <w:pStyle w:val="8"/>
        <w:rPr>
          <w:rFonts w:cs="仿宋_GB2312"/>
          <w:b w:val="0"/>
          <w:color w:val="auto"/>
          <w:sz w:val="28"/>
          <w:szCs w:val="28"/>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1"/>
        <w:gridCol w:w="1907"/>
        <w:gridCol w:w="2455"/>
        <w:gridCol w:w="1707"/>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r>
              <w:rPr>
                <w:rFonts w:hint="eastAsia" w:cs="仿宋_GB2312"/>
                <w:bCs/>
                <w:color w:val="auto"/>
                <w:sz w:val="28"/>
                <w:szCs w:val="28"/>
                <w:highlight w:val="none"/>
              </w:rPr>
              <w:t>序号</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r>
              <w:rPr>
                <w:rFonts w:hint="eastAsia" w:cs="仿宋_GB2312"/>
                <w:bCs/>
                <w:color w:val="auto"/>
                <w:sz w:val="28"/>
                <w:szCs w:val="28"/>
                <w:highlight w:val="none"/>
              </w:rPr>
              <w:t>用户名称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r>
              <w:rPr>
                <w:rFonts w:hint="eastAsia" w:cs="仿宋_GB2312"/>
                <w:bCs/>
                <w:color w:val="auto"/>
                <w:sz w:val="28"/>
                <w:szCs w:val="28"/>
                <w:highlight w:val="none"/>
              </w:rPr>
              <w:t>项目名称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r>
              <w:rPr>
                <w:rFonts w:hint="eastAsia" w:cs="仿宋_GB2312"/>
                <w:bCs/>
                <w:color w:val="auto"/>
                <w:sz w:val="28"/>
                <w:szCs w:val="28"/>
                <w:highlight w:val="none"/>
              </w:rPr>
              <w:t>合同金额</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r>
              <w:rPr>
                <w:rFonts w:hint="eastAsia" w:cs="仿宋_GB2312"/>
                <w:bCs/>
                <w:color w:val="auto"/>
                <w:sz w:val="28"/>
                <w:szCs w:val="28"/>
                <w:highlight w:val="none"/>
              </w:rPr>
              <w:t>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auto"/>
                <w:sz w:val="28"/>
                <w:szCs w:val="28"/>
                <w:highlight w:val="none"/>
              </w:rPr>
            </w:pPr>
          </w:p>
        </w:tc>
      </w:tr>
    </w:tbl>
    <w:p>
      <w:pPr>
        <w:pStyle w:val="24"/>
        <w:ind w:firstLine="577"/>
        <w:rPr>
          <w:rFonts w:ascii="宋体" w:eastAsia="宋体" w:cs="仿宋_GB2312"/>
          <w:bCs/>
          <w:color w:val="auto"/>
          <w:sz w:val="28"/>
          <w:highlight w:val="none"/>
        </w:rPr>
        <w:sectPr>
          <w:pgSz w:w="11907" w:h="16840"/>
          <w:pgMar w:top="2041" w:right="1531" w:bottom="2041" w:left="1531" w:header="1701" w:footer="1474" w:gutter="0"/>
          <w:paperSrc w:first="534" w:other="534"/>
          <w:pgNumType w:fmt="decimal"/>
          <w:cols w:space="720" w:num="1"/>
          <w:docGrid w:linePitch="523" w:charSpace="0"/>
        </w:sectPr>
      </w:pPr>
      <w:r>
        <w:rPr>
          <w:rFonts w:hint="eastAsia" w:ascii="宋体" w:eastAsia="宋体" w:cs="仿宋_GB2312"/>
          <w:bCs/>
          <w:color w:val="auto"/>
          <w:sz w:val="28"/>
          <w:highlight w:val="none"/>
        </w:rPr>
        <w:t>注：须对应表中内容提供相关证明材料。</w:t>
      </w:r>
    </w:p>
    <w:p>
      <w:pPr>
        <w:pStyle w:val="4"/>
        <w:jc w:val="center"/>
        <w:rPr>
          <w:rFonts w:cs="仿宋_GB2312"/>
          <w:bCs/>
          <w:color w:val="auto"/>
          <w:sz w:val="28"/>
          <w:szCs w:val="28"/>
          <w:highlight w:val="none"/>
        </w:rPr>
      </w:pPr>
      <w:bookmarkStart w:id="63" w:name="_Toc502240073"/>
      <w:bookmarkStart w:id="64" w:name="_Toc508723475"/>
      <w:r>
        <w:rPr>
          <w:rFonts w:hint="eastAsia" w:cs="仿宋_GB2312"/>
          <w:bCs/>
          <w:color w:val="auto"/>
          <w:sz w:val="28"/>
          <w:szCs w:val="28"/>
          <w:highlight w:val="none"/>
        </w:rPr>
        <w:t>六、商务差异表格式</w:t>
      </w:r>
      <w:bookmarkEnd w:id="63"/>
      <w:bookmarkEnd w:id="64"/>
    </w:p>
    <w:p>
      <w:pPr>
        <w:pStyle w:val="24"/>
        <w:ind w:left="812" w:hanging="812" w:hangingChars="290"/>
        <w:rPr>
          <w:rFonts w:ascii="宋体" w:eastAsia="宋体" w:cs="仿宋_GB2312"/>
          <w:bCs/>
          <w:color w:val="auto"/>
          <w:sz w:val="28"/>
          <w:highlight w:val="none"/>
        </w:rPr>
      </w:pPr>
      <w:r>
        <w:rPr>
          <w:rFonts w:hint="eastAsia" w:ascii="宋体" w:eastAsia="宋体" w:cs="仿宋_GB2312"/>
          <w:bCs/>
          <w:color w:val="auto"/>
          <w:sz w:val="28"/>
          <w:highlight w:val="none"/>
        </w:rPr>
        <w:t>[说明]</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应根据其提供的货物和</w:t>
      </w:r>
      <w:r>
        <w:rPr>
          <w:rFonts w:hint="eastAsia" w:ascii="宋体" w:eastAsia="宋体" w:cs="仿宋_GB2312"/>
          <w:bCs/>
          <w:color w:val="auto"/>
          <w:sz w:val="28"/>
          <w:highlight w:val="none"/>
          <w:lang w:eastAsia="zh-CN"/>
        </w:rPr>
        <w:t>服务（或工程）</w:t>
      </w:r>
      <w:r>
        <w:rPr>
          <w:rFonts w:hint="eastAsia" w:ascii="宋体" w:eastAsia="宋体" w:cs="仿宋_GB2312"/>
          <w:bCs/>
          <w:color w:val="auto"/>
          <w:sz w:val="28"/>
          <w:highlight w:val="none"/>
        </w:rPr>
        <w:t>，对照谈判文件“用户需求书”的要求，有差异的，则在差异表中写明实际响应的具体内容。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06"/>
        <w:gridCol w:w="2756"/>
        <w:gridCol w:w="120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5" w:type="dxa"/>
            <w:vMerge w:val="restart"/>
            <w:noWrap w:val="0"/>
            <w:vAlign w:val="top"/>
          </w:tcPr>
          <w:p>
            <w:pPr>
              <w:pStyle w:val="24"/>
              <w:spacing w:line="320" w:lineRule="exact"/>
              <w:ind w:firstLine="0" w:firstLineChars="0"/>
              <w:jc w:val="center"/>
              <w:rPr>
                <w:rFonts w:ascii="宋体" w:eastAsia="宋体" w:cs="仿宋_GB2312"/>
                <w:bCs/>
                <w:color w:val="auto"/>
                <w:sz w:val="28"/>
                <w:highlight w:val="none"/>
              </w:rPr>
            </w:pPr>
          </w:p>
          <w:p>
            <w:pPr>
              <w:pStyle w:val="24"/>
              <w:spacing w:line="32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序号</w:t>
            </w:r>
          </w:p>
        </w:tc>
        <w:tc>
          <w:tcPr>
            <w:tcW w:w="3962" w:type="dxa"/>
            <w:gridSpan w:val="2"/>
            <w:noWrap w:val="0"/>
            <w:vAlign w:val="top"/>
          </w:tcPr>
          <w:p>
            <w:pPr>
              <w:pStyle w:val="24"/>
              <w:spacing w:line="40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谈判文件要求</w:t>
            </w:r>
          </w:p>
        </w:tc>
        <w:tc>
          <w:tcPr>
            <w:tcW w:w="4134" w:type="dxa"/>
            <w:gridSpan w:val="2"/>
            <w:noWrap w:val="0"/>
            <w:vAlign w:val="top"/>
          </w:tcPr>
          <w:p>
            <w:pPr>
              <w:pStyle w:val="24"/>
              <w:spacing w:line="40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报价文件内容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5" w:type="dxa"/>
            <w:vMerge w:val="continue"/>
            <w:noWrap w:val="0"/>
            <w:vAlign w:val="top"/>
          </w:tcPr>
          <w:p>
            <w:pPr>
              <w:rPr>
                <w:bCs/>
                <w:color w:val="auto"/>
                <w:highlight w:val="none"/>
              </w:rPr>
            </w:pPr>
          </w:p>
        </w:tc>
        <w:tc>
          <w:tcPr>
            <w:tcW w:w="1206" w:type="dxa"/>
            <w:noWrap w:val="0"/>
            <w:vAlign w:val="top"/>
          </w:tcPr>
          <w:p>
            <w:pPr>
              <w:pStyle w:val="24"/>
              <w:spacing w:line="40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条款号</w:t>
            </w:r>
          </w:p>
        </w:tc>
        <w:tc>
          <w:tcPr>
            <w:tcW w:w="2756" w:type="dxa"/>
            <w:noWrap w:val="0"/>
            <w:vAlign w:val="top"/>
          </w:tcPr>
          <w:p>
            <w:pPr>
              <w:pStyle w:val="24"/>
              <w:spacing w:line="40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简要内容</w:t>
            </w:r>
          </w:p>
        </w:tc>
        <w:tc>
          <w:tcPr>
            <w:tcW w:w="1206" w:type="dxa"/>
            <w:noWrap w:val="0"/>
            <w:vAlign w:val="top"/>
          </w:tcPr>
          <w:p>
            <w:pPr>
              <w:pStyle w:val="24"/>
              <w:spacing w:line="40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条款号</w:t>
            </w:r>
          </w:p>
        </w:tc>
        <w:tc>
          <w:tcPr>
            <w:tcW w:w="2928" w:type="dxa"/>
            <w:noWrap w:val="0"/>
            <w:vAlign w:val="top"/>
          </w:tcPr>
          <w:p>
            <w:pPr>
              <w:pStyle w:val="24"/>
              <w:spacing w:line="400" w:lineRule="exact"/>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75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1206" w:type="dxa"/>
            <w:noWrap w:val="0"/>
            <w:vAlign w:val="top"/>
          </w:tcPr>
          <w:p>
            <w:pPr>
              <w:pStyle w:val="24"/>
              <w:spacing w:line="400" w:lineRule="exact"/>
              <w:ind w:firstLine="0" w:firstLineChars="0"/>
              <w:rPr>
                <w:rFonts w:ascii="宋体" w:eastAsia="宋体" w:cs="仿宋_GB2312"/>
                <w:bCs/>
                <w:color w:val="auto"/>
                <w:sz w:val="28"/>
                <w:highlight w:val="none"/>
              </w:rPr>
            </w:pPr>
          </w:p>
        </w:tc>
        <w:tc>
          <w:tcPr>
            <w:tcW w:w="2928" w:type="dxa"/>
            <w:noWrap w:val="0"/>
            <w:vAlign w:val="top"/>
          </w:tcPr>
          <w:p>
            <w:pPr>
              <w:pStyle w:val="24"/>
              <w:spacing w:line="400" w:lineRule="exact"/>
              <w:ind w:firstLine="0" w:firstLineChars="0"/>
              <w:rPr>
                <w:rFonts w:ascii="宋体" w:eastAsia="宋体" w:cs="仿宋_GB2312"/>
                <w:bCs/>
                <w:color w:val="auto"/>
                <w:sz w:val="28"/>
                <w:highlight w:val="none"/>
              </w:rPr>
            </w:pPr>
          </w:p>
        </w:tc>
      </w:tr>
    </w:tbl>
    <w:p>
      <w:pPr>
        <w:pStyle w:val="24"/>
        <w:ind w:firstLine="2273" w:firstLineChars="812"/>
        <w:rPr>
          <w:rFonts w:ascii="宋体" w:eastAsia="宋体" w:cs="仿宋_GB2312"/>
          <w:bCs/>
          <w:color w:val="auto"/>
          <w:sz w:val="28"/>
          <w:highlight w:val="none"/>
        </w:rPr>
      </w:pP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（法人公章）：</w:t>
      </w: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rPr>
        <w:t>授权代表（签名或盖章）：</w:t>
      </w: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rPr>
        <w:t>日      期：</w:t>
      </w: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r>
        <w:rPr>
          <w:rFonts w:hint="eastAsia" w:ascii="宋体" w:eastAsia="宋体" w:cs="仿宋_GB2312"/>
          <w:bCs/>
          <w:color w:val="auto"/>
          <w:highlight w:val="none"/>
        </w:rPr>
        <w:br w:type="page"/>
      </w:r>
    </w:p>
    <w:p>
      <w:pPr>
        <w:pStyle w:val="4"/>
        <w:jc w:val="center"/>
        <w:rPr>
          <w:rFonts w:cs="仿宋_GB2312"/>
          <w:bCs/>
          <w:color w:val="auto"/>
          <w:sz w:val="28"/>
          <w:szCs w:val="28"/>
          <w:highlight w:val="none"/>
        </w:rPr>
      </w:pPr>
      <w:bookmarkStart w:id="65" w:name="_Toc508723476"/>
      <w:bookmarkStart w:id="66" w:name="_Toc502240074"/>
      <w:r>
        <w:rPr>
          <w:rFonts w:hint="eastAsia" w:cs="仿宋_GB2312"/>
          <w:bCs/>
          <w:color w:val="auto"/>
          <w:sz w:val="28"/>
          <w:szCs w:val="28"/>
          <w:highlight w:val="none"/>
        </w:rPr>
        <w:t>七、其他资料格式</w:t>
      </w:r>
      <w:bookmarkEnd w:id="65"/>
      <w:bookmarkEnd w:id="66"/>
    </w:p>
    <w:p>
      <w:pPr>
        <w:rPr>
          <w:rFonts w:cs="仿宋_GB2312"/>
          <w:bCs/>
          <w:color w:val="auto"/>
          <w:highlight w:val="none"/>
        </w:rPr>
      </w:pPr>
    </w:p>
    <w:p>
      <w:pPr>
        <w:spacing w:line="360" w:lineRule="auto"/>
        <w:rPr>
          <w:rFonts w:cs="仿宋_GB2312"/>
          <w:bCs/>
          <w:color w:val="auto"/>
          <w:sz w:val="28"/>
          <w:szCs w:val="28"/>
          <w:highlight w:val="none"/>
        </w:rPr>
      </w:pPr>
      <w:r>
        <w:rPr>
          <w:rFonts w:hint="eastAsia" w:cs="仿宋_GB2312"/>
          <w:bCs/>
          <w:color w:val="auto"/>
          <w:sz w:val="28"/>
          <w:szCs w:val="28"/>
          <w:highlight w:val="none"/>
        </w:rPr>
        <w:t>1.谈判保证金汇入情况说明。</w:t>
      </w:r>
    </w:p>
    <w:p>
      <w:pPr>
        <w:spacing w:line="360" w:lineRule="auto"/>
        <w:rPr>
          <w:rFonts w:cs="仿宋_GB2312"/>
          <w:bCs/>
          <w:color w:val="auto"/>
          <w:sz w:val="28"/>
          <w:szCs w:val="28"/>
          <w:highlight w:val="none"/>
        </w:rPr>
      </w:pPr>
      <w:r>
        <w:rPr>
          <w:rFonts w:hint="eastAsia" w:cs="仿宋_GB2312"/>
          <w:bCs/>
          <w:color w:val="auto"/>
          <w:sz w:val="28"/>
          <w:szCs w:val="28"/>
          <w:highlight w:val="none"/>
        </w:rPr>
        <w:t>2.售后</w:t>
      </w:r>
      <w:r>
        <w:rPr>
          <w:rFonts w:hint="eastAsia" w:cs="仿宋_GB2312"/>
          <w:bCs/>
          <w:color w:val="auto"/>
          <w:sz w:val="28"/>
          <w:szCs w:val="28"/>
          <w:highlight w:val="none"/>
          <w:lang w:eastAsia="zh-CN"/>
        </w:rPr>
        <w:t>服务</w:t>
      </w:r>
      <w:r>
        <w:rPr>
          <w:rFonts w:hint="eastAsia" w:cs="仿宋_GB2312"/>
          <w:bCs/>
          <w:color w:val="auto"/>
          <w:sz w:val="28"/>
          <w:szCs w:val="28"/>
          <w:highlight w:val="none"/>
        </w:rPr>
        <w:t>承诺书（</w:t>
      </w:r>
      <w:r>
        <w:rPr>
          <w:rFonts w:hint="eastAsia" w:cs="仿宋_GB2312"/>
          <w:bCs/>
          <w:color w:val="auto"/>
          <w:sz w:val="28"/>
          <w:szCs w:val="28"/>
          <w:highlight w:val="none"/>
          <w:lang w:eastAsia="zh-CN"/>
        </w:rPr>
        <w:t>供应商</w:t>
      </w:r>
      <w:r>
        <w:rPr>
          <w:rFonts w:hint="eastAsia" w:cs="仿宋_GB2312"/>
          <w:bCs/>
          <w:color w:val="auto"/>
          <w:sz w:val="28"/>
          <w:szCs w:val="28"/>
          <w:highlight w:val="none"/>
        </w:rPr>
        <w:t>自制）。</w:t>
      </w:r>
    </w:p>
    <w:p>
      <w:pPr>
        <w:spacing w:line="360" w:lineRule="auto"/>
        <w:rPr>
          <w:rFonts w:cs="仿宋_GB2312"/>
          <w:bCs/>
          <w:color w:val="auto"/>
          <w:sz w:val="28"/>
          <w:szCs w:val="28"/>
          <w:highlight w:val="none"/>
        </w:rPr>
      </w:pPr>
      <w:r>
        <w:rPr>
          <w:rFonts w:hint="eastAsia" w:cs="仿宋_GB2312"/>
          <w:bCs/>
          <w:color w:val="auto"/>
          <w:sz w:val="28"/>
          <w:szCs w:val="28"/>
          <w:highlight w:val="none"/>
        </w:rPr>
        <w:t>3.</w:t>
      </w:r>
      <w:r>
        <w:rPr>
          <w:rFonts w:hint="eastAsia" w:cs="仿宋_GB2312"/>
          <w:bCs/>
          <w:color w:val="auto"/>
          <w:sz w:val="28"/>
          <w:szCs w:val="28"/>
          <w:highlight w:val="none"/>
          <w:lang w:eastAsia="zh-CN"/>
        </w:rPr>
        <w:t>供应商</w:t>
      </w:r>
      <w:r>
        <w:rPr>
          <w:rFonts w:hint="eastAsia" w:cs="仿宋_GB2312"/>
          <w:bCs/>
          <w:color w:val="auto"/>
          <w:sz w:val="28"/>
          <w:szCs w:val="28"/>
          <w:highlight w:val="none"/>
        </w:rPr>
        <w:t>认为有必要提供的其他资料。</w:t>
      </w:r>
    </w:p>
    <w:p>
      <w:pPr>
        <w:spacing w:line="600" w:lineRule="exact"/>
        <w:jc w:val="center"/>
        <w:rPr>
          <w:rFonts w:cs="仿宋_GB2312"/>
          <w:bCs/>
          <w:color w:val="auto"/>
          <w:sz w:val="28"/>
          <w:szCs w:val="28"/>
          <w:highlight w:val="none"/>
        </w:rPr>
      </w:pPr>
      <w:r>
        <w:rPr>
          <w:rFonts w:hint="eastAsia" w:cs="仿宋_GB2312"/>
          <w:bCs/>
          <w:color w:val="auto"/>
          <w:sz w:val="31"/>
          <w:highlight w:val="none"/>
        </w:rPr>
        <w:br w:type="page"/>
      </w:r>
      <w:r>
        <w:rPr>
          <w:rFonts w:hint="eastAsia" w:cs="仿宋_GB2312"/>
          <w:bCs/>
          <w:color w:val="auto"/>
          <w:sz w:val="28"/>
          <w:szCs w:val="28"/>
          <w:highlight w:val="none"/>
        </w:rPr>
        <w:t>1、谈判保证金汇入情况说明</w:t>
      </w:r>
    </w:p>
    <w:p>
      <w:pPr>
        <w:jc w:val="center"/>
        <w:rPr>
          <w:rFonts w:cs="仿宋_GB2312"/>
          <w:bCs/>
          <w:color w:val="auto"/>
          <w:sz w:val="32"/>
          <w:szCs w:val="32"/>
          <w:highlight w:val="none"/>
        </w:rPr>
      </w:pPr>
      <w:r>
        <w:rPr>
          <w:rFonts w:hint="eastAsia" w:cs="仿宋_GB2312"/>
          <w:bCs/>
          <w:color w:val="auto"/>
          <w:sz w:val="32"/>
          <w:szCs w:val="32"/>
          <w:highlight w:val="none"/>
        </w:rPr>
        <w:t>谈判保证金汇入情况说明</w:t>
      </w:r>
    </w:p>
    <w:p>
      <w:pPr>
        <w:spacing w:line="440" w:lineRule="exact"/>
        <w:rPr>
          <w:rFonts w:cs="仿宋_GB2312"/>
          <w:bCs/>
          <w:color w:val="auto"/>
          <w:highlight w:val="none"/>
        </w:rPr>
      </w:pPr>
    </w:p>
    <w:p>
      <w:pPr>
        <w:spacing w:line="440" w:lineRule="exact"/>
        <w:rPr>
          <w:rFonts w:cs="仿宋_GB2312"/>
          <w:bCs/>
          <w:color w:val="auto"/>
          <w:highlight w:val="none"/>
        </w:rPr>
      </w:pPr>
      <w:r>
        <w:rPr>
          <w:rFonts w:hint="eastAsia" w:cs="仿宋_GB2312"/>
          <w:bCs/>
          <w:color w:val="auto"/>
          <w:highlight w:val="none"/>
          <w:lang w:eastAsia="zh-CN"/>
        </w:rPr>
        <w:t>广东政通招标有限公司</w:t>
      </w:r>
      <w:r>
        <w:rPr>
          <w:rFonts w:hint="eastAsia" w:cs="仿宋_GB2312"/>
          <w:bCs/>
          <w:color w:val="auto"/>
          <w:highlight w:val="none"/>
        </w:rPr>
        <w:t xml:space="preserve">： </w:t>
      </w:r>
    </w:p>
    <w:p>
      <w:pPr>
        <w:spacing w:line="440" w:lineRule="exact"/>
        <w:ind w:firstLine="480" w:firstLineChars="200"/>
        <w:rPr>
          <w:rFonts w:cs="仿宋_GB2312"/>
          <w:bCs/>
          <w:color w:val="auto"/>
          <w:highlight w:val="none"/>
        </w:rPr>
      </w:pPr>
      <w:r>
        <w:rPr>
          <w:rFonts w:hint="eastAsia" w:cs="仿宋_GB2312"/>
          <w:bCs/>
          <w:color w:val="auto"/>
          <w:highlight w:val="none"/>
        </w:rPr>
        <w:t>本单位已按</w:t>
      </w:r>
      <w:r>
        <w:rPr>
          <w:rFonts w:hint="eastAsia" w:cs="仿宋_GB2312"/>
          <w:bCs/>
          <w:color w:val="auto"/>
          <w:highlight w:val="none"/>
          <w:u w:val="single"/>
        </w:rPr>
        <w:t xml:space="preserve">     </w:t>
      </w:r>
      <w:r>
        <w:rPr>
          <w:rFonts w:hint="eastAsia" w:cs="仿宋_GB2312"/>
          <w:bCs/>
          <w:color w:val="auto"/>
          <w:highlight w:val="none"/>
        </w:rPr>
        <w:t>项目（采购编号：</w:t>
      </w:r>
      <w:r>
        <w:rPr>
          <w:rFonts w:hint="eastAsia" w:cs="仿宋_GB2312"/>
          <w:bCs/>
          <w:color w:val="auto"/>
          <w:highlight w:val="none"/>
          <w:u w:val="single"/>
        </w:rPr>
        <w:t xml:space="preserve">     </w:t>
      </w:r>
      <w:r>
        <w:rPr>
          <w:rFonts w:hint="eastAsia" w:cs="仿宋_GB2312"/>
          <w:bCs/>
          <w:color w:val="auto"/>
          <w:highlight w:val="none"/>
        </w:rPr>
        <w:t>）的采购文件要求，于</w:t>
      </w:r>
      <w:r>
        <w:rPr>
          <w:rFonts w:hint="eastAsia" w:cs="仿宋_GB2312"/>
          <w:bCs/>
          <w:color w:val="auto"/>
          <w:highlight w:val="none"/>
          <w:u w:val="single"/>
        </w:rPr>
        <w:t xml:space="preserve">    </w:t>
      </w:r>
      <w:r>
        <w:rPr>
          <w:rFonts w:hint="eastAsia" w:cs="仿宋_GB2312"/>
          <w:bCs/>
          <w:color w:val="auto"/>
          <w:highlight w:val="none"/>
        </w:rPr>
        <w:t>年</w:t>
      </w:r>
      <w:r>
        <w:rPr>
          <w:rFonts w:hint="eastAsia" w:cs="仿宋_GB2312"/>
          <w:bCs/>
          <w:color w:val="auto"/>
          <w:highlight w:val="none"/>
          <w:u w:val="single"/>
        </w:rPr>
        <w:t xml:space="preserve">    </w:t>
      </w:r>
      <w:r>
        <w:rPr>
          <w:rFonts w:hint="eastAsia" w:cs="仿宋_GB2312"/>
          <w:bCs/>
          <w:color w:val="auto"/>
          <w:highlight w:val="none"/>
        </w:rPr>
        <w:t>月</w:t>
      </w:r>
      <w:r>
        <w:rPr>
          <w:rFonts w:hint="eastAsia" w:cs="仿宋_GB2312"/>
          <w:bCs/>
          <w:color w:val="auto"/>
          <w:highlight w:val="none"/>
          <w:u w:val="single"/>
        </w:rPr>
        <w:t xml:space="preserve">    </w:t>
      </w:r>
      <w:r>
        <w:rPr>
          <w:rFonts w:hint="eastAsia" w:cs="仿宋_GB2312"/>
          <w:bCs/>
          <w:color w:val="auto"/>
          <w:highlight w:val="none"/>
        </w:rPr>
        <w:t>日前以</w:t>
      </w:r>
      <w:r>
        <w:rPr>
          <w:rFonts w:hint="eastAsia" w:cs="仿宋_GB2312"/>
          <w:bCs/>
          <w:color w:val="auto"/>
          <w:highlight w:val="none"/>
          <w:u w:val="single"/>
        </w:rPr>
        <w:t xml:space="preserve">           </w:t>
      </w:r>
      <w:r>
        <w:rPr>
          <w:rFonts w:hint="eastAsia" w:cs="仿宋_GB2312"/>
          <w:bCs/>
          <w:color w:val="auto"/>
          <w:highlight w:val="none"/>
        </w:rPr>
        <w:t>（付款形式）方式汇入指定帐户（帐户名称：</w:t>
      </w:r>
      <w:r>
        <w:rPr>
          <w:rFonts w:hint="eastAsia" w:cs="仿宋_GB2312"/>
          <w:bCs/>
          <w:color w:val="auto"/>
          <w:highlight w:val="none"/>
          <w:u w:val="single"/>
        </w:rPr>
        <w:t xml:space="preserve">              </w:t>
      </w:r>
      <w:r>
        <w:rPr>
          <w:rFonts w:hint="eastAsia" w:cs="仿宋_GB2312"/>
          <w:bCs/>
          <w:color w:val="auto"/>
          <w:highlight w:val="none"/>
        </w:rPr>
        <w:t>，帐号</w:t>
      </w:r>
      <w:r>
        <w:rPr>
          <w:rFonts w:hint="eastAsia" w:cs="仿宋_GB2312"/>
          <w:bCs/>
          <w:color w:val="auto"/>
          <w:highlight w:val="none"/>
          <w:u w:val="single"/>
        </w:rPr>
        <w:t xml:space="preserve">                </w:t>
      </w:r>
      <w:r>
        <w:rPr>
          <w:rFonts w:hint="eastAsia" w:cs="仿宋_GB2312"/>
          <w:bCs/>
          <w:color w:val="auto"/>
          <w:highlight w:val="none"/>
        </w:rPr>
        <w:t>,开户银行：</w:t>
      </w:r>
      <w:r>
        <w:rPr>
          <w:rFonts w:hint="eastAsia" w:cs="仿宋_GB2312"/>
          <w:bCs/>
          <w:color w:val="auto"/>
          <w:highlight w:val="none"/>
          <w:u w:val="single"/>
        </w:rPr>
        <w:t xml:space="preserve">                        </w:t>
      </w:r>
      <w:r>
        <w:rPr>
          <w:rFonts w:hint="eastAsia" w:cs="仿宋_GB2312"/>
          <w:bCs/>
          <w:color w:val="auto"/>
          <w:highlight w:val="none"/>
        </w:rPr>
        <w:t>）。</w:t>
      </w:r>
    </w:p>
    <w:p>
      <w:pPr>
        <w:spacing w:line="440" w:lineRule="exact"/>
        <w:ind w:firstLine="480" w:firstLineChars="200"/>
        <w:rPr>
          <w:rFonts w:cs="仿宋_GB2312"/>
          <w:bCs/>
          <w:color w:val="auto"/>
          <w:highlight w:val="none"/>
        </w:rPr>
      </w:pPr>
      <w:r>
        <w:rPr>
          <w:rFonts w:hint="eastAsia" w:cs="仿宋_GB2312"/>
          <w:bCs/>
          <w:color w:val="auto"/>
          <w:highlight w:val="none"/>
        </w:rPr>
        <w:t>报价单位谈判保证金的汇款情况：（详见附件－谈判保证金进帐单）</w:t>
      </w:r>
    </w:p>
    <w:p>
      <w:pPr>
        <w:spacing w:line="440" w:lineRule="exact"/>
        <w:ind w:firstLine="480" w:firstLineChars="200"/>
        <w:rPr>
          <w:rFonts w:cs="仿宋_GB2312"/>
          <w:bCs/>
          <w:color w:val="auto"/>
          <w:highlight w:val="none"/>
        </w:rPr>
      </w:pPr>
      <w:r>
        <w:rPr>
          <w:rFonts w:hint="eastAsia" w:cs="仿宋_GB2312"/>
          <w:bCs/>
          <w:color w:val="auto"/>
          <w:highlight w:val="none"/>
        </w:rPr>
        <w:t>汇出时间：</w:t>
      </w:r>
      <w:r>
        <w:rPr>
          <w:rFonts w:hint="eastAsia" w:cs="仿宋_GB2312"/>
          <w:bCs/>
          <w:color w:val="auto"/>
          <w:highlight w:val="none"/>
          <w:u w:val="single"/>
        </w:rPr>
        <w:t xml:space="preserve">    </w:t>
      </w:r>
      <w:r>
        <w:rPr>
          <w:rFonts w:hint="eastAsia" w:cs="仿宋_GB2312"/>
          <w:bCs/>
          <w:color w:val="auto"/>
          <w:highlight w:val="none"/>
        </w:rPr>
        <w:t>年</w:t>
      </w:r>
      <w:r>
        <w:rPr>
          <w:rFonts w:hint="eastAsia" w:cs="仿宋_GB2312"/>
          <w:bCs/>
          <w:color w:val="auto"/>
          <w:highlight w:val="none"/>
          <w:u w:val="single"/>
        </w:rPr>
        <w:t xml:space="preserve">    </w:t>
      </w:r>
      <w:r>
        <w:rPr>
          <w:rFonts w:hint="eastAsia" w:cs="仿宋_GB2312"/>
          <w:bCs/>
          <w:color w:val="auto"/>
          <w:highlight w:val="none"/>
        </w:rPr>
        <w:t>月</w:t>
      </w:r>
      <w:r>
        <w:rPr>
          <w:rFonts w:hint="eastAsia" w:cs="仿宋_GB2312"/>
          <w:bCs/>
          <w:color w:val="auto"/>
          <w:highlight w:val="none"/>
          <w:u w:val="single"/>
        </w:rPr>
        <w:t xml:space="preserve">    </w:t>
      </w:r>
      <w:r>
        <w:rPr>
          <w:rFonts w:hint="eastAsia" w:cs="仿宋_GB2312"/>
          <w:bCs/>
          <w:color w:val="auto"/>
          <w:highlight w:val="none"/>
        </w:rPr>
        <w:t>日；</w:t>
      </w:r>
    </w:p>
    <w:p>
      <w:pPr>
        <w:spacing w:line="440" w:lineRule="exact"/>
        <w:ind w:firstLine="480" w:firstLineChars="200"/>
        <w:rPr>
          <w:rFonts w:cs="仿宋_GB2312"/>
          <w:bCs/>
          <w:color w:val="auto"/>
          <w:highlight w:val="none"/>
          <w:u w:val="single"/>
        </w:rPr>
      </w:pPr>
      <w:r>
        <w:rPr>
          <w:rFonts w:hint="eastAsia" w:cs="仿宋_GB2312"/>
          <w:bCs/>
          <w:color w:val="auto"/>
          <w:highlight w:val="none"/>
        </w:rPr>
        <w:t>汇款金额：（大写）人民币</w:t>
      </w:r>
      <w:r>
        <w:rPr>
          <w:rFonts w:hint="eastAsia" w:cs="仿宋_GB2312"/>
          <w:bCs/>
          <w:color w:val="auto"/>
          <w:highlight w:val="none"/>
          <w:u w:val="single"/>
        </w:rPr>
        <w:t xml:space="preserve"> 万 仟 佰 拾 元整</w:t>
      </w:r>
      <w:r>
        <w:rPr>
          <w:rFonts w:hint="eastAsia" w:cs="仿宋_GB2312"/>
          <w:bCs/>
          <w:color w:val="auto"/>
          <w:highlight w:val="none"/>
        </w:rPr>
        <w:t>（小写：￥</w:t>
      </w:r>
      <w:r>
        <w:rPr>
          <w:rFonts w:hint="eastAsia" w:cs="仿宋_GB2312"/>
          <w:bCs/>
          <w:color w:val="auto"/>
          <w:highlight w:val="none"/>
          <w:u w:val="single"/>
        </w:rPr>
        <w:t xml:space="preserve">      </w:t>
      </w:r>
      <w:r>
        <w:rPr>
          <w:rFonts w:hint="eastAsia" w:cs="仿宋_GB2312"/>
          <w:bCs/>
          <w:color w:val="auto"/>
          <w:highlight w:val="none"/>
        </w:rPr>
        <w:t>元），</w:t>
      </w:r>
    </w:p>
    <w:p>
      <w:pPr>
        <w:spacing w:line="440" w:lineRule="exact"/>
        <w:ind w:firstLine="480" w:firstLineChars="200"/>
        <w:rPr>
          <w:rFonts w:cs="仿宋_GB2312"/>
          <w:bCs/>
          <w:color w:val="auto"/>
          <w:highlight w:val="none"/>
          <w:u w:val="single"/>
        </w:rPr>
      </w:pPr>
      <w:r>
        <w:rPr>
          <w:rFonts w:hint="eastAsia" w:cs="仿宋_GB2312"/>
          <w:bCs/>
          <w:color w:val="auto"/>
          <w:highlight w:val="none"/>
        </w:rPr>
        <w:t>汇款帐户名称：</w:t>
      </w:r>
      <w:r>
        <w:rPr>
          <w:rFonts w:hint="eastAsia" w:cs="仿宋_GB2312"/>
          <w:bCs/>
          <w:color w:val="auto"/>
          <w:highlight w:val="none"/>
          <w:u w:val="single"/>
        </w:rPr>
        <w:t xml:space="preserve">  （必须是谈判报价时使用的单位名称）   </w:t>
      </w:r>
    </w:p>
    <w:p>
      <w:pPr>
        <w:spacing w:line="440" w:lineRule="exact"/>
        <w:ind w:firstLine="480" w:firstLineChars="200"/>
        <w:rPr>
          <w:rFonts w:cs="仿宋_GB2312"/>
          <w:bCs/>
          <w:color w:val="auto"/>
          <w:highlight w:val="none"/>
        </w:rPr>
      </w:pPr>
      <w:r>
        <w:rPr>
          <w:rFonts w:hint="eastAsia" w:cs="仿宋_GB2312"/>
          <w:bCs/>
          <w:color w:val="auto"/>
          <w:highlight w:val="none"/>
        </w:rPr>
        <w:t>帐    号：</w:t>
      </w:r>
      <w:r>
        <w:rPr>
          <w:rFonts w:hint="eastAsia" w:cs="仿宋_GB2312"/>
          <w:bCs/>
          <w:color w:val="auto"/>
          <w:highlight w:val="none"/>
          <w:u w:val="single"/>
        </w:rPr>
        <w:t xml:space="preserve">  （必须是谈判报价时使用的帐号）     </w:t>
      </w:r>
    </w:p>
    <w:p>
      <w:pPr>
        <w:spacing w:line="440" w:lineRule="exact"/>
        <w:ind w:firstLine="480" w:firstLineChars="200"/>
        <w:rPr>
          <w:rFonts w:cs="仿宋_GB2312"/>
          <w:bCs/>
          <w:color w:val="auto"/>
          <w:highlight w:val="none"/>
          <w:u w:val="single"/>
        </w:rPr>
      </w:pPr>
      <w:r>
        <w:rPr>
          <w:rFonts w:hint="eastAsia" w:cs="仿宋_GB2312"/>
          <w:bCs/>
          <w:color w:val="auto"/>
          <w:highlight w:val="none"/>
        </w:rPr>
        <w:t>开户银行：</w:t>
      </w:r>
      <w:r>
        <w:rPr>
          <w:rFonts w:hint="eastAsia" w:cs="仿宋_GB2312"/>
          <w:bCs/>
          <w:color w:val="auto"/>
          <w:highlight w:val="none"/>
          <w:u w:val="single"/>
        </w:rPr>
        <w:t xml:space="preserve">    银行   省    市          (分行/支行)    </w:t>
      </w:r>
    </w:p>
    <w:p>
      <w:pPr>
        <w:spacing w:line="440" w:lineRule="exact"/>
        <w:ind w:firstLine="480" w:firstLineChars="200"/>
        <w:rPr>
          <w:rFonts w:cs="仿宋_GB2312"/>
          <w:bCs/>
          <w:color w:val="auto"/>
          <w:highlight w:val="none"/>
        </w:rPr>
      </w:pPr>
      <w:r>
        <w:rPr>
          <w:rFonts w:hint="eastAsia" w:cs="仿宋_GB2312"/>
          <w:bCs/>
          <w:color w:val="auto"/>
          <w:highlight w:val="none"/>
        </w:rPr>
        <w:t>本单位谨承诺上述资料是正确、真实的，如因上述证明与事实不符导致的一切损失，本单位保证承担赔偿等一切法律责任。</w:t>
      </w:r>
    </w:p>
    <w:p>
      <w:pPr>
        <w:spacing w:line="440" w:lineRule="exact"/>
        <w:ind w:firstLine="480" w:firstLineChars="200"/>
        <w:rPr>
          <w:rFonts w:cs="仿宋_GB2312"/>
          <w:bCs/>
          <w:color w:val="auto"/>
          <w:highlight w:val="none"/>
        </w:rPr>
      </w:pPr>
      <w:r>
        <w:rPr>
          <w:rFonts w:hint="eastAsia" w:cs="仿宋_GB2312"/>
          <w:bCs/>
          <w:color w:val="auto"/>
          <w:highlight w:val="none"/>
        </w:rPr>
        <w:t>谈判保证金退回时，请按上述资料退回。</w:t>
      </w:r>
    </w:p>
    <w:p>
      <w:pPr>
        <w:spacing w:line="440" w:lineRule="exact"/>
        <w:rPr>
          <w:rFonts w:cs="仿宋_GB2312"/>
          <w:bCs/>
          <w:color w:val="auto"/>
          <w:highlight w:val="none"/>
        </w:rPr>
      </w:pPr>
      <w:r>
        <w:rPr>
          <w:rFonts w:hint="eastAsia" w:cs="仿宋_GB2312"/>
          <w:bCs/>
          <w:color w:val="auto"/>
          <w:highlight w:val="none"/>
        </w:rPr>
        <w:t>附件：谈判保证金进帐单复印件（加盖公章）</w:t>
      </w:r>
    </w:p>
    <w:p>
      <w:pPr>
        <w:spacing w:line="440" w:lineRule="exact"/>
        <w:rPr>
          <w:rFonts w:cs="仿宋_GB2312"/>
          <w:bCs/>
          <w:color w:val="auto"/>
          <w:highlight w:val="none"/>
        </w:rPr>
      </w:pPr>
    </w:p>
    <w:p>
      <w:pPr>
        <w:spacing w:line="440" w:lineRule="exact"/>
        <w:ind w:right="965" w:rightChars="402"/>
        <w:jc w:val="right"/>
        <w:rPr>
          <w:rFonts w:cs="仿宋_GB2312"/>
          <w:bCs/>
          <w:color w:val="auto"/>
          <w:highlight w:val="none"/>
        </w:rPr>
      </w:pPr>
      <w:r>
        <w:rPr>
          <w:rFonts w:hint="eastAsia" w:cs="仿宋_GB2312"/>
          <w:bCs/>
          <w:color w:val="auto"/>
          <w:highlight w:val="none"/>
        </w:rPr>
        <w:t>（单位公章）</w:t>
      </w:r>
    </w:p>
    <w:p>
      <w:pPr>
        <w:spacing w:line="440" w:lineRule="exact"/>
        <w:ind w:right="718" w:rightChars="299"/>
        <w:jc w:val="right"/>
        <w:rPr>
          <w:rFonts w:cs="仿宋_GB2312"/>
          <w:bCs/>
          <w:color w:val="auto"/>
          <w:highlight w:val="none"/>
        </w:rPr>
      </w:pPr>
      <w:r>
        <w:rPr>
          <w:rFonts w:hint="eastAsia" w:cs="仿宋_GB2312"/>
          <w:bCs/>
          <w:color w:val="auto"/>
          <w:highlight w:val="none"/>
        </w:rPr>
        <w:t>年   月   日</w:t>
      </w:r>
    </w:p>
    <w:p>
      <w:pPr>
        <w:spacing w:line="440" w:lineRule="exact"/>
        <w:rPr>
          <w:rFonts w:cs="仿宋_GB2312"/>
          <w:bCs/>
          <w:color w:val="auto"/>
          <w:highlight w:val="none"/>
        </w:rPr>
      </w:pPr>
    </w:p>
    <w:p>
      <w:pPr>
        <w:spacing w:line="440" w:lineRule="exact"/>
        <w:rPr>
          <w:rFonts w:cs="仿宋_GB2312"/>
          <w:bCs/>
          <w:color w:val="auto"/>
          <w:highlight w:val="none"/>
          <w:u w:val="single"/>
        </w:rPr>
      </w:pPr>
      <w:r>
        <w:rPr>
          <w:rFonts w:hint="eastAsia" w:cs="仿宋_GB2312"/>
          <w:bCs/>
          <w:color w:val="auto"/>
          <w:highlight w:val="none"/>
        </w:rPr>
        <w:t>单位名称：</w:t>
      </w:r>
      <w:r>
        <w:rPr>
          <w:rFonts w:hint="eastAsia" w:cs="仿宋_GB2312"/>
          <w:bCs/>
          <w:color w:val="auto"/>
          <w:highlight w:val="none"/>
          <w:u w:val="single"/>
        </w:rPr>
        <w:t xml:space="preserve">           </w:t>
      </w:r>
    </w:p>
    <w:p>
      <w:pPr>
        <w:spacing w:line="440" w:lineRule="exact"/>
        <w:rPr>
          <w:rFonts w:cs="仿宋_GB2312"/>
          <w:bCs/>
          <w:color w:val="auto"/>
          <w:highlight w:val="none"/>
        </w:rPr>
      </w:pPr>
      <w:r>
        <w:rPr>
          <w:rFonts w:hint="eastAsia" w:cs="仿宋_GB2312"/>
          <w:bCs/>
          <w:color w:val="auto"/>
          <w:highlight w:val="none"/>
        </w:rPr>
        <w:t>单位地址：</w:t>
      </w:r>
      <w:r>
        <w:rPr>
          <w:rFonts w:hint="eastAsia" w:cs="仿宋_GB2312"/>
          <w:bCs/>
          <w:color w:val="auto"/>
          <w:highlight w:val="none"/>
          <w:u w:val="single"/>
        </w:rPr>
        <w:t xml:space="preserve">           </w:t>
      </w:r>
    </w:p>
    <w:p>
      <w:pPr>
        <w:spacing w:line="440" w:lineRule="exact"/>
        <w:rPr>
          <w:rFonts w:cs="仿宋_GB2312"/>
          <w:bCs/>
          <w:color w:val="auto"/>
          <w:highlight w:val="none"/>
        </w:rPr>
      </w:pPr>
      <w:r>
        <w:rPr>
          <w:rFonts w:hint="eastAsia" w:cs="仿宋_GB2312"/>
          <w:bCs/>
          <w:color w:val="auto"/>
          <w:highlight w:val="none"/>
        </w:rPr>
        <w:t>联系人：</w:t>
      </w:r>
      <w:r>
        <w:rPr>
          <w:rFonts w:hint="eastAsia" w:cs="仿宋_GB2312"/>
          <w:bCs/>
          <w:color w:val="auto"/>
          <w:highlight w:val="none"/>
          <w:u w:val="single"/>
        </w:rPr>
        <w:t xml:space="preserve">                   </w:t>
      </w:r>
    </w:p>
    <w:p>
      <w:pPr>
        <w:spacing w:line="440" w:lineRule="exact"/>
        <w:rPr>
          <w:rFonts w:cs="仿宋_GB2312"/>
          <w:bCs/>
          <w:color w:val="auto"/>
          <w:highlight w:val="none"/>
        </w:rPr>
      </w:pPr>
      <w:r>
        <w:rPr>
          <w:rFonts w:hint="eastAsia" w:cs="仿宋_GB2312"/>
          <w:bCs/>
          <w:color w:val="auto"/>
          <w:highlight w:val="none"/>
        </w:rPr>
        <w:t>单位电话：</w:t>
      </w:r>
      <w:r>
        <w:rPr>
          <w:rFonts w:hint="eastAsia" w:cs="仿宋_GB2312"/>
          <w:bCs/>
          <w:color w:val="auto"/>
          <w:highlight w:val="none"/>
          <w:u w:val="single"/>
        </w:rPr>
        <w:t xml:space="preserve">           </w:t>
      </w:r>
      <w:r>
        <w:rPr>
          <w:rFonts w:hint="eastAsia" w:cs="仿宋_GB2312"/>
          <w:bCs/>
          <w:color w:val="auto"/>
          <w:highlight w:val="none"/>
        </w:rPr>
        <w:t xml:space="preserve">      联系人手机：</w:t>
      </w:r>
      <w:r>
        <w:rPr>
          <w:rFonts w:hint="eastAsia" w:cs="仿宋_GB2312"/>
          <w:bCs/>
          <w:color w:val="auto"/>
          <w:highlight w:val="none"/>
          <w:u w:val="single"/>
        </w:rPr>
        <w:t xml:space="preserve">              </w:t>
      </w:r>
    </w:p>
    <w:p>
      <w:pPr>
        <w:ind w:firstLine="352" w:firstLineChars="147"/>
        <w:rPr>
          <w:rFonts w:cs="仿宋_GB2312"/>
          <w:bCs/>
          <w:color w:val="auto"/>
          <w:highlight w:val="none"/>
        </w:rPr>
      </w:pPr>
      <w:r>
        <w:rPr>
          <w:rFonts w:hint="eastAsia" w:cs="仿宋_GB2312"/>
          <w:bCs/>
          <w:color w:val="auto"/>
          <w:highlight w:val="none"/>
        </w:rPr>
        <w:t>注：1、本说明的所有内容（包括所填写内容）均需打印；2、本说明及谈判保证金进帐单复印件（加盖公章）在递交报价文件时单独递交；3、如</w:t>
      </w:r>
      <w:r>
        <w:rPr>
          <w:rFonts w:hint="eastAsia" w:cs="仿宋_GB2312"/>
          <w:bCs/>
          <w:color w:val="auto"/>
          <w:highlight w:val="none"/>
          <w:lang w:eastAsia="zh-CN"/>
        </w:rPr>
        <w:t>供应商</w:t>
      </w:r>
      <w:r>
        <w:rPr>
          <w:rFonts w:hint="eastAsia" w:cs="仿宋_GB2312"/>
          <w:bCs/>
          <w:color w:val="auto"/>
          <w:highlight w:val="none"/>
        </w:rPr>
        <w:t>采用网上银行递交谈判保证金，其进帐单（回单）须到相关银行加盖业务章。</w:t>
      </w:r>
    </w:p>
    <w:p>
      <w:pPr>
        <w:ind w:firstLine="352" w:firstLineChars="147"/>
        <w:rPr>
          <w:rFonts w:cs="仿宋_GB2312"/>
          <w:bCs/>
          <w:color w:val="auto"/>
          <w:highlight w:val="none"/>
        </w:rPr>
      </w:pPr>
      <w:r>
        <w:rPr>
          <w:rFonts w:hint="eastAsia" w:cs="仿宋_GB2312"/>
          <w:bCs/>
          <w:color w:val="auto"/>
          <w:highlight w:val="none"/>
        </w:rPr>
        <w:br w:type="page"/>
      </w:r>
    </w:p>
    <w:p>
      <w:pPr>
        <w:jc w:val="center"/>
        <w:rPr>
          <w:rFonts w:cs="仿宋_GB2312"/>
          <w:bCs/>
          <w:color w:val="auto"/>
          <w:sz w:val="28"/>
          <w:szCs w:val="28"/>
          <w:highlight w:val="none"/>
        </w:rPr>
      </w:pPr>
      <w:r>
        <w:rPr>
          <w:rFonts w:hint="eastAsia" w:cs="仿宋_GB2312"/>
          <w:bCs/>
          <w:color w:val="auto"/>
          <w:sz w:val="28"/>
          <w:szCs w:val="28"/>
          <w:highlight w:val="none"/>
        </w:rPr>
        <w:t>2、服务承诺书格式</w:t>
      </w:r>
    </w:p>
    <w:p>
      <w:pPr>
        <w:rPr>
          <w:rFonts w:cs="仿宋_GB2312"/>
          <w:bCs/>
          <w:color w:val="auto"/>
          <w:sz w:val="28"/>
          <w:szCs w:val="28"/>
          <w:highlight w:val="none"/>
        </w:rPr>
      </w:pPr>
    </w:p>
    <w:p>
      <w:pPr>
        <w:jc w:val="center"/>
        <w:rPr>
          <w:rFonts w:cs="仿宋_GB2312"/>
          <w:bCs/>
          <w:color w:val="auto"/>
          <w:sz w:val="28"/>
          <w:szCs w:val="28"/>
          <w:highlight w:val="none"/>
        </w:rPr>
      </w:pPr>
      <w:r>
        <w:rPr>
          <w:rFonts w:hint="eastAsia" w:cs="仿宋_GB2312"/>
          <w:bCs/>
          <w:color w:val="auto"/>
          <w:sz w:val="28"/>
          <w:szCs w:val="28"/>
          <w:highlight w:val="none"/>
        </w:rPr>
        <w:t>服务承诺书</w:t>
      </w:r>
    </w:p>
    <w:p>
      <w:pPr>
        <w:jc w:val="center"/>
        <w:rPr>
          <w:rFonts w:cs="仿宋_GB2312"/>
          <w:bCs/>
          <w:color w:val="auto"/>
          <w:sz w:val="44"/>
          <w:highlight w:val="none"/>
        </w:rPr>
      </w:pPr>
    </w:p>
    <w:p>
      <w:pPr>
        <w:rPr>
          <w:rFonts w:cs="仿宋_GB2312"/>
          <w:bCs/>
          <w:color w:val="auto"/>
          <w:sz w:val="31"/>
          <w:highlight w:val="none"/>
        </w:rPr>
      </w:pPr>
      <w:r>
        <w:rPr>
          <w:rFonts w:hint="eastAsia" w:cs="仿宋_GB2312"/>
          <w:bCs/>
          <w:color w:val="auto"/>
          <w:sz w:val="31"/>
          <w:highlight w:val="none"/>
          <w:lang w:eastAsia="zh-CN"/>
        </w:rPr>
        <w:t>供应商</w:t>
      </w:r>
      <w:r>
        <w:rPr>
          <w:rFonts w:hint="eastAsia" w:cs="仿宋_GB2312"/>
          <w:bCs/>
          <w:color w:val="auto"/>
          <w:sz w:val="31"/>
          <w:highlight w:val="none"/>
        </w:rPr>
        <w:t>根据用户需求书自己编写</w:t>
      </w:r>
    </w:p>
    <w:p>
      <w:pPr>
        <w:rPr>
          <w:rFonts w:cs="仿宋_GB2312"/>
          <w:bCs/>
          <w:color w:val="auto"/>
          <w:sz w:val="31"/>
          <w:highlight w:val="none"/>
        </w:rPr>
      </w:pPr>
      <w:r>
        <w:rPr>
          <w:rFonts w:hint="eastAsia" w:cs="仿宋_GB2312"/>
          <w:bCs/>
          <w:color w:val="auto"/>
          <w:sz w:val="31"/>
          <w:highlight w:val="none"/>
        </w:rPr>
        <w:br w:type="page"/>
      </w:r>
    </w:p>
    <w:p>
      <w:pPr>
        <w:pStyle w:val="4"/>
        <w:jc w:val="center"/>
        <w:rPr>
          <w:rFonts w:cs="仿宋_GB2312"/>
          <w:bCs/>
          <w:color w:val="auto"/>
          <w:sz w:val="28"/>
          <w:szCs w:val="28"/>
          <w:highlight w:val="none"/>
        </w:rPr>
      </w:pPr>
      <w:bookmarkStart w:id="67" w:name="_Toc502240075"/>
      <w:bookmarkStart w:id="68" w:name="_Toc114644024"/>
      <w:bookmarkStart w:id="69" w:name="_Toc508723477"/>
      <w:r>
        <w:rPr>
          <w:rFonts w:hint="eastAsia" w:cs="仿宋_GB2312"/>
          <w:bCs/>
          <w:color w:val="auto"/>
          <w:sz w:val="28"/>
          <w:szCs w:val="28"/>
          <w:highlight w:val="none"/>
        </w:rPr>
        <w:t>八、技术响应文件格式</w:t>
      </w:r>
      <w:bookmarkEnd w:id="67"/>
      <w:bookmarkEnd w:id="68"/>
      <w:bookmarkEnd w:id="69"/>
    </w:p>
    <w:p>
      <w:pPr>
        <w:rPr>
          <w:rFonts w:cs="仿宋_GB2312"/>
          <w:bCs/>
          <w:color w:val="auto"/>
          <w:sz w:val="31"/>
          <w:highlight w:val="none"/>
        </w:rPr>
      </w:pPr>
    </w:p>
    <w:p>
      <w:pPr>
        <w:pStyle w:val="11"/>
        <w:spacing w:line="500" w:lineRule="exact"/>
        <w:ind w:left="0" w:firstLine="560" w:firstLineChars="200"/>
        <w:rPr>
          <w:rFonts w:cs="仿宋_GB2312"/>
          <w:bCs/>
          <w:color w:val="auto"/>
          <w:sz w:val="28"/>
          <w:highlight w:val="none"/>
        </w:rPr>
      </w:pPr>
      <w:r>
        <w:rPr>
          <w:rFonts w:hint="eastAsia" w:cs="仿宋_GB2312"/>
          <w:bCs/>
          <w:color w:val="auto"/>
          <w:sz w:val="28"/>
          <w:highlight w:val="none"/>
          <w:lang w:eastAsia="zh-CN"/>
        </w:rPr>
        <w:t>供应商</w:t>
      </w:r>
      <w:r>
        <w:rPr>
          <w:rFonts w:hint="eastAsia" w:cs="仿宋_GB2312"/>
          <w:bCs/>
          <w:color w:val="auto"/>
          <w:sz w:val="28"/>
          <w:highlight w:val="none"/>
        </w:rPr>
        <w:t>应按照谈判文件要求，根据“用户需求书”内容作出全面响应。编制和提交的内容应包括但不限于以下各项。对必须满足的内容，必须完全满足。对响应有差异的，则说明差异的内容。</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1.</w:t>
      </w:r>
      <w:r>
        <w:rPr>
          <w:rFonts w:hint="eastAsia" w:cs="仿宋_GB2312"/>
          <w:bCs/>
          <w:color w:val="auto"/>
          <w:sz w:val="28"/>
          <w:highlight w:val="none"/>
          <w:lang w:eastAsia="zh-CN"/>
        </w:rPr>
        <w:t>供应商</w:t>
      </w:r>
      <w:r>
        <w:rPr>
          <w:rFonts w:hint="eastAsia" w:cs="仿宋_GB2312"/>
          <w:bCs/>
          <w:color w:val="auto"/>
          <w:sz w:val="28"/>
          <w:highlight w:val="none"/>
        </w:rPr>
        <w:t>声明格式</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2.谈判方案</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3.技术参数差异表</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4.拟安排本项目技术人员情况表</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5.拟在本项目中任职的主要人员简历表</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6.质量保证</w:t>
      </w:r>
    </w:p>
    <w:p>
      <w:pPr>
        <w:rPr>
          <w:rFonts w:cs="仿宋_GB2312"/>
          <w:bCs/>
          <w:color w:val="auto"/>
          <w:sz w:val="31"/>
          <w:highlight w:val="none"/>
        </w:rPr>
      </w:pPr>
    </w:p>
    <w:p>
      <w:pPr>
        <w:rPr>
          <w:rFonts w:cs="仿宋_GB2312"/>
          <w:bCs/>
          <w:color w:val="auto"/>
          <w:sz w:val="31"/>
          <w:highlight w:val="none"/>
        </w:rPr>
      </w:pPr>
    </w:p>
    <w:p>
      <w:pPr>
        <w:rPr>
          <w:rFonts w:cs="仿宋_GB2312"/>
          <w:bCs/>
          <w:color w:val="auto"/>
          <w:sz w:val="31"/>
          <w:highlight w:val="none"/>
        </w:rPr>
      </w:pPr>
    </w:p>
    <w:p>
      <w:pPr>
        <w:rPr>
          <w:rFonts w:cs="仿宋_GB2312"/>
          <w:bCs/>
          <w:color w:val="auto"/>
          <w:sz w:val="31"/>
          <w:highlight w:val="none"/>
        </w:rPr>
      </w:pPr>
      <w:r>
        <w:rPr>
          <w:rFonts w:hint="eastAsia" w:cs="仿宋_GB2312"/>
          <w:bCs/>
          <w:color w:val="auto"/>
          <w:sz w:val="31"/>
          <w:highlight w:val="none"/>
        </w:rPr>
        <w:t xml:space="preserve"> </w:t>
      </w:r>
      <w:r>
        <w:rPr>
          <w:rFonts w:hint="eastAsia" w:cs="仿宋_GB2312"/>
          <w:bCs/>
          <w:color w:val="auto"/>
          <w:sz w:val="31"/>
          <w:highlight w:val="none"/>
        </w:rPr>
        <w:br w:type="page"/>
      </w:r>
    </w:p>
    <w:p>
      <w:pPr>
        <w:jc w:val="center"/>
        <w:rPr>
          <w:rFonts w:cs="仿宋_GB2312"/>
          <w:bCs/>
          <w:color w:val="auto"/>
          <w:sz w:val="28"/>
          <w:szCs w:val="28"/>
          <w:highlight w:val="none"/>
        </w:rPr>
      </w:pPr>
      <w:r>
        <w:rPr>
          <w:rFonts w:hint="eastAsia" w:cs="仿宋_GB2312"/>
          <w:bCs/>
          <w:color w:val="auto"/>
          <w:sz w:val="28"/>
          <w:szCs w:val="28"/>
          <w:highlight w:val="none"/>
          <w:lang w:eastAsia="zh-CN"/>
        </w:rPr>
        <w:t>供应商</w:t>
      </w:r>
      <w:r>
        <w:rPr>
          <w:rFonts w:hint="eastAsia" w:cs="仿宋_GB2312"/>
          <w:bCs/>
          <w:color w:val="auto"/>
          <w:sz w:val="28"/>
          <w:szCs w:val="28"/>
          <w:highlight w:val="none"/>
        </w:rPr>
        <w:t>声明</w:t>
      </w:r>
    </w:p>
    <w:p>
      <w:pPr>
        <w:jc w:val="center"/>
        <w:rPr>
          <w:rFonts w:cs="仿宋_GB2312"/>
          <w:bCs/>
          <w:color w:val="auto"/>
          <w:sz w:val="44"/>
          <w:highlight w:val="none"/>
        </w:rPr>
      </w:pP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我方声明已充分了解</w:t>
      </w:r>
      <w:r>
        <w:rPr>
          <w:rFonts w:hint="eastAsia" w:cs="仿宋_GB2312"/>
          <w:bCs/>
          <w:color w:val="auto"/>
          <w:sz w:val="28"/>
          <w:highlight w:val="none"/>
          <w:u w:val="single"/>
        </w:rPr>
        <w:t xml:space="preserve">         采购项目</w:t>
      </w:r>
      <w:r>
        <w:rPr>
          <w:rFonts w:hint="eastAsia" w:cs="仿宋_GB2312"/>
          <w:bCs/>
          <w:color w:val="auto"/>
          <w:sz w:val="28"/>
          <w:highlight w:val="none"/>
        </w:rPr>
        <w:t xml:space="preserve"> [采购编号： ]货物或</w:t>
      </w:r>
      <w:r>
        <w:rPr>
          <w:rFonts w:hint="eastAsia" w:cs="仿宋_GB2312"/>
          <w:bCs/>
          <w:color w:val="auto"/>
          <w:sz w:val="28"/>
          <w:highlight w:val="none"/>
          <w:lang w:eastAsia="zh-CN"/>
        </w:rPr>
        <w:t>服务（或工程）</w:t>
      </w:r>
      <w:r>
        <w:rPr>
          <w:rFonts w:hint="eastAsia" w:cs="仿宋_GB2312"/>
          <w:bCs/>
          <w:color w:val="auto"/>
          <w:sz w:val="28"/>
          <w:highlight w:val="none"/>
        </w:rPr>
        <w:t>的技术要求、规格等，以及发包人在《用户需求书》提出的所有要求。我方愿意在以上条件下接受竞争性谈判，如果成交，在此条件下完成合同规定的责任、义务，并得到相应的权利和利益。</w:t>
      </w:r>
    </w:p>
    <w:p>
      <w:pPr>
        <w:spacing w:line="500" w:lineRule="exact"/>
        <w:ind w:firstLine="487" w:firstLineChars="174"/>
        <w:rPr>
          <w:rFonts w:cs="仿宋_GB2312"/>
          <w:bCs/>
          <w:color w:val="auto"/>
          <w:sz w:val="28"/>
          <w:highlight w:val="none"/>
        </w:rPr>
      </w:pPr>
      <w:r>
        <w:rPr>
          <w:rFonts w:hint="eastAsia" w:cs="仿宋_GB2312"/>
          <w:bCs/>
          <w:color w:val="auto"/>
          <w:sz w:val="28"/>
          <w:highlight w:val="none"/>
        </w:rPr>
        <w:t>我方已清楚招标文件所有要求及有关规定；并承诺参加本次采购活动中，如有违法、违规、弄虚作假行为，所造成的损失、不良后果及法律责任，一律由我方承担。</w:t>
      </w:r>
    </w:p>
    <w:p>
      <w:pPr>
        <w:pStyle w:val="11"/>
        <w:spacing w:line="500" w:lineRule="exact"/>
        <w:ind w:left="0" w:firstLine="420" w:firstLineChars="150"/>
        <w:rPr>
          <w:rFonts w:cs="仿宋_GB2312"/>
          <w:bCs/>
          <w:color w:val="auto"/>
          <w:sz w:val="28"/>
          <w:highlight w:val="none"/>
        </w:rPr>
      </w:pPr>
      <w:r>
        <w:rPr>
          <w:rFonts w:hint="eastAsia" w:cs="仿宋_GB2312"/>
          <w:bCs/>
          <w:color w:val="auto"/>
          <w:sz w:val="28"/>
          <w:highlight w:val="none"/>
        </w:rPr>
        <w:t>我方理解你方可能还要求提供更进一步的资料，并愿意应你方的要求提交。</w:t>
      </w:r>
    </w:p>
    <w:p>
      <w:pPr>
        <w:pStyle w:val="11"/>
        <w:ind w:firstLine="487"/>
        <w:rPr>
          <w:rFonts w:cs="仿宋_GB2312"/>
          <w:bCs/>
          <w:color w:val="auto"/>
          <w:sz w:val="28"/>
          <w:highlight w:val="none"/>
        </w:rPr>
      </w:pPr>
    </w:p>
    <w:p>
      <w:pPr>
        <w:pStyle w:val="11"/>
        <w:ind w:firstLine="487"/>
        <w:rPr>
          <w:rFonts w:cs="仿宋_GB2312"/>
          <w:bCs/>
          <w:color w:val="auto"/>
          <w:sz w:val="28"/>
          <w:highlight w:val="none"/>
        </w:rPr>
      </w:pPr>
    </w:p>
    <w:p>
      <w:pPr>
        <w:pStyle w:val="11"/>
        <w:ind w:firstLine="487"/>
        <w:rPr>
          <w:rFonts w:cs="仿宋_GB2312"/>
          <w:bCs/>
          <w:color w:val="auto"/>
          <w:sz w:val="28"/>
          <w:highlight w:val="none"/>
        </w:rPr>
      </w:pPr>
    </w:p>
    <w:p>
      <w:pPr>
        <w:rPr>
          <w:rFonts w:cs="仿宋_GB2312"/>
          <w:bCs/>
          <w:color w:val="auto"/>
          <w:sz w:val="28"/>
          <w:highlight w:val="none"/>
        </w:rPr>
      </w:pP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（法人公章）：</w:t>
      </w: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rPr>
        <w:t>授权代表（签名或盖章）：</w:t>
      </w: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rPr>
        <w:t>日      期：</w:t>
      </w:r>
    </w:p>
    <w:p>
      <w:pPr>
        <w:jc w:val="center"/>
        <w:rPr>
          <w:rFonts w:cs="仿宋_GB2312"/>
          <w:bCs/>
          <w:color w:val="auto"/>
          <w:sz w:val="28"/>
          <w:szCs w:val="28"/>
          <w:highlight w:val="none"/>
        </w:rPr>
      </w:pPr>
      <w:r>
        <w:rPr>
          <w:rFonts w:hint="eastAsia" w:cs="仿宋_GB2312"/>
          <w:bCs/>
          <w:color w:val="auto"/>
          <w:sz w:val="44"/>
          <w:highlight w:val="none"/>
        </w:rPr>
        <w:br w:type="page"/>
      </w:r>
      <w:r>
        <w:rPr>
          <w:rFonts w:hint="eastAsia" w:cs="仿宋_GB2312"/>
          <w:bCs/>
          <w:color w:val="auto"/>
          <w:sz w:val="28"/>
          <w:szCs w:val="28"/>
          <w:highlight w:val="none"/>
        </w:rPr>
        <w:t>谈判方案</w:t>
      </w:r>
    </w:p>
    <w:p>
      <w:pPr>
        <w:jc w:val="center"/>
        <w:rPr>
          <w:rFonts w:cs="仿宋_GB2312"/>
          <w:bCs/>
          <w:color w:val="auto"/>
          <w:sz w:val="44"/>
          <w:highlight w:val="none"/>
        </w:rPr>
      </w:pPr>
    </w:p>
    <w:p>
      <w:pPr>
        <w:rPr>
          <w:rFonts w:cs="仿宋_GB2312"/>
          <w:bCs/>
          <w:color w:val="auto"/>
          <w:sz w:val="31"/>
          <w:highlight w:val="none"/>
        </w:rPr>
      </w:pPr>
    </w:p>
    <w:p>
      <w:pPr>
        <w:spacing w:line="500" w:lineRule="exact"/>
        <w:ind w:firstLine="487" w:firstLineChars="174"/>
        <w:rPr>
          <w:rFonts w:cs="仿宋_GB2312"/>
          <w:bCs/>
          <w:color w:val="auto"/>
          <w:sz w:val="28"/>
          <w:highlight w:val="none"/>
        </w:rPr>
      </w:pPr>
      <w:r>
        <w:rPr>
          <w:rFonts w:hint="eastAsia" w:cs="仿宋_GB2312"/>
          <w:bCs/>
          <w:color w:val="auto"/>
          <w:sz w:val="28"/>
          <w:highlight w:val="none"/>
          <w:lang w:eastAsia="zh-CN"/>
        </w:rPr>
        <w:t>供应商</w:t>
      </w:r>
      <w:r>
        <w:rPr>
          <w:rFonts w:hint="eastAsia" w:cs="仿宋_GB2312"/>
          <w:bCs/>
          <w:color w:val="auto"/>
          <w:sz w:val="28"/>
          <w:highlight w:val="none"/>
        </w:rPr>
        <w:t>按用户需求书的需求自行编写谈判方案及承诺</w:t>
      </w:r>
    </w:p>
    <w:p>
      <w:pPr>
        <w:spacing w:line="500" w:lineRule="exact"/>
        <w:rPr>
          <w:rFonts w:cs="仿宋_GB2312"/>
          <w:bCs/>
          <w:color w:val="auto"/>
          <w:sz w:val="28"/>
          <w:highlight w:val="none"/>
        </w:rPr>
      </w:pPr>
    </w:p>
    <w:p>
      <w:pPr>
        <w:rPr>
          <w:rFonts w:cs="仿宋_GB2312"/>
          <w:bCs/>
          <w:color w:val="auto"/>
          <w:sz w:val="31"/>
          <w:highlight w:val="none"/>
        </w:rPr>
      </w:pPr>
    </w:p>
    <w:p>
      <w:pPr>
        <w:rPr>
          <w:rFonts w:cs="仿宋_GB2312"/>
          <w:bCs/>
          <w:color w:val="auto"/>
          <w:sz w:val="31"/>
          <w:highlight w:val="none"/>
        </w:rPr>
      </w:pPr>
      <w:r>
        <w:rPr>
          <w:rFonts w:hint="eastAsia" w:cs="仿宋_GB2312"/>
          <w:bCs/>
          <w:color w:val="auto"/>
          <w:sz w:val="31"/>
          <w:highlight w:val="none"/>
        </w:rPr>
        <w:br w:type="page"/>
      </w:r>
    </w:p>
    <w:p>
      <w:pPr>
        <w:rPr>
          <w:rFonts w:cs="仿宋_GB2312"/>
          <w:bCs/>
          <w:color w:val="auto"/>
          <w:sz w:val="28"/>
          <w:szCs w:val="28"/>
          <w:highlight w:val="none"/>
        </w:rPr>
      </w:pPr>
      <w:r>
        <w:rPr>
          <w:rFonts w:hint="eastAsia" w:cs="仿宋_GB2312"/>
          <w:bCs/>
          <w:color w:val="auto"/>
          <w:sz w:val="28"/>
          <w:szCs w:val="28"/>
          <w:highlight w:val="none"/>
        </w:rPr>
        <w:t xml:space="preserve">技术差异表 </w:t>
      </w:r>
    </w:p>
    <w:p>
      <w:pPr>
        <w:rPr>
          <w:rFonts w:cs="仿宋_GB2312"/>
          <w:bCs/>
          <w:color w:val="auto"/>
          <w:sz w:val="28"/>
          <w:szCs w:val="28"/>
          <w:highlight w:val="none"/>
        </w:rPr>
      </w:pPr>
    </w:p>
    <w:p>
      <w:pPr>
        <w:jc w:val="center"/>
        <w:rPr>
          <w:rFonts w:cs="仿宋_GB2312"/>
          <w:bCs/>
          <w:color w:val="auto"/>
          <w:sz w:val="44"/>
          <w:highlight w:val="none"/>
        </w:rPr>
      </w:pPr>
      <w:r>
        <w:rPr>
          <w:rFonts w:hint="eastAsia" w:cs="仿宋_GB2312"/>
          <w:bCs/>
          <w:color w:val="auto"/>
          <w:sz w:val="28"/>
          <w:szCs w:val="28"/>
          <w:highlight w:val="none"/>
        </w:rPr>
        <w:t>技术差异表</w:t>
      </w:r>
    </w:p>
    <w:p>
      <w:pPr>
        <w:spacing w:line="500" w:lineRule="exact"/>
        <w:ind w:firstLine="420" w:firstLineChars="150"/>
        <w:rPr>
          <w:rFonts w:cs="仿宋_GB2312"/>
          <w:bCs/>
          <w:color w:val="auto"/>
          <w:sz w:val="28"/>
          <w:highlight w:val="none"/>
        </w:rPr>
      </w:pPr>
      <w:r>
        <w:rPr>
          <w:rFonts w:hint="eastAsia" w:cs="仿宋_GB2312"/>
          <w:bCs/>
          <w:color w:val="auto"/>
          <w:sz w:val="28"/>
          <w:highlight w:val="none"/>
          <w:lang w:eastAsia="zh-CN"/>
        </w:rPr>
        <w:t>供应商</w:t>
      </w:r>
      <w:r>
        <w:rPr>
          <w:rFonts w:hint="eastAsia" w:cs="仿宋_GB2312"/>
          <w:bCs/>
          <w:color w:val="auto"/>
          <w:sz w:val="28"/>
          <w:highlight w:val="none"/>
        </w:rPr>
        <w:t>应按照谈判文件要求，根据“用户需求书”内容作出全面响应。对响应有差异的，则说明差异的内容。不论出于何种原因此表未填写，</w:t>
      </w:r>
      <w:r>
        <w:rPr>
          <w:rFonts w:hint="eastAsia" w:cs="仿宋_GB2312"/>
          <w:bCs/>
          <w:color w:val="auto"/>
          <w:sz w:val="28"/>
          <w:highlight w:val="none"/>
          <w:lang w:eastAsia="zh-CN"/>
        </w:rPr>
        <w:t>供应商</w:t>
      </w:r>
      <w:r>
        <w:rPr>
          <w:rFonts w:hint="eastAsia" w:cs="仿宋_GB2312"/>
          <w:bCs/>
          <w:color w:val="auto"/>
          <w:sz w:val="28"/>
          <w:highlight w:val="none"/>
        </w:rPr>
        <w:t>都被认为已清楚了解谈判文件要求并对谈判文件所需的设备的技术参数作全面响应，</w:t>
      </w:r>
      <w:r>
        <w:rPr>
          <w:rFonts w:hint="eastAsia" w:cs="仿宋_GB2312"/>
          <w:bCs/>
          <w:color w:val="auto"/>
          <w:sz w:val="28"/>
          <w:highlight w:val="none"/>
          <w:lang w:eastAsia="zh-CN"/>
        </w:rPr>
        <w:t>供应商</w:t>
      </w:r>
      <w:r>
        <w:rPr>
          <w:rFonts w:hint="eastAsia" w:cs="仿宋_GB2312"/>
          <w:bCs/>
          <w:color w:val="auto"/>
          <w:sz w:val="28"/>
          <w:highlight w:val="none"/>
        </w:rPr>
        <w:t>必须承担完成用户需求所描述的内容的义务。</w:t>
      </w:r>
    </w:p>
    <w:p>
      <w:pPr>
        <w:spacing w:line="360" w:lineRule="auto"/>
        <w:jc w:val="center"/>
        <w:rPr>
          <w:rFonts w:cs="仿宋_GB2312"/>
          <w:bCs/>
          <w:color w:val="auto"/>
          <w:sz w:val="28"/>
          <w:highlight w:val="none"/>
        </w:rPr>
      </w:pPr>
      <w:r>
        <w:rPr>
          <w:rFonts w:hint="eastAsia" w:cs="仿宋_GB2312"/>
          <w:bCs/>
          <w:color w:val="auto"/>
          <w:sz w:val="28"/>
          <w:highlight w:val="none"/>
        </w:rPr>
        <w:t>技术差异表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700"/>
        <w:gridCol w:w="126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noWrap w:val="0"/>
            <w:vAlign w:val="center"/>
          </w:tcPr>
          <w:p>
            <w:pPr>
              <w:jc w:val="center"/>
              <w:rPr>
                <w:rFonts w:cs="仿宋_GB2312"/>
                <w:bCs/>
                <w:color w:val="auto"/>
                <w:sz w:val="28"/>
                <w:highlight w:val="none"/>
              </w:rPr>
            </w:pPr>
            <w:r>
              <w:rPr>
                <w:rFonts w:hint="eastAsia" w:cs="仿宋_GB2312"/>
                <w:bCs/>
                <w:color w:val="auto"/>
                <w:sz w:val="28"/>
                <w:highlight w:val="none"/>
              </w:rPr>
              <w:t>序号</w:t>
            </w:r>
          </w:p>
        </w:tc>
        <w:tc>
          <w:tcPr>
            <w:tcW w:w="3960" w:type="dxa"/>
            <w:gridSpan w:val="2"/>
            <w:noWrap w:val="0"/>
            <w:vAlign w:val="center"/>
          </w:tcPr>
          <w:p>
            <w:pPr>
              <w:jc w:val="center"/>
              <w:rPr>
                <w:rFonts w:cs="仿宋_GB2312"/>
                <w:bCs/>
                <w:color w:val="auto"/>
                <w:sz w:val="28"/>
                <w:highlight w:val="none"/>
              </w:rPr>
            </w:pPr>
            <w:r>
              <w:rPr>
                <w:rFonts w:hint="eastAsia" w:cs="仿宋_GB2312"/>
                <w:bCs/>
                <w:color w:val="auto"/>
                <w:sz w:val="28"/>
                <w:highlight w:val="none"/>
              </w:rPr>
              <w:t>谈判文件要求</w:t>
            </w:r>
          </w:p>
        </w:tc>
        <w:tc>
          <w:tcPr>
            <w:tcW w:w="4273" w:type="dxa"/>
            <w:gridSpan w:val="2"/>
            <w:noWrap w:val="0"/>
            <w:vAlign w:val="center"/>
          </w:tcPr>
          <w:p>
            <w:pPr>
              <w:jc w:val="center"/>
              <w:rPr>
                <w:rFonts w:cs="仿宋_GB2312"/>
                <w:bCs/>
                <w:color w:val="auto"/>
                <w:sz w:val="28"/>
                <w:highlight w:val="none"/>
              </w:rPr>
            </w:pPr>
            <w:r>
              <w:rPr>
                <w:rFonts w:hint="eastAsia" w:cs="仿宋_GB2312"/>
                <w:bCs/>
                <w:color w:val="auto"/>
                <w:sz w:val="28"/>
                <w:highlight w:val="none"/>
              </w:rPr>
              <w:t>报价文件内容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noWrap w:val="0"/>
            <w:vAlign w:val="center"/>
          </w:tcPr>
          <w:p>
            <w:pPr>
              <w:rPr>
                <w:bCs/>
                <w:color w:val="auto"/>
                <w:highlight w:val="none"/>
              </w:rPr>
            </w:pPr>
          </w:p>
        </w:tc>
        <w:tc>
          <w:tcPr>
            <w:tcW w:w="1260" w:type="dxa"/>
            <w:noWrap w:val="0"/>
            <w:vAlign w:val="center"/>
          </w:tcPr>
          <w:p>
            <w:pPr>
              <w:jc w:val="center"/>
              <w:rPr>
                <w:rFonts w:cs="仿宋_GB2312"/>
                <w:bCs/>
                <w:color w:val="auto"/>
                <w:sz w:val="28"/>
                <w:highlight w:val="none"/>
              </w:rPr>
            </w:pPr>
            <w:r>
              <w:rPr>
                <w:rFonts w:hint="eastAsia" w:cs="仿宋_GB2312"/>
                <w:bCs/>
                <w:color w:val="auto"/>
                <w:sz w:val="28"/>
                <w:highlight w:val="none"/>
              </w:rPr>
              <w:t>条款号</w:t>
            </w:r>
          </w:p>
        </w:tc>
        <w:tc>
          <w:tcPr>
            <w:tcW w:w="2700" w:type="dxa"/>
            <w:noWrap w:val="0"/>
            <w:vAlign w:val="center"/>
          </w:tcPr>
          <w:p>
            <w:pPr>
              <w:jc w:val="center"/>
              <w:rPr>
                <w:rFonts w:cs="仿宋_GB2312"/>
                <w:bCs/>
                <w:color w:val="auto"/>
                <w:sz w:val="28"/>
                <w:highlight w:val="none"/>
              </w:rPr>
            </w:pPr>
            <w:r>
              <w:rPr>
                <w:rFonts w:hint="eastAsia" w:cs="仿宋_GB2312"/>
                <w:bCs/>
                <w:color w:val="auto"/>
                <w:sz w:val="28"/>
                <w:highlight w:val="none"/>
              </w:rPr>
              <w:t>简要内容</w:t>
            </w:r>
          </w:p>
        </w:tc>
        <w:tc>
          <w:tcPr>
            <w:tcW w:w="1260" w:type="dxa"/>
            <w:noWrap w:val="0"/>
            <w:vAlign w:val="center"/>
          </w:tcPr>
          <w:p>
            <w:pPr>
              <w:jc w:val="center"/>
              <w:rPr>
                <w:rFonts w:cs="仿宋_GB2312"/>
                <w:bCs/>
                <w:color w:val="auto"/>
                <w:sz w:val="28"/>
                <w:highlight w:val="none"/>
              </w:rPr>
            </w:pPr>
            <w:r>
              <w:rPr>
                <w:rFonts w:hint="eastAsia" w:cs="仿宋_GB2312"/>
                <w:bCs/>
                <w:color w:val="auto"/>
                <w:sz w:val="28"/>
                <w:highlight w:val="none"/>
              </w:rPr>
              <w:t>条款号</w:t>
            </w:r>
          </w:p>
        </w:tc>
        <w:tc>
          <w:tcPr>
            <w:tcW w:w="3013" w:type="dxa"/>
            <w:noWrap w:val="0"/>
            <w:vAlign w:val="center"/>
          </w:tcPr>
          <w:p>
            <w:pPr>
              <w:jc w:val="center"/>
              <w:rPr>
                <w:rFonts w:cs="仿宋_GB2312"/>
                <w:bCs/>
                <w:color w:val="auto"/>
                <w:sz w:val="28"/>
                <w:highlight w:val="none"/>
              </w:rPr>
            </w:pPr>
            <w:r>
              <w:rPr>
                <w:rFonts w:hint="eastAsia" w:cs="仿宋_GB2312"/>
                <w:bCs/>
                <w:color w:val="auto"/>
                <w:sz w:val="28"/>
                <w:highlight w:val="none"/>
              </w:rPr>
              <w:t>实质响应的具体内容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2700"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3013" w:type="dxa"/>
            <w:noWrap w:val="0"/>
            <w:vAlign w:val="top"/>
          </w:tcPr>
          <w:p>
            <w:pPr>
              <w:rPr>
                <w:rFonts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2700"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3013" w:type="dxa"/>
            <w:noWrap w:val="0"/>
            <w:vAlign w:val="top"/>
          </w:tcPr>
          <w:p>
            <w:pPr>
              <w:rPr>
                <w:rFonts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2700"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3013" w:type="dxa"/>
            <w:noWrap w:val="0"/>
            <w:vAlign w:val="top"/>
          </w:tcPr>
          <w:p>
            <w:pPr>
              <w:rPr>
                <w:rFonts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2700"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3013" w:type="dxa"/>
            <w:noWrap w:val="0"/>
            <w:vAlign w:val="top"/>
          </w:tcPr>
          <w:p>
            <w:pPr>
              <w:rPr>
                <w:rFonts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2700"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3013" w:type="dxa"/>
            <w:noWrap w:val="0"/>
            <w:vAlign w:val="top"/>
          </w:tcPr>
          <w:p>
            <w:pPr>
              <w:rPr>
                <w:rFonts w:cs="仿宋_GB2312"/>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2700" w:type="dxa"/>
            <w:noWrap w:val="0"/>
            <w:vAlign w:val="top"/>
          </w:tcPr>
          <w:p>
            <w:pPr>
              <w:rPr>
                <w:rFonts w:cs="仿宋_GB2312"/>
                <w:bCs/>
                <w:color w:val="auto"/>
                <w:sz w:val="28"/>
                <w:highlight w:val="none"/>
              </w:rPr>
            </w:pPr>
          </w:p>
        </w:tc>
        <w:tc>
          <w:tcPr>
            <w:tcW w:w="1260" w:type="dxa"/>
            <w:noWrap w:val="0"/>
            <w:vAlign w:val="top"/>
          </w:tcPr>
          <w:p>
            <w:pPr>
              <w:rPr>
                <w:rFonts w:cs="仿宋_GB2312"/>
                <w:bCs/>
                <w:color w:val="auto"/>
                <w:sz w:val="28"/>
                <w:highlight w:val="none"/>
              </w:rPr>
            </w:pPr>
          </w:p>
        </w:tc>
        <w:tc>
          <w:tcPr>
            <w:tcW w:w="3013" w:type="dxa"/>
            <w:noWrap w:val="0"/>
            <w:vAlign w:val="top"/>
          </w:tcPr>
          <w:p>
            <w:pPr>
              <w:rPr>
                <w:rFonts w:cs="仿宋_GB2312"/>
                <w:bCs/>
                <w:color w:val="auto"/>
                <w:sz w:val="28"/>
                <w:highlight w:val="none"/>
              </w:rPr>
            </w:pPr>
          </w:p>
        </w:tc>
      </w:tr>
    </w:tbl>
    <w:p>
      <w:pPr>
        <w:rPr>
          <w:rFonts w:cs="仿宋_GB2312"/>
          <w:bCs/>
          <w:color w:val="auto"/>
          <w:sz w:val="28"/>
          <w:highlight w:val="none"/>
        </w:rPr>
      </w:pP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（法人公章）：</w:t>
      </w: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rPr>
        <w:t>授权代表（签名或盖章）：</w:t>
      </w:r>
    </w:p>
    <w:p>
      <w:pPr>
        <w:pStyle w:val="24"/>
        <w:ind w:firstLine="577"/>
        <w:rPr>
          <w:rFonts w:ascii="宋体" w:eastAsia="宋体" w:cs="仿宋_GB2312"/>
          <w:bCs/>
          <w:color w:val="auto"/>
          <w:sz w:val="28"/>
          <w:highlight w:val="none"/>
        </w:rPr>
      </w:pPr>
      <w:r>
        <w:rPr>
          <w:rFonts w:hint="eastAsia" w:ascii="宋体" w:eastAsia="宋体" w:cs="仿宋_GB2312"/>
          <w:bCs/>
          <w:color w:val="auto"/>
          <w:sz w:val="28"/>
          <w:highlight w:val="none"/>
        </w:rPr>
        <w:t>日      期：</w:t>
      </w: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p>
    <w:p>
      <w:pPr>
        <w:pStyle w:val="24"/>
        <w:ind w:firstLine="0" w:firstLineChars="0"/>
        <w:rPr>
          <w:rFonts w:ascii="宋体" w:eastAsia="宋体" w:cs="仿宋_GB2312"/>
          <w:bCs/>
          <w:color w:val="auto"/>
          <w:highlight w:val="none"/>
        </w:rPr>
      </w:pPr>
      <w:r>
        <w:rPr>
          <w:rFonts w:hint="eastAsia" w:ascii="宋体" w:eastAsia="宋体" w:cs="仿宋_GB2312"/>
          <w:bCs/>
          <w:color w:val="auto"/>
          <w:highlight w:val="none"/>
        </w:rPr>
        <w:br w:type="page"/>
      </w:r>
    </w:p>
    <w:p>
      <w:pPr>
        <w:jc w:val="center"/>
        <w:rPr>
          <w:rFonts w:cs="仿宋_GB2312"/>
          <w:bCs/>
          <w:color w:val="auto"/>
          <w:sz w:val="30"/>
          <w:szCs w:val="30"/>
          <w:highlight w:val="none"/>
        </w:rPr>
      </w:pPr>
      <w:r>
        <w:rPr>
          <w:rFonts w:hint="eastAsia" w:cs="仿宋_GB2312"/>
          <w:bCs/>
          <w:color w:val="auto"/>
          <w:sz w:val="30"/>
          <w:szCs w:val="30"/>
          <w:highlight w:val="none"/>
        </w:rPr>
        <w:t>拟安排本项目技术人员情况表</w:t>
      </w:r>
    </w:p>
    <w:tbl>
      <w:tblPr>
        <w:tblStyle w:val="18"/>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32"/>
        <w:gridCol w:w="2724"/>
        <w:gridCol w:w="734"/>
        <w:gridCol w:w="833"/>
        <w:gridCol w:w="692"/>
        <w:gridCol w:w="988"/>
        <w:gridCol w:w="1073"/>
        <w:gridCol w:w="108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448" w:hRule="atLeast"/>
          <w:jc w:val="center"/>
        </w:trPr>
        <w:tc>
          <w:tcPr>
            <w:tcW w:w="932" w:type="dxa"/>
            <w:noWrap w:val="0"/>
            <w:vAlign w:val="center"/>
          </w:tcPr>
          <w:p>
            <w:pPr>
              <w:jc w:val="center"/>
              <w:rPr>
                <w:rFonts w:cs="仿宋_GB2312"/>
                <w:bCs/>
                <w:color w:val="auto"/>
                <w:sz w:val="28"/>
                <w:highlight w:val="none"/>
              </w:rPr>
            </w:pPr>
            <w:r>
              <w:rPr>
                <w:rFonts w:hint="eastAsia" w:cs="仿宋_GB2312"/>
                <w:bCs/>
                <w:color w:val="auto"/>
                <w:sz w:val="28"/>
                <w:highlight w:val="none"/>
              </w:rPr>
              <w:t>人员要求</w:t>
            </w:r>
          </w:p>
        </w:tc>
        <w:tc>
          <w:tcPr>
            <w:tcW w:w="2724" w:type="dxa"/>
            <w:noWrap w:val="0"/>
            <w:vAlign w:val="center"/>
          </w:tcPr>
          <w:p>
            <w:pPr>
              <w:pStyle w:val="32"/>
              <w:pBdr>
                <w:left w:val="none" w:color="auto" w:sz="0" w:space="0"/>
                <w:right w:val="none" w:color="auto" w:sz="0" w:space="0"/>
              </w:pBdr>
              <w:spacing w:before="0" w:beforeAutospacing="0" w:after="0" w:afterAutospacing="0"/>
              <w:rPr>
                <w:rFonts w:cs="仿宋_GB2312"/>
                <w:bCs/>
                <w:color w:val="auto"/>
                <w:sz w:val="28"/>
                <w:highlight w:val="none"/>
              </w:rPr>
            </w:pPr>
            <w:r>
              <w:rPr>
                <w:rFonts w:cs="仿宋_GB2312"/>
                <w:bCs/>
                <w:color w:val="auto"/>
                <w:sz w:val="28"/>
                <w:highlight w:val="none"/>
              </w:rPr>
              <w:t>资格与经历</w:t>
            </w:r>
          </w:p>
          <w:p>
            <w:pPr>
              <w:pStyle w:val="32"/>
              <w:pBdr>
                <w:left w:val="none" w:color="auto" w:sz="0" w:space="0"/>
                <w:right w:val="none" w:color="auto" w:sz="0" w:space="0"/>
              </w:pBdr>
              <w:spacing w:before="0" w:beforeAutospacing="0" w:after="0" w:afterAutospacing="0"/>
              <w:rPr>
                <w:rFonts w:cs="仿宋_GB2312"/>
                <w:bCs/>
                <w:color w:val="auto"/>
                <w:sz w:val="28"/>
                <w:highlight w:val="none"/>
              </w:rPr>
            </w:pPr>
            <w:r>
              <w:rPr>
                <w:rFonts w:cs="仿宋_GB2312"/>
                <w:bCs/>
                <w:color w:val="auto"/>
                <w:sz w:val="28"/>
                <w:highlight w:val="none"/>
              </w:rPr>
              <w:t>要求</w:t>
            </w:r>
          </w:p>
        </w:tc>
        <w:tc>
          <w:tcPr>
            <w:tcW w:w="734" w:type="dxa"/>
            <w:noWrap w:val="0"/>
            <w:vAlign w:val="center"/>
          </w:tcPr>
          <w:p>
            <w:pPr>
              <w:jc w:val="center"/>
              <w:rPr>
                <w:rFonts w:cs="仿宋_GB2312"/>
                <w:bCs/>
                <w:color w:val="auto"/>
                <w:sz w:val="28"/>
                <w:highlight w:val="none"/>
              </w:rPr>
            </w:pPr>
            <w:r>
              <w:rPr>
                <w:rFonts w:hint="eastAsia" w:cs="仿宋_GB2312"/>
                <w:bCs/>
                <w:color w:val="auto"/>
                <w:sz w:val="28"/>
                <w:highlight w:val="none"/>
              </w:rPr>
              <w:t>人员</w:t>
            </w:r>
          </w:p>
          <w:p>
            <w:pPr>
              <w:jc w:val="center"/>
              <w:rPr>
                <w:rFonts w:cs="仿宋_GB2312"/>
                <w:bCs/>
                <w:color w:val="auto"/>
                <w:sz w:val="28"/>
                <w:highlight w:val="none"/>
              </w:rPr>
            </w:pPr>
            <w:r>
              <w:rPr>
                <w:rFonts w:hint="eastAsia" w:cs="仿宋_GB2312"/>
                <w:bCs/>
                <w:color w:val="auto"/>
                <w:sz w:val="28"/>
                <w:highlight w:val="none"/>
              </w:rPr>
              <w:t>数量</w:t>
            </w:r>
          </w:p>
          <w:p>
            <w:pPr>
              <w:jc w:val="center"/>
              <w:rPr>
                <w:rFonts w:cs="仿宋_GB2312"/>
                <w:bCs/>
                <w:color w:val="auto"/>
                <w:sz w:val="28"/>
                <w:highlight w:val="none"/>
              </w:rPr>
            </w:pPr>
            <w:r>
              <w:rPr>
                <w:rFonts w:hint="eastAsia" w:cs="仿宋_GB2312"/>
                <w:bCs/>
                <w:color w:val="auto"/>
                <w:sz w:val="28"/>
                <w:highlight w:val="none"/>
              </w:rPr>
              <w:t>要求</w:t>
            </w:r>
          </w:p>
        </w:tc>
        <w:tc>
          <w:tcPr>
            <w:tcW w:w="833" w:type="dxa"/>
            <w:noWrap w:val="0"/>
            <w:vAlign w:val="center"/>
          </w:tcPr>
          <w:p>
            <w:pPr>
              <w:jc w:val="center"/>
              <w:rPr>
                <w:rFonts w:cs="仿宋_GB2312"/>
                <w:bCs/>
                <w:color w:val="auto"/>
                <w:sz w:val="28"/>
                <w:highlight w:val="none"/>
              </w:rPr>
            </w:pPr>
            <w:r>
              <w:rPr>
                <w:rFonts w:hint="eastAsia" w:cs="仿宋_GB2312"/>
                <w:bCs/>
                <w:color w:val="auto"/>
                <w:sz w:val="28"/>
                <w:highlight w:val="none"/>
              </w:rPr>
              <w:t>拟派驻人员姓名</w:t>
            </w:r>
          </w:p>
        </w:tc>
        <w:tc>
          <w:tcPr>
            <w:tcW w:w="692" w:type="dxa"/>
            <w:noWrap w:val="0"/>
            <w:vAlign w:val="center"/>
          </w:tcPr>
          <w:p>
            <w:pPr>
              <w:jc w:val="center"/>
              <w:rPr>
                <w:rFonts w:cs="仿宋_GB2312"/>
                <w:bCs/>
                <w:color w:val="auto"/>
                <w:sz w:val="28"/>
                <w:highlight w:val="none"/>
              </w:rPr>
            </w:pPr>
            <w:r>
              <w:rPr>
                <w:rFonts w:hint="eastAsia" w:cs="仿宋_GB2312"/>
                <w:bCs/>
                <w:color w:val="auto"/>
                <w:sz w:val="28"/>
                <w:highlight w:val="none"/>
              </w:rPr>
              <w:t>职称</w:t>
            </w:r>
          </w:p>
        </w:tc>
        <w:tc>
          <w:tcPr>
            <w:tcW w:w="988" w:type="dxa"/>
            <w:noWrap w:val="0"/>
            <w:vAlign w:val="center"/>
          </w:tcPr>
          <w:p>
            <w:pPr>
              <w:jc w:val="center"/>
              <w:rPr>
                <w:rFonts w:cs="仿宋_GB2312"/>
                <w:bCs/>
                <w:color w:val="auto"/>
                <w:sz w:val="28"/>
                <w:highlight w:val="none"/>
              </w:rPr>
            </w:pPr>
            <w:r>
              <w:rPr>
                <w:rFonts w:hint="eastAsia" w:cs="仿宋_GB2312"/>
                <w:bCs/>
                <w:color w:val="auto"/>
                <w:sz w:val="28"/>
                <w:highlight w:val="none"/>
              </w:rPr>
              <w:t>专业</w:t>
            </w:r>
          </w:p>
        </w:tc>
        <w:tc>
          <w:tcPr>
            <w:tcW w:w="1073" w:type="dxa"/>
            <w:noWrap w:val="0"/>
            <w:vAlign w:val="center"/>
          </w:tcPr>
          <w:p>
            <w:pPr>
              <w:jc w:val="center"/>
              <w:rPr>
                <w:rFonts w:cs="仿宋_GB2312"/>
                <w:bCs/>
                <w:color w:val="auto"/>
                <w:sz w:val="28"/>
                <w:szCs w:val="21"/>
                <w:highlight w:val="none"/>
              </w:rPr>
            </w:pPr>
            <w:r>
              <w:rPr>
                <w:rFonts w:hint="eastAsia" w:cs="仿宋_GB2312"/>
                <w:bCs/>
                <w:color w:val="auto"/>
                <w:sz w:val="28"/>
                <w:szCs w:val="21"/>
                <w:highlight w:val="none"/>
              </w:rPr>
              <w:t>资格证书</w:t>
            </w:r>
          </w:p>
          <w:p>
            <w:pPr>
              <w:jc w:val="center"/>
              <w:rPr>
                <w:rFonts w:cs="仿宋_GB2312"/>
                <w:bCs/>
                <w:color w:val="auto"/>
                <w:sz w:val="28"/>
                <w:highlight w:val="none"/>
              </w:rPr>
            </w:pPr>
            <w:r>
              <w:rPr>
                <w:rFonts w:hint="eastAsia" w:cs="仿宋_GB2312"/>
                <w:bCs/>
                <w:color w:val="auto"/>
                <w:sz w:val="28"/>
                <w:szCs w:val="21"/>
                <w:highlight w:val="none"/>
              </w:rPr>
              <w:t>号码</w:t>
            </w:r>
          </w:p>
        </w:tc>
        <w:tc>
          <w:tcPr>
            <w:tcW w:w="1085" w:type="dxa"/>
            <w:noWrap w:val="0"/>
            <w:vAlign w:val="center"/>
          </w:tcPr>
          <w:p>
            <w:pPr>
              <w:jc w:val="center"/>
              <w:rPr>
                <w:rFonts w:cs="仿宋_GB2312"/>
                <w:bCs/>
                <w:color w:val="auto"/>
                <w:sz w:val="28"/>
                <w:highlight w:val="none"/>
              </w:rPr>
            </w:pPr>
            <w:r>
              <w:rPr>
                <w:rFonts w:hint="eastAsia" w:cs="仿宋_GB2312"/>
                <w:bCs/>
                <w:color w:val="auto"/>
                <w:sz w:val="28"/>
                <w:highlight w:val="none"/>
              </w:rPr>
              <w:t>承诺进场时间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PrEx>
        <w:trPr>
          <w:cantSplit/>
          <w:trHeight w:val="2053" w:hRule="atLeast"/>
          <w:jc w:val="center"/>
        </w:trPr>
        <w:tc>
          <w:tcPr>
            <w:tcW w:w="932" w:type="dxa"/>
            <w:tcBorders>
              <w:bottom w:val="single" w:color="auto" w:sz="4" w:space="0"/>
            </w:tcBorders>
            <w:noWrap w:val="0"/>
            <w:vAlign w:val="center"/>
          </w:tcPr>
          <w:p>
            <w:pPr>
              <w:jc w:val="center"/>
              <w:rPr>
                <w:rFonts w:cs="仿宋_GB2312"/>
                <w:bCs/>
                <w:color w:val="auto"/>
                <w:sz w:val="28"/>
                <w:szCs w:val="21"/>
                <w:highlight w:val="none"/>
              </w:rPr>
            </w:pPr>
          </w:p>
        </w:tc>
        <w:tc>
          <w:tcPr>
            <w:tcW w:w="2724" w:type="dxa"/>
            <w:tcBorders>
              <w:bottom w:val="single" w:color="auto" w:sz="4" w:space="0"/>
            </w:tcBorders>
            <w:noWrap w:val="0"/>
            <w:vAlign w:val="center"/>
          </w:tcPr>
          <w:p>
            <w:pPr>
              <w:rPr>
                <w:rFonts w:cs="仿宋_GB2312"/>
                <w:bCs/>
                <w:color w:val="auto"/>
                <w:sz w:val="28"/>
                <w:szCs w:val="21"/>
                <w:highlight w:val="none"/>
              </w:rPr>
            </w:pPr>
          </w:p>
        </w:tc>
        <w:tc>
          <w:tcPr>
            <w:tcW w:w="734" w:type="dxa"/>
            <w:tcBorders>
              <w:bottom w:val="single" w:color="auto" w:sz="4" w:space="0"/>
            </w:tcBorders>
            <w:noWrap w:val="0"/>
            <w:vAlign w:val="center"/>
          </w:tcPr>
          <w:p>
            <w:pPr>
              <w:jc w:val="center"/>
              <w:rPr>
                <w:rFonts w:cs="仿宋_GB2312"/>
                <w:bCs/>
                <w:color w:val="auto"/>
                <w:sz w:val="28"/>
                <w:szCs w:val="21"/>
                <w:highlight w:val="none"/>
                <w:lang w:val="en-GB" w:eastAsia="en-GB"/>
              </w:rPr>
            </w:pPr>
          </w:p>
        </w:tc>
        <w:tc>
          <w:tcPr>
            <w:tcW w:w="833" w:type="dxa"/>
            <w:noWrap w:val="0"/>
            <w:vAlign w:val="top"/>
          </w:tcPr>
          <w:p>
            <w:pPr>
              <w:jc w:val="center"/>
              <w:rPr>
                <w:rFonts w:cs="仿宋_GB2312"/>
                <w:bCs/>
                <w:color w:val="auto"/>
                <w:sz w:val="28"/>
                <w:szCs w:val="21"/>
                <w:highlight w:val="none"/>
                <w:lang w:val="en-GB" w:eastAsia="en-GB"/>
              </w:rPr>
            </w:pPr>
          </w:p>
        </w:tc>
        <w:tc>
          <w:tcPr>
            <w:tcW w:w="692" w:type="dxa"/>
            <w:noWrap w:val="0"/>
            <w:vAlign w:val="top"/>
          </w:tcPr>
          <w:p>
            <w:pPr>
              <w:jc w:val="center"/>
              <w:rPr>
                <w:rFonts w:cs="仿宋_GB2312"/>
                <w:bCs/>
                <w:color w:val="auto"/>
                <w:sz w:val="28"/>
                <w:szCs w:val="21"/>
                <w:highlight w:val="none"/>
                <w:lang w:val="en-GB" w:eastAsia="en-GB"/>
              </w:rPr>
            </w:pPr>
          </w:p>
        </w:tc>
        <w:tc>
          <w:tcPr>
            <w:tcW w:w="988" w:type="dxa"/>
            <w:noWrap w:val="0"/>
            <w:vAlign w:val="top"/>
          </w:tcPr>
          <w:p>
            <w:pPr>
              <w:jc w:val="center"/>
              <w:rPr>
                <w:rFonts w:cs="仿宋_GB2312"/>
                <w:bCs/>
                <w:color w:val="auto"/>
                <w:sz w:val="28"/>
                <w:szCs w:val="21"/>
                <w:highlight w:val="none"/>
                <w:lang w:val="en-GB" w:eastAsia="en-GB"/>
              </w:rPr>
            </w:pPr>
          </w:p>
        </w:tc>
        <w:tc>
          <w:tcPr>
            <w:tcW w:w="1073" w:type="dxa"/>
            <w:noWrap w:val="0"/>
            <w:vAlign w:val="top"/>
          </w:tcPr>
          <w:p>
            <w:pPr>
              <w:jc w:val="center"/>
              <w:rPr>
                <w:rFonts w:cs="仿宋_GB2312"/>
                <w:bCs/>
                <w:color w:val="auto"/>
                <w:sz w:val="28"/>
                <w:szCs w:val="21"/>
                <w:highlight w:val="none"/>
                <w:lang w:val="en-GB" w:eastAsia="en-GB"/>
              </w:rPr>
            </w:pPr>
          </w:p>
        </w:tc>
        <w:tc>
          <w:tcPr>
            <w:tcW w:w="1085" w:type="dxa"/>
            <w:noWrap w:val="0"/>
            <w:vAlign w:val="center"/>
          </w:tcPr>
          <w:p>
            <w:pPr>
              <w:jc w:val="center"/>
              <w:rPr>
                <w:rFonts w:cs="仿宋_GB2312"/>
                <w:bCs/>
                <w:color w:val="auto"/>
                <w:sz w:val="28"/>
                <w:szCs w:val="21"/>
                <w:highlight w:val="none"/>
                <w:lang w:val="en-GB" w:eastAsia="en-GB"/>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2104" w:hRule="atLeast"/>
          <w:jc w:val="center"/>
        </w:trPr>
        <w:tc>
          <w:tcPr>
            <w:tcW w:w="932" w:type="dxa"/>
            <w:noWrap w:val="0"/>
            <w:vAlign w:val="center"/>
          </w:tcPr>
          <w:p>
            <w:pPr>
              <w:jc w:val="center"/>
              <w:rPr>
                <w:rFonts w:cs="仿宋_GB2312"/>
                <w:bCs/>
                <w:color w:val="auto"/>
                <w:sz w:val="28"/>
                <w:szCs w:val="21"/>
                <w:highlight w:val="none"/>
              </w:rPr>
            </w:pPr>
          </w:p>
        </w:tc>
        <w:tc>
          <w:tcPr>
            <w:tcW w:w="2724" w:type="dxa"/>
            <w:tcBorders>
              <w:top w:val="single" w:color="auto" w:sz="4" w:space="0"/>
            </w:tcBorders>
            <w:noWrap w:val="0"/>
            <w:vAlign w:val="center"/>
          </w:tcPr>
          <w:p>
            <w:pPr>
              <w:rPr>
                <w:rFonts w:cs="仿宋_GB2312"/>
                <w:bCs/>
                <w:color w:val="auto"/>
                <w:sz w:val="28"/>
                <w:szCs w:val="21"/>
                <w:highlight w:val="none"/>
              </w:rPr>
            </w:pPr>
          </w:p>
        </w:tc>
        <w:tc>
          <w:tcPr>
            <w:tcW w:w="734" w:type="dxa"/>
            <w:noWrap w:val="0"/>
            <w:vAlign w:val="center"/>
          </w:tcPr>
          <w:p>
            <w:pPr>
              <w:jc w:val="center"/>
              <w:rPr>
                <w:rFonts w:cs="仿宋_GB2312"/>
                <w:bCs/>
                <w:color w:val="auto"/>
                <w:sz w:val="28"/>
                <w:szCs w:val="21"/>
                <w:highlight w:val="none"/>
              </w:rPr>
            </w:pPr>
          </w:p>
        </w:tc>
        <w:tc>
          <w:tcPr>
            <w:tcW w:w="833" w:type="dxa"/>
            <w:noWrap w:val="0"/>
            <w:vAlign w:val="top"/>
          </w:tcPr>
          <w:p>
            <w:pPr>
              <w:jc w:val="center"/>
              <w:rPr>
                <w:rFonts w:cs="仿宋_GB2312"/>
                <w:bCs/>
                <w:color w:val="auto"/>
                <w:sz w:val="28"/>
                <w:szCs w:val="21"/>
                <w:highlight w:val="none"/>
                <w:lang w:val="en-GB" w:eastAsia="en-GB"/>
              </w:rPr>
            </w:pPr>
          </w:p>
        </w:tc>
        <w:tc>
          <w:tcPr>
            <w:tcW w:w="692" w:type="dxa"/>
            <w:noWrap w:val="0"/>
            <w:vAlign w:val="top"/>
          </w:tcPr>
          <w:p>
            <w:pPr>
              <w:jc w:val="center"/>
              <w:rPr>
                <w:rFonts w:cs="仿宋_GB2312"/>
                <w:bCs/>
                <w:color w:val="auto"/>
                <w:sz w:val="28"/>
                <w:szCs w:val="21"/>
                <w:highlight w:val="none"/>
                <w:lang w:val="en-GB" w:eastAsia="en-GB"/>
              </w:rPr>
            </w:pPr>
          </w:p>
        </w:tc>
        <w:tc>
          <w:tcPr>
            <w:tcW w:w="988" w:type="dxa"/>
            <w:noWrap w:val="0"/>
            <w:vAlign w:val="top"/>
          </w:tcPr>
          <w:p>
            <w:pPr>
              <w:jc w:val="center"/>
              <w:rPr>
                <w:rFonts w:cs="仿宋_GB2312"/>
                <w:bCs/>
                <w:color w:val="auto"/>
                <w:sz w:val="28"/>
                <w:szCs w:val="21"/>
                <w:highlight w:val="none"/>
                <w:lang w:val="en-GB" w:eastAsia="en-GB"/>
              </w:rPr>
            </w:pPr>
          </w:p>
        </w:tc>
        <w:tc>
          <w:tcPr>
            <w:tcW w:w="1073" w:type="dxa"/>
            <w:noWrap w:val="0"/>
            <w:vAlign w:val="top"/>
          </w:tcPr>
          <w:p>
            <w:pPr>
              <w:jc w:val="center"/>
              <w:rPr>
                <w:rFonts w:cs="仿宋_GB2312"/>
                <w:bCs/>
                <w:color w:val="auto"/>
                <w:sz w:val="28"/>
                <w:szCs w:val="21"/>
                <w:highlight w:val="none"/>
                <w:lang w:val="en-GB" w:eastAsia="en-GB"/>
              </w:rPr>
            </w:pPr>
          </w:p>
        </w:tc>
        <w:tc>
          <w:tcPr>
            <w:tcW w:w="1085" w:type="dxa"/>
            <w:noWrap w:val="0"/>
            <w:vAlign w:val="center"/>
          </w:tcPr>
          <w:p>
            <w:pPr>
              <w:jc w:val="center"/>
              <w:rPr>
                <w:rFonts w:cs="仿宋_GB2312"/>
                <w:bCs/>
                <w:color w:val="auto"/>
                <w:sz w:val="28"/>
                <w:szCs w:val="21"/>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2115" w:hRule="atLeast"/>
          <w:jc w:val="center"/>
        </w:trPr>
        <w:tc>
          <w:tcPr>
            <w:tcW w:w="932" w:type="dxa"/>
            <w:noWrap w:val="0"/>
            <w:vAlign w:val="center"/>
          </w:tcPr>
          <w:p>
            <w:pPr>
              <w:jc w:val="center"/>
              <w:rPr>
                <w:rFonts w:cs="仿宋_GB2312"/>
                <w:bCs/>
                <w:color w:val="auto"/>
                <w:sz w:val="28"/>
                <w:szCs w:val="21"/>
                <w:highlight w:val="none"/>
              </w:rPr>
            </w:pPr>
          </w:p>
        </w:tc>
        <w:tc>
          <w:tcPr>
            <w:tcW w:w="2724" w:type="dxa"/>
            <w:noWrap w:val="0"/>
            <w:vAlign w:val="center"/>
          </w:tcPr>
          <w:p>
            <w:pPr>
              <w:rPr>
                <w:rFonts w:cs="仿宋_GB2312"/>
                <w:bCs/>
                <w:color w:val="auto"/>
                <w:sz w:val="28"/>
                <w:szCs w:val="21"/>
                <w:highlight w:val="none"/>
              </w:rPr>
            </w:pPr>
          </w:p>
        </w:tc>
        <w:tc>
          <w:tcPr>
            <w:tcW w:w="734" w:type="dxa"/>
            <w:noWrap w:val="0"/>
            <w:vAlign w:val="center"/>
          </w:tcPr>
          <w:p>
            <w:pPr>
              <w:jc w:val="center"/>
              <w:rPr>
                <w:rFonts w:cs="仿宋_GB2312"/>
                <w:bCs/>
                <w:color w:val="auto"/>
                <w:sz w:val="28"/>
                <w:szCs w:val="21"/>
                <w:highlight w:val="none"/>
              </w:rPr>
            </w:pPr>
          </w:p>
        </w:tc>
        <w:tc>
          <w:tcPr>
            <w:tcW w:w="833" w:type="dxa"/>
            <w:noWrap w:val="0"/>
            <w:vAlign w:val="top"/>
          </w:tcPr>
          <w:p>
            <w:pPr>
              <w:jc w:val="center"/>
              <w:rPr>
                <w:rFonts w:cs="仿宋_GB2312"/>
                <w:bCs/>
                <w:color w:val="auto"/>
                <w:sz w:val="28"/>
                <w:szCs w:val="21"/>
                <w:highlight w:val="none"/>
              </w:rPr>
            </w:pPr>
          </w:p>
        </w:tc>
        <w:tc>
          <w:tcPr>
            <w:tcW w:w="692" w:type="dxa"/>
            <w:noWrap w:val="0"/>
            <w:vAlign w:val="top"/>
          </w:tcPr>
          <w:p>
            <w:pPr>
              <w:jc w:val="center"/>
              <w:rPr>
                <w:rFonts w:cs="仿宋_GB2312"/>
                <w:bCs/>
                <w:color w:val="auto"/>
                <w:sz w:val="28"/>
                <w:szCs w:val="21"/>
                <w:highlight w:val="none"/>
              </w:rPr>
            </w:pPr>
          </w:p>
        </w:tc>
        <w:tc>
          <w:tcPr>
            <w:tcW w:w="988" w:type="dxa"/>
            <w:noWrap w:val="0"/>
            <w:vAlign w:val="top"/>
          </w:tcPr>
          <w:p>
            <w:pPr>
              <w:jc w:val="center"/>
              <w:rPr>
                <w:rFonts w:cs="仿宋_GB2312"/>
                <w:bCs/>
                <w:color w:val="auto"/>
                <w:sz w:val="28"/>
                <w:szCs w:val="21"/>
                <w:highlight w:val="none"/>
              </w:rPr>
            </w:pPr>
          </w:p>
        </w:tc>
        <w:tc>
          <w:tcPr>
            <w:tcW w:w="1073" w:type="dxa"/>
            <w:noWrap w:val="0"/>
            <w:vAlign w:val="top"/>
          </w:tcPr>
          <w:p>
            <w:pPr>
              <w:jc w:val="center"/>
              <w:rPr>
                <w:rFonts w:cs="仿宋_GB2312"/>
                <w:bCs/>
                <w:color w:val="auto"/>
                <w:sz w:val="28"/>
                <w:szCs w:val="21"/>
                <w:highlight w:val="none"/>
              </w:rPr>
            </w:pPr>
          </w:p>
        </w:tc>
        <w:tc>
          <w:tcPr>
            <w:tcW w:w="1085" w:type="dxa"/>
            <w:noWrap w:val="0"/>
            <w:vAlign w:val="center"/>
          </w:tcPr>
          <w:p>
            <w:pPr>
              <w:jc w:val="center"/>
              <w:rPr>
                <w:rFonts w:cs="仿宋_GB2312"/>
                <w:bCs/>
                <w:color w:val="auto"/>
                <w:sz w:val="28"/>
                <w:szCs w:val="21"/>
                <w:highlight w:val="none"/>
              </w:rPr>
            </w:pPr>
          </w:p>
        </w:tc>
      </w:tr>
    </w:tbl>
    <w:p>
      <w:pPr>
        <w:pStyle w:val="8"/>
        <w:overflowPunct w:val="0"/>
        <w:spacing w:line="540" w:lineRule="exact"/>
        <w:jc w:val="left"/>
        <w:rPr>
          <w:rFonts w:cs="仿宋_GB2312"/>
          <w:b w:val="0"/>
          <w:color w:val="auto"/>
          <w:sz w:val="28"/>
          <w:szCs w:val="28"/>
          <w:highlight w:val="none"/>
        </w:rPr>
      </w:pPr>
    </w:p>
    <w:p>
      <w:pPr>
        <w:pStyle w:val="8"/>
        <w:overflowPunct w:val="0"/>
        <w:spacing w:line="540" w:lineRule="exact"/>
        <w:jc w:val="left"/>
        <w:rPr>
          <w:rFonts w:cs="仿宋_GB2312"/>
          <w:b w:val="0"/>
          <w:color w:val="auto"/>
          <w:sz w:val="28"/>
          <w:szCs w:val="28"/>
          <w:highlight w:val="none"/>
        </w:rPr>
      </w:pPr>
      <w:r>
        <w:rPr>
          <w:rFonts w:hint="eastAsia" w:cs="仿宋_GB2312"/>
          <w:b w:val="0"/>
          <w:color w:val="auto"/>
          <w:sz w:val="28"/>
          <w:szCs w:val="28"/>
          <w:highlight w:val="none"/>
        </w:rPr>
        <w:t>注：须附资格证件复印件和社保证明文件。</w:t>
      </w:r>
    </w:p>
    <w:p>
      <w:pPr>
        <w:pStyle w:val="24"/>
        <w:ind w:firstLine="577"/>
        <w:jc w:val="left"/>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（法人公章）：</w:t>
      </w:r>
    </w:p>
    <w:p>
      <w:pPr>
        <w:pStyle w:val="24"/>
        <w:ind w:firstLine="577"/>
        <w:jc w:val="left"/>
        <w:rPr>
          <w:rFonts w:ascii="宋体" w:eastAsia="宋体" w:cs="仿宋_GB2312"/>
          <w:bCs/>
          <w:color w:val="auto"/>
          <w:sz w:val="28"/>
          <w:highlight w:val="none"/>
        </w:rPr>
      </w:pPr>
      <w:r>
        <w:rPr>
          <w:rFonts w:hint="eastAsia" w:ascii="宋体" w:eastAsia="宋体" w:cs="仿宋_GB2312"/>
          <w:bCs/>
          <w:color w:val="auto"/>
          <w:sz w:val="28"/>
          <w:highlight w:val="none"/>
        </w:rPr>
        <w:t>授权代表（签名或盖章）：</w:t>
      </w:r>
    </w:p>
    <w:p>
      <w:pPr>
        <w:pStyle w:val="24"/>
        <w:ind w:firstLine="577"/>
        <w:jc w:val="left"/>
        <w:rPr>
          <w:rFonts w:ascii="宋体" w:eastAsia="宋体" w:cs="仿宋_GB2312"/>
          <w:bCs/>
          <w:color w:val="auto"/>
          <w:sz w:val="28"/>
          <w:highlight w:val="none"/>
        </w:rPr>
      </w:pPr>
      <w:r>
        <w:rPr>
          <w:rFonts w:hint="eastAsia" w:ascii="宋体" w:eastAsia="宋体" w:cs="仿宋_GB2312"/>
          <w:bCs/>
          <w:color w:val="auto"/>
          <w:sz w:val="28"/>
          <w:highlight w:val="none"/>
        </w:rPr>
        <w:t>日      期：</w:t>
      </w:r>
    </w:p>
    <w:p>
      <w:pPr>
        <w:pStyle w:val="5"/>
        <w:jc w:val="center"/>
        <w:rPr>
          <w:rFonts w:ascii="宋体" w:eastAsia="宋体" w:cs="仿宋_GB2312"/>
          <w:b w:val="0"/>
          <w:color w:val="auto"/>
          <w:highlight w:val="none"/>
        </w:rPr>
      </w:pPr>
      <w:r>
        <w:rPr>
          <w:rFonts w:hint="eastAsia" w:ascii="宋体" w:eastAsia="宋体" w:cs="仿宋_GB2312"/>
          <w:b w:val="0"/>
          <w:color w:val="auto"/>
          <w:highlight w:val="none"/>
        </w:rPr>
        <w:br w:type="page"/>
      </w:r>
      <w:r>
        <w:rPr>
          <w:rFonts w:hint="eastAsia" w:ascii="宋体" w:eastAsia="宋体" w:cs="仿宋_GB2312"/>
          <w:b w:val="0"/>
          <w:color w:val="auto"/>
          <w:highlight w:val="none"/>
        </w:rPr>
        <w:t>拟在本工程中任职的主要人员简历表</w:t>
      </w:r>
    </w:p>
    <w:tbl>
      <w:tblPr>
        <w:tblStyle w:val="18"/>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6"/>
        <w:gridCol w:w="583"/>
        <w:gridCol w:w="457"/>
        <w:gridCol w:w="1066"/>
        <w:gridCol w:w="1218"/>
        <w:gridCol w:w="914"/>
        <w:gridCol w:w="354"/>
        <w:gridCol w:w="1253"/>
        <w:gridCol w:w="186"/>
        <w:gridCol w:w="880"/>
        <w:gridCol w:w="12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8905" w:type="dxa"/>
            <w:gridSpan w:val="11"/>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1. 一  般  情  况</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776" w:type="dxa"/>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姓名</w:t>
            </w:r>
          </w:p>
        </w:tc>
        <w:tc>
          <w:tcPr>
            <w:tcW w:w="1040" w:type="dxa"/>
            <w:gridSpan w:val="2"/>
            <w:noWrap w:val="0"/>
            <w:tcMar>
              <w:left w:w="0" w:type="dxa"/>
              <w:right w:w="0" w:type="dxa"/>
            </w:tcMar>
            <w:vAlign w:val="center"/>
          </w:tcPr>
          <w:p>
            <w:pPr>
              <w:jc w:val="center"/>
              <w:rPr>
                <w:rFonts w:cs="仿宋_GB2312"/>
                <w:bCs/>
                <w:color w:val="auto"/>
                <w:szCs w:val="21"/>
                <w:highlight w:val="none"/>
              </w:rPr>
            </w:pPr>
          </w:p>
        </w:tc>
        <w:tc>
          <w:tcPr>
            <w:tcW w:w="1066" w:type="dxa"/>
            <w:noWrap w:val="0"/>
            <w:tcMar>
              <w:left w:w="0" w:type="dxa"/>
              <w:right w:w="0" w:type="dxa"/>
            </w:tcMar>
            <w:vAlign w:val="center"/>
          </w:tcPr>
          <w:p>
            <w:pPr>
              <w:ind w:right="-34" w:rightChars="-14"/>
              <w:jc w:val="center"/>
              <w:rPr>
                <w:rFonts w:cs="仿宋_GB2312"/>
                <w:bCs/>
                <w:color w:val="auto"/>
                <w:szCs w:val="21"/>
                <w:highlight w:val="none"/>
              </w:rPr>
            </w:pPr>
            <w:r>
              <w:rPr>
                <w:rFonts w:hint="eastAsia" w:cs="仿宋_GB2312"/>
                <w:bCs/>
                <w:color w:val="auto"/>
                <w:szCs w:val="21"/>
                <w:highlight w:val="none"/>
              </w:rPr>
              <w:t>年 龄</w:t>
            </w:r>
          </w:p>
        </w:tc>
        <w:tc>
          <w:tcPr>
            <w:tcW w:w="1218" w:type="dxa"/>
            <w:noWrap w:val="0"/>
            <w:tcMar>
              <w:left w:w="0" w:type="dxa"/>
              <w:right w:w="0" w:type="dxa"/>
            </w:tcMar>
            <w:vAlign w:val="center"/>
          </w:tcPr>
          <w:p>
            <w:pPr>
              <w:jc w:val="center"/>
              <w:rPr>
                <w:rFonts w:cs="仿宋_GB2312"/>
                <w:bCs/>
                <w:color w:val="auto"/>
                <w:szCs w:val="21"/>
                <w:highlight w:val="none"/>
              </w:rPr>
            </w:pPr>
          </w:p>
        </w:tc>
        <w:tc>
          <w:tcPr>
            <w:tcW w:w="1268" w:type="dxa"/>
            <w:gridSpan w:val="2"/>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职 称</w:t>
            </w:r>
          </w:p>
        </w:tc>
        <w:tc>
          <w:tcPr>
            <w:tcW w:w="1253" w:type="dxa"/>
            <w:noWrap w:val="0"/>
            <w:tcMar>
              <w:left w:w="0" w:type="dxa"/>
              <w:right w:w="0" w:type="dxa"/>
            </w:tcMar>
            <w:vAlign w:val="center"/>
          </w:tcPr>
          <w:p>
            <w:pPr>
              <w:jc w:val="center"/>
              <w:rPr>
                <w:rFonts w:cs="仿宋_GB2312"/>
                <w:bCs/>
                <w:color w:val="auto"/>
                <w:szCs w:val="21"/>
                <w:highlight w:val="none"/>
              </w:rPr>
            </w:pPr>
          </w:p>
        </w:tc>
        <w:tc>
          <w:tcPr>
            <w:tcW w:w="1066" w:type="dxa"/>
            <w:gridSpan w:val="2"/>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专 业</w:t>
            </w:r>
          </w:p>
        </w:tc>
        <w:tc>
          <w:tcPr>
            <w:tcW w:w="1218" w:type="dxa"/>
            <w:noWrap w:val="0"/>
            <w:tcMar>
              <w:left w:w="0" w:type="dxa"/>
              <w:right w:w="0" w:type="dxa"/>
            </w:tcMar>
            <w:vAlign w:val="center"/>
          </w:tcPr>
          <w:p>
            <w:pPr>
              <w:jc w:val="center"/>
              <w:rPr>
                <w:rFonts w:cs="仿宋_GB2312"/>
                <w:bCs/>
                <w:color w:val="auto"/>
                <w:szCs w:val="21"/>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824" w:hRule="exact"/>
          <w:jc w:val="center"/>
        </w:trPr>
        <w:tc>
          <w:tcPr>
            <w:tcW w:w="776" w:type="dxa"/>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学历</w:t>
            </w:r>
          </w:p>
        </w:tc>
        <w:tc>
          <w:tcPr>
            <w:tcW w:w="1040" w:type="dxa"/>
            <w:gridSpan w:val="2"/>
            <w:noWrap w:val="0"/>
            <w:tcMar>
              <w:left w:w="0" w:type="dxa"/>
              <w:right w:w="0" w:type="dxa"/>
            </w:tcMar>
            <w:vAlign w:val="center"/>
          </w:tcPr>
          <w:p>
            <w:pPr>
              <w:jc w:val="center"/>
              <w:rPr>
                <w:rFonts w:cs="仿宋_GB2312"/>
                <w:bCs/>
                <w:color w:val="auto"/>
                <w:szCs w:val="21"/>
                <w:highlight w:val="none"/>
              </w:rPr>
            </w:pPr>
          </w:p>
        </w:tc>
        <w:tc>
          <w:tcPr>
            <w:tcW w:w="1066" w:type="dxa"/>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从事年限</w:t>
            </w:r>
          </w:p>
        </w:tc>
        <w:tc>
          <w:tcPr>
            <w:tcW w:w="1218" w:type="dxa"/>
            <w:noWrap w:val="0"/>
            <w:tcMar>
              <w:left w:w="0" w:type="dxa"/>
              <w:right w:w="0" w:type="dxa"/>
            </w:tcMar>
            <w:vAlign w:val="center"/>
          </w:tcPr>
          <w:p>
            <w:pPr>
              <w:jc w:val="center"/>
              <w:rPr>
                <w:rFonts w:cs="仿宋_GB2312"/>
                <w:bCs/>
                <w:color w:val="auto"/>
                <w:szCs w:val="21"/>
                <w:highlight w:val="none"/>
              </w:rPr>
            </w:pPr>
          </w:p>
        </w:tc>
        <w:tc>
          <w:tcPr>
            <w:tcW w:w="1268" w:type="dxa"/>
            <w:gridSpan w:val="2"/>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拟任职务</w:t>
            </w:r>
          </w:p>
        </w:tc>
        <w:tc>
          <w:tcPr>
            <w:tcW w:w="1253" w:type="dxa"/>
            <w:noWrap w:val="0"/>
            <w:tcMar>
              <w:left w:w="0" w:type="dxa"/>
              <w:right w:w="0" w:type="dxa"/>
            </w:tcMar>
            <w:vAlign w:val="center"/>
          </w:tcPr>
          <w:p>
            <w:pPr>
              <w:jc w:val="center"/>
              <w:rPr>
                <w:rFonts w:cs="仿宋_GB2312"/>
                <w:bCs/>
                <w:color w:val="auto"/>
                <w:szCs w:val="21"/>
                <w:highlight w:val="none"/>
              </w:rPr>
            </w:pPr>
          </w:p>
        </w:tc>
        <w:tc>
          <w:tcPr>
            <w:tcW w:w="1066" w:type="dxa"/>
            <w:gridSpan w:val="2"/>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原职务</w:t>
            </w:r>
          </w:p>
        </w:tc>
        <w:tc>
          <w:tcPr>
            <w:tcW w:w="1218" w:type="dxa"/>
            <w:noWrap w:val="0"/>
            <w:tcMar>
              <w:left w:w="0" w:type="dxa"/>
              <w:right w:w="0" w:type="dxa"/>
            </w:tcMar>
            <w:vAlign w:val="center"/>
          </w:tcPr>
          <w:p>
            <w:pPr>
              <w:jc w:val="center"/>
              <w:rPr>
                <w:rFonts w:cs="仿宋_GB2312"/>
                <w:bCs/>
                <w:color w:val="auto"/>
                <w:szCs w:val="21"/>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50" w:hRule="exact"/>
          <w:jc w:val="center"/>
        </w:trPr>
        <w:tc>
          <w:tcPr>
            <w:tcW w:w="8905" w:type="dxa"/>
            <w:gridSpan w:val="11"/>
            <w:noWrap w:val="0"/>
            <w:tcMar>
              <w:left w:w="0" w:type="dxa"/>
              <w:right w:w="0" w:type="dxa"/>
            </w:tcMar>
            <w:vAlign w:val="center"/>
          </w:tcPr>
          <w:p>
            <w:pPr>
              <w:ind w:firstLine="1200" w:firstLineChars="500"/>
              <w:rPr>
                <w:rFonts w:cs="仿宋_GB2312"/>
                <w:bCs/>
                <w:color w:val="auto"/>
                <w:szCs w:val="21"/>
                <w:highlight w:val="none"/>
              </w:rPr>
            </w:pPr>
            <w:r>
              <w:rPr>
                <w:rFonts w:hint="eastAsia" w:cs="仿宋_GB2312"/>
                <w:bCs/>
                <w:color w:val="auto"/>
                <w:szCs w:val="21"/>
                <w:highlight w:val="none"/>
              </w:rPr>
              <w:t>年毕业于                 学校(院)           专业，学制    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95" w:hRule="exact"/>
          <w:jc w:val="center"/>
        </w:trPr>
        <w:tc>
          <w:tcPr>
            <w:tcW w:w="8905" w:type="dxa"/>
            <w:gridSpan w:val="11"/>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2.工 作  经  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PrEx>
        <w:trPr>
          <w:cantSplit/>
          <w:trHeight w:val="875" w:hRule="atLeast"/>
          <w:jc w:val="center"/>
        </w:trPr>
        <w:tc>
          <w:tcPr>
            <w:tcW w:w="1359" w:type="dxa"/>
            <w:gridSpan w:val="2"/>
            <w:noWrap w:val="0"/>
            <w:tcMar>
              <w:left w:w="0" w:type="dxa"/>
              <w:right w:w="0" w:type="dxa"/>
            </w:tcMar>
            <w:vAlign w:val="center"/>
          </w:tcPr>
          <w:p>
            <w:pPr>
              <w:jc w:val="center"/>
              <w:rPr>
                <w:rFonts w:cs="仿宋_GB2312"/>
                <w:bCs/>
                <w:color w:val="auto"/>
                <w:szCs w:val="21"/>
                <w:highlight w:val="none"/>
              </w:rPr>
            </w:pPr>
            <w:r>
              <w:rPr>
                <w:rFonts w:hint="eastAsia" w:cs="仿宋_GB2312"/>
                <w:bCs/>
                <w:color w:val="auto"/>
                <w:szCs w:val="21"/>
                <w:highlight w:val="none"/>
              </w:rPr>
              <w:t>时  间</w:t>
            </w:r>
          </w:p>
        </w:tc>
        <w:tc>
          <w:tcPr>
            <w:tcW w:w="3655" w:type="dxa"/>
            <w:gridSpan w:val="4"/>
            <w:noWrap w:val="0"/>
            <w:vAlign w:val="center"/>
          </w:tcPr>
          <w:p>
            <w:pPr>
              <w:jc w:val="center"/>
              <w:rPr>
                <w:rFonts w:cs="仿宋_GB2312"/>
                <w:bCs/>
                <w:color w:val="auto"/>
                <w:szCs w:val="21"/>
                <w:highlight w:val="none"/>
              </w:rPr>
            </w:pPr>
            <w:r>
              <w:rPr>
                <w:rFonts w:hint="eastAsia" w:cs="仿宋_GB2312"/>
                <w:bCs/>
                <w:color w:val="auto"/>
                <w:szCs w:val="21"/>
                <w:highlight w:val="none"/>
              </w:rPr>
              <w:t>项目名称、工程类别、投资额</w:t>
            </w:r>
          </w:p>
        </w:tc>
        <w:tc>
          <w:tcPr>
            <w:tcW w:w="1793" w:type="dxa"/>
            <w:gridSpan w:val="3"/>
            <w:noWrap w:val="0"/>
            <w:vAlign w:val="center"/>
          </w:tcPr>
          <w:p>
            <w:pPr>
              <w:jc w:val="center"/>
              <w:rPr>
                <w:rFonts w:cs="仿宋_GB2312"/>
                <w:bCs/>
                <w:color w:val="auto"/>
                <w:szCs w:val="21"/>
                <w:highlight w:val="none"/>
              </w:rPr>
            </w:pPr>
            <w:r>
              <w:rPr>
                <w:rFonts w:hint="eastAsia" w:cs="仿宋_GB2312"/>
                <w:bCs/>
                <w:color w:val="auto"/>
                <w:szCs w:val="21"/>
                <w:highlight w:val="none"/>
              </w:rPr>
              <w:t>担任职务</w:t>
            </w:r>
          </w:p>
        </w:tc>
        <w:tc>
          <w:tcPr>
            <w:tcW w:w="2098" w:type="dxa"/>
            <w:gridSpan w:val="2"/>
            <w:noWrap w:val="0"/>
            <w:vAlign w:val="center"/>
          </w:tcPr>
          <w:p>
            <w:pPr>
              <w:jc w:val="center"/>
              <w:rPr>
                <w:rFonts w:cs="仿宋_GB2312"/>
                <w:bCs/>
                <w:color w:val="auto"/>
                <w:szCs w:val="21"/>
                <w:highlight w:val="none"/>
              </w:rPr>
            </w:pPr>
            <w:r>
              <w:rPr>
                <w:rFonts w:hint="eastAsia" w:cs="仿宋_GB2312"/>
                <w:bCs/>
                <w:color w:val="auto"/>
                <w:szCs w:val="21"/>
                <w:highlight w:val="none"/>
              </w:rPr>
              <w:t>备  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5044" w:hRule="atLeast"/>
          <w:jc w:val="center"/>
        </w:trPr>
        <w:tc>
          <w:tcPr>
            <w:tcW w:w="1359" w:type="dxa"/>
            <w:gridSpan w:val="2"/>
            <w:noWrap w:val="0"/>
            <w:tcMar>
              <w:left w:w="0" w:type="dxa"/>
              <w:right w:w="0" w:type="dxa"/>
            </w:tcMar>
            <w:vAlign w:val="center"/>
          </w:tcPr>
          <w:p>
            <w:pPr>
              <w:jc w:val="center"/>
              <w:rPr>
                <w:rFonts w:cs="仿宋_GB2312"/>
                <w:bCs/>
                <w:color w:val="auto"/>
                <w:szCs w:val="21"/>
                <w:highlight w:val="none"/>
              </w:rPr>
            </w:pPr>
          </w:p>
        </w:tc>
        <w:tc>
          <w:tcPr>
            <w:tcW w:w="3655" w:type="dxa"/>
            <w:gridSpan w:val="4"/>
            <w:noWrap w:val="0"/>
            <w:vAlign w:val="center"/>
          </w:tcPr>
          <w:p>
            <w:pPr>
              <w:jc w:val="center"/>
              <w:rPr>
                <w:rFonts w:cs="仿宋_GB2312"/>
                <w:bCs/>
                <w:color w:val="auto"/>
                <w:szCs w:val="21"/>
                <w:highlight w:val="none"/>
              </w:rPr>
            </w:pPr>
          </w:p>
        </w:tc>
        <w:tc>
          <w:tcPr>
            <w:tcW w:w="1793" w:type="dxa"/>
            <w:gridSpan w:val="3"/>
            <w:noWrap w:val="0"/>
            <w:vAlign w:val="center"/>
          </w:tcPr>
          <w:p>
            <w:pPr>
              <w:jc w:val="center"/>
              <w:rPr>
                <w:rFonts w:cs="仿宋_GB2312"/>
                <w:bCs/>
                <w:color w:val="auto"/>
                <w:szCs w:val="21"/>
                <w:highlight w:val="none"/>
              </w:rPr>
            </w:pPr>
          </w:p>
        </w:tc>
        <w:tc>
          <w:tcPr>
            <w:tcW w:w="2098" w:type="dxa"/>
            <w:gridSpan w:val="2"/>
            <w:noWrap w:val="0"/>
            <w:vAlign w:val="center"/>
          </w:tcPr>
          <w:p>
            <w:pPr>
              <w:jc w:val="center"/>
              <w:rPr>
                <w:rFonts w:cs="仿宋_GB2312"/>
                <w:bCs/>
                <w:color w:val="auto"/>
                <w:szCs w:val="21"/>
                <w:highlight w:val="none"/>
              </w:rPr>
            </w:pPr>
          </w:p>
        </w:tc>
      </w:tr>
    </w:tbl>
    <w:p>
      <w:pPr>
        <w:pStyle w:val="11"/>
        <w:spacing w:line="360" w:lineRule="auto"/>
        <w:ind w:left="0"/>
        <w:rPr>
          <w:rFonts w:cs="仿宋_GB2312"/>
          <w:bCs/>
          <w:color w:val="auto"/>
          <w:sz w:val="24"/>
          <w:szCs w:val="21"/>
          <w:highlight w:val="none"/>
        </w:rPr>
      </w:pPr>
      <w:r>
        <w:rPr>
          <w:rFonts w:hint="eastAsia" w:cs="仿宋_GB2312"/>
          <w:bCs/>
          <w:color w:val="auto"/>
          <w:sz w:val="24"/>
          <w:szCs w:val="21"/>
          <w:highlight w:val="none"/>
        </w:rPr>
        <w:t>注：1、</w:t>
      </w:r>
      <w:r>
        <w:rPr>
          <w:rFonts w:hint="eastAsia" w:cs="仿宋_GB2312"/>
          <w:bCs/>
          <w:color w:val="auto"/>
          <w:sz w:val="24"/>
          <w:highlight w:val="none"/>
        </w:rPr>
        <w:t>采购文件报价须知附件1《人员要求表》中列明的人员，按其要求的数量</w:t>
      </w:r>
      <w:r>
        <w:rPr>
          <w:rFonts w:hint="eastAsia" w:cs="仿宋_GB2312"/>
          <w:bCs/>
          <w:color w:val="auto"/>
          <w:sz w:val="24"/>
          <w:szCs w:val="21"/>
          <w:highlight w:val="none"/>
        </w:rPr>
        <w:t>每人填一表。</w:t>
      </w:r>
    </w:p>
    <w:p>
      <w:pPr>
        <w:pStyle w:val="11"/>
        <w:spacing w:line="360" w:lineRule="auto"/>
        <w:ind w:left="0"/>
        <w:rPr>
          <w:rFonts w:cs="仿宋_GB2312"/>
          <w:bCs/>
          <w:color w:val="auto"/>
          <w:sz w:val="24"/>
          <w:szCs w:val="21"/>
          <w:highlight w:val="none"/>
        </w:rPr>
      </w:pPr>
      <w:r>
        <w:rPr>
          <w:rFonts w:hint="eastAsia" w:cs="仿宋_GB2312"/>
          <w:bCs/>
          <w:color w:val="auto"/>
          <w:sz w:val="24"/>
          <w:szCs w:val="21"/>
          <w:highlight w:val="none"/>
        </w:rPr>
        <w:t xml:space="preserve">    2、上述人员附身份证、毕业证、职称证、上岗证等</w:t>
      </w:r>
      <w:r>
        <w:rPr>
          <w:rFonts w:hint="eastAsia" w:cs="仿宋_GB2312"/>
          <w:bCs/>
          <w:color w:val="auto"/>
          <w:sz w:val="24"/>
          <w:highlight w:val="none"/>
          <w:lang w:val="en-GB"/>
        </w:rPr>
        <w:t>证明材料并加盖</w:t>
      </w:r>
      <w:r>
        <w:rPr>
          <w:rFonts w:hint="eastAsia" w:cs="仿宋_GB2312"/>
          <w:bCs/>
          <w:color w:val="auto"/>
          <w:sz w:val="24"/>
          <w:highlight w:val="none"/>
          <w:lang w:val="en-GB" w:eastAsia="zh-CN"/>
        </w:rPr>
        <w:t>供应商</w:t>
      </w:r>
      <w:r>
        <w:rPr>
          <w:rFonts w:hint="eastAsia" w:cs="仿宋_GB2312"/>
          <w:bCs/>
          <w:color w:val="auto"/>
          <w:sz w:val="24"/>
          <w:highlight w:val="none"/>
          <w:lang w:val="en-GB"/>
        </w:rPr>
        <w:t>公司法人公章</w:t>
      </w:r>
      <w:r>
        <w:rPr>
          <w:rFonts w:hint="eastAsia" w:cs="仿宋_GB2312"/>
          <w:bCs/>
          <w:color w:val="auto"/>
          <w:sz w:val="24"/>
          <w:szCs w:val="21"/>
          <w:highlight w:val="none"/>
        </w:rPr>
        <w:t>。</w:t>
      </w:r>
    </w:p>
    <w:p>
      <w:pPr>
        <w:pStyle w:val="24"/>
        <w:ind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br w:type="page"/>
      </w:r>
    </w:p>
    <w:p>
      <w:pPr>
        <w:pStyle w:val="24"/>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质量保证</w:t>
      </w:r>
    </w:p>
    <w:p>
      <w:pPr>
        <w:pStyle w:val="24"/>
        <w:ind w:firstLine="0" w:firstLineChars="0"/>
        <w:rPr>
          <w:rFonts w:ascii="宋体" w:eastAsia="宋体" w:cs="仿宋_GB2312"/>
          <w:bCs/>
          <w:color w:val="auto"/>
          <w:sz w:val="44"/>
          <w:highlight w:val="none"/>
        </w:rPr>
      </w:pPr>
    </w:p>
    <w:p>
      <w:pPr>
        <w:pStyle w:val="24"/>
        <w:ind w:firstLine="487" w:firstLineChars="174"/>
        <w:rPr>
          <w:rFonts w:ascii="宋体" w:eastAsia="宋体" w:cs="仿宋_GB2312"/>
          <w:bCs/>
          <w:color w:val="auto"/>
          <w:sz w:val="28"/>
          <w:highlight w:val="none"/>
        </w:rPr>
      </w:pP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应对“用户需求书”所包括的内容但不限于此内容作出全面响应，另外详细说明每一个环节的质量保证措施。</w:t>
      </w:r>
    </w:p>
    <w:p>
      <w:pPr>
        <w:pStyle w:val="24"/>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br w:type="page"/>
      </w:r>
      <w:bookmarkStart w:id="70" w:name="_Toc114644025"/>
    </w:p>
    <w:p>
      <w:pPr>
        <w:pStyle w:val="24"/>
        <w:ind w:firstLine="0" w:firstLineChars="0"/>
        <w:jc w:val="center"/>
        <w:rPr>
          <w:rFonts w:ascii="宋体" w:eastAsia="宋体" w:cs="仿宋_GB2312"/>
          <w:bCs/>
          <w:color w:val="auto"/>
          <w:sz w:val="28"/>
          <w:highlight w:val="none"/>
        </w:rPr>
      </w:pPr>
      <w:r>
        <w:rPr>
          <w:rFonts w:hint="eastAsia" w:ascii="宋体" w:eastAsia="宋体" w:cs="仿宋_GB2312"/>
          <w:bCs/>
          <w:color w:val="auto"/>
          <w:sz w:val="28"/>
          <w:highlight w:val="none"/>
        </w:rPr>
        <w:t>在经营活动中没有重大违法记录的书面声明</w:t>
      </w:r>
    </w:p>
    <w:p>
      <w:pPr>
        <w:pStyle w:val="24"/>
        <w:ind w:firstLine="0" w:firstLineChars="0"/>
        <w:rPr>
          <w:rFonts w:ascii="宋体" w:eastAsia="宋体" w:cs="仿宋_GB2312"/>
          <w:bCs/>
          <w:color w:val="auto"/>
          <w:sz w:val="22"/>
          <w:szCs w:val="22"/>
          <w:highlight w:val="none"/>
        </w:rPr>
      </w:pPr>
    </w:p>
    <w:p>
      <w:pPr>
        <w:spacing w:line="360" w:lineRule="auto"/>
        <w:rPr>
          <w:rFonts w:hint="eastAsia" w:eastAsia="宋体" w:cs="仿宋_GB2312"/>
          <w:bCs/>
          <w:color w:val="auto"/>
          <w:sz w:val="28"/>
          <w:szCs w:val="36"/>
          <w:highlight w:val="none"/>
          <w:lang w:eastAsia="zh-CN"/>
        </w:rPr>
      </w:pPr>
      <w:r>
        <w:rPr>
          <w:rFonts w:hint="eastAsia" w:cs="仿宋_GB2312"/>
          <w:bCs/>
          <w:color w:val="auto"/>
          <w:sz w:val="28"/>
          <w:szCs w:val="36"/>
          <w:highlight w:val="none"/>
        </w:rPr>
        <w:t>致：</w:t>
      </w:r>
      <w:r>
        <w:rPr>
          <w:rFonts w:hint="eastAsia" w:cs="仿宋_GB2312"/>
          <w:bCs/>
          <w:color w:val="auto"/>
          <w:sz w:val="28"/>
          <w:szCs w:val="36"/>
          <w:highlight w:val="none"/>
          <w:lang w:eastAsia="zh-CN"/>
        </w:rPr>
        <w:t>广东政通招标有限公司</w:t>
      </w:r>
    </w:p>
    <w:p>
      <w:pPr>
        <w:spacing w:line="360" w:lineRule="auto"/>
        <w:rPr>
          <w:rFonts w:cs="仿宋_GB2312"/>
          <w:bCs/>
          <w:color w:val="auto"/>
          <w:sz w:val="28"/>
          <w:szCs w:val="36"/>
          <w:highlight w:val="none"/>
        </w:rPr>
      </w:pPr>
      <w:r>
        <w:rPr>
          <w:rFonts w:hint="eastAsia" w:cs="仿宋_GB2312"/>
          <w:bCs/>
          <w:color w:val="auto"/>
          <w:sz w:val="28"/>
          <w:szCs w:val="36"/>
          <w:highlight w:val="none"/>
        </w:rPr>
        <w:t xml:space="preserve">        本公司参加          采购项目（采购编号：　　　　）的采购活动，并声明：</w:t>
      </w:r>
    </w:p>
    <w:p>
      <w:pPr>
        <w:spacing w:line="360" w:lineRule="auto"/>
        <w:ind w:firstLine="560" w:firstLineChars="200"/>
        <w:rPr>
          <w:rFonts w:cs="仿宋_GB2312"/>
          <w:bCs/>
          <w:color w:val="auto"/>
          <w:sz w:val="28"/>
          <w:szCs w:val="36"/>
          <w:highlight w:val="none"/>
        </w:rPr>
      </w:pPr>
      <w:r>
        <w:rPr>
          <w:rFonts w:hint="eastAsia" w:cs="仿宋_GB2312"/>
          <w:bCs/>
          <w:color w:val="auto"/>
          <w:sz w:val="28"/>
          <w:szCs w:val="36"/>
          <w:highlight w:val="none"/>
        </w:rPr>
        <w:t>本公司参加本采购项目采购前3年内在经营活动中没有因违法经营受到刑事处罚或者责令停产停业、吊销许可证或者执照、较大数额罚款行政处罚及行业处分，参与法律</w:t>
      </w:r>
      <w:r>
        <w:rPr>
          <w:rFonts w:hint="eastAsia" w:cs="仿宋_GB2312"/>
          <w:bCs/>
          <w:color w:val="auto"/>
          <w:sz w:val="28"/>
          <w:szCs w:val="36"/>
          <w:highlight w:val="none"/>
          <w:lang w:eastAsia="zh-CN"/>
        </w:rPr>
        <w:t>服务（或工程）</w:t>
      </w:r>
      <w:r>
        <w:rPr>
          <w:rFonts w:hint="eastAsia" w:cs="仿宋_GB2312"/>
          <w:bCs/>
          <w:color w:val="auto"/>
          <w:sz w:val="28"/>
          <w:szCs w:val="36"/>
          <w:highlight w:val="none"/>
        </w:rPr>
        <w:t>团队成员均未受过行政处罚或行业处分的。</w:t>
      </w:r>
    </w:p>
    <w:p>
      <w:pPr>
        <w:spacing w:line="360" w:lineRule="auto"/>
        <w:rPr>
          <w:rFonts w:cs="仿宋_GB2312"/>
          <w:bCs/>
          <w:color w:val="auto"/>
          <w:sz w:val="28"/>
          <w:szCs w:val="36"/>
          <w:highlight w:val="none"/>
        </w:rPr>
      </w:pPr>
      <w:r>
        <w:rPr>
          <w:rFonts w:hint="eastAsia" w:cs="仿宋_GB2312"/>
          <w:bCs/>
          <w:color w:val="auto"/>
          <w:sz w:val="28"/>
          <w:szCs w:val="36"/>
          <w:highlight w:val="none"/>
        </w:rPr>
        <w:t xml:space="preserve">    特此声明！</w:t>
      </w:r>
    </w:p>
    <w:p>
      <w:pPr>
        <w:spacing w:line="360" w:lineRule="auto"/>
        <w:rPr>
          <w:rFonts w:cs="仿宋_GB2312"/>
          <w:bCs/>
          <w:color w:val="auto"/>
          <w:sz w:val="28"/>
          <w:szCs w:val="36"/>
          <w:highlight w:val="none"/>
        </w:rPr>
      </w:pPr>
    </w:p>
    <w:p>
      <w:pPr>
        <w:spacing w:line="360" w:lineRule="auto"/>
        <w:rPr>
          <w:rFonts w:cs="仿宋_GB2312"/>
          <w:bCs/>
          <w:color w:val="auto"/>
          <w:sz w:val="28"/>
          <w:szCs w:val="36"/>
          <w:highlight w:val="none"/>
        </w:rPr>
      </w:pPr>
    </w:p>
    <w:p>
      <w:pPr>
        <w:spacing w:line="360" w:lineRule="auto"/>
        <w:rPr>
          <w:rFonts w:cs="仿宋_GB2312"/>
          <w:bCs/>
          <w:color w:val="auto"/>
          <w:sz w:val="28"/>
          <w:szCs w:val="36"/>
          <w:highlight w:val="none"/>
        </w:rPr>
      </w:pPr>
      <w:r>
        <w:rPr>
          <w:rFonts w:hint="eastAsia" w:cs="仿宋_GB2312"/>
          <w:bCs/>
          <w:color w:val="auto"/>
          <w:sz w:val="28"/>
          <w:szCs w:val="36"/>
          <w:highlight w:val="none"/>
          <w:lang w:eastAsia="zh-CN"/>
        </w:rPr>
        <w:t>供应商</w:t>
      </w:r>
      <w:r>
        <w:rPr>
          <w:rFonts w:hint="eastAsia" w:cs="仿宋_GB2312"/>
          <w:bCs/>
          <w:color w:val="auto"/>
          <w:sz w:val="28"/>
          <w:szCs w:val="36"/>
          <w:highlight w:val="none"/>
        </w:rPr>
        <w:t>名称（加盖公章）：</w:t>
      </w:r>
    </w:p>
    <w:p>
      <w:pPr>
        <w:spacing w:line="360" w:lineRule="auto"/>
        <w:rPr>
          <w:rFonts w:cs="仿宋_GB2312"/>
          <w:bCs/>
          <w:color w:val="auto"/>
          <w:sz w:val="28"/>
          <w:szCs w:val="36"/>
          <w:highlight w:val="none"/>
        </w:rPr>
      </w:pPr>
      <w:r>
        <w:rPr>
          <w:rFonts w:hint="eastAsia" w:cs="仿宋_GB2312"/>
          <w:bCs/>
          <w:color w:val="auto"/>
          <w:sz w:val="28"/>
          <w:szCs w:val="36"/>
          <w:highlight w:val="none"/>
        </w:rPr>
        <w:t>日期：</w:t>
      </w:r>
    </w:p>
    <w:p>
      <w:pPr>
        <w:rPr>
          <w:rFonts w:hint="eastAsia" w:cs="仿宋_GB2312"/>
          <w:bCs/>
          <w:color w:val="auto"/>
          <w:sz w:val="28"/>
          <w:highlight w:val="none"/>
        </w:rPr>
      </w:pPr>
      <w:r>
        <w:rPr>
          <w:rFonts w:hint="eastAsia" w:cs="仿宋_GB2312"/>
          <w:bCs/>
          <w:color w:val="auto"/>
          <w:sz w:val="28"/>
          <w:highlight w:val="none"/>
        </w:rPr>
        <w:br w:type="page"/>
      </w:r>
    </w:p>
    <w:p>
      <w:pPr>
        <w:pStyle w:val="4"/>
        <w:jc w:val="both"/>
        <w:rPr>
          <w:rFonts w:cs="仿宋_GB2312"/>
          <w:bCs/>
          <w:color w:val="auto"/>
          <w:sz w:val="28"/>
          <w:szCs w:val="28"/>
          <w:highlight w:val="none"/>
        </w:rPr>
      </w:pPr>
      <w:bookmarkStart w:id="71" w:name="_Toc508723478"/>
      <w:bookmarkStart w:id="72" w:name="_Toc502240076"/>
      <w:r>
        <w:rPr>
          <w:rFonts w:hint="eastAsia" w:cs="仿宋_GB2312"/>
          <w:bCs/>
          <w:color w:val="auto"/>
          <w:sz w:val="28"/>
          <w:szCs w:val="28"/>
          <w:highlight w:val="none"/>
        </w:rPr>
        <w:t>九、</w:t>
      </w:r>
      <w:r>
        <w:rPr>
          <w:rFonts w:hint="eastAsia" w:cs="仿宋_GB2312"/>
          <w:bCs/>
          <w:color w:val="auto"/>
          <w:sz w:val="28"/>
          <w:szCs w:val="28"/>
          <w:highlight w:val="none"/>
          <w:lang w:eastAsia="zh-CN"/>
        </w:rPr>
        <w:t>报价信封</w:t>
      </w:r>
      <w:r>
        <w:rPr>
          <w:rFonts w:hint="eastAsia" w:cs="仿宋_GB2312"/>
          <w:bCs/>
          <w:color w:val="auto"/>
          <w:sz w:val="28"/>
          <w:szCs w:val="28"/>
          <w:highlight w:val="none"/>
        </w:rPr>
        <w:t>格式</w:t>
      </w:r>
      <w:bookmarkEnd w:id="70"/>
      <w:bookmarkEnd w:id="71"/>
      <w:bookmarkEnd w:id="72"/>
    </w:p>
    <w:p>
      <w:pPr>
        <w:pStyle w:val="24"/>
        <w:ind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lang w:eastAsia="zh-CN"/>
        </w:rPr>
        <w:t>报价信封</w:t>
      </w:r>
      <w:r>
        <w:rPr>
          <w:rFonts w:hint="eastAsia" w:ascii="宋体" w:eastAsia="宋体" w:cs="仿宋_GB2312"/>
          <w:bCs/>
          <w:color w:val="auto"/>
          <w:sz w:val="28"/>
          <w:highlight w:val="none"/>
        </w:rPr>
        <w:t>内装：（独立密封）</w:t>
      </w:r>
    </w:p>
    <w:p>
      <w:pPr>
        <w:pStyle w:val="24"/>
        <w:ind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1.报价总表复印件（为第一次报价总表）。</w:t>
      </w:r>
    </w:p>
    <w:p>
      <w:pPr>
        <w:pStyle w:val="24"/>
        <w:ind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2.谈判承诺书复印件。</w:t>
      </w:r>
    </w:p>
    <w:p>
      <w:pPr>
        <w:pStyle w:val="24"/>
        <w:ind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3.</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营业执照复印件。</w:t>
      </w:r>
    </w:p>
    <w:p>
      <w:pPr>
        <w:pStyle w:val="24"/>
        <w:ind w:firstLine="0" w:firstLineChars="0"/>
        <w:rPr>
          <w:rFonts w:ascii="宋体" w:eastAsia="宋体" w:cs="仿宋_GB2312"/>
          <w:bCs/>
          <w:color w:val="auto"/>
          <w:sz w:val="28"/>
          <w:highlight w:val="none"/>
        </w:rPr>
      </w:pPr>
      <w:r>
        <w:rPr>
          <w:rFonts w:hint="eastAsia" w:ascii="宋体" w:eastAsia="宋体" w:cs="仿宋_GB2312"/>
          <w:bCs/>
          <w:color w:val="auto"/>
          <w:sz w:val="28"/>
          <w:highlight w:val="none"/>
        </w:rPr>
        <w:t>4.</w:t>
      </w:r>
      <w:r>
        <w:rPr>
          <w:rFonts w:hint="eastAsia" w:ascii="宋体" w:eastAsia="宋体" w:cs="仿宋_GB2312"/>
          <w:bCs/>
          <w:color w:val="auto"/>
          <w:sz w:val="28"/>
          <w:highlight w:val="none"/>
          <w:lang w:eastAsia="zh-CN"/>
        </w:rPr>
        <w:t>供应商</w:t>
      </w:r>
      <w:r>
        <w:rPr>
          <w:rFonts w:hint="eastAsia" w:ascii="宋体" w:eastAsia="宋体" w:cs="仿宋_GB2312"/>
          <w:bCs/>
          <w:color w:val="auto"/>
          <w:sz w:val="28"/>
          <w:highlight w:val="none"/>
        </w:rPr>
        <w:t>法定代表人授权书复印件。</w:t>
      </w:r>
    </w:p>
    <w:p>
      <w:pPr>
        <w:jc w:val="both"/>
        <w:rPr>
          <w:bCs/>
          <w:color w:val="auto"/>
          <w:highlight w:val="none"/>
        </w:rPr>
      </w:pPr>
      <w:r>
        <w:rPr>
          <w:rFonts w:hint="eastAsia"/>
          <w:bCs/>
          <w:color w:val="auto"/>
          <w:highlight w:val="none"/>
        </w:rPr>
        <w:br w:type="page"/>
      </w:r>
      <w:r>
        <w:rPr>
          <w:rFonts w:hint="eastAsia" w:cs="仿宋_GB2312"/>
          <w:bCs/>
          <w:color w:val="auto"/>
          <w:sz w:val="28"/>
          <w:szCs w:val="28"/>
          <w:highlight w:val="none"/>
        </w:rPr>
        <w:t>十、采购担保函格式</w:t>
      </w:r>
    </w:p>
    <w:p>
      <w:pPr>
        <w:jc w:val="center"/>
        <w:rPr>
          <w:rFonts w:ascii="黑体" w:eastAsia="黑体"/>
          <w:bCs/>
          <w:color w:val="auto"/>
          <w:sz w:val="28"/>
          <w:szCs w:val="28"/>
          <w:highlight w:val="none"/>
        </w:rPr>
      </w:pPr>
    </w:p>
    <w:p>
      <w:pPr>
        <w:jc w:val="center"/>
        <w:rPr>
          <w:rFonts w:ascii="黑体" w:eastAsia="黑体"/>
          <w:bCs/>
          <w:color w:val="auto"/>
          <w:sz w:val="28"/>
          <w:szCs w:val="28"/>
          <w:highlight w:val="none"/>
        </w:rPr>
      </w:pPr>
      <w:r>
        <w:rPr>
          <w:rFonts w:hint="eastAsia" w:ascii="黑体" w:eastAsia="黑体"/>
          <w:bCs/>
          <w:color w:val="auto"/>
          <w:sz w:val="28"/>
          <w:szCs w:val="28"/>
          <w:highlight w:val="none"/>
        </w:rPr>
        <w:t>采购</w:t>
      </w:r>
      <w:r>
        <w:rPr>
          <w:rFonts w:hint="eastAsia" w:ascii="黑体" w:eastAsia="黑体"/>
          <w:bCs/>
          <w:color w:val="auto"/>
          <w:sz w:val="28"/>
          <w:szCs w:val="28"/>
          <w:highlight w:val="none"/>
          <w:lang w:eastAsia="zh-CN"/>
        </w:rPr>
        <w:t>谈判</w:t>
      </w:r>
      <w:r>
        <w:rPr>
          <w:rFonts w:hint="eastAsia" w:ascii="黑体" w:eastAsia="黑体"/>
          <w:bCs/>
          <w:color w:val="auto"/>
          <w:sz w:val="28"/>
          <w:szCs w:val="28"/>
          <w:highlight w:val="none"/>
        </w:rPr>
        <w:t>担保函</w:t>
      </w:r>
    </w:p>
    <w:p>
      <w:pPr>
        <w:wordWrap w:val="0"/>
        <w:jc w:val="right"/>
        <w:rPr>
          <w:rFonts w:ascii="仿宋_GB2312" w:eastAsia="仿宋_GB2312"/>
          <w:bCs/>
          <w:color w:val="auto"/>
          <w:sz w:val="32"/>
          <w:szCs w:val="32"/>
          <w:highlight w:val="none"/>
        </w:rPr>
      </w:pPr>
      <w:r>
        <w:rPr>
          <w:rFonts w:hint="eastAsia" w:ascii="黑体" w:eastAsia="黑体"/>
          <w:bCs/>
          <w:color w:val="auto"/>
          <w:sz w:val="28"/>
          <w:szCs w:val="28"/>
          <w:highlight w:val="none"/>
        </w:rPr>
        <w:t xml:space="preserve"> 编号：</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（采购人或采购代理机构）：</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鉴于（以下简称“</w:t>
      </w:r>
      <w:r>
        <w:rPr>
          <w:rFonts w:hint="eastAsia"/>
          <w:bCs/>
          <w:color w:val="auto"/>
          <w:szCs w:val="21"/>
          <w:highlight w:val="none"/>
          <w:lang w:eastAsia="zh-CN"/>
        </w:rPr>
        <w:t>供应商</w:t>
      </w:r>
      <w:r>
        <w:rPr>
          <w:rFonts w:hint="eastAsia"/>
          <w:bCs/>
          <w:color w:val="auto"/>
          <w:szCs w:val="21"/>
          <w:highlight w:val="none"/>
        </w:rPr>
        <w:t>”）拟参加编号为的</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项目（以下简称“本项目”）</w:t>
      </w:r>
      <w:r>
        <w:rPr>
          <w:rFonts w:hint="eastAsia"/>
          <w:bCs/>
          <w:color w:val="auto"/>
          <w:szCs w:val="21"/>
          <w:highlight w:val="none"/>
          <w:lang w:eastAsia="zh-CN"/>
        </w:rPr>
        <w:t>谈判</w:t>
      </w:r>
      <w:r>
        <w:rPr>
          <w:rFonts w:hint="eastAsia"/>
          <w:bCs/>
          <w:color w:val="auto"/>
          <w:szCs w:val="21"/>
          <w:highlight w:val="none"/>
        </w:rPr>
        <w:t>，根据本项目招标文件，供应商参加</w:t>
      </w:r>
      <w:r>
        <w:rPr>
          <w:rFonts w:hint="eastAsia"/>
          <w:bCs/>
          <w:color w:val="auto"/>
          <w:szCs w:val="21"/>
          <w:highlight w:val="none"/>
          <w:lang w:eastAsia="zh-CN"/>
        </w:rPr>
        <w:t>谈判</w:t>
      </w:r>
      <w:r>
        <w:rPr>
          <w:rFonts w:hint="eastAsia"/>
          <w:bCs/>
          <w:color w:val="auto"/>
          <w:szCs w:val="21"/>
          <w:highlight w:val="none"/>
        </w:rPr>
        <w:t>时应向你方交纳</w:t>
      </w:r>
      <w:r>
        <w:rPr>
          <w:rFonts w:hint="eastAsia"/>
          <w:bCs/>
          <w:color w:val="auto"/>
          <w:szCs w:val="21"/>
          <w:highlight w:val="none"/>
          <w:lang w:eastAsia="zh-CN"/>
        </w:rPr>
        <w:t>谈判</w:t>
      </w:r>
      <w:r>
        <w:rPr>
          <w:rFonts w:hint="eastAsia"/>
          <w:bCs/>
          <w:color w:val="auto"/>
          <w:szCs w:val="21"/>
          <w:highlight w:val="none"/>
        </w:rPr>
        <w:t>保证金，且可以</w:t>
      </w:r>
      <w:r>
        <w:rPr>
          <w:rFonts w:hint="eastAsia"/>
          <w:bCs/>
          <w:color w:val="auto"/>
          <w:szCs w:val="21"/>
          <w:highlight w:val="none"/>
          <w:lang w:eastAsia="zh-CN"/>
        </w:rPr>
        <w:t>谈判</w:t>
      </w:r>
      <w:r>
        <w:rPr>
          <w:rFonts w:hint="eastAsia"/>
          <w:bCs/>
          <w:color w:val="auto"/>
          <w:szCs w:val="21"/>
          <w:highlight w:val="none"/>
        </w:rPr>
        <w:t>担保函的形式交纳</w:t>
      </w:r>
      <w:r>
        <w:rPr>
          <w:rFonts w:hint="eastAsia"/>
          <w:bCs/>
          <w:color w:val="auto"/>
          <w:szCs w:val="21"/>
          <w:highlight w:val="none"/>
          <w:lang w:eastAsia="zh-CN"/>
        </w:rPr>
        <w:t>谈判</w:t>
      </w:r>
      <w:r>
        <w:rPr>
          <w:rFonts w:hint="eastAsia"/>
          <w:bCs/>
          <w:color w:val="auto"/>
          <w:szCs w:val="21"/>
          <w:highlight w:val="none"/>
        </w:rPr>
        <w:t>保证金。应供应商的申请，我方以保证的方式向你方提供如下</w:t>
      </w:r>
      <w:r>
        <w:rPr>
          <w:rFonts w:hint="eastAsia"/>
          <w:bCs/>
          <w:color w:val="auto"/>
          <w:szCs w:val="21"/>
          <w:highlight w:val="none"/>
          <w:lang w:eastAsia="zh-CN"/>
        </w:rPr>
        <w:t>谈判</w:t>
      </w:r>
      <w:r>
        <w:rPr>
          <w:rFonts w:hint="eastAsia"/>
          <w:bCs/>
          <w:color w:val="auto"/>
          <w:szCs w:val="21"/>
          <w:highlight w:val="none"/>
        </w:rPr>
        <w:t>保证金担保：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一、保证责任的情形及保证金额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（一）在</w:t>
      </w:r>
      <w:r>
        <w:rPr>
          <w:rFonts w:hint="eastAsia"/>
          <w:bCs/>
          <w:color w:val="auto"/>
          <w:szCs w:val="21"/>
          <w:highlight w:val="none"/>
          <w:lang w:eastAsia="zh-CN"/>
        </w:rPr>
        <w:t>供应商</w:t>
      </w:r>
      <w:r>
        <w:rPr>
          <w:rFonts w:hint="eastAsia"/>
          <w:bCs/>
          <w:color w:val="auto"/>
          <w:szCs w:val="21"/>
          <w:highlight w:val="none"/>
        </w:rPr>
        <w:t>出现下列情形之一时，我方承担保证责任：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1．中标后</w:t>
      </w:r>
      <w:r>
        <w:rPr>
          <w:rFonts w:hint="eastAsia"/>
          <w:bCs/>
          <w:color w:val="auto"/>
          <w:szCs w:val="21"/>
          <w:highlight w:val="none"/>
          <w:lang w:eastAsia="zh-CN"/>
        </w:rPr>
        <w:t>供应商</w:t>
      </w:r>
      <w:r>
        <w:rPr>
          <w:rFonts w:hint="eastAsia"/>
          <w:bCs/>
          <w:color w:val="auto"/>
          <w:szCs w:val="21"/>
          <w:highlight w:val="none"/>
        </w:rPr>
        <w:t>无正当理由不与采购人或者采购代理机构签订《采购合同》；</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2．招标文件规定的</w:t>
      </w:r>
      <w:r>
        <w:rPr>
          <w:rFonts w:hint="eastAsia"/>
          <w:bCs/>
          <w:color w:val="auto"/>
          <w:szCs w:val="21"/>
          <w:highlight w:val="none"/>
          <w:lang w:eastAsia="zh-CN"/>
        </w:rPr>
        <w:t>供应商</w:t>
      </w:r>
      <w:r>
        <w:rPr>
          <w:rFonts w:hint="eastAsia"/>
          <w:bCs/>
          <w:color w:val="auto"/>
          <w:szCs w:val="21"/>
          <w:highlight w:val="none"/>
        </w:rPr>
        <w:t>应当缴纳保证金的其他情形。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（二）我方承担保证责任的最高金额为人民币元（大写），即本项目的</w:t>
      </w:r>
      <w:r>
        <w:rPr>
          <w:rFonts w:hint="eastAsia"/>
          <w:bCs/>
          <w:color w:val="auto"/>
          <w:szCs w:val="21"/>
          <w:highlight w:val="none"/>
          <w:lang w:eastAsia="zh-CN"/>
        </w:rPr>
        <w:t>谈判</w:t>
      </w:r>
      <w:r>
        <w:rPr>
          <w:rFonts w:hint="eastAsia"/>
          <w:bCs/>
          <w:color w:val="auto"/>
          <w:szCs w:val="21"/>
          <w:highlight w:val="none"/>
        </w:rPr>
        <w:t>保证金金额。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二、保证的方式及保证期间</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我方保证的方式为：连带责任保证。</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我方的保证期间为：自本保函生效之日起个月止。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三、承担保证责任的程序</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1．你方要求我方承担保证责任的，应在本保函保证期间内向我方发出书面索赔通知。索赔通知应写明要求索赔的金额，支付款项应到达的账号，并附有证明</w:t>
      </w:r>
      <w:r>
        <w:rPr>
          <w:rFonts w:hint="eastAsia"/>
          <w:bCs/>
          <w:color w:val="auto"/>
          <w:szCs w:val="21"/>
          <w:highlight w:val="none"/>
          <w:lang w:eastAsia="zh-CN"/>
        </w:rPr>
        <w:t>供应商</w:t>
      </w:r>
      <w:r>
        <w:rPr>
          <w:rFonts w:hint="eastAsia"/>
          <w:bCs/>
          <w:color w:val="auto"/>
          <w:szCs w:val="21"/>
          <w:highlight w:val="none"/>
        </w:rPr>
        <w:t>发生我方应承担保证责任情形的事实材料。</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2．我方在收到索赔通知及相关证明材料后，在　　　个工作日内进行审查，符合应承担保证责任情形的，我方应按照你方的要求代</w:t>
      </w:r>
      <w:r>
        <w:rPr>
          <w:rFonts w:hint="eastAsia"/>
          <w:bCs/>
          <w:color w:val="auto"/>
          <w:szCs w:val="21"/>
          <w:highlight w:val="none"/>
          <w:lang w:eastAsia="zh-CN"/>
        </w:rPr>
        <w:t>供应商</w:t>
      </w:r>
      <w:r>
        <w:rPr>
          <w:rFonts w:hint="eastAsia"/>
          <w:bCs/>
          <w:color w:val="auto"/>
          <w:szCs w:val="21"/>
          <w:highlight w:val="none"/>
        </w:rPr>
        <w:t>向你方支付</w:t>
      </w:r>
      <w:r>
        <w:rPr>
          <w:rFonts w:hint="eastAsia"/>
          <w:bCs/>
          <w:color w:val="auto"/>
          <w:szCs w:val="21"/>
          <w:highlight w:val="none"/>
          <w:lang w:eastAsia="zh-CN"/>
        </w:rPr>
        <w:t>谈判</w:t>
      </w:r>
      <w:r>
        <w:rPr>
          <w:rFonts w:hint="eastAsia"/>
          <w:bCs/>
          <w:color w:val="auto"/>
          <w:szCs w:val="21"/>
          <w:highlight w:val="none"/>
        </w:rPr>
        <w:t>保证金。</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四、保证责任的终止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1．保证期间届满你方未向我方书面主张保证责任的，自保证期间届满次日起，我方保证责任自动终止。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2．我方按照本保函向你贵方履行了保证责任后，自我方向你贵方支付款项（支付款项从我方账户划出）之日起，保证责任终止。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3．按照法律法规的规定或出现我方保证责任终止的其它情形的，我方在本保函项下的保证责任亦终止。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五、免责条款</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1．依照法律规定或你方与</w:t>
      </w:r>
      <w:r>
        <w:rPr>
          <w:rFonts w:hint="eastAsia"/>
          <w:bCs/>
          <w:color w:val="auto"/>
          <w:szCs w:val="21"/>
          <w:highlight w:val="none"/>
          <w:lang w:eastAsia="zh-CN"/>
        </w:rPr>
        <w:t>供应商</w:t>
      </w:r>
      <w:r>
        <w:rPr>
          <w:rFonts w:hint="eastAsia"/>
          <w:bCs/>
          <w:color w:val="auto"/>
          <w:szCs w:val="21"/>
          <w:highlight w:val="none"/>
        </w:rPr>
        <w:t>的另行约定，全部或者部分免除</w:t>
      </w:r>
      <w:r>
        <w:rPr>
          <w:rFonts w:hint="eastAsia"/>
          <w:bCs/>
          <w:color w:val="auto"/>
          <w:szCs w:val="21"/>
          <w:highlight w:val="none"/>
          <w:lang w:eastAsia="zh-CN"/>
        </w:rPr>
        <w:t>供应商谈判</w:t>
      </w:r>
      <w:r>
        <w:rPr>
          <w:rFonts w:hint="eastAsia"/>
          <w:bCs/>
          <w:color w:val="auto"/>
          <w:szCs w:val="21"/>
          <w:highlight w:val="none"/>
        </w:rPr>
        <w:t>保证金义务时，我方亦免除相应的保证责任。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2．因你方原因致使</w:t>
      </w:r>
      <w:r>
        <w:rPr>
          <w:rFonts w:hint="eastAsia"/>
          <w:bCs/>
          <w:color w:val="auto"/>
          <w:szCs w:val="21"/>
          <w:highlight w:val="none"/>
          <w:lang w:eastAsia="zh-CN"/>
        </w:rPr>
        <w:t>供应商</w:t>
      </w:r>
      <w:r>
        <w:rPr>
          <w:rFonts w:hint="eastAsia"/>
          <w:bCs/>
          <w:color w:val="auto"/>
          <w:szCs w:val="21"/>
          <w:highlight w:val="none"/>
        </w:rPr>
        <w:t>发生本保函第一条第（一）款约定情形的，我方不承担保证责任。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3．因不可抗力造成</w:t>
      </w:r>
      <w:r>
        <w:rPr>
          <w:rFonts w:hint="eastAsia"/>
          <w:bCs/>
          <w:color w:val="auto"/>
          <w:szCs w:val="21"/>
          <w:highlight w:val="none"/>
          <w:lang w:eastAsia="zh-CN"/>
        </w:rPr>
        <w:t>供应商</w:t>
      </w:r>
      <w:r>
        <w:rPr>
          <w:rFonts w:hint="eastAsia"/>
          <w:bCs/>
          <w:color w:val="auto"/>
          <w:szCs w:val="21"/>
          <w:highlight w:val="none"/>
        </w:rPr>
        <w:t>发生本保函第一条约定情形的，我方不承担保证责任。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4．你方或其他有权机关对招标文件进行任何澄清或修改，加重我方保证责任的，我方对加重部分不承担保证责任，但该澄清或修改经我方事先书面同意的除外。</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六、争议的解决</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因本保函发生的纠纷，由你我双方协商解决，协商不成的，通过诉讼程序解决，诉讼管辖地法院为法院。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七、保函的生效</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本保函自我方加盖公章之日起生效。</w:t>
      </w:r>
    </w:p>
    <w:p>
      <w:pPr>
        <w:tabs>
          <w:tab w:val="left" w:pos="1080"/>
          <w:tab w:val="left" w:pos="1695"/>
        </w:tabs>
        <w:spacing w:line="360" w:lineRule="auto"/>
        <w:ind w:firstLine="480" w:firstLineChars="200"/>
        <w:contextualSpacing/>
        <w:rPr>
          <w:bCs/>
          <w:color w:val="auto"/>
          <w:szCs w:val="21"/>
          <w:highlight w:val="none"/>
        </w:rPr>
      </w:pP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保证人：（公章）</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年     月      日</w:t>
      </w:r>
    </w:p>
    <w:p>
      <w:pPr>
        <w:jc w:val="center"/>
        <w:rPr>
          <w:rFonts w:ascii="黑体" w:eastAsia="黑体"/>
          <w:bCs/>
          <w:color w:val="auto"/>
          <w:sz w:val="28"/>
          <w:szCs w:val="28"/>
          <w:highlight w:val="none"/>
        </w:rPr>
      </w:pPr>
      <w:r>
        <w:rPr>
          <w:rFonts w:hint="eastAsia" w:ascii="黑体" w:eastAsia="黑体"/>
          <w:bCs/>
          <w:color w:val="auto"/>
          <w:sz w:val="30"/>
          <w:szCs w:val="30"/>
          <w:highlight w:val="none"/>
        </w:rPr>
        <w:br w:type="page"/>
      </w:r>
      <w:r>
        <w:rPr>
          <w:rFonts w:hint="eastAsia" w:ascii="黑体" w:eastAsia="黑体"/>
          <w:bCs/>
          <w:color w:val="auto"/>
          <w:sz w:val="28"/>
          <w:szCs w:val="28"/>
          <w:highlight w:val="none"/>
        </w:rPr>
        <w:t>采购履约担保函</w:t>
      </w:r>
    </w:p>
    <w:p>
      <w:pPr>
        <w:wordWrap w:val="0"/>
        <w:jc w:val="right"/>
        <w:rPr>
          <w:rFonts w:ascii="仿宋_GB2312" w:eastAsia="仿宋_GB2312"/>
          <w:bCs/>
          <w:color w:val="auto"/>
          <w:sz w:val="32"/>
          <w:szCs w:val="32"/>
          <w:highlight w:val="none"/>
        </w:rPr>
      </w:pPr>
      <w:r>
        <w:rPr>
          <w:rFonts w:hint="eastAsia" w:ascii="黑体" w:eastAsia="黑体"/>
          <w:bCs/>
          <w:color w:val="auto"/>
          <w:sz w:val="28"/>
          <w:szCs w:val="28"/>
          <w:highlight w:val="none"/>
        </w:rPr>
        <w:t xml:space="preserve">编号：  </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（采购人）：</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鉴于你方与（以下简称供应商）于年月日签定编号为   的《采购合同》（以下简称主合同），且依据该合同的约定，供应商应在年月日前向你方交纳履约保证金，且可以履约担保函的形式交纳履约保证金。应供应商的申请，我方以保证的方式向你方提供如下履约保证金担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一、保证责任的情形及保证金额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（一）在供应商出现下列情形之一时，我方承担保证责任：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1．将中标项目转让给他人，或者在</w:t>
      </w:r>
      <w:r>
        <w:rPr>
          <w:rFonts w:hint="eastAsia"/>
          <w:bCs/>
          <w:color w:val="auto"/>
          <w:szCs w:val="21"/>
          <w:highlight w:val="none"/>
          <w:lang w:eastAsia="zh-CN"/>
        </w:rPr>
        <w:t>响应</w:t>
      </w:r>
      <w:r>
        <w:rPr>
          <w:rFonts w:hint="eastAsia"/>
          <w:bCs/>
          <w:color w:val="auto"/>
          <w:szCs w:val="21"/>
          <w:highlight w:val="none"/>
        </w:rPr>
        <w:t>文件中未说明，且未经采购招标机构人同意，将中标项目分包给他人的；</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 xml:space="preserve">2．主合同约定的应当缴纳履约保证金的情形: </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（1）未按主合同约定的质量、数量和期限供应货物/提供服务/完成工程的；</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（二）我方的保证范围是主合同约定的合同价款总额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%数额为元（大写），为。（即主合同履约保证金金额）</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二、保证的方式及保证期间</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我方保证的方式为：连带责任保证。</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我方保证的期间为：自本合同生效之日起至供应商按照主合同约定的供货/完工期限届满后日内。</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如果供应商未按主合同约定向贵方供应货物/提供服务/完成工程的，由我方在保证金额内向你方支付上述款项。</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三、承担保证责任的程序</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2．我方收到你方的书面索赔通知及相应证明材料，在</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工作日内进行核定后按照本保函的承诺承担保证责任。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四、保证责任的终止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2．我方按照本保函向你方履行了保证责任后，自我方向你方支付款项（支付款项从我方账户划出）之日起，保证责任即终止。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3．按照法律法规的规定或出现应终止我方保证责任的其它情形的，我方在本保函项下的保证责任亦终止。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五、免责条款</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1．因你方违反主合同约定致使供应商不能履行义务的，我方不承担保证责任。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2．依照法律法规的规定或你方与供应商的另行约定，全部或者部分免除供应商应缴纳的保证金义务的，我方亦免除相应的保证责任。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3．因不可抗力造成供应商不能履行供货义务的，我方不承担保证责任。</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六、争议的解决</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因本保函发生的纠纷，由你我双方协商解决，协商不成的，通过诉讼程序解决，诉讼管辖地法院为法院。</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七、保函的生效</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本保函自我方加盖公章之日起生效。</w:t>
      </w:r>
    </w:p>
    <w:p>
      <w:pPr>
        <w:tabs>
          <w:tab w:val="left" w:pos="1080"/>
          <w:tab w:val="left" w:pos="1695"/>
        </w:tabs>
        <w:spacing w:line="360" w:lineRule="auto"/>
        <w:ind w:firstLine="480" w:firstLineChars="200"/>
        <w:contextualSpacing/>
        <w:rPr>
          <w:bCs/>
          <w:color w:val="auto"/>
          <w:szCs w:val="21"/>
          <w:highlight w:val="none"/>
        </w:rPr>
      </w:pPr>
    </w:p>
    <w:p>
      <w:pPr>
        <w:tabs>
          <w:tab w:val="left" w:pos="1080"/>
          <w:tab w:val="left" w:pos="1695"/>
        </w:tabs>
        <w:spacing w:line="360" w:lineRule="auto"/>
        <w:ind w:firstLine="480" w:firstLineChars="200"/>
        <w:contextualSpacing/>
        <w:rPr>
          <w:bCs/>
          <w:color w:val="auto"/>
          <w:szCs w:val="21"/>
          <w:highlight w:val="none"/>
        </w:rPr>
      </w:pP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保证人：（公章）</w:t>
      </w:r>
    </w:p>
    <w:p>
      <w:pPr>
        <w:tabs>
          <w:tab w:val="left" w:pos="1080"/>
          <w:tab w:val="left" w:pos="1695"/>
        </w:tabs>
        <w:spacing w:line="360" w:lineRule="auto"/>
        <w:ind w:firstLine="480" w:firstLineChars="200"/>
        <w:contextualSpacing/>
        <w:rPr>
          <w:bCs/>
          <w:color w:val="auto"/>
          <w:szCs w:val="21"/>
          <w:highlight w:val="none"/>
        </w:rPr>
      </w:pPr>
      <w:r>
        <w:rPr>
          <w:rFonts w:hint="eastAsia"/>
          <w:bCs/>
          <w:color w:val="auto"/>
          <w:szCs w:val="21"/>
          <w:highlight w:val="none"/>
        </w:rPr>
        <w:t>年     月      日</w:t>
      </w:r>
    </w:p>
    <w:p>
      <w:pPr>
        <w:pStyle w:val="10"/>
        <w:spacing w:line="360" w:lineRule="auto"/>
        <w:rPr>
          <w:bCs/>
          <w:color w:val="auto"/>
          <w:highlight w:val="none"/>
        </w:rPr>
      </w:pPr>
    </w:p>
    <w:p>
      <w:pPr>
        <w:pStyle w:val="2"/>
        <w:keepNext/>
        <w:keepLines/>
        <w:pageBreakBefore/>
        <w:spacing w:line="360" w:lineRule="auto"/>
        <w:jc w:val="center"/>
        <w:rPr>
          <w:rFonts w:hAnsi="宋体"/>
          <w:bCs/>
          <w:color w:val="auto"/>
          <w:kern w:val="44"/>
          <w:sz w:val="28"/>
          <w:szCs w:val="28"/>
          <w:highlight w:val="none"/>
          <w:lang w:val="zh-CN"/>
        </w:rPr>
      </w:pPr>
      <w:bookmarkStart w:id="73" w:name="_Hlt10523642"/>
      <w:bookmarkEnd w:id="73"/>
      <w:bookmarkStart w:id="74" w:name="_Toc396137240"/>
      <w:bookmarkStart w:id="75" w:name="_Toc508723479"/>
      <w:bookmarkStart w:id="76" w:name="_Toc396137241"/>
      <w:bookmarkStart w:id="77" w:name="_Toc413402439"/>
      <w:bookmarkStart w:id="78" w:name="_Toc413402461"/>
      <w:bookmarkStart w:id="79" w:name="_Toc396137262"/>
      <w:r>
        <w:rPr>
          <w:rFonts w:hint="eastAsia" w:hAnsi="宋体"/>
          <w:bCs/>
          <w:color w:val="auto"/>
          <w:kern w:val="44"/>
          <w:sz w:val="28"/>
          <w:szCs w:val="28"/>
          <w:highlight w:val="none"/>
          <w:lang w:val="zh-CN"/>
        </w:rPr>
        <w:t>第五章   合同条款格式</w:t>
      </w:r>
      <w:bookmarkEnd w:id="74"/>
      <w:bookmarkEnd w:id="75"/>
      <w:bookmarkEnd w:id="76"/>
      <w:bookmarkEnd w:id="77"/>
      <w:r>
        <w:rPr>
          <w:rFonts w:hint="eastAsia" w:hAnsi="宋体"/>
          <w:bCs/>
          <w:color w:val="auto"/>
          <w:kern w:val="44"/>
          <w:sz w:val="28"/>
          <w:szCs w:val="28"/>
          <w:highlight w:val="none"/>
          <w:lang w:val="zh-CN"/>
        </w:rPr>
        <w:t>（</w:t>
      </w:r>
      <w:r>
        <w:rPr>
          <w:rFonts w:hint="eastAsia" w:hAnsi="宋体"/>
          <w:bCs/>
          <w:color w:val="auto"/>
          <w:kern w:val="44"/>
          <w:sz w:val="28"/>
          <w:szCs w:val="28"/>
          <w:highlight w:val="none"/>
          <w:lang w:val="en-US" w:eastAsia="zh-CN"/>
        </w:rPr>
        <w:t>仅供参考，非以此版本进行签订</w:t>
      </w:r>
      <w:r>
        <w:rPr>
          <w:rFonts w:hint="eastAsia" w:hAnsi="宋体"/>
          <w:bCs/>
          <w:color w:val="auto"/>
          <w:kern w:val="44"/>
          <w:sz w:val="28"/>
          <w:szCs w:val="28"/>
          <w:highlight w:val="none"/>
          <w:lang w:val="zh-CN"/>
        </w:rPr>
        <w:t>）</w:t>
      </w:r>
    </w:p>
    <w:bookmarkEnd w:id="78"/>
    <w:bookmarkEnd w:id="79"/>
    <w:p>
      <w:pPr>
        <w:pStyle w:val="4"/>
        <w:spacing w:line="360" w:lineRule="auto"/>
        <w:jc w:val="center"/>
        <w:rPr>
          <w:rFonts w:hint="eastAsia" w:ascii="宋体" w:hAnsi="宋体" w:eastAsia="宋体" w:cs="宋体"/>
          <w:color w:val="auto"/>
          <w:sz w:val="21"/>
          <w:szCs w:val="21"/>
          <w:highlight w:val="none"/>
        </w:rPr>
      </w:pPr>
      <w:bookmarkStart w:id="80" w:name="_Toc19575"/>
      <w:bookmarkStart w:id="81" w:name="_Toc8880"/>
      <w:bookmarkStart w:id="82" w:name="_Toc16730"/>
      <w:r>
        <w:rPr>
          <w:rFonts w:hint="eastAsia" w:ascii="宋体" w:hAnsi="宋体" w:eastAsia="宋体" w:cs="宋体"/>
          <w:color w:val="auto"/>
          <w:sz w:val="21"/>
          <w:szCs w:val="21"/>
          <w:highlight w:val="none"/>
        </w:rPr>
        <w:t>合同格式</w:t>
      </w:r>
      <w:bookmarkEnd w:id="80"/>
      <w:bookmarkEnd w:id="81"/>
      <w:bookmarkEnd w:id="82"/>
    </w:p>
    <w:p>
      <w:pPr>
        <w:spacing w:line="360" w:lineRule="auto"/>
        <w:ind w:right="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 ”为</w:t>
      </w:r>
      <w:r>
        <w:rPr>
          <w:rFonts w:hint="eastAsia" w:hAnsi="宋体" w:cs="宋体"/>
          <w:color w:val="auto"/>
          <w:sz w:val="21"/>
          <w:szCs w:val="21"/>
          <w:highlight w:val="none"/>
          <w:lang w:eastAsia="zh-CN"/>
        </w:rPr>
        <w:t>成交单位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受甲方委托，</w:t>
      </w:r>
      <w:r>
        <w:rPr>
          <w:rFonts w:hint="eastAsia" w:ascii="宋体" w:hAnsi="宋体" w:eastAsia="宋体" w:cs="宋体"/>
          <w:color w:val="auto"/>
          <w:sz w:val="21"/>
          <w:szCs w:val="21"/>
          <w:highlight w:val="none"/>
          <w:u w:val="single"/>
        </w:rPr>
        <w:t xml:space="preserve">           (采购代理机构)</w:t>
      </w:r>
      <w:r>
        <w:rPr>
          <w:rFonts w:hint="eastAsia" w:ascii="宋体" w:hAnsi="宋体" w:eastAsia="宋体" w:cs="宋体"/>
          <w:color w:val="auto"/>
          <w:sz w:val="21"/>
          <w:szCs w:val="21"/>
          <w:highlight w:val="none"/>
        </w:rPr>
        <w:t>组织对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采购项目（采购项目编号为）进行采购，于年月日通过公开招标，经评标委员会评定乙方为</w:t>
      </w:r>
      <w:r>
        <w:rPr>
          <w:rFonts w:hint="eastAsia" w:hAnsi="宋体" w:cs="宋体"/>
          <w:color w:val="auto"/>
          <w:sz w:val="21"/>
          <w:szCs w:val="21"/>
          <w:highlight w:val="none"/>
          <w:lang w:eastAsia="zh-CN"/>
        </w:rPr>
        <w:t>成交单位</w:t>
      </w:r>
      <w:r>
        <w:rPr>
          <w:rFonts w:hint="eastAsia" w:ascii="宋体" w:hAnsi="宋体" w:eastAsia="宋体" w:cs="宋体"/>
          <w:color w:val="auto"/>
          <w:sz w:val="21"/>
          <w:szCs w:val="21"/>
          <w:highlight w:val="none"/>
        </w:rPr>
        <w:t>。为了保护甲、乙双方合法权益，根据《中华人民共和国民法典》，在平等自愿的基础上，按照下面的条款和条件，签署本合同。</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hAnsi="宋体" w:cs="宋体"/>
          <w:b/>
          <w:bCs/>
          <w:color w:val="auto"/>
          <w:sz w:val="21"/>
          <w:szCs w:val="21"/>
          <w:highlight w:val="none"/>
          <w:u w:val="single"/>
          <w:lang w:eastAsia="zh-CN"/>
        </w:rPr>
        <w:t>东莞市勇飞五金制品有限公司760.1kW分布式光伏发电项目</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2、采购项目编号：                   。</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合同组成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1、合同文件组成内容包括：本合同书 、中标</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成交</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通知书、</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文件（含澄清内容）、</w:t>
      </w:r>
      <w:r>
        <w:rPr>
          <w:rFonts w:hint="eastAsia"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文件（含</w:t>
      </w:r>
      <w:r>
        <w:rPr>
          <w:rFonts w:hint="eastAsia"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文件澄清通知）等。</w:t>
      </w:r>
    </w:p>
    <w:p>
      <w:pPr>
        <w:spacing w:line="360" w:lineRule="auto"/>
        <w:ind w:firstLine="422" w:firstLineChars="200"/>
        <w:rPr>
          <w:rFonts w:hint="eastAsia" w:ascii="宋体" w:hAnsi="宋体" w:eastAsia="宋体" w:cs="宋体"/>
          <w:b/>
          <w:color w:val="auto"/>
          <w:sz w:val="21"/>
          <w:szCs w:val="21"/>
          <w:highlight w:val="none"/>
        </w:rPr>
      </w:pPr>
      <w:bookmarkStart w:id="83" w:name="_Toc86481558"/>
      <w:r>
        <w:rPr>
          <w:rFonts w:hint="eastAsia" w:ascii="宋体" w:hAnsi="宋体" w:eastAsia="宋体" w:cs="宋体"/>
          <w:b/>
          <w:color w:val="auto"/>
          <w:sz w:val="21"/>
          <w:szCs w:val="21"/>
          <w:highlight w:val="none"/>
        </w:rPr>
        <w:t xml:space="preserve">第三条 </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内容、标准及要求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1、采购内容：</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2、采购标准：</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3、采购要求：</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4、具体采购内容采购标准及要求以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文件用户需求书及乙方</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文件承诺条款及方案为准。</w:t>
      </w:r>
    </w:p>
    <w:p>
      <w:pPr>
        <w:spacing w:line="360" w:lineRule="auto"/>
        <w:rPr>
          <w:rFonts w:hint="eastAsia" w:ascii="宋体" w:hAnsi="宋体" w:eastAsia="宋体" w:cs="宋体"/>
          <w:color w:val="auto"/>
          <w:sz w:val="21"/>
          <w:szCs w:val="21"/>
          <w:highlight w:val="none"/>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价格</w:t>
      </w:r>
    </w:p>
    <w:p>
      <w:pPr>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1、合同总价包含：</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w:t>
      </w:r>
    </w:p>
    <w:p>
      <w:pPr>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2、合同总价：（人民币）大写 （¥）</w:t>
      </w:r>
    </w:p>
    <w:p>
      <w:pPr>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3、本合同价为固定不变价。</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第五条</w:t>
      </w:r>
      <w:r>
        <w:rPr>
          <w:rFonts w:hint="eastAsia" w:ascii="宋体" w:hAnsi="宋体" w:eastAsia="宋体" w:cs="宋体"/>
          <w:b/>
          <w:color w:val="auto"/>
          <w:sz w:val="21"/>
          <w:szCs w:val="21"/>
          <w:highlight w:val="none"/>
          <w:lang w:val="en-US" w:eastAsia="zh-CN"/>
        </w:rPr>
        <w:t xml:space="preserve"> 服务期限及地点</w:t>
      </w:r>
    </w:p>
    <w:p>
      <w:pPr>
        <w:spacing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1、服务期：  年，合同生效之日自       年  月  日至     年  月  日止。</w:t>
      </w:r>
    </w:p>
    <w:p>
      <w:pPr>
        <w:spacing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2、服务地点：              或甲方指定地点。</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付款方式</w:t>
      </w:r>
    </w:p>
    <w:p>
      <w:pPr>
        <w:spacing w:line="360" w:lineRule="auto"/>
        <w:ind w:firstLine="420" w:firstLineChars="200"/>
        <w:rPr>
          <w:rFonts w:hint="eastAsia" w:ascii="宋体" w:hAnsi="宋体" w:eastAsia="宋体" w:cs="宋体"/>
          <w:color w:val="auto"/>
          <w:sz w:val="21"/>
          <w:szCs w:val="21"/>
          <w:highlight w:val="none"/>
          <w:shd w:val="clear" w:color="auto" w:fill="FFFFFF"/>
          <w:lang w:val="zh-CN" w:eastAsia="zh-CN"/>
        </w:rPr>
      </w:pPr>
      <w:r>
        <w:rPr>
          <w:rFonts w:hint="eastAsia" w:ascii="宋体" w:hAnsi="宋体" w:eastAsia="宋体" w:cs="宋体"/>
          <w:color w:val="auto"/>
          <w:sz w:val="21"/>
          <w:szCs w:val="21"/>
          <w:highlight w:val="none"/>
          <w:shd w:val="clear" w:color="auto" w:fill="FFFFFF"/>
          <w:lang w:val="zh-CN" w:eastAsia="zh-CN"/>
        </w:rPr>
        <w:t>1、本合同的付款方式为：。</w:t>
      </w:r>
    </w:p>
    <w:p>
      <w:pPr>
        <w:spacing w:line="360" w:lineRule="auto"/>
        <w:ind w:firstLine="420" w:firstLineChars="200"/>
        <w:rPr>
          <w:rFonts w:hint="eastAsia" w:ascii="宋体" w:hAnsi="宋体" w:eastAsia="宋体" w:cs="宋体"/>
          <w:color w:val="auto"/>
          <w:sz w:val="21"/>
          <w:szCs w:val="21"/>
          <w:highlight w:val="none"/>
          <w:shd w:val="clear" w:color="auto" w:fill="FFFFFF"/>
          <w:lang w:val="zh-CN" w:eastAsia="zh-CN"/>
        </w:rPr>
      </w:pPr>
      <w:r>
        <w:rPr>
          <w:rFonts w:hint="eastAsia" w:ascii="宋体" w:hAnsi="宋体" w:eastAsia="宋体" w:cs="宋体"/>
          <w:color w:val="auto"/>
          <w:sz w:val="21"/>
          <w:szCs w:val="21"/>
          <w:highlight w:val="none"/>
          <w:shd w:val="clear" w:color="auto" w:fill="FFFFFF"/>
          <w:lang w:val="zh-CN" w:eastAsia="zh-CN"/>
        </w:rPr>
        <w:t>2、付款前乙方应向甲方提出请款申请及所需的材料和等额合格发票。本合同的经费由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kinsoku/>
        <w:wordWrap/>
        <w:overflowPunct/>
        <w:topLinePunct w:val="0"/>
        <w:autoSpaceDE/>
        <w:autoSpaceDN/>
        <w:bidi w:val="0"/>
        <w:adjustRightInd w:val="0"/>
        <w:snapToGrid/>
        <w:spacing w:line="360" w:lineRule="auto"/>
        <w:ind w:left="0" w:firstLine="422" w:firstLineChars="200"/>
        <w:textAlignment w:val="auto"/>
        <w:rPr>
          <w:rFonts w:hint="eastAsia" w:ascii="宋体" w:hAnsi="宋体" w:eastAsia="宋体" w:cs="宋体"/>
          <w:b/>
          <w:bCs/>
          <w:color w:val="auto"/>
          <w:sz w:val="21"/>
          <w:szCs w:val="21"/>
          <w:highlight w:val="none"/>
          <w:lang w:val="zh-CN" w:bidi="zh-CN"/>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验收方式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1、验收应在甲乙双方共同参加下进行，依据招标文件及本合同的有关规定制定的方案进行验收，并按国家有关规定、规范进行。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2、甲方组织项目验收小组按国家有关规定、规范进行验收，必要时邀请相关专业人员或机构参与验收。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3、对验收不合格的部分，乙方应在甲方规定时间内及时整改完善直至合格。</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税和关税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1、中国政府根据现行税法对甲方征收的与本合同有关的一切税费均应由甲方承担。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2、中国政府根据现行税法规定对乙方或其雇员征收的与本合同有关的一切税费应由乙方承担。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3、在中国境外发生的与本合同执行有关的一切税费均应由乙方承担。</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其它约定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1、严禁转包，未经甲方书面同意不得分包。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2、乙方全部工作人员，须符合东莞市用工标准要求。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3、乙方服务人员进行服务期间的过失或故意行为，造成甲方经济损失的，由乙方负责赔偿。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4、服务人员的劳动关系隶属乙方，乙方负责服务人员的工资、节假日和超时加班补助费、社会保险、住宿、伙食等。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5、乙方负责本项目服务人员购买因意外身故或伤残和因意外事故住院治疗保险，并负责办理一切保险赔偿手续。</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2、由于乙方的原因，导致双方签订的合同终止，乙方因此而遭受的损失，将由乙方独立承担，甲方对此不负任何责任，也不作任何赔偿。</w:t>
      </w:r>
    </w:p>
    <w:bookmarkEnd w:id="83"/>
    <w:p>
      <w:pPr>
        <w:spacing w:line="360" w:lineRule="auto"/>
        <w:ind w:firstLine="422" w:firstLineChars="200"/>
        <w:rPr>
          <w:rFonts w:hint="eastAsia" w:ascii="宋体" w:hAnsi="宋体" w:eastAsia="宋体" w:cs="宋体"/>
          <w:b/>
          <w:color w:val="auto"/>
          <w:sz w:val="21"/>
          <w:szCs w:val="21"/>
          <w:highlight w:val="none"/>
        </w:rPr>
      </w:pPr>
      <w:bookmarkStart w:id="84" w:name="_Toc86481570"/>
      <w:r>
        <w:rPr>
          <w:rFonts w:hint="eastAsia" w:ascii="宋体" w:hAnsi="宋体" w:eastAsia="宋体" w:cs="宋体"/>
          <w:b/>
          <w:color w:val="auto"/>
          <w:sz w:val="21"/>
          <w:szCs w:val="21"/>
          <w:highlight w:val="none"/>
        </w:rPr>
        <w:t>第十一条 争议的解决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宋体"/>
          <w:color w:val="auto"/>
          <w:sz w:val="21"/>
          <w:szCs w:val="21"/>
          <w:highlight w:val="none"/>
          <w:shd w:val="clear" w:color="auto" w:fill="FFFFFF"/>
        </w:rPr>
        <w:t>。</w:t>
      </w:r>
    </w:p>
    <w:p>
      <w:pPr>
        <w:spacing w:line="360" w:lineRule="auto"/>
        <w:ind w:firstLine="422" w:firstLineChars="200"/>
        <w:rPr>
          <w:rFonts w:hint="eastAsia" w:ascii="宋体" w:hAnsi="宋体" w:eastAsia="宋体" w:cs="宋体"/>
          <w:b/>
          <w:color w:val="auto"/>
          <w:sz w:val="21"/>
          <w:szCs w:val="21"/>
          <w:highlight w:val="none"/>
        </w:rPr>
      </w:pPr>
      <w:bookmarkStart w:id="85" w:name="_Toc86481569"/>
      <w:r>
        <w:rPr>
          <w:rFonts w:hint="eastAsia" w:ascii="宋体" w:hAnsi="宋体" w:eastAsia="宋体" w:cs="宋体"/>
          <w:b/>
          <w:color w:val="auto"/>
          <w:sz w:val="21"/>
          <w:szCs w:val="21"/>
          <w:highlight w:val="none"/>
        </w:rPr>
        <w:t>第十二条 合同生效</w:t>
      </w:r>
      <w:bookmarkEnd w:id="8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1、本合同由双方法定代表人或委托代理人签字盖章后立即生效，具有同等法律效力，合同有效期随服务期结束而自然终止。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    份，其中甲方    份、乙方    份，采购代理机构 壹 份（须在合同签订之日起7个工作日内递交）。</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其它</w:t>
      </w:r>
      <w:bookmarkEnd w:id="84"/>
    </w:p>
    <w:p>
      <w:pPr>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1、本合同未尽事宜，双方可签订补充合同，补充合同与所有附件均为合同的有效组成部分，与本合同具有同等法律效力。</w:t>
      </w:r>
    </w:p>
    <w:p>
      <w:pPr>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本合同合计   页A4纸张，缺页之合同为无效合同。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法定代表(签字)：                   法定代表(签字)：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开户银行：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此仅为合同书样本，</w:t>
      </w:r>
      <w:r>
        <w:rPr>
          <w:rFonts w:hint="eastAsia" w:hAnsi="宋体" w:cs="宋体"/>
          <w:b/>
          <w:color w:val="auto"/>
          <w:sz w:val="21"/>
          <w:szCs w:val="21"/>
          <w:highlight w:val="none"/>
          <w:lang w:eastAsia="zh-CN"/>
        </w:rPr>
        <w:t>成交人</w:t>
      </w:r>
      <w:r>
        <w:rPr>
          <w:rFonts w:hint="eastAsia" w:ascii="宋体" w:hAnsi="宋体" w:eastAsia="宋体" w:cs="宋体"/>
          <w:b/>
          <w:color w:val="auto"/>
          <w:sz w:val="21"/>
          <w:szCs w:val="21"/>
          <w:highlight w:val="none"/>
        </w:rPr>
        <w:t>需根据实际情况和甲方签订相应的合同！</w:t>
      </w:r>
    </w:p>
    <w:p>
      <w:pPr>
        <w:jc w:val="center"/>
        <w:rPr>
          <w:rFonts w:ascii="黑体" w:hAnsi="黑体" w:eastAsia="黑体" w:cs="黑体"/>
          <w:color w:val="auto"/>
          <w:sz w:val="52"/>
          <w:szCs w:val="52"/>
          <w:highlight w:val="none"/>
        </w:rPr>
      </w:pPr>
      <w:r>
        <w:rPr>
          <w:rFonts w:hint="eastAsia" w:ascii="宋体" w:hAnsi="宋体" w:eastAsia="宋体" w:cs="宋体"/>
          <w:b/>
          <w:color w:val="auto"/>
          <w:sz w:val="21"/>
          <w:szCs w:val="21"/>
          <w:highlight w:val="none"/>
        </w:rPr>
        <w:br w:type="page"/>
      </w:r>
      <w:r>
        <w:rPr>
          <w:rFonts w:hint="eastAsia" w:ascii="黑体" w:hAnsi="黑体" w:eastAsia="黑体" w:cs="黑体"/>
          <w:color w:val="auto"/>
          <w:sz w:val="52"/>
          <w:szCs w:val="52"/>
          <w:highlight w:val="none"/>
        </w:rPr>
        <w:t>获取招标文件登记表</w:t>
      </w:r>
    </w:p>
    <w:tbl>
      <w:tblPr>
        <w:tblStyle w:val="18"/>
        <w:tblW w:w="4998" w:type="pct"/>
        <w:tblInd w:w="0" w:type="dxa"/>
        <w:tblLayout w:type="fixed"/>
        <w:tblCellMar>
          <w:top w:w="0" w:type="dxa"/>
          <w:left w:w="108" w:type="dxa"/>
          <w:bottom w:w="0" w:type="dxa"/>
          <w:right w:w="108" w:type="dxa"/>
        </w:tblCellMar>
      </w:tblPr>
      <w:tblGrid>
        <w:gridCol w:w="3003"/>
        <w:gridCol w:w="2554"/>
        <w:gridCol w:w="1101"/>
        <w:gridCol w:w="2581"/>
      </w:tblGrid>
      <w:tr>
        <w:tblPrEx>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项目编号</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c>
          <w:tcPr>
            <w:tcW w:w="596"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包号</w:t>
            </w:r>
          </w:p>
        </w:tc>
        <w:tc>
          <w:tcPr>
            <w:tcW w:w="13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电话</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c>
          <w:tcPr>
            <w:tcW w:w="596"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手机</w:t>
            </w:r>
          </w:p>
        </w:tc>
        <w:tc>
          <w:tcPr>
            <w:tcW w:w="13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年    月    日    时    分</w:t>
            </w:r>
          </w:p>
        </w:tc>
      </w:tr>
      <w:tr>
        <w:tblPrEx>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承诺:</w:t>
            </w:r>
          </w:p>
          <w:p>
            <w:pPr>
              <w:numPr>
                <w:ilvl w:val="0"/>
                <w:numId w:val="6"/>
              </w:numPr>
              <w:ind w:firstLine="560" w:firstLineChars="200"/>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本公司对招标文件的内容已经了解，并自愿购买该招标文件。</w:t>
            </w:r>
          </w:p>
          <w:p>
            <w:pPr>
              <w:numPr>
                <w:ilvl w:val="0"/>
                <w:numId w:val="6"/>
              </w:numPr>
              <w:ind w:firstLine="560" w:firstLineChars="200"/>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本公司对提供的所有资料的真实性、有效性承担责任。</w:t>
            </w:r>
          </w:p>
          <w:p>
            <w:pPr>
              <w:numPr>
                <w:ilvl w:val="0"/>
                <w:numId w:val="6"/>
              </w:numPr>
              <w:ind w:firstLine="560" w:firstLineChars="200"/>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招标文件售后不退。</w:t>
            </w:r>
          </w:p>
          <w:p>
            <w:pPr>
              <w:ind w:firstLine="3738" w:firstLineChars="1335"/>
              <w:jc w:val="both"/>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 xml:space="preserve">招标文件领取人签名: </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vertAlign w:val="subscript"/>
                <w:lang w:bidi="ar"/>
              </w:rPr>
              <w:t xml:space="preserve"> </w:t>
            </w:r>
            <w:r>
              <w:rPr>
                <w:rFonts w:hint="eastAsia" w:ascii="宋体" w:hAnsi="宋体" w:cs="宋体"/>
                <w:color w:val="auto"/>
                <w:sz w:val="28"/>
                <w:szCs w:val="28"/>
                <w:highlight w:val="none"/>
                <w:lang w:bidi="ar"/>
              </w:rPr>
              <w:t xml:space="preserve">              </w:t>
            </w:r>
            <w:r>
              <w:rPr>
                <w:rFonts w:hint="eastAsia" w:ascii="宋体" w:hAnsi="宋体" w:cs="宋体"/>
                <w:color w:val="auto"/>
                <w:sz w:val="28"/>
                <w:szCs w:val="28"/>
                <w:highlight w:val="none"/>
                <w:u w:val="single"/>
                <w:lang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人民币</w:t>
            </w:r>
            <w:r>
              <w:rPr>
                <w:rFonts w:hint="eastAsia" w:ascii="宋体" w:hAnsi="宋体" w:cs="宋体"/>
                <w:color w:val="auto"/>
                <w:sz w:val="28"/>
                <w:szCs w:val="28"/>
                <w:highlight w:val="none"/>
                <w:lang w:val="en-US" w:eastAsia="zh-CN" w:bidi="ar"/>
              </w:rPr>
              <w:t>300</w:t>
            </w:r>
            <w:r>
              <w:rPr>
                <w:rFonts w:hint="eastAsia" w:ascii="宋体" w:hAnsi="宋体" w:cs="宋体"/>
                <w:color w:val="auto"/>
                <w:sz w:val="28"/>
                <w:szCs w:val="28"/>
                <w:highlight w:val="none"/>
                <w:lang w:bidi="ar"/>
              </w:rPr>
              <w:t>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8"/>
                <w:szCs w:val="28"/>
                <w:highlight w:val="none"/>
                <w:lang w:bidi="ar"/>
              </w:rPr>
            </w:pPr>
            <w:r>
              <w:rPr>
                <w:rFonts w:hint="eastAsia" w:ascii="宋体" w:hAnsi="宋体" w:cs="宋体"/>
                <w:b/>
                <w:bCs/>
                <w:color w:val="auto"/>
                <w:sz w:val="32"/>
                <w:szCs w:val="32"/>
                <w:highlight w:val="none"/>
              </w:rPr>
              <w:t>注：开完发票后请把报名表格交还至前台</w:t>
            </w:r>
          </w:p>
        </w:tc>
      </w:tr>
    </w:tbl>
    <w:p>
      <w:pPr>
        <w:spacing w:line="360" w:lineRule="auto"/>
        <w:rPr>
          <w:rFonts w:hint="eastAsia" w:ascii="宋体" w:hAnsi="宋体" w:eastAsia="宋体" w:cs="宋体"/>
          <w:b w:val="0"/>
          <w:color w:val="auto"/>
          <w:sz w:val="21"/>
          <w:szCs w:val="21"/>
          <w:highlight w:val="none"/>
        </w:rPr>
      </w:pPr>
    </w:p>
    <w:p>
      <w:pPr>
        <w:rPr>
          <w:color w:val="auto"/>
          <w:highlight w:val="none"/>
        </w:rPr>
      </w:pPr>
    </w:p>
    <w:sectPr>
      <w:footerReference r:id="rId8" w:type="default"/>
      <w:pgSz w:w="11907" w:h="16840"/>
      <w:pgMar w:top="1276" w:right="1440" w:bottom="1276" w:left="1440" w:header="720" w:footer="72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5015"/>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960"/>
        </w:tabs>
        <w:ind w:left="960" w:hanging="4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00000006"/>
    <w:multiLevelType w:val="multilevel"/>
    <w:tmpl w:val="00000006"/>
    <w:lvl w:ilvl="0" w:tentative="0">
      <w:start w:val="1"/>
      <w:numFmt w:val="decimal"/>
      <w:lvlText w:val="%1"/>
      <w:lvlJc w:val="left"/>
      <w:pPr>
        <w:tabs>
          <w:tab w:val="left" w:pos="615"/>
        </w:tabs>
        <w:ind w:left="615" w:hanging="615"/>
      </w:pPr>
      <w:rPr>
        <w:rFonts w:hint="default"/>
      </w:rPr>
    </w:lvl>
    <w:lvl w:ilvl="1" w:tentative="0">
      <w:start w:val="1"/>
      <w:numFmt w:val="decimal"/>
      <w:lvlText w:val="%1.%2"/>
      <w:lvlJc w:val="left"/>
      <w:pPr>
        <w:tabs>
          <w:tab w:val="left" w:pos="567"/>
        </w:tabs>
        <w:ind w:left="567" w:hanging="567"/>
      </w:pPr>
      <w:rPr>
        <w:rFonts w:hint="eastAsia" w:ascii="宋体" w:hAnsi="宋体" w:eastAsia="宋体"/>
        <w:b w:val="0"/>
        <w:i w:val="0"/>
        <w:sz w:val="21"/>
        <w:szCs w:val="21"/>
      </w:rPr>
    </w:lvl>
    <w:lvl w:ilvl="2" w:tentative="0">
      <w:start w:val="1"/>
      <w:numFmt w:val="decimal"/>
      <w:lvlText w:val="%1.%2.%3"/>
      <w:lvlJc w:val="left"/>
      <w:pPr>
        <w:tabs>
          <w:tab w:val="left" w:pos="615"/>
        </w:tabs>
        <w:ind w:left="615" w:hanging="615"/>
      </w:pPr>
      <w:rPr>
        <w:rFonts w:hint="default"/>
      </w:rPr>
    </w:lvl>
    <w:lvl w:ilvl="3" w:tentative="0">
      <w:start w:val="1"/>
      <w:numFmt w:val="decimal"/>
      <w:lvlText w:val="%1.%2.%3.%4"/>
      <w:lvlJc w:val="left"/>
      <w:pPr>
        <w:tabs>
          <w:tab w:val="left" w:pos="615"/>
        </w:tabs>
        <w:ind w:left="615" w:hanging="615"/>
      </w:pPr>
      <w:rPr>
        <w:rFonts w:hint="default"/>
      </w:rPr>
    </w:lvl>
    <w:lvl w:ilvl="4" w:tentative="0">
      <w:start w:val="1"/>
      <w:numFmt w:val="decimal"/>
      <w:lvlText w:val="%1.%2.%3.%4.%5"/>
      <w:lvlJc w:val="left"/>
      <w:pPr>
        <w:tabs>
          <w:tab w:val="left" w:pos="615"/>
        </w:tabs>
        <w:ind w:left="615" w:hanging="615"/>
      </w:pPr>
      <w:rPr>
        <w:rFonts w:hint="default"/>
      </w:rPr>
    </w:lvl>
    <w:lvl w:ilvl="5" w:tentative="0">
      <w:start w:val="1"/>
      <w:numFmt w:val="decimal"/>
      <w:lvlText w:val="%1.%2.%3.%4.%5.%6"/>
      <w:lvlJc w:val="left"/>
      <w:pPr>
        <w:tabs>
          <w:tab w:val="left" w:pos="615"/>
        </w:tabs>
        <w:ind w:left="615" w:hanging="615"/>
      </w:pPr>
      <w:rPr>
        <w:rFonts w:hint="default"/>
      </w:rPr>
    </w:lvl>
    <w:lvl w:ilvl="6" w:tentative="0">
      <w:start w:val="1"/>
      <w:numFmt w:val="decimal"/>
      <w:lvlText w:val="%1.%2.%3.%4.%5.%6.%7"/>
      <w:lvlJc w:val="left"/>
      <w:pPr>
        <w:tabs>
          <w:tab w:val="left" w:pos="615"/>
        </w:tabs>
        <w:ind w:left="615" w:hanging="615"/>
      </w:pPr>
      <w:rPr>
        <w:rFonts w:hint="default"/>
      </w:rPr>
    </w:lvl>
    <w:lvl w:ilvl="7" w:tentative="0">
      <w:start w:val="1"/>
      <w:numFmt w:val="decimal"/>
      <w:lvlText w:val="%1.%2.%3.%4.%5.%6.%7.%8"/>
      <w:lvlJc w:val="left"/>
      <w:pPr>
        <w:tabs>
          <w:tab w:val="left" w:pos="615"/>
        </w:tabs>
        <w:ind w:left="615" w:hanging="615"/>
      </w:pPr>
      <w:rPr>
        <w:rFonts w:hint="default"/>
      </w:rPr>
    </w:lvl>
    <w:lvl w:ilvl="8" w:tentative="0">
      <w:start w:val="1"/>
      <w:numFmt w:val="decimal"/>
      <w:lvlText w:val="%1.%2.%3.%4.%5.%6.%7.%8.%9"/>
      <w:lvlJc w:val="left"/>
      <w:pPr>
        <w:tabs>
          <w:tab w:val="left" w:pos="615"/>
        </w:tabs>
        <w:ind w:left="615" w:hanging="615"/>
      </w:pPr>
      <w:rPr>
        <w:rFonts w:hint="default"/>
      </w:rPr>
    </w:lvl>
  </w:abstractNum>
  <w:abstractNum w:abstractNumId="2">
    <w:nsid w:val="0000000A"/>
    <w:multiLevelType w:val="multilevel"/>
    <w:tmpl w:val="0000000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decimal"/>
      <w:suff w:val="nothing"/>
      <w:lvlText w:val="%1．"/>
      <w:lvlJc w:val="left"/>
      <w:pPr>
        <w:tabs>
          <w:tab w:val="left" w:pos="0"/>
        </w:tabs>
        <w:ind w:left="0" w:firstLine="0"/>
      </w:pPr>
    </w:lvl>
  </w:abstractNum>
  <w:abstractNum w:abstractNumId="4">
    <w:nsid w:val="0000000C"/>
    <w:multiLevelType w:val="multilevel"/>
    <w:tmpl w:val="0000000C"/>
    <w:lvl w:ilvl="0" w:tentative="0">
      <w:start w:val="3"/>
      <w:numFmt w:val="japaneseCounting"/>
      <w:lvlText w:val="%1、"/>
      <w:lvlJc w:val="left"/>
      <w:pPr>
        <w:tabs>
          <w:tab w:val="left" w:pos="0"/>
        </w:tabs>
        <w:ind w:left="450" w:hanging="45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316010E5"/>
    <w:multiLevelType w:val="singleLevel"/>
    <w:tmpl w:val="316010E5"/>
    <w:lvl w:ilvl="0" w:tentative="0">
      <w:start w:val="1"/>
      <w:numFmt w:val="decimal"/>
      <w:suff w:val="nothing"/>
      <w:lvlText w:val="%1．"/>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567E1165"/>
    <w:rsid w:val="0203447E"/>
    <w:rsid w:val="068240FD"/>
    <w:rsid w:val="07D77343"/>
    <w:rsid w:val="086D7400"/>
    <w:rsid w:val="0BB217AE"/>
    <w:rsid w:val="106B7A84"/>
    <w:rsid w:val="18ED1B95"/>
    <w:rsid w:val="19AF2D86"/>
    <w:rsid w:val="1ADC7220"/>
    <w:rsid w:val="20F00DCA"/>
    <w:rsid w:val="25DB6D8A"/>
    <w:rsid w:val="265E4AAD"/>
    <w:rsid w:val="2745361C"/>
    <w:rsid w:val="295F4DD4"/>
    <w:rsid w:val="2B050B4A"/>
    <w:rsid w:val="2B5319D8"/>
    <w:rsid w:val="30FC2BBF"/>
    <w:rsid w:val="32FB4C7B"/>
    <w:rsid w:val="366F7A42"/>
    <w:rsid w:val="36CA0C34"/>
    <w:rsid w:val="36E17BFF"/>
    <w:rsid w:val="371735F5"/>
    <w:rsid w:val="378E3386"/>
    <w:rsid w:val="3A390A62"/>
    <w:rsid w:val="3BA35630"/>
    <w:rsid w:val="4623380F"/>
    <w:rsid w:val="4AEE0F8B"/>
    <w:rsid w:val="4BCD2079"/>
    <w:rsid w:val="4BD04B2F"/>
    <w:rsid w:val="4D4650B4"/>
    <w:rsid w:val="52F35168"/>
    <w:rsid w:val="546D1D33"/>
    <w:rsid w:val="567E1165"/>
    <w:rsid w:val="5EE17C00"/>
    <w:rsid w:val="5FEA6BA5"/>
    <w:rsid w:val="66220932"/>
    <w:rsid w:val="6B3A480D"/>
    <w:rsid w:val="6B735297"/>
    <w:rsid w:val="6EF94CA6"/>
    <w:rsid w:val="708A72B5"/>
    <w:rsid w:val="78A37620"/>
    <w:rsid w:val="7E35034D"/>
    <w:rsid w:val="7F78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0"/>
    <w:pPr>
      <w:outlineLvl w:val="0"/>
    </w:pPr>
    <w:rPr>
      <w:rFonts w:ascii="Times New Roman"/>
    </w:rPr>
  </w:style>
  <w:style w:type="paragraph" w:styleId="3">
    <w:name w:val="heading 2"/>
    <w:basedOn w:val="1"/>
    <w:next w:val="1"/>
    <w:qFormat/>
    <w:uiPriority w:val="0"/>
    <w:pPr>
      <w:outlineLvl w:val="1"/>
    </w:pPr>
    <w:rPr>
      <w:rFonts w:ascii="Times New Roman"/>
    </w:rPr>
  </w:style>
  <w:style w:type="paragraph" w:styleId="4">
    <w:name w:val="heading 3"/>
    <w:basedOn w:val="1"/>
    <w:next w:val="1"/>
    <w:qFormat/>
    <w:uiPriority w:val="0"/>
    <w:pPr>
      <w:outlineLvl w:val="2"/>
    </w:pPr>
  </w:style>
  <w:style w:type="paragraph" w:styleId="5">
    <w:name w:val="heading 4"/>
    <w:basedOn w:val="1"/>
    <w:next w:val="1"/>
    <w:qFormat/>
    <w:uiPriority w:val="0"/>
    <w:pPr>
      <w:keepNext/>
      <w:keepLines/>
      <w:spacing w:line="360" w:lineRule="auto"/>
      <w:outlineLvl w:val="3"/>
    </w:pPr>
    <w:rPr>
      <w:rFonts w:ascii="Arial" w:hAnsi="Arial" w:eastAsia="宋体"/>
      <w:b/>
      <w:bCs/>
      <w:szCs w:val="28"/>
    </w:rPr>
  </w:style>
  <w:style w:type="paragraph" w:styleId="6">
    <w:name w:val="heading 5"/>
    <w:basedOn w:val="1"/>
    <w:next w:val="1"/>
    <w:unhideWhenUsed/>
    <w:qFormat/>
    <w:uiPriority w:val="0"/>
    <w:pPr>
      <w:keepNext/>
      <w:keepLines/>
      <w:spacing w:beforeLines="0" w:beforeAutospacing="0" w:afterLines="0" w:afterAutospacing="0" w:line="360" w:lineRule="auto"/>
      <w:outlineLvl w:val="4"/>
    </w:pPr>
    <w:rPr>
      <w:rFonts w:ascii="宋体" w:hAnsi="宋体" w:eastAsia="宋体"/>
      <w:b/>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0"/>
    <w:pPr>
      <w:ind w:right="-26"/>
      <w:jc w:val="center"/>
    </w:pPr>
    <w:rPr>
      <w:rFonts w:ascii="Times New Roman"/>
      <w:b/>
      <w:bCs/>
      <w:kern w:val="2"/>
      <w:sz w:val="84"/>
      <w:szCs w:val="84"/>
      <w:lang w:val="zh-CN"/>
    </w:rPr>
  </w:style>
  <w:style w:type="paragraph" w:styleId="9">
    <w:name w:val="toc 3"/>
    <w:basedOn w:val="1"/>
    <w:next w:val="1"/>
    <w:qFormat/>
    <w:uiPriority w:val="0"/>
    <w:pPr>
      <w:tabs>
        <w:tab w:val="left" w:pos="700"/>
        <w:tab w:val="right" w:leader="dot" w:pos="9060"/>
      </w:tabs>
      <w:spacing w:line="360" w:lineRule="auto"/>
    </w:pPr>
    <w:rPr>
      <w:rFonts w:ascii="Times New Roman"/>
      <w:i/>
      <w:iCs/>
      <w:sz w:val="20"/>
      <w:szCs w:val="20"/>
    </w:rPr>
  </w:style>
  <w:style w:type="paragraph" w:styleId="10">
    <w:name w:val="Plain Text"/>
    <w:basedOn w:val="1"/>
    <w:qFormat/>
    <w:uiPriority w:val="0"/>
    <w:pPr>
      <w:adjustRightInd/>
      <w:jc w:val="both"/>
    </w:pPr>
    <w:rPr>
      <w:kern w:val="2"/>
      <w:sz w:val="21"/>
      <w:szCs w:val="20"/>
    </w:rPr>
  </w:style>
  <w:style w:type="paragraph" w:styleId="11">
    <w:name w:val="Body Text Indent 2"/>
    <w:basedOn w:val="1"/>
    <w:qFormat/>
    <w:uiPriority w:val="0"/>
    <w:pPr>
      <w:tabs>
        <w:tab w:val="left" w:pos="8640"/>
      </w:tabs>
      <w:adjustRightInd/>
      <w:ind w:left="1260"/>
      <w:jc w:val="both"/>
    </w:pPr>
    <w:rPr>
      <w:rFonts w:ascii="Times New Roman"/>
      <w:kern w:val="2"/>
      <w:sz w:val="21"/>
      <w:szCs w:val="20"/>
    </w:rPr>
  </w:style>
  <w:style w:type="paragraph" w:styleId="12">
    <w:name w:val="footer"/>
    <w:basedOn w:val="1"/>
    <w:qFormat/>
    <w:uiPriority w:val="0"/>
    <w:pPr>
      <w:tabs>
        <w:tab w:val="center" w:pos="4140"/>
        <w:tab w:val="right" w:pos="8300"/>
      </w:tabs>
      <w:snapToGrid w:val="0"/>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szCs w:val="18"/>
    </w:rPr>
  </w:style>
  <w:style w:type="paragraph" w:styleId="14">
    <w:name w:val="toc 1"/>
    <w:basedOn w:val="1"/>
    <w:next w:val="1"/>
    <w:qFormat/>
    <w:uiPriority w:val="0"/>
    <w:pPr>
      <w:tabs>
        <w:tab w:val="left" w:pos="960"/>
        <w:tab w:val="right" w:leader="dot" w:pos="9060"/>
      </w:tabs>
      <w:spacing w:line="360" w:lineRule="auto"/>
    </w:pPr>
    <w:rPr>
      <w:rFonts w:ascii="Times New Roman"/>
      <w:b/>
      <w:bCs/>
      <w:caps/>
      <w:sz w:val="20"/>
      <w:szCs w:val="20"/>
    </w:rPr>
  </w:style>
  <w:style w:type="paragraph" w:styleId="15">
    <w:name w:val="footnote text"/>
    <w:basedOn w:val="1"/>
    <w:unhideWhenUsed/>
    <w:qFormat/>
    <w:uiPriority w:val="99"/>
    <w:pPr>
      <w:snapToGrid w:val="0"/>
      <w:jc w:val="left"/>
    </w:pPr>
    <w:rPr>
      <w:sz w:val="18"/>
    </w:rPr>
  </w:style>
  <w:style w:type="paragraph" w:styleId="16">
    <w:name w:val="toc 2"/>
    <w:basedOn w:val="1"/>
    <w:next w:val="1"/>
    <w:qFormat/>
    <w:uiPriority w:val="0"/>
    <w:pPr>
      <w:tabs>
        <w:tab w:val="left" w:pos="700"/>
        <w:tab w:val="right" w:leader="dot" w:pos="10040"/>
      </w:tabs>
    </w:pPr>
    <w:rPr>
      <w:rFonts w:ascii="Times New Roman"/>
      <w:smallCaps/>
      <w:sz w:val="20"/>
      <w:szCs w:val="20"/>
    </w:rPr>
  </w:style>
  <w:style w:type="paragraph" w:styleId="17">
    <w:name w:val="Normal (Web)"/>
    <w:basedOn w:val="1"/>
    <w:qFormat/>
    <w:uiPriority w:val="0"/>
    <w:pPr>
      <w:widowControl/>
      <w:adjustRightInd/>
      <w:spacing w:before="100" w:beforeAutospacing="1" w:after="100" w:afterAutospacing="1"/>
    </w:pPr>
    <w:rPr>
      <w:rFonts w:ascii="Times New Roman"/>
      <w:sz w:val="15"/>
      <w:szCs w:val="15"/>
    </w:rPr>
  </w:style>
  <w:style w:type="table" w:styleId="19">
    <w:name w:val="Table Grid"/>
    <w:basedOn w:val="1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qFormat/>
    <w:uiPriority w:val="0"/>
    <w:rPr>
      <w:rFonts w:ascii="Times New Roman" w:hAnsi="Times New Roman" w:eastAsia="宋体" w:cs="Times New Roman"/>
      <w:color w:val="0000FF"/>
      <w:u w:val="single"/>
      <w:lang w:bidi="ar-SA"/>
    </w:rPr>
  </w:style>
  <w:style w:type="character" w:styleId="22">
    <w:name w:val="footnote reference"/>
    <w:basedOn w:val="20"/>
    <w:unhideWhenUsed/>
    <w:qFormat/>
    <w:uiPriority w:val="99"/>
    <w:rPr>
      <w:vertAlign w:val="superscript"/>
    </w:rPr>
  </w:style>
  <w:style w:type="paragraph" w:customStyle="1" w:styleId="23">
    <w:name w:val="表格文字"/>
    <w:basedOn w:val="1"/>
    <w:qFormat/>
    <w:uiPriority w:val="0"/>
    <w:pPr>
      <w:autoSpaceDE/>
      <w:autoSpaceDN/>
      <w:adjustRightInd/>
      <w:spacing w:before="25" w:after="25"/>
    </w:pPr>
    <w:rPr>
      <w:rFonts w:ascii="Times New Roman"/>
      <w:bCs/>
      <w:spacing w:val="10"/>
      <w:szCs w:val="20"/>
    </w:rPr>
  </w:style>
  <w:style w:type="paragraph" w:customStyle="1" w:styleId="24">
    <w:name w:val="正文缩进2格"/>
    <w:basedOn w:val="1"/>
    <w:next w:val="1"/>
    <w:qFormat/>
    <w:uiPriority w:val="0"/>
    <w:pPr>
      <w:autoSpaceDE/>
      <w:autoSpaceDN/>
      <w:adjustRightInd/>
      <w:spacing w:line="600" w:lineRule="exact"/>
      <w:ind w:firstLine="206" w:firstLineChars="206"/>
      <w:jc w:val="both"/>
    </w:pPr>
    <w:rPr>
      <w:rFonts w:ascii="仿宋_GB2312" w:eastAsia="仿宋_GB2312"/>
      <w:kern w:val="2"/>
      <w:sz w:val="31"/>
      <w:szCs w:val="28"/>
    </w:rPr>
  </w:style>
  <w:style w:type="paragraph" w:styleId="25">
    <w:name w:val="List Paragraph"/>
    <w:basedOn w:val="1"/>
    <w:qFormat/>
    <w:uiPriority w:val="0"/>
    <w:pPr>
      <w:autoSpaceDE/>
      <w:autoSpaceDN/>
      <w:adjustRightInd/>
      <w:ind w:firstLine="200" w:firstLineChars="200"/>
      <w:jc w:val="both"/>
    </w:pPr>
    <w:rPr>
      <w:rFonts w:ascii="Calibri" w:hAnsi="Calibri"/>
      <w:kern w:val="2"/>
      <w:sz w:val="21"/>
    </w:rPr>
  </w:style>
  <w:style w:type="paragraph" w:customStyle="1" w:styleId="26">
    <w:name w:val="p0"/>
    <w:basedOn w:val="1"/>
    <w:qFormat/>
    <w:uiPriority w:val="0"/>
    <w:pPr>
      <w:widowControl/>
    </w:pPr>
    <w:rPr>
      <w:kern w:val="0"/>
      <w:szCs w:val="21"/>
    </w:rPr>
  </w:style>
  <w:style w:type="paragraph" w:customStyle="1" w:styleId="27">
    <w:name w:val="p15"/>
    <w:basedOn w:val="1"/>
    <w:qFormat/>
    <w:uiPriority w:val="0"/>
    <w:pPr>
      <w:widowControl/>
      <w:spacing w:line="600" w:lineRule="atLeast"/>
      <w:ind w:firstLine="433"/>
    </w:pPr>
    <w:rPr>
      <w:rFonts w:ascii="仿宋_GB2312" w:hAnsi="宋体" w:eastAsia="仿宋_GB2312" w:cs="宋体"/>
      <w:kern w:val="0"/>
      <w:sz w:val="31"/>
      <w:szCs w:val="31"/>
    </w:rPr>
  </w:style>
  <w:style w:type="character" w:customStyle="1" w:styleId="28">
    <w:name w:val="tpc_content"/>
    <w:qFormat/>
    <w:uiPriority w:val="0"/>
    <w:rPr>
      <w:rFonts w:ascii="黑体" w:hAnsi="Verdana" w:eastAsia="黑体"/>
      <w:kern w:val="0"/>
      <w:sz w:val="32"/>
      <w:szCs w:val="32"/>
      <w:lang w:eastAsia="en-US"/>
    </w:rPr>
  </w:style>
  <w:style w:type="paragraph" w:customStyle="1" w:styleId="29">
    <w:name w:val="无缩进"/>
    <w:next w:val="8"/>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0">
    <w:name w:val="正文无缩进"/>
    <w:basedOn w:val="24"/>
    <w:qFormat/>
    <w:uiPriority w:val="0"/>
    <w:pPr>
      <w:ind w:firstLine="0" w:firstLineChars="0"/>
    </w:pPr>
  </w:style>
  <w:style w:type="paragraph" w:customStyle="1" w:styleId="31">
    <w:name w:val="标题 3.5"/>
    <w:basedOn w:val="4"/>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32">
    <w:name w:val="xl44"/>
    <w:basedOn w:val="1"/>
    <w:qFormat/>
    <w:uiPriority w:val="0"/>
    <w:pPr>
      <w:pBdr>
        <w:left w:val="single" w:color="auto" w:sz="4" w:space="0"/>
        <w:right w:val="single" w:color="auto" w:sz="4" w:space="0"/>
      </w:pBdr>
      <w:autoSpaceDE/>
      <w:autoSpaceDN/>
      <w:adjustRightInd/>
      <w:spacing w:before="100" w:beforeAutospacing="1" w:after="100" w:afterAutospacing="1"/>
      <w:jc w:val="center"/>
    </w:pPr>
    <w:rPr>
      <w:rFonts w:ascii="Times New Roman"/>
      <w:kern w:val="2"/>
    </w:rPr>
  </w:style>
  <w:style w:type="paragraph" w:customStyle="1" w:styleId="33">
    <w:name w:val="Table Text"/>
    <w:qFormat/>
    <w:uiPriority w:val="99"/>
    <w:pPr>
      <w:snapToGrid w:val="0"/>
      <w:spacing w:before="80" w:after="80"/>
    </w:pPr>
    <w:rPr>
      <w:rFonts w:ascii="Arial" w:hAnsi="Arial" w:eastAsia="宋体" w:cs="Arial"/>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37596</Words>
  <Characters>39821</Characters>
  <Lines>0</Lines>
  <Paragraphs>0</Paragraphs>
  <TotalTime>8</TotalTime>
  <ScaleCrop>false</ScaleCrop>
  <LinksUpToDate>false</LinksUpToDate>
  <CharactersWithSpaces>42417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2022-11-22T08:58:00Z</dcterms:created>
  <dc:creator>七月！</dc:creator>
  <cp:lastModifiedBy>七月！</cp:lastModifiedBy>
  <dcterms:modified xsi:type="dcterms:W3CDTF">2023-05-11T03:05:01Z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F6D140A4D72E4217B8DBF9ED376366F5_13</vt:lpwstr>
  </property>
</Properties>
</file>