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lang w:val="en-US" w:eastAsia="zh-CN"/>
        </w:rPr>
        <w:t>国内</w:t>
      </w:r>
      <w:r>
        <w:rPr>
          <w:rFonts w:hint="eastAsia" w:ascii="黑体" w:hAnsi="黑体" w:eastAsia="黑体" w:cs="黑体"/>
          <w:bCs/>
          <w:color w:val="auto"/>
          <w:spacing w:val="57"/>
          <w:sz w:val="72"/>
          <w:szCs w:val="72"/>
          <w:highlight w:val="none"/>
        </w:rPr>
        <w:t>采购</w:t>
      </w:r>
    </w:p>
    <w:p>
      <w:pPr>
        <w:pStyle w:val="2"/>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6"/>
                    <a:srcRect l="6233" t="18358" r="67326" b="19339"/>
                    <a:stretch>
                      <a:fillRect/>
                    </a:stretch>
                  </pic:blipFill>
                  <pic:spPr>
                    <a:xfrm>
                      <a:off x="0" y="0"/>
                      <a:ext cx="2129790" cy="2035175"/>
                    </a:xfrm>
                    <a:prstGeom prst="rect">
                      <a:avLst/>
                    </a:prstGeom>
                  </pic:spPr>
                </pic:pic>
              </a:graphicData>
            </a:graphic>
          </wp:inline>
        </w:drawing>
      </w:r>
    </w:p>
    <w:p>
      <w:pPr>
        <w:pStyle w:val="22"/>
        <w:ind w:left="0" w:firstLine="0" w:firstLineChars="0"/>
        <w:rPr>
          <w:rFonts w:ascii="黑体" w:eastAsia="黑体"/>
          <w:color w:val="auto"/>
          <w:szCs w:val="21"/>
          <w:highlight w:val="none"/>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GDZT2023111C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东莞市横沥镇社区卫生服务中心及辖区站点零星广告宣传标识制作等采购项目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东莞市横沥镇社区卫生服务中心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0"/>
        <w:ind w:left="420"/>
        <w:rPr>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7"/>
                    <a:stretch>
                      <a:fillRect/>
                    </a:stretch>
                  </pic:blipFill>
                  <pic:spPr>
                    <a:xfrm>
                      <a:off x="0" y="0"/>
                      <a:ext cx="5266690" cy="2583180"/>
                    </a:xfrm>
                    <a:prstGeom prst="rect">
                      <a:avLst/>
                    </a:prstGeom>
                  </pic:spPr>
                </pic:pic>
              </a:graphicData>
            </a:graphic>
          </wp:inline>
        </w:drawing>
      </w:r>
    </w:p>
    <w:p>
      <w:pPr>
        <w:pStyle w:val="20"/>
        <w:ind w:left="0" w:leftChars="0"/>
        <w:rPr>
          <w:color w:val="auto"/>
          <w:sz w:val="40"/>
          <w:szCs w:val="40"/>
          <w:highlight w:val="none"/>
        </w:r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p>
      <w:pPr>
        <w:pStyle w:val="20"/>
        <w:ind w:left="0" w:leftChars="0"/>
        <w:rPr>
          <w:color w:val="auto"/>
          <w:sz w:val="40"/>
          <w:szCs w:val="40"/>
          <w:highlight w:val="none"/>
        </w:rPr>
      </w:pPr>
      <w:r>
        <w:rPr>
          <w:rFonts w:hint="eastAsia"/>
          <w:color w:val="auto"/>
          <w:sz w:val="40"/>
          <w:szCs w:val="40"/>
          <w:highlight w:val="none"/>
        </w:rPr>
        <w:t>目录</w:t>
      </w:r>
    </w:p>
    <w:p>
      <w:pPr>
        <w:pStyle w:val="20"/>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29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38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38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44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45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"_Toc16710" </w:instrText>
      </w:r>
      <w:r>
        <w:rPr>
          <w:color w:val="auto"/>
          <w:highlight w:val="none"/>
        </w:rPr>
        <w:fldChar w:fldCharType="separate"/>
      </w:r>
      <w:r>
        <w:rPr>
          <w:rFonts w:hint="eastAsia" w:ascii="宋体" w:hAnsi="宋体" w:cs="宋体"/>
          <w:color w:val="auto"/>
          <w:highlight w:val="none"/>
        </w:rPr>
        <w:t>七、投标保证金汇入情况说明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_Toc16710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"_Toc26855" </w:instrText>
      </w:r>
      <w:r>
        <w:rPr>
          <w:color w:val="auto"/>
          <w:highlight w:val="none"/>
        </w:rPr>
        <w:fldChar w:fldCharType="separate"/>
      </w:r>
      <w:r>
        <w:rPr>
          <w:rFonts w:hint="eastAsia" w:ascii="宋体" w:hAnsi="宋体" w:cs="宋体"/>
          <w:color w:val="auto"/>
          <w:highlight w:val="none"/>
        </w:rPr>
        <w:t>八、政府采购投标担保函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_Toc26855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九、政府采购履约担保函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4"/>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5"/>
        <w:jc w:val="center"/>
        <w:rPr>
          <w:rFonts w:ascii="宋体" w:hAnsi="宋体" w:cs="宋体"/>
          <w:color w:val="auto"/>
          <w:highlight w:val="none"/>
        </w:rPr>
      </w:pPr>
      <w:bookmarkStart w:id="2" w:name="_Toc8850"/>
      <w:bookmarkStart w:id="3" w:name="_Toc1420"/>
      <w:bookmarkStart w:id="4" w:name="_Toc7123"/>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东莞市横沥镇社区卫生服务中心</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东莞市横沥镇社区卫生服务中心及辖区站点零星广告宣传标识制作等采购项目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GDZT2023111C</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s="宋体"/>
          <w:color w:val="auto"/>
          <w:szCs w:val="21"/>
          <w:highlight w:val="none"/>
          <w:lang w:eastAsia="zh-CN"/>
        </w:rPr>
        <w:t>东莞市横沥镇社区卫生服务中心及辖区站点零星广告宣传标识制作等采购项目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3"/>
        <w:tblW w:w="44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483"/>
        <w:gridCol w:w="795"/>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022"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536"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138"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03"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3022" w:type="pct"/>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东莞市横沥镇社区卫生服务中心及辖区站点零星广告宣传标识制作等采购项目</w:t>
            </w:r>
          </w:p>
        </w:tc>
        <w:tc>
          <w:tcPr>
            <w:tcW w:w="536"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1138" w:type="pct"/>
            <w:noWrap/>
            <w:tcMar>
              <w:top w:w="15" w:type="dxa"/>
              <w:left w:w="15" w:type="dxa"/>
              <w:right w:w="15" w:type="dxa"/>
            </w:tcMar>
            <w:vAlign w:val="center"/>
          </w:tcPr>
          <w:p>
            <w:pPr>
              <w:spacing w:line="240" w:lineRule="auto"/>
              <w:jc w:val="center"/>
              <w:textAlignment w:val="center"/>
              <w:rPr>
                <w:rFonts w:hint="default" w:ascii="宋体" w:hAnsi="宋体"/>
                <w:color w:val="auto"/>
                <w:szCs w:val="21"/>
                <w:highlight w:val="none"/>
                <w:lang w:val="en-US"/>
              </w:rPr>
            </w:pPr>
            <w:r>
              <w:rPr>
                <w:rFonts w:hint="eastAsia" w:ascii="宋体" w:hAnsi="宋体"/>
                <w:b/>
                <w:bCs/>
                <w:color w:val="auto"/>
                <w:szCs w:val="21"/>
                <w:highlight w:val="none"/>
                <w:u w:val="single"/>
                <w:lang w:val="en-US" w:eastAsia="zh-CN"/>
              </w:rPr>
              <w:t>330,000.00元</w:t>
            </w:r>
          </w:p>
        </w:tc>
      </w:tr>
    </w:tbl>
    <w:p>
      <w:pPr>
        <w:pStyle w:val="2"/>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w:t>
      </w:r>
      <w:r>
        <w:rPr>
          <w:rFonts w:hint="eastAsia" w:ascii="宋体" w:hAnsi="宋体"/>
          <w:color w:val="auto"/>
          <w:szCs w:val="21"/>
          <w:highlight w:val="none"/>
          <w:lang w:eastAsia="zh-CN"/>
        </w:rPr>
        <w:t>税收违法黑名单</w:t>
      </w:r>
      <w:r>
        <w:rPr>
          <w:rFonts w:hint="eastAsia" w:ascii="宋体" w:hAnsi="宋体"/>
          <w:color w:val="auto"/>
          <w:szCs w:val="21"/>
          <w:highlight w:val="none"/>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rPr>
          <w:color w:val="auto"/>
          <w:highlight w:val="none"/>
        </w:rPr>
      </w:pPr>
    </w:p>
    <w:p>
      <w:pPr>
        <w:ind w:firstLine="411" w:firstLineChars="196"/>
        <w:rPr>
          <w:rFonts w:ascii="宋体" w:hAnsi="宋体"/>
          <w:color w:val="auto"/>
          <w:szCs w:val="21"/>
          <w:highlight w:val="none"/>
        </w:rPr>
      </w:pPr>
      <w:r>
        <w:rPr>
          <w:rFonts w:hint="eastAsia" w:ascii="宋体" w:hAnsi="宋体"/>
          <w:color w:val="auto"/>
          <w:szCs w:val="21"/>
          <w:highlight w:val="none"/>
        </w:rPr>
        <w:t>2、特殊要求：</w:t>
      </w:r>
    </w:p>
    <w:p>
      <w:pPr>
        <w:shd w:val="clear"/>
        <w:spacing w:after="0" w:line="360" w:lineRule="auto"/>
        <w:ind w:firstLine="411" w:firstLineChars="196"/>
        <w:rPr>
          <w:rFonts w:hint="eastAsia"/>
          <w:color w:val="auto"/>
          <w:highlight w:val="none"/>
          <w:lang w:eastAsia="zh-CN"/>
        </w:rPr>
      </w:pPr>
      <w:r>
        <w:rPr>
          <w:rFonts w:hint="eastAsia"/>
          <w:color w:val="auto"/>
          <w:highlight w:val="none"/>
        </w:rPr>
        <w:t>本项目整体专门面向中小企业采购。投标人须符合本项目采购标的对应行业（本项目行业为：</w:t>
      </w:r>
      <w:r>
        <w:rPr>
          <w:rFonts w:hint="eastAsia"/>
          <w:color w:val="auto"/>
          <w:highlight w:val="none"/>
          <w:lang w:val="en-US" w:eastAsia="zh-CN"/>
        </w:rPr>
        <w:t>租赁和商务服务业</w:t>
      </w:r>
      <w:r>
        <w:rPr>
          <w:rFonts w:hint="eastAsia"/>
          <w:color w:val="auto"/>
          <w:highlight w:val="none"/>
        </w:rPr>
        <w:t>）的政策划分标准。监狱企业、残疾人福利单位视同小型、微型企业。</w:t>
      </w:r>
      <w:r>
        <w:rPr>
          <w:rFonts w:hint="eastAsia"/>
          <w:color w:val="auto"/>
          <w:highlight w:val="none"/>
          <w:lang w:eastAsia="zh-CN"/>
        </w:rPr>
        <w:t>（</w:t>
      </w:r>
      <w:r>
        <w:rPr>
          <w:rFonts w:hint="eastAsia"/>
          <w:color w:val="auto"/>
          <w:highlight w:val="none"/>
        </w:rPr>
        <w:t>注：中小企业以供应商填写的 《中小企业声明函》为判定标准，残疾人福利性单位以供应商填写的《残疾人福利性单位声明函》为判定标准，监狱企业须供应商提供由省级以上监狱管理局、戒毒管理局（含新疆生产建设兵团）出具的属于监狱企业的证明文件，否则不予认定。</w:t>
      </w:r>
      <w:r>
        <w:rPr>
          <w:rFonts w:hint="eastAsia"/>
          <w:color w:val="auto"/>
          <w:highlight w:val="none"/>
          <w:lang w:eastAsia="zh-CN"/>
        </w:rPr>
        <w:t>）</w:t>
      </w:r>
    </w:p>
    <w:p>
      <w:pPr>
        <w:pStyle w:val="2"/>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4</w:t>
      </w:r>
      <w:r>
        <w:rPr>
          <w:rFonts w:hint="eastAsia" w:ascii="宋体" w:hAnsi="宋体"/>
          <w:color w:val="auto"/>
          <w:szCs w:val="21"/>
          <w:highlight w:val="none"/>
        </w:rPr>
        <w:t>月</w:t>
      </w:r>
      <w:r>
        <w:rPr>
          <w:rFonts w:hint="eastAsia" w:ascii="宋体" w:hAnsi="宋体"/>
          <w:color w:val="auto"/>
          <w:szCs w:val="21"/>
          <w:highlight w:val="none"/>
          <w:lang w:val="en-US" w:eastAsia="zh-CN"/>
        </w:rPr>
        <w:t>27</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5</w:t>
      </w:r>
      <w:r>
        <w:rPr>
          <w:rFonts w:hint="eastAsia" w:ascii="宋体" w:hAnsi="宋体"/>
          <w:color w:val="auto"/>
          <w:szCs w:val="21"/>
          <w:highlight w:val="none"/>
        </w:rPr>
        <w:t>月</w:t>
      </w:r>
      <w:r>
        <w:rPr>
          <w:rFonts w:hint="eastAsia" w:ascii="宋体" w:hAnsi="宋体"/>
          <w:color w:val="auto"/>
          <w:szCs w:val="21"/>
          <w:highlight w:val="none"/>
          <w:lang w:val="en-US" w:eastAsia="zh-CN"/>
        </w:rPr>
        <w:t>8</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4</w:t>
      </w:r>
      <w:r>
        <w:rPr>
          <w:rFonts w:hint="eastAsia" w:ascii="宋体" w:hAnsi="宋体"/>
          <w:color w:val="auto"/>
          <w:szCs w:val="21"/>
          <w:highlight w:val="none"/>
        </w:rPr>
        <w:t>月</w:t>
      </w:r>
      <w:r>
        <w:rPr>
          <w:rFonts w:hint="eastAsia" w:ascii="宋体" w:hAnsi="宋体"/>
          <w:color w:val="auto"/>
          <w:szCs w:val="21"/>
          <w:highlight w:val="none"/>
          <w:lang w:val="en-US" w:eastAsia="zh-CN"/>
        </w:rPr>
        <w:t>27</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5</w:t>
      </w:r>
      <w:r>
        <w:rPr>
          <w:rFonts w:hint="eastAsia" w:ascii="宋体" w:hAnsi="宋体"/>
          <w:color w:val="auto"/>
          <w:szCs w:val="21"/>
          <w:highlight w:val="none"/>
        </w:rPr>
        <w:t>月</w:t>
      </w:r>
      <w:r>
        <w:rPr>
          <w:rFonts w:hint="eastAsia" w:ascii="宋体" w:hAnsi="宋体"/>
          <w:color w:val="auto"/>
          <w:szCs w:val="21"/>
          <w:highlight w:val="none"/>
          <w:lang w:val="en-US" w:eastAsia="zh-CN"/>
        </w:rPr>
        <w:t>8</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w:t>
      </w:r>
      <w:bookmarkStart w:id="389" w:name="_GoBack"/>
      <w:bookmarkEnd w:id="389"/>
      <w:r>
        <w:rPr>
          <w:rFonts w:hint="eastAsia" w:ascii="宋体" w:hAnsi="宋体"/>
          <w:color w:val="auto"/>
          <w:szCs w:val="21"/>
          <w:highlight w:val="none"/>
        </w:rPr>
        <w:t>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val="en-US" w:eastAsia="zh-CN"/>
        </w:rPr>
        <w:t>徐先生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w:t>
      </w:r>
      <w:r>
        <w:rPr>
          <w:rFonts w:hint="eastAsia" w:ascii="宋体" w:hAnsi="宋体"/>
          <w:color w:val="auto"/>
          <w:szCs w:val="21"/>
          <w:highlight w:val="none"/>
          <w:lang w:eastAsia="zh-CN"/>
        </w:rPr>
        <w:t>（</w:t>
      </w:r>
      <w:r>
        <w:rPr>
          <w:rFonts w:hint="eastAsia" w:ascii="宋体" w:hAnsi="宋体"/>
          <w:color w:val="auto"/>
          <w:szCs w:val="21"/>
          <w:highlight w:val="none"/>
        </w:rPr>
        <w:t>http://www.zttendering.com/</w:t>
      </w:r>
      <w:r>
        <w:rPr>
          <w:rFonts w:hint="eastAsia" w:ascii="宋体" w:hAnsi="宋体"/>
          <w:color w:val="auto"/>
          <w:szCs w:val="21"/>
          <w:highlight w:val="none"/>
          <w:lang w:eastAsia="zh-CN"/>
        </w:rPr>
        <w:t>）</w:t>
      </w:r>
      <w:r>
        <w:rPr>
          <w:rFonts w:hint="eastAsia" w:ascii="宋体" w:hAnsi="宋体"/>
          <w:color w:val="auto"/>
          <w:szCs w:val="21"/>
          <w:highlight w:val="none"/>
        </w:rPr>
        <w:t>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徐先生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5</w:t>
      </w:r>
      <w:r>
        <w:rPr>
          <w:rFonts w:hint="eastAsia" w:ascii="宋体" w:hAnsi="宋体"/>
          <w:bCs/>
          <w:color w:val="auto"/>
          <w:szCs w:val="21"/>
          <w:highlight w:val="none"/>
        </w:rPr>
        <w:t>月</w:t>
      </w:r>
      <w:r>
        <w:rPr>
          <w:rFonts w:hint="eastAsia" w:ascii="宋体" w:hAnsi="宋体"/>
          <w:bCs/>
          <w:color w:val="auto"/>
          <w:szCs w:val="21"/>
          <w:highlight w:val="none"/>
          <w:lang w:val="en-US" w:eastAsia="zh-CN"/>
        </w:rPr>
        <w:t>18</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w:t>
      </w:r>
      <w:r>
        <w:rPr>
          <w:rFonts w:hint="eastAsia" w:ascii="宋体" w:hAnsi="宋体"/>
          <w:bCs/>
          <w:color w:val="auto"/>
          <w:szCs w:val="21"/>
          <w:highlight w:val="none"/>
          <w:lang w:val="en-US" w:eastAsia="zh-CN"/>
        </w:rPr>
        <w:t>3</w:t>
      </w:r>
      <w:r>
        <w:rPr>
          <w:rFonts w:hint="eastAsia" w:ascii="宋体" w:hAnsi="宋体"/>
          <w:bCs/>
          <w:color w:val="auto"/>
          <w:szCs w:val="21"/>
          <w:highlight w:val="none"/>
        </w:rPr>
        <w:t>0～</w:t>
      </w:r>
      <w:r>
        <w:rPr>
          <w:rFonts w:hint="eastAsia" w:ascii="宋体" w:hAnsi="宋体"/>
          <w:bCs/>
          <w:color w:val="auto"/>
          <w:szCs w:val="21"/>
          <w:highlight w:val="none"/>
          <w:lang w:val="en-US" w:eastAsia="zh-CN"/>
        </w:rPr>
        <w:t>15</w:t>
      </w:r>
      <w:r>
        <w:rPr>
          <w:rFonts w:hint="eastAsia" w:ascii="宋体" w:hAnsi="宋体"/>
          <w:bCs/>
          <w:color w:val="auto"/>
          <w:szCs w:val="21"/>
          <w:highlight w:val="none"/>
        </w:rPr>
        <w:t>：</w:t>
      </w:r>
      <w:r>
        <w:rPr>
          <w:rFonts w:hint="eastAsia" w:ascii="宋体" w:hAnsi="宋体"/>
          <w:bCs/>
          <w:color w:val="auto"/>
          <w:szCs w:val="21"/>
          <w:highlight w:val="none"/>
          <w:lang w:val="en-US" w:eastAsia="zh-CN"/>
        </w:rPr>
        <w:t>0</w:t>
      </w:r>
      <w:r>
        <w:rPr>
          <w:rFonts w:hint="eastAsia" w:ascii="宋体" w:hAnsi="宋体"/>
          <w:bCs/>
          <w:color w:val="auto"/>
          <w:szCs w:val="21"/>
          <w:highlight w:val="none"/>
        </w:rPr>
        <w:t>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5</w:t>
      </w:r>
      <w:r>
        <w:rPr>
          <w:rFonts w:hint="eastAsia" w:ascii="宋体" w:hAnsi="宋体"/>
          <w:bCs/>
          <w:color w:val="auto"/>
          <w:szCs w:val="21"/>
          <w:highlight w:val="none"/>
        </w:rPr>
        <w:t>月</w:t>
      </w:r>
      <w:r>
        <w:rPr>
          <w:rFonts w:hint="eastAsia" w:ascii="宋体" w:hAnsi="宋体"/>
          <w:bCs/>
          <w:color w:val="auto"/>
          <w:szCs w:val="21"/>
          <w:highlight w:val="none"/>
          <w:lang w:val="en-US" w:eastAsia="zh-CN"/>
        </w:rPr>
        <w:t>18</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15</w:t>
      </w:r>
      <w:r>
        <w:rPr>
          <w:rFonts w:hint="eastAsia" w:ascii="宋体" w:hAnsi="宋体"/>
          <w:bCs/>
          <w:color w:val="auto"/>
          <w:szCs w:val="21"/>
          <w:highlight w:val="none"/>
        </w:rPr>
        <w:t>时</w:t>
      </w:r>
      <w:r>
        <w:rPr>
          <w:rFonts w:hint="eastAsia" w:ascii="宋体" w:hAnsi="宋体"/>
          <w:bCs/>
          <w:color w:val="auto"/>
          <w:szCs w:val="21"/>
          <w:highlight w:val="none"/>
          <w:lang w:val="en-US" w:eastAsia="zh-CN"/>
        </w:rPr>
        <w:t>0</w:t>
      </w:r>
      <w:r>
        <w:rPr>
          <w:rFonts w:hint="eastAsia" w:ascii="宋体" w:hAnsi="宋体"/>
          <w:bCs/>
          <w:color w:val="auto"/>
          <w:szCs w:val="21"/>
          <w:highlight w:val="none"/>
        </w:rPr>
        <w:t>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采购人联系人：黄工</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地址：东莞市横沥镇</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联系电话：0769-89302656</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2023年</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月</w:t>
      </w:r>
    </w:p>
    <w:p>
      <w:pPr>
        <w:pStyle w:val="2"/>
        <w:rPr>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4"/>
        <w:spacing w:before="0" w:after="0" w:line="240" w:lineRule="auto"/>
        <w:rPr>
          <w:color w:val="auto"/>
          <w:sz w:val="28"/>
          <w:szCs w:val="28"/>
          <w:highlight w:val="none"/>
        </w:rPr>
      </w:pPr>
      <w:bookmarkStart w:id="5" w:name="_Toc28550"/>
      <w:bookmarkStart w:id="6" w:name="_Toc24505"/>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租赁和商务服务业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shd w:val="clear" w:color="auto" w:fill="auto"/>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rPr>
                <w:rFonts w:hint="default" w:ascii="宋体" w:hAnsi="宋体" w:eastAsia="宋体"/>
                <w:b/>
                <w:color w:val="auto"/>
                <w:szCs w:val="21"/>
                <w:highlight w:val="none"/>
                <w:lang w:val="en-US" w:eastAsia="zh-CN"/>
              </w:rPr>
            </w:pPr>
            <w:r>
              <w:rPr>
                <w:rFonts w:hint="eastAsia" w:ascii="宋体" w:hAnsi="宋体"/>
                <w:bCs/>
                <w:color w:val="auto"/>
                <w:szCs w:val="21"/>
                <w:highlight w:val="none"/>
                <w:lang w:val="en-US" w:eastAsia="zh-CN"/>
              </w:rPr>
              <w:t>财政资金及自筹资金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spacing w:after="0"/>
              <w:jc w:val="center"/>
              <w:rPr>
                <w:rFonts w:ascii="宋体" w:hAnsi="宋体"/>
                <w:b/>
                <w:color w:val="auto"/>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b/>
                <w:color w:val="auto"/>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spacing w:after="0"/>
              <w:jc w:val="center"/>
              <w:rPr>
                <w:rFonts w:ascii="宋体" w:hAnsi="宋体"/>
                <w:b/>
                <w:color w:val="auto"/>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b/>
                <w:color w:val="auto"/>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hint="eastAsia" w:ascii="宋体" w:hAnsi="宋体" w:eastAsia="宋体"/>
                <w:b/>
                <w:color w:val="auto"/>
                <w:szCs w:val="21"/>
                <w:highlight w:val="none"/>
                <w:lang w:eastAsia="zh-CN"/>
              </w:rPr>
            </w:pPr>
            <w:r>
              <w:rPr>
                <w:rFonts w:hint="eastAsia" w:ascii="宋体" w:hAnsi="宋体"/>
                <w:b/>
                <w:color w:val="auto"/>
                <w:szCs w:val="21"/>
                <w:highlight w:val="none"/>
              </w:rPr>
              <w:t>投标保证金</w:t>
            </w:r>
            <w:r>
              <w:rPr>
                <w:rFonts w:hint="eastAsia" w:ascii="宋体" w:hAnsi="宋体"/>
                <w:b/>
                <w:color w:val="auto"/>
                <w:szCs w:val="21"/>
                <w:highlight w:val="none"/>
                <w:lang w:eastAsia="zh-CN"/>
              </w:rPr>
              <w:t>（</w:t>
            </w:r>
            <w:r>
              <w:rPr>
                <w:rFonts w:hint="eastAsia" w:ascii="宋体" w:hAnsi="宋体"/>
                <w:b/>
                <w:color w:val="auto"/>
                <w:sz w:val="21"/>
                <w:szCs w:val="21"/>
                <w:highlight w:val="none"/>
                <w:lang w:val="en-US" w:eastAsia="zh-CN"/>
              </w:rPr>
              <w:t>本项目不需提供投标</w:t>
            </w:r>
            <w:r>
              <w:rPr>
                <w:rFonts w:hint="eastAsia" w:ascii="宋体" w:hAnsi="宋体" w:eastAsia="宋体"/>
                <w:b/>
                <w:color w:val="auto"/>
                <w:sz w:val="21"/>
                <w:szCs w:val="21"/>
                <w:highlight w:val="none"/>
              </w:rPr>
              <w:t>保证金</w:t>
            </w:r>
            <w:r>
              <w:rPr>
                <w:rFonts w:hint="eastAsia" w:ascii="宋体" w:hAnsi="宋体"/>
                <w:b/>
                <w:color w:val="auto"/>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6</w:t>
            </w: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7</w:t>
            </w:r>
          </w:p>
        </w:tc>
        <w:tc>
          <w:tcPr>
            <w:tcW w:w="7532" w:type="dxa"/>
            <w:gridSpan w:val="4"/>
            <w:shd w:val="clear" w:color="auto" w:fill="auto"/>
            <w:vAlign w:val="center"/>
          </w:tcPr>
          <w:p>
            <w:pPr>
              <w:spacing w:after="0"/>
              <w:jc w:val="both"/>
              <w:rPr>
                <w:rFonts w:ascii="宋体" w:hAnsi="宋体"/>
                <w:b/>
                <w:color w:val="auto"/>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spacing w:after="0"/>
              <w:jc w:val="both"/>
              <w:rPr>
                <w:rFonts w:ascii="宋体" w:hAnsi="宋体"/>
                <w:b/>
                <w:color w:val="auto"/>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4"/>
        <w:spacing w:before="0" w:after="0" w:line="360" w:lineRule="auto"/>
        <w:rPr>
          <w:color w:val="auto"/>
          <w:highlight w:val="none"/>
        </w:rPr>
      </w:pPr>
      <w:bookmarkStart w:id="8" w:name="_Toc5749"/>
      <w:bookmarkStart w:id="9" w:name="_Hlk55300595"/>
      <w:bookmarkStart w:id="10" w:name="_Toc13473"/>
      <w:bookmarkStart w:id="11" w:name="_Toc9572"/>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5"/>
        <w:spacing w:line="240" w:lineRule="auto"/>
        <w:jc w:val="center"/>
        <w:rPr>
          <w:rFonts w:hint="eastAsia" w:ascii="宋体" w:hAnsi="宋体" w:cs="宋体"/>
          <w:color w:val="auto"/>
          <w:sz w:val="24"/>
          <w:szCs w:val="24"/>
          <w:highlight w:val="none"/>
        </w:rPr>
      </w:pPr>
      <w:bookmarkStart w:id="15" w:name="_Toc18413"/>
      <w:bookmarkStart w:id="16" w:name="_Toc21613"/>
      <w:r>
        <w:rPr>
          <w:rFonts w:hint="eastAsia" w:ascii="宋体" w:hAnsi="宋体" w:cs="宋体"/>
          <w:color w:val="auto"/>
          <w:sz w:val="24"/>
          <w:szCs w:val="24"/>
          <w:highlight w:val="none"/>
        </w:rPr>
        <w:t>价格及商务技术评分权重细则表</w:t>
      </w:r>
      <w:bookmarkEnd w:id="11"/>
      <w:bookmarkEnd w:id="15"/>
      <w:bookmarkEnd w:id="16"/>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114"/>
        <w:gridCol w:w="6096"/>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14"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6096"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w:t>
            </w:r>
            <w:r>
              <w:rPr>
                <w:rFonts w:hint="eastAsia" w:asci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651" w:type="dxa"/>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价格分计算方法：满足招标文件要求且投标报价最低（即最大下浮率）的投标报价为评标基准价，其价格分为满分。其他</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的价格分统一按照下列公式计算：投标报价得分=[(1-最大下浮率)／(1-投标下浮率)] ×价格权重</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w:t>
            </w:r>
            <w:r>
              <w:rPr>
                <w:rFonts w:hint="eastAsia" w:ascii="宋体" w:eastAsia="宋体" w:cs="宋体"/>
                <w:bCs/>
                <w:color w:val="auto"/>
                <w:sz w:val="21"/>
                <w:szCs w:val="21"/>
                <w:highlight w:val="none"/>
                <w:lang w:val="en-US" w:eastAsia="zh-CN"/>
              </w:rPr>
              <w:t>20</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jc w:val="center"/>
        </w:trPr>
        <w:tc>
          <w:tcPr>
            <w:tcW w:w="651" w:type="dxa"/>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14"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业绩经验</w:t>
            </w:r>
          </w:p>
        </w:tc>
        <w:tc>
          <w:tcPr>
            <w:tcW w:w="6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根据</w:t>
            </w:r>
            <w:r>
              <w:rPr>
                <w:rFonts w:hint="eastAsia" w:ascii="宋体" w:hAnsi="宋体" w:eastAsia="宋体" w:cs="宋体"/>
                <w:bCs/>
                <w:color w:val="auto"/>
                <w:sz w:val="21"/>
                <w:szCs w:val="21"/>
                <w:highlight w:val="none"/>
              </w:rPr>
              <w:t>投标人具有</w:t>
            </w:r>
            <w:r>
              <w:rPr>
                <w:rFonts w:hint="eastAsia" w:ascii="宋体" w:hAnsi="宋体" w:eastAsia="宋体" w:cs="宋体"/>
                <w:bCs/>
                <w:color w:val="auto"/>
                <w:sz w:val="21"/>
                <w:szCs w:val="21"/>
                <w:highlight w:val="none"/>
                <w:lang w:eastAsia="zh-CN"/>
              </w:rPr>
              <w:t>广告标识</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或</w:t>
            </w:r>
            <w:r>
              <w:rPr>
                <w:rFonts w:hint="eastAsia" w:ascii="宋体" w:hAnsi="宋体" w:eastAsia="宋体" w:cs="宋体"/>
                <w:bCs/>
                <w:color w:val="auto"/>
                <w:sz w:val="21"/>
                <w:szCs w:val="21"/>
                <w:highlight w:val="none"/>
                <w:lang w:eastAsia="zh-CN"/>
              </w:rPr>
              <w:t>招牌</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安装</w:t>
            </w:r>
            <w:r>
              <w:rPr>
                <w:rFonts w:hint="eastAsia" w:ascii="宋体" w:hAnsi="宋体" w:eastAsia="宋体" w:cs="宋体"/>
                <w:bCs/>
                <w:color w:val="auto"/>
                <w:sz w:val="21"/>
                <w:szCs w:val="21"/>
                <w:highlight w:val="none"/>
                <w:lang w:val="en-US" w:eastAsia="zh-CN"/>
              </w:rPr>
              <w:t>类项目</w:t>
            </w:r>
            <w:r>
              <w:rPr>
                <w:rFonts w:hint="eastAsia" w:ascii="宋体" w:hAnsi="宋体" w:eastAsia="宋体" w:cs="宋体"/>
                <w:bCs/>
                <w:color w:val="auto"/>
                <w:sz w:val="21"/>
                <w:szCs w:val="21"/>
                <w:highlight w:val="none"/>
              </w:rPr>
              <w:t>业绩</w:t>
            </w:r>
            <w:r>
              <w:rPr>
                <w:rFonts w:hint="eastAsia" w:ascii="宋体" w:hAnsi="宋体" w:eastAsia="宋体" w:cs="宋体"/>
                <w:bCs/>
                <w:color w:val="auto"/>
                <w:sz w:val="21"/>
                <w:szCs w:val="21"/>
                <w:highlight w:val="none"/>
                <w:lang w:val="en-US" w:eastAsia="zh-CN"/>
              </w:rPr>
              <w:t>进行评审</w:t>
            </w:r>
            <w:r>
              <w:rPr>
                <w:rFonts w:hint="eastAsia" w:ascii="宋体" w:hAnsi="宋体" w:eastAsia="宋体" w:cs="宋体"/>
                <w:bCs/>
                <w:color w:val="auto"/>
                <w:sz w:val="21"/>
                <w:szCs w:val="21"/>
                <w:highlight w:val="none"/>
              </w:rPr>
              <w:t>，每提供一个</w:t>
            </w:r>
            <w:r>
              <w:rPr>
                <w:rFonts w:hint="eastAsia" w:ascii="宋体" w:hAnsi="宋体" w:cs="宋体"/>
                <w:bCs/>
                <w:color w:val="auto"/>
                <w:sz w:val="21"/>
                <w:szCs w:val="21"/>
                <w:highlight w:val="none"/>
                <w:lang w:val="en-US" w:eastAsia="zh-CN"/>
              </w:rPr>
              <w:t>合同</w:t>
            </w:r>
            <w:r>
              <w:rPr>
                <w:rFonts w:hint="eastAsia" w:ascii="宋体" w:hAnsi="宋体" w:eastAsia="宋体" w:cs="宋体"/>
                <w:bCs/>
                <w:color w:val="auto"/>
                <w:sz w:val="21"/>
                <w:szCs w:val="21"/>
                <w:highlight w:val="none"/>
              </w:rPr>
              <w:t>业绩得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分，本项最高</w:t>
            </w:r>
            <w:r>
              <w:rPr>
                <w:rFonts w:hint="eastAsia" w:ascii="宋体" w:hAnsi="宋体" w:cs="宋体"/>
                <w:bCs/>
                <w:color w:val="auto"/>
                <w:sz w:val="21"/>
                <w:szCs w:val="21"/>
                <w:highlight w:val="none"/>
                <w:lang w:val="en-US" w:eastAsia="zh-CN"/>
              </w:rPr>
              <w:t>得16</w:t>
            </w:r>
            <w:r>
              <w:rPr>
                <w:rFonts w:hint="eastAsia" w:ascii="宋体" w:hAnsi="宋体" w:eastAsia="宋体" w:cs="宋体"/>
                <w:bCs/>
                <w:color w:val="auto"/>
                <w:sz w:val="21"/>
                <w:szCs w:val="21"/>
                <w:highlight w:val="none"/>
              </w:rPr>
              <w:t>分</w:t>
            </w:r>
            <w:r>
              <w:rPr>
                <w:rFonts w:hint="eastAsia" w:ascii="宋体" w:hAnsi="宋体" w:cs="宋体"/>
                <w:bCs/>
                <w:color w:val="auto"/>
                <w:sz w:val="21"/>
                <w:szCs w:val="21"/>
                <w:highlight w:val="none"/>
                <w:lang w:eastAsia="zh-CN"/>
              </w:rPr>
              <w:t>。</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注:须提供业绩合同复印件并加盖投标人公章</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1" w:hRule="atLeast"/>
          <w:jc w:val="center"/>
        </w:trPr>
        <w:tc>
          <w:tcPr>
            <w:tcW w:w="651" w:type="dxa"/>
            <w:tcBorders>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114" w:type="dxa"/>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售后服务情况</w:t>
            </w:r>
          </w:p>
        </w:tc>
        <w:tc>
          <w:tcPr>
            <w:tcW w:w="6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根据投标人提供的服务响应时间承诺进行评分</w:t>
            </w:r>
            <w:r>
              <w:rPr>
                <w:rFonts w:hint="eastAsia" w:ascii="宋体" w:hAnsi="宋体" w:eastAsia="宋体" w:cs="宋体"/>
                <w:bCs/>
                <w:color w:val="auto"/>
                <w:sz w:val="21"/>
                <w:szCs w:val="21"/>
                <w:highlight w:val="none"/>
                <w:lang w:eastAsia="zh-CN"/>
              </w:rPr>
              <w:t>：</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投标人承诺在接到采购人通知后1小时内到现场，得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投标人承诺在接到采购人通知后2小时内到现场，得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投标人承诺在接到采购人通知后3小时内到现场，得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投标人未承诺或承诺在接到采购人通知后超过3小时到现场，不得分。</w:t>
            </w:r>
          </w:p>
          <w:p>
            <w:pPr>
              <w:keepNext w:val="0"/>
              <w:keepLines w:val="0"/>
              <w:pageBreakBefore w:val="0"/>
              <w:widowControl/>
              <w:kinsoku/>
              <w:wordWrap/>
              <w:overflowPunct/>
              <w:topLinePunct w:val="0"/>
              <w:autoSpaceDE/>
              <w:autoSpaceDN/>
              <w:bidi w:val="0"/>
              <w:spacing w:line="240" w:lineRule="auto"/>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rPr>
              <w:t>注：须提供服务承诺书并加盖投标人公章，否则不得分。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w:t>
            </w:r>
            <w:r>
              <w:rPr>
                <w:rFonts w:hint="eastAsia" w:ascii="宋体" w:hAnsi="宋体" w:cs="宋体"/>
                <w:bCs/>
                <w:color w:val="auto"/>
                <w:sz w:val="21"/>
                <w:szCs w:val="21"/>
                <w:highlight w:val="none"/>
                <w:lang w:val="en-US" w:eastAsia="zh-CN"/>
              </w:rPr>
              <w:t>70</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1</w:t>
            </w:r>
          </w:p>
        </w:tc>
        <w:tc>
          <w:tcPr>
            <w:tcW w:w="11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总体实施方案</w:t>
            </w:r>
          </w:p>
        </w:tc>
        <w:tc>
          <w:tcPr>
            <w:tcW w:w="6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根据投标人针对本项目所提供的项目实施方案（包括但不限于供货方案、安装调试方案</w:t>
            </w:r>
            <w:r>
              <w:rPr>
                <w:rFonts w:hint="eastAsia" w:ascii="宋体" w:hAnsi="宋体" w:cs="宋体"/>
                <w:color w:val="auto"/>
                <w:sz w:val="21"/>
                <w:szCs w:val="21"/>
                <w:highlight w:val="none"/>
                <w:lang w:val="en-US" w:eastAsia="zh-CN"/>
              </w:rPr>
              <w:t>等</w:t>
            </w:r>
            <w:r>
              <w:rPr>
                <w:rFonts w:hint="eastAsia" w:ascii="宋体" w:hAnsi="宋体" w:eastAsia="宋体" w:cs="宋体"/>
                <w:color w:val="auto"/>
                <w:sz w:val="21"/>
                <w:szCs w:val="21"/>
                <w:highlight w:val="none"/>
                <w:lang w:val="en-US" w:eastAsia="zh-CN"/>
              </w:rPr>
              <w:t>）进行综合评审：</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总体实施方案描述详尽合理，完全符合或优于用户需求，可操作性高，得</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lang w:val="en-US" w:eastAsia="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总体实施方案描述合理，符合用户需求，可操作性较高，得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总体实施方案描述一般，基本符合用户需求，具有基本可操作性，得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总体实施方案描述不合理，可操作性差，得1分。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r>
              <w:rPr>
                <w:rFonts w:hint="eastAsia" w:ascii="宋体" w:eastAsia="宋体" w:cs="宋体"/>
                <w:bCs/>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11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color w:val="auto"/>
                <w:szCs w:val="21"/>
                <w:highlight w:val="none"/>
              </w:rPr>
              <w:t>进度计划方案</w:t>
            </w:r>
          </w:p>
        </w:tc>
        <w:tc>
          <w:tcPr>
            <w:tcW w:w="6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根据投标人针对本项目所提供的重难点分析、实施组织进度计划、主要施工方法等方案进行</w:t>
            </w:r>
            <w:r>
              <w:rPr>
                <w:rFonts w:hint="eastAsia" w:ascii="宋体" w:hAnsi="宋体" w:cs="宋体"/>
                <w:color w:val="auto"/>
                <w:sz w:val="21"/>
                <w:szCs w:val="21"/>
                <w:highlight w:val="none"/>
                <w:lang w:val="en-US" w:eastAsia="zh-CN"/>
              </w:rPr>
              <w:t>综合</w:t>
            </w:r>
            <w:r>
              <w:rPr>
                <w:rFonts w:hint="eastAsia" w:ascii="宋体" w:hAnsi="宋体" w:eastAsia="宋体" w:cs="宋体"/>
                <w:color w:val="auto"/>
                <w:sz w:val="21"/>
                <w:szCs w:val="21"/>
                <w:highlight w:val="none"/>
                <w:lang w:val="zh-CN"/>
              </w:rPr>
              <w:t>评审：</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方案详尽科学合理，分析准确，可操作性高，得</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lang w:val="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方案较为科学合理，分析较好，可操作性较高，得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方案相对科学合理，分析一般，具有基本可操作性，得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方案较差、不完整、可操作性差，得1分。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r>
              <w:rPr>
                <w:rFonts w:hint="eastAsia" w:ascii="宋体" w:eastAsia="宋体" w:cs="宋体"/>
                <w:bCs/>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1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安全文明措施方案</w:t>
            </w:r>
          </w:p>
        </w:tc>
        <w:tc>
          <w:tcPr>
            <w:tcW w:w="6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根据投标人对本项目所提供的安全文明措施方案进行综合评审：</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安全文明措施方案科学合理，可操作性高，得</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安全文明措施方案比较合理，可操作性较高，得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安全文明措施方案基本合理，具有基本可操作性，得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安全文明措施方案不合理，存在安全隐患，可操作性差，得1分；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1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bCs/>
                <w:color w:val="auto"/>
                <w:sz w:val="21"/>
                <w:szCs w:val="21"/>
                <w:highlight w:val="none"/>
              </w:rPr>
            </w:pPr>
            <w:r>
              <w:rPr>
                <w:rFonts w:hint="eastAsia" w:ascii="宋体" w:hAnsi="宋体" w:cs="宋体"/>
                <w:color w:val="auto"/>
                <w:szCs w:val="21"/>
                <w:highlight w:val="none"/>
              </w:rPr>
              <w:t>应急处置方案</w:t>
            </w:r>
          </w:p>
        </w:tc>
        <w:tc>
          <w:tcPr>
            <w:tcW w:w="6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根据投标人针对本项目重大或突发事件等特殊情况在传达机制、分析、调配、责任分工等作出应急处置方案进行综合评审：</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对于特殊应急情况处理方案详尽科学合理，可操作性高，措施明确清晰，得</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对于特殊应急情况处理方案合理，可操作性较高，措施明确，得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对于特殊应急情况处理方案不合理，具有基本可操作性，措施一般，得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对于特殊应急情况处理方案不合理，可操作性差，得1分；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5</w:t>
            </w:r>
          </w:p>
        </w:tc>
        <w:tc>
          <w:tcPr>
            <w:tcW w:w="11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验收方案</w:t>
            </w:r>
          </w:p>
        </w:tc>
        <w:tc>
          <w:tcPr>
            <w:tcW w:w="6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w:t>
            </w:r>
            <w:r>
              <w:rPr>
                <w:rFonts w:hint="eastAsia" w:ascii="宋体" w:hAnsi="宋体" w:eastAsia="宋体" w:cs="宋体"/>
                <w:bCs/>
                <w:color w:val="auto"/>
                <w:sz w:val="21"/>
                <w:szCs w:val="21"/>
                <w:highlight w:val="none"/>
                <w:lang w:val="en-US" w:eastAsia="zh-CN"/>
              </w:rPr>
              <w:t>供应商提供的</w:t>
            </w:r>
            <w:r>
              <w:rPr>
                <w:rFonts w:hint="eastAsia" w:ascii="宋体" w:hAnsi="宋体" w:eastAsia="宋体" w:cs="宋体"/>
                <w:bCs/>
                <w:color w:val="auto"/>
                <w:sz w:val="21"/>
                <w:szCs w:val="21"/>
                <w:highlight w:val="none"/>
                <w:lang w:val="zh-CN"/>
              </w:rPr>
              <w:t>验收方案、承诺验收达到标准、整改方案及标准等进行综合</w:t>
            </w:r>
            <w:r>
              <w:rPr>
                <w:rFonts w:hint="eastAsia" w:ascii="宋体" w:hAnsi="宋体" w:eastAsia="宋体" w:cs="宋体"/>
                <w:color w:val="auto"/>
                <w:sz w:val="21"/>
                <w:szCs w:val="21"/>
                <w:highlight w:val="none"/>
              </w:rPr>
              <w:t>评审：</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方案</w:t>
            </w:r>
            <w:r>
              <w:rPr>
                <w:rFonts w:hint="eastAsia" w:ascii="宋体" w:hAnsi="宋体" w:eastAsia="宋体" w:cs="宋体"/>
                <w:bCs/>
                <w:color w:val="auto"/>
                <w:sz w:val="21"/>
                <w:szCs w:val="21"/>
                <w:highlight w:val="none"/>
                <w:lang w:val="zh-CN"/>
              </w:rPr>
              <w:t>完整科学、可行性强，完全满足并优于招标文件要求，得</w:t>
            </w:r>
            <w:r>
              <w:rPr>
                <w:rFonts w:hint="eastAsia" w:ascii="宋体" w:hAnsi="宋体" w:cs="宋体"/>
                <w:bCs/>
                <w:color w:val="auto"/>
                <w:sz w:val="21"/>
                <w:szCs w:val="21"/>
                <w:highlight w:val="none"/>
                <w:lang w:val="en-US" w:eastAsia="zh-CN"/>
              </w:rPr>
              <w:t>12</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方案</w:t>
            </w:r>
            <w:r>
              <w:rPr>
                <w:rFonts w:hint="eastAsia" w:ascii="宋体" w:hAnsi="宋体" w:eastAsia="宋体" w:cs="宋体"/>
                <w:bCs/>
                <w:color w:val="auto"/>
                <w:sz w:val="21"/>
                <w:szCs w:val="21"/>
                <w:highlight w:val="none"/>
                <w:lang w:val="zh-CN"/>
              </w:rPr>
              <w:t>完整、可行性一般，符合招标文件要求，得</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方案</w:t>
            </w:r>
            <w:r>
              <w:rPr>
                <w:rFonts w:hint="eastAsia" w:ascii="宋体" w:hAnsi="宋体" w:eastAsia="宋体" w:cs="宋体"/>
                <w:bCs/>
                <w:color w:val="auto"/>
                <w:sz w:val="21"/>
                <w:szCs w:val="21"/>
                <w:highlight w:val="none"/>
                <w:lang w:val="zh-CN"/>
              </w:rPr>
              <w:t>基本完整、可行性较差，基本符合招标文件要求，得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方案不</w:t>
            </w:r>
            <w:r>
              <w:rPr>
                <w:rFonts w:hint="eastAsia" w:ascii="宋体" w:hAnsi="宋体" w:eastAsia="宋体" w:cs="宋体"/>
                <w:bCs/>
                <w:color w:val="auto"/>
                <w:sz w:val="21"/>
                <w:szCs w:val="21"/>
                <w:highlight w:val="none"/>
                <w:lang w:val="zh-CN"/>
              </w:rPr>
              <w:t>完整、可行性差，</w:t>
            </w:r>
            <w:r>
              <w:rPr>
                <w:rFonts w:hint="eastAsia" w:ascii="宋体" w:hAnsi="宋体" w:eastAsia="宋体" w:cs="宋体"/>
                <w:bCs/>
                <w:color w:val="auto"/>
                <w:sz w:val="21"/>
                <w:szCs w:val="21"/>
                <w:highlight w:val="none"/>
                <w:lang w:val="en-US" w:eastAsia="zh-CN"/>
              </w:rPr>
              <w:t>未达到</w:t>
            </w:r>
            <w:r>
              <w:rPr>
                <w:rFonts w:hint="eastAsia" w:ascii="宋体" w:hAnsi="宋体" w:eastAsia="宋体" w:cs="宋体"/>
                <w:bCs/>
                <w:color w:val="auto"/>
                <w:sz w:val="21"/>
                <w:szCs w:val="21"/>
                <w:highlight w:val="none"/>
                <w:lang w:val="zh-CN"/>
              </w:rPr>
              <w:t>招标文件要求，得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 xml:space="preserve">未提供对应方案不得分。 </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r>
              <w:rPr>
                <w:rFonts w:hint="eastAsia" w:ascii="宋体" w:eastAsia="宋体" w:cs="宋体"/>
                <w:bCs/>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11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售后服务保障</w:t>
            </w:r>
          </w:p>
        </w:tc>
        <w:tc>
          <w:tcPr>
            <w:tcW w:w="6096"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根据投标人所提供的售后服务方案（包括但不限于售后服务响应、应急维修安排）进行综合评审： </w:t>
            </w:r>
          </w:p>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投标人</w:t>
            </w:r>
            <w:r>
              <w:rPr>
                <w:rFonts w:hint="eastAsia" w:ascii="宋体" w:hAnsi="宋体" w:eastAsia="宋体" w:cs="宋体"/>
                <w:color w:val="auto"/>
                <w:sz w:val="21"/>
                <w:szCs w:val="21"/>
                <w:highlight w:val="none"/>
              </w:rPr>
              <w:t>所提供的售后服务方案非常全面完善，内容非常具体、详细，可行性非常强，内容详尽完整，可行性强，得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 xml:space="preserve">分； </w:t>
            </w:r>
          </w:p>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投标人</w:t>
            </w:r>
            <w:r>
              <w:rPr>
                <w:rFonts w:hint="eastAsia" w:ascii="宋体" w:hAnsi="宋体" w:eastAsia="宋体" w:cs="宋体"/>
                <w:color w:val="auto"/>
                <w:sz w:val="21"/>
                <w:szCs w:val="21"/>
                <w:highlight w:val="none"/>
              </w:rPr>
              <w:t>所提供的售后服务方案比较完善、详细，内容比较具体、详细，具有可行性的，得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分； </w:t>
            </w:r>
          </w:p>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投标人</w:t>
            </w:r>
            <w:r>
              <w:rPr>
                <w:rFonts w:hint="eastAsia" w:ascii="宋体" w:hAnsi="宋体" w:eastAsia="宋体" w:cs="宋体"/>
                <w:color w:val="auto"/>
                <w:sz w:val="21"/>
                <w:szCs w:val="21"/>
                <w:highlight w:val="none"/>
              </w:rPr>
              <w:t>所提供的售后服务方案基本完善，可行性一般的，得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 xml:space="preserve">分； </w:t>
            </w:r>
          </w:p>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投标人</w:t>
            </w:r>
            <w:r>
              <w:rPr>
                <w:rFonts w:hint="eastAsia" w:ascii="宋体" w:hAnsi="宋体" w:eastAsia="宋体" w:cs="宋体"/>
                <w:color w:val="auto"/>
                <w:sz w:val="21"/>
                <w:szCs w:val="21"/>
                <w:highlight w:val="none"/>
              </w:rPr>
              <w:t>所提供的售后服务方案不全面，可行性较差的，得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 xml:space="preserve">分； </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未提供相应方案的不得分。 </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6"/>
              <w:keepNext w:val="0"/>
              <w:keepLines w:val="0"/>
              <w:pageBreakBefore w:val="0"/>
              <w:kinsoku/>
              <w:wordWrap/>
              <w:overflowPunct/>
              <w:topLinePunct w:val="0"/>
              <w:autoSpaceDE/>
              <w:autoSpaceDN/>
              <w:bidi w:val="0"/>
              <w:spacing w:line="240" w:lineRule="auto"/>
              <w:ind w:left="0" w:leftChars="0" w:firstLine="0" w:firstLineChars="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若因疫情原因暂缓统一托收或阶段性减免社会保险费而导致无法打印社保缴费证明的需提供书面说明并加盖投标人公章，否则不得分。</w:t>
            </w:r>
          </w:p>
        </w:tc>
      </w:tr>
    </w:tbl>
    <w:p>
      <w:pPr>
        <w:rPr>
          <w:color w:val="auto"/>
          <w:highlight w:val="none"/>
        </w:rPr>
      </w:pPr>
    </w:p>
    <w:p>
      <w:pPr>
        <w:pStyle w:val="2"/>
        <w:rPr>
          <w:color w:val="auto"/>
          <w:highlight w:val="none"/>
        </w:rPr>
      </w:pPr>
    </w:p>
    <w:p>
      <w:pPr>
        <w:rPr>
          <w:color w:val="auto"/>
          <w:highlight w:val="none"/>
        </w:rPr>
      </w:pPr>
      <w:r>
        <w:rPr>
          <w:rFonts w:hint="eastAsia"/>
          <w:color w:val="auto"/>
          <w:highlight w:val="none"/>
        </w:rPr>
        <w:br w:type="page"/>
      </w:r>
    </w:p>
    <w:p>
      <w:pPr>
        <w:pStyle w:val="4"/>
        <w:spacing w:before="0" w:after="0" w:line="240" w:lineRule="auto"/>
        <w:rPr>
          <w:color w:val="auto"/>
          <w:sz w:val="24"/>
          <w:szCs w:val="24"/>
          <w:highlight w:val="none"/>
        </w:rPr>
      </w:pPr>
      <w:bookmarkStart w:id="17" w:name="_Toc2479"/>
      <w:bookmarkStart w:id="18" w:name="_Toc29685"/>
      <w:bookmarkStart w:id="19" w:name="_Toc30638"/>
      <w:bookmarkStart w:id="20" w:name="_Toc14146"/>
      <w:r>
        <w:rPr>
          <w:rFonts w:hint="eastAsia"/>
          <w:color w:val="auto"/>
          <w:sz w:val="28"/>
          <w:szCs w:val="28"/>
          <w:highlight w:val="none"/>
        </w:rPr>
        <w:t>第四部分 投标人须知</w:t>
      </w:r>
      <w:bookmarkEnd w:id="17"/>
      <w:bookmarkEnd w:id="18"/>
      <w:bookmarkEnd w:id="19"/>
    </w:p>
    <w:p>
      <w:pPr>
        <w:pStyle w:val="5"/>
        <w:spacing w:line="480" w:lineRule="auto"/>
        <w:jc w:val="center"/>
        <w:rPr>
          <w:rFonts w:ascii="宋体" w:hAnsi="宋体"/>
          <w:color w:val="auto"/>
          <w:highlight w:val="none"/>
        </w:rPr>
      </w:pPr>
      <w:bookmarkStart w:id="21" w:name="_Toc19746"/>
      <w:bookmarkStart w:id="22" w:name="_Toc3095"/>
      <w:bookmarkStart w:id="23" w:name="_Toc11105"/>
      <w:r>
        <w:rPr>
          <w:rFonts w:hint="eastAsia" w:ascii="宋体" w:hAnsi="宋体"/>
          <w:color w:val="auto"/>
          <w:highlight w:val="none"/>
        </w:rPr>
        <w:t>第一章说明</w:t>
      </w:r>
      <w:bookmarkEnd w:id="21"/>
      <w:bookmarkEnd w:id="22"/>
      <w:bookmarkEnd w:id="23"/>
    </w:p>
    <w:p>
      <w:pPr>
        <w:pStyle w:val="6"/>
        <w:widowControl w:val="0"/>
        <w:overflowPunct w:val="0"/>
        <w:spacing w:line="240" w:lineRule="auto"/>
        <w:rPr>
          <w:rFonts w:ascii="宋体" w:hAnsi="宋体"/>
          <w:color w:val="auto"/>
          <w:sz w:val="21"/>
          <w:szCs w:val="21"/>
          <w:highlight w:val="none"/>
        </w:rPr>
      </w:pPr>
      <w:bookmarkStart w:id="24" w:name="_Toc18488"/>
      <w:bookmarkStart w:id="25" w:name="_Toc22847"/>
      <w:bookmarkStart w:id="26" w:name="_Toc22803"/>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27" w:name="_Toc21002"/>
      <w:bookmarkStart w:id="28" w:name="_Toc13400"/>
      <w:bookmarkStart w:id="29" w:name="_Toc16848"/>
      <w:r>
        <w:rPr>
          <w:rFonts w:hint="eastAsia" w:ascii="宋体" w:hAnsi="宋体"/>
          <w:color w:val="auto"/>
          <w:sz w:val="21"/>
          <w:szCs w:val="21"/>
          <w:highlight w:val="none"/>
        </w:rPr>
        <w:t>2.</w:t>
      </w:r>
      <w:bookmarkStart w:id="30" w:name="_Toc298847174"/>
      <w:bookmarkStart w:id="31" w:name="_Toc382049092"/>
      <w:bookmarkStart w:id="32" w:name="_Toc303084246"/>
      <w:bookmarkStart w:id="33" w:name="_Toc1530"/>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4" w:name="_Toc9710"/>
      <w:bookmarkStart w:id="35" w:name="_Toc2996"/>
      <w:bookmarkStart w:id="36" w:name="_Toc3780"/>
      <w:r>
        <w:rPr>
          <w:rFonts w:hint="eastAsia" w:ascii="宋体" w:hAnsi="宋体"/>
          <w:color w:val="auto"/>
          <w:sz w:val="21"/>
          <w:szCs w:val="21"/>
          <w:highlight w:val="none"/>
        </w:rPr>
        <w:t>3.货物和服务</w:t>
      </w:r>
      <w:bookmarkEnd w:id="34"/>
      <w:bookmarkEnd w:id="35"/>
      <w:bookmarkEnd w:id="36"/>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7" w:name="_Toc13909"/>
      <w:bookmarkStart w:id="38" w:name="_Toc12536"/>
      <w:bookmarkStart w:id="39" w:name="_Toc15945"/>
      <w:r>
        <w:rPr>
          <w:rFonts w:hint="eastAsia" w:ascii="宋体" w:hAnsi="宋体"/>
          <w:color w:val="auto"/>
          <w:sz w:val="21"/>
          <w:szCs w:val="21"/>
          <w:highlight w:val="none"/>
        </w:rPr>
        <w:t>4.投标费用</w:t>
      </w:r>
      <w:bookmarkEnd w:id="37"/>
      <w:bookmarkEnd w:id="38"/>
      <w:bookmarkEnd w:id="39"/>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0" w:name="_Toc19532"/>
      <w:bookmarkStart w:id="41" w:name="_Toc19094"/>
      <w:bookmarkStart w:id="42" w:name="_Toc25040"/>
      <w:r>
        <w:rPr>
          <w:rFonts w:hint="eastAsia" w:ascii="宋体" w:hAnsi="宋体"/>
          <w:color w:val="auto"/>
          <w:sz w:val="21"/>
          <w:szCs w:val="21"/>
          <w:highlight w:val="none"/>
        </w:rPr>
        <w:t>5.知识产权</w:t>
      </w:r>
      <w:bookmarkEnd w:id="40"/>
      <w:bookmarkEnd w:id="41"/>
      <w:bookmarkEnd w:id="42"/>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3" w:name="_Toc31885"/>
      <w:bookmarkStart w:id="44" w:name="_Toc8432"/>
      <w:bookmarkStart w:id="45" w:name="_Toc21930"/>
      <w:r>
        <w:rPr>
          <w:rFonts w:hint="eastAsia" w:ascii="宋体" w:hAnsi="宋体"/>
          <w:color w:val="auto"/>
          <w:sz w:val="21"/>
          <w:szCs w:val="21"/>
          <w:highlight w:val="none"/>
        </w:rPr>
        <w:t>6.关于联合体投标</w:t>
      </w:r>
      <w:bookmarkEnd w:id="43"/>
      <w:bookmarkEnd w:id="44"/>
      <w:bookmarkEnd w:id="45"/>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6" w:name="_Toc16571"/>
      <w:bookmarkStart w:id="47" w:name="_Toc13811"/>
      <w:bookmarkStart w:id="48" w:name="_Toc32331"/>
      <w:bookmarkStart w:id="49" w:name="_Toc17879"/>
      <w:r>
        <w:rPr>
          <w:rFonts w:hint="eastAsia" w:ascii="宋体" w:hAnsi="宋体"/>
          <w:color w:val="auto"/>
          <w:sz w:val="21"/>
          <w:szCs w:val="21"/>
          <w:highlight w:val="none"/>
        </w:rPr>
        <w:t>7.关于分支机构投标</w:t>
      </w:r>
      <w:bookmarkEnd w:id="46"/>
      <w:bookmarkEnd w:id="47"/>
      <w:bookmarkEnd w:id="48"/>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5"/>
        <w:spacing w:line="480" w:lineRule="auto"/>
        <w:jc w:val="center"/>
        <w:rPr>
          <w:rFonts w:ascii="宋体" w:hAnsi="宋体"/>
          <w:color w:val="auto"/>
          <w:highlight w:val="none"/>
        </w:rPr>
      </w:pPr>
      <w:bookmarkStart w:id="51" w:name="_Toc27045"/>
      <w:bookmarkStart w:id="52" w:name="_Toc18115"/>
      <w:r>
        <w:rPr>
          <w:rFonts w:hint="eastAsia" w:ascii="宋体" w:hAnsi="宋体"/>
          <w:color w:val="auto"/>
          <w:highlight w:val="none"/>
        </w:rPr>
        <w:t>第二章招标文件</w:t>
      </w:r>
      <w:bookmarkEnd w:id="49"/>
      <w:bookmarkEnd w:id="51"/>
      <w:bookmarkEnd w:id="52"/>
    </w:p>
    <w:p>
      <w:pPr>
        <w:pStyle w:val="6"/>
        <w:widowControl w:val="0"/>
        <w:overflowPunct w:val="0"/>
        <w:spacing w:line="240" w:lineRule="auto"/>
        <w:rPr>
          <w:rFonts w:ascii="宋体" w:hAnsi="宋体"/>
          <w:color w:val="auto"/>
          <w:sz w:val="21"/>
          <w:szCs w:val="21"/>
          <w:highlight w:val="none"/>
        </w:rPr>
      </w:pPr>
      <w:bookmarkStart w:id="53" w:name="_Toc1423"/>
      <w:bookmarkStart w:id="54" w:name="_Toc13494"/>
      <w:bookmarkStart w:id="55" w:name="_Toc21771"/>
      <w:r>
        <w:rPr>
          <w:rFonts w:hint="eastAsia" w:ascii="宋体" w:hAnsi="宋体"/>
          <w:color w:val="auto"/>
          <w:sz w:val="21"/>
          <w:szCs w:val="21"/>
          <w:highlight w:val="none"/>
        </w:rPr>
        <w:t>8.招标文件的组成</w:t>
      </w:r>
      <w:bookmarkEnd w:id="53"/>
      <w:bookmarkEnd w:id="54"/>
      <w:bookmarkEnd w:id="55"/>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6"/>
        <w:widowControl w:val="0"/>
        <w:overflowPunct w:val="0"/>
        <w:rPr>
          <w:rFonts w:ascii="宋体" w:hAnsi="宋体"/>
          <w:color w:val="auto"/>
          <w:sz w:val="21"/>
          <w:szCs w:val="21"/>
          <w:highlight w:val="none"/>
        </w:rPr>
      </w:pPr>
      <w:bookmarkStart w:id="56" w:name="_Toc17274"/>
      <w:bookmarkStart w:id="57" w:name="_Toc14217"/>
      <w:bookmarkStart w:id="58" w:name="_Toc7997"/>
      <w:r>
        <w:rPr>
          <w:rFonts w:hint="eastAsia" w:ascii="宋体" w:hAnsi="宋体"/>
          <w:color w:val="auto"/>
          <w:sz w:val="21"/>
          <w:szCs w:val="21"/>
          <w:highlight w:val="none"/>
        </w:rPr>
        <w:t>9.招标文件的澄清或修改</w:t>
      </w:r>
      <w:bookmarkEnd w:id="56"/>
      <w:bookmarkEnd w:id="57"/>
      <w:bookmarkEnd w:id="58"/>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5"/>
        <w:spacing w:line="480" w:lineRule="auto"/>
        <w:jc w:val="center"/>
        <w:rPr>
          <w:rFonts w:ascii="宋体" w:hAnsi="宋体"/>
          <w:color w:val="auto"/>
          <w:highlight w:val="none"/>
        </w:rPr>
      </w:pPr>
      <w:bookmarkStart w:id="59" w:name="_Toc16712"/>
      <w:bookmarkStart w:id="60" w:name="_Toc23726"/>
      <w:bookmarkStart w:id="61" w:name="_Toc4773"/>
      <w:r>
        <w:rPr>
          <w:rFonts w:hint="eastAsia" w:ascii="宋体" w:hAnsi="宋体"/>
          <w:color w:val="auto"/>
          <w:highlight w:val="none"/>
        </w:rPr>
        <w:t>第三章投标文件的编制</w:t>
      </w:r>
      <w:bookmarkEnd w:id="59"/>
      <w:bookmarkEnd w:id="60"/>
      <w:bookmarkEnd w:id="61"/>
    </w:p>
    <w:p>
      <w:pPr>
        <w:pStyle w:val="6"/>
        <w:widowControl w:val="0"/>
        <w:overflowPunct w:val="0"/>
        <w:rPr>
          <w:rFonts w:ascii="宋体" w:hAnsi="宋体"/>
          <w:color w:val="auto"/>
          <w:sz w:val="21"/>
          <w:szCs w:val="21"/>
          <w:highlight w:val="none"/>
        </w:rPr>
      </w:pPr>
      <w:bookmarkStart w:id="62" w:name="_Toc20623"/>
      <w:bookmarkStart w:id="63" w:name="_Toc7434"/>
      <w:bookmarkStart w:id="64" w:name="_Toc28092"/>
      <w:r>
        <w:rPr>
          <w:rFonts w:hint="eastAsia" w:ascii="宋体" w:hAnsi="宋体"/>
          <w:color w:val="auto"/>
          <w:sz w:val="21"/>
          <w:szCs w:val="21"/>
          <w:highlight w:val="none"/>
        </w:rPr>
        <w:t>10.投标文件的语言及度量衡单位</w:t>
      </w:r>
      <w:bookmarkEnd w:id="62"/>
      <w:bookmarkEnd w:id="63"/>
      <w:bookmarkEnd w:id="64"/>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65" w:name="_Toc307934854"/>
      <w:bookmarkStart w:id="66" w:name="_Toc28866"/>
      <w:bookmarkStart w:id="67" w:name="_Toc7728"/>
      <w:bookmarkStart w:id="68" w:name="_Toc303084256"/>
      <w:bookmarkStart w:id="69" w:name="_Toc18999"/>
      <w:bookmarkStart w:id="70" w:name="_Toc382049103"/>
      <w:bookmarkStart w:id="71" w:name="_Toc12145"/>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6"/>
        <w:widowControl w:val="0"/>
        <w:overflowPunct w:val="0"/>
        <w:rPr>
          <w:rFonts w:ascii="宋体" w:hAnsi="宋体"/>
          <w:color w:val="auto"/>
          <w:sz w:val="21"/>
          <w:szCs w:val="21"/>
          <w:highlight w:val="none"/>
        </w:rPr>
      </w:pPr>
      <w:bookmarkStart w:id="72" w:name="_Toc21747"/>
      <w:bookmarkStart w:id="73" w:name="_Toc3882"/>
      <w:bookmarkStart w:id="74" w:name="_Toc30189"/>
      <w:r>
        <w:rPr>
          <w:rFonts w:hint="eastAsia" w:ascii="宋体" w:hAnsi="宋体"/>
          <w:color w:val="auto"/>
          <w:sz w:val="21"/>
          <w:szCs w:val="21"/>
          <w:highlight w:val="none"/>
        </w:rPr>
        <w:t>12.投标文件编制</w:t>
      </w:r>
      <w:bookmarkEnd w:id="72"/>
      <w:bookmarkEnd w:id="73"/>
      <w:bookmarkEnd w:id="74"/>
    </w:p>
    <w:p>
      <w:pPr>
        <w:pStyle w:val="33"/>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3"/>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3"/>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6"/>
        <w:widowControl w:val="0"/>
        <w:overflowPunct w:val="0"/>
        <w:rPr>
          <w:rFonts w:ascii="宋体" w:hAnsi="宋体"/>
          <w:color w:val="auto"/>
          <w:sz w:val="21"/>
          <w:szCs w:val="21"/>
          <w:highlight w:val="none"/>
        </w:rPr>
      </w:pPr>
      <w:bookmarkStart w:id="76" w:name="_Toc259"/>
      <w:bookmarkStart w:id="77" w:name="_Toc17188"/>
      <w:bookmarkStart w:id="78" w:name="_Toc7847"/>
      <w:r>
        <w:rPr>
          <w:rFonts w:hint="eastAsia" w:ascii="宋体" w:hAnsi="宋体"/>
          <w:color w:val="auto"/>
          <w:sz w:val="21"/>
          <w:szCs w:val="21"/>
          <w:highlight w:val="none"/>
        </w:rPr>
        <w:t>13.投标报价说明</w:t>
      </w:r>
      <w:bookmarkEnd w:id="76"/>
      <w:bookmarkEnd w:id="77"/>
      <w:bookmarkEnd w:id="78"/>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6"/>
        <w:widowControl w:val="0"/>
        <w:overflowPunct w:val="0"/>
        <w:rPr>
          <w:rFonts w:ascii="宋体" w:hAnsi="宋体"/>
          <w:color w:val="auto"/>
          <w:sz w:val="21"/>
          <w:szCs w:val="21"/>
          <w:highlight w:val="none"/>
        </w:rPr>
      </w:pPr>
      <w:bookmarkStart w:id="79" w:name="_Toc16535"/>
      <w:bookmarkStart w:id="80" w:name="_Toc27724"/>
      <w:bookmarkStart w:id="81" w:name="_Toc18911"/>
      <w:r>
        <w:rPr>
          <w:rFonts w:hint="eastAsia" w:ascii="宋体" w:hAnsi="宋体"/>
          <w:color w:val="auto"/>
          <w:sz w:val="21"/>
          <w:szCs w:val="21"/>
          <w:highlight w:val="none"/>
        </w:rPr>
        <w:t>14.投标人所提供的服务或货物的证明文件</w:t>
      </w:r>
      <w:bookmarkEnd w:id="79"/>
      <w:bookmarkEnd w:id="80"/>
      <w:bookmarkEnd w:id="81"/>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3"/>
        <w:widowControl w:val="0"/>
        <w:adjustRightInd/>
        <w:snapToGrid/>
        <w:ind w:left="425" w:firstLine="0" w:firstLineChars="0"/>
        <w:jc w:val="both"/>
        <w:rPr>
          <w:color w:val="auto"/>
          <w:highlight w:val="none"/>
        </w:rPr>
      </w:pPr>
    </w:p>
    <w:p>
      <w:pPr>
        <w:pStyle w:val="6"/>
        <w:widowControl w:val="0"/>
        <w:overflowPunct w:val="0"/>
        <w:rPr>
          <w:rFonts w:ascii="宋体" w:hAnsi="宋体"/>
          <w:color w:val="auto"/>
          <w:sz w:val="21"/>
          <w:szCs w:val="21"/>
          <w:highlight w:val="none"/>
        </w:rPr>
      </w:pPr>
      <w:bookmarkStart w:id="84" w:name="_Toc30815"/>
      <w:bookmarkStart w:id="85" w:name="_Toc22169"/>
      <w:bookmarkStart w:id="86" w:name="_Toc19520"/>
      <w:r>
        <w:rPr>
          <w:rFonts w:hint="eastAsia" w:ascii="宋体" w:hAnsi="宋体"/>
          <w:color w:val="auto"/>
          <w:sz w:val="21"/>
          <w:szCs w:val="21"/>
          <w:highlight w:val="none"/>
        </w:rPr>
        <w:t>15.★投标有效期</w:t>
      </w:r>
      <w:bookmarkEnd w:id="84"/>
      <w:bookmarkEnd w:id="85"/>
      <w:bookmarkEnd w:id="86"/>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87" w:name="_Toc30257"/>
      <w:bookmarkStart w:id="88" w:name="_Toc12456"/>
      <w:bookmarkStart w:id="89" w:name="_Toc25817"/>
      <w:r>
        <w:rPr>
          <w:rFonts w:hint="eastAsia" w:ascii="宋体" w:hAnsi="宋体"/>
          <w:color w:val="auto"/>
          <w:sz w:val="21"/>
          <w:szCs w:val="21"/>
          <w:highlight w:val="none"/>
        </w:rPr>
        <w:t>16.★投标保证金</w:t>
      </w:r>
      <w:bookmarkEnd w:id="87"/>
      <w:bookmarkEnd w:id="88"/>
      <w:bookmarkEnd w:id="89"/>
    </w:p>
    <w:p>
      <w:pPr>
        <w:pStyle w:val="33"/>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5"/>
        <w:spacing w:line="480" w:lineRule="auto"/>
        <w:jc w:val="center"/>
        <w:rPr>
          <w:rFonts w:ascii="宋体" w:hAnsi="宋体"/>
          <w:color w:val="auto"/>
          <w:highlight w:val="none"/>
        </w:rPr>
      </w:pPr>
      <w:bookmarkStart w:id="91" w:name="_Toc24109"/>
      <w:bookmarkStart w:id="92" w:name="_Toc3200"/>
      <w:bookmarkStart w:id="93" w:name="_Toc31124"/>
      <w:r>
        <w:rPr>
          <w:rFonts w:hint="eastAsia" w:ascii="宋体" w:hAnsi="宋体"/>
          <w:color w:val="auto"/>
          <w:highlight w:val="none"/>
        </w:rPr>
        <w:t>第四章投标文件的递交</w:t>
      </w:r>
      <w:bookmarkEnd w:id="91"/>
      <w:bookmarkEnd w:id="92"/>
      <w:bookmarkEnd w:id="93"/>
    </w:p>
    <w:p>
      <w:pPr>
        <w:pStyle w:val="6"/>
        <w:widowControl w:val="0"/>
        <w:overflowPunct w:val="0"/>
        <w:rPr>
          <w:rFonts w:ascii="宋体" w:hAnsi="宋体"/>
          <w:color w:val="auto"/>
          <w:sz w:val="21"/>
          <w:szCs w:val="21"/>
          <w:highlight w:val="none"/>
        </w:rPr>
      </w:pPr>
      <w:bookmarkStart w:id="94" w:name="_Toc23678"/>
      <w:bookmarkStart w:id="95" w:name="_Toc382049111"/>
      <w:bookmarkStart w:id="96" w:name="_Toc29590"/>
      <w:bookmarkStart w:id="97" w:name="_Toc473"/>
      <w:bookmarkStart w:id="98" w:name="_Toc24997"/>
      <w:bookmarkStart w:id="99" w:name="_Toc303084264"/>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00" w:name="_Toc7473"/>
      <w:bookmarkStart w:id="101" w:name="_Toc17417"/>
      <w:bookmarkStart w:id="102" w:name="_Toc8628"/>
      <w:r>
        <w:rPr>
          <w:rFonts w:hint="eastAsia" w:ascii="宋体" w:hAnsi="宋体"/>
          <w:color w:val="auto"/>
          <w:sz w:val="21"/>
          <w:szCs w:val="21"/>
          <w:highlight w:val="none"/>
        </w:rPr>
        <w:t>18.迟交的投标文件</w:t>
      </w:r>
      <w:bookmarkEnd w:id="100"/>
      <w:bookmarkEnd w:id="101"/>
      <w:bookmarkEnd w:id="102"/>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6"/>
        <w:widowControl w:val="0"/>
        <w:overflowPunct w:val="0"/>
        <w:rPr>
          <w:rFonts w:ascii="宋体" w:hAnsi="宋体"/>
          <w:color w:val="auto"/>
          <w:sz w:val="21"/>
          <w:szCs w:val="21"/>
          <w:highlight w:val="none"/>
        </w:rPr>
      </w:pPr>
      <w:bookmarkStart w:id="103" w:name="_Toc19649"/>
      <w:bookmarkStart w:id="104" w:name="_Toc8526"/>
      <w:bookmarkStart w:id="105" w:name="_Toc13212"/>
      <w:r>
        <w:rPr>
          <w:rFonts w:hint="eastAsia" w:ascii="宋体" w:hAnsi="宋体"/>
          <w:color w:val="auto"/>
          <w:sz w:val="21"/>
          <w:szCs w:val="21"/>
          <w:highlight w:val="none"/>
        </w:rPr>
        <w:t>19.投标样品（如需提交）</w:t>
      </w:r>
      <w:bookmarkEnd w:id="103"/>
      <w:bookmarkEnd w:id="104"/>
      <w:bookmarkEnd w:id="105"/>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6"/>
        <w:widowControl w:val="0"/>
        <w:overflowPunct w:val="0"/>
        <w:rPr>
          <w:rFonts w:ascii="宋体" w:hAnsi="宋体"/>
          <w:color w:val="auto"/>
          <w:sz w:val="21"/>
          <w:szCs w:val="21"/>
          <w:highlight w:val="none"/>
        </w:rPr>
      </w:pPr>
      <w:bookmarkStart w:id="106" w:name="_Toc23477"/>
      <w:bookmarkStart w:id="107" w:name="_Toc382049112"/>
      <w:bookmarkStart w:id="108" w:name="_Toc303084265"/>
      <w:bookmarkStart w:id="109" w:name="_Toc7689"/>
      <w:bookmarkStart w:id="110" w:name="_Toc5900"/>
      <w:bookmarkStart w:id="111" w:name="_Toc9777"/>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6"/>
        <w:widowControl w:val="0"/>
        <w:overflowPunct w:val="0"/>
        <w:rPr>
          <w:rFonts w:ascii="宋体" w:hAnsi="宋体"/>
          <w:color w:val="auto"/>
          <w:sz w:val="21"/>
          <w:szCs w:val="21"/>
          <w:highlight w:val="none"/>
        </w:rPr>
      </w:pPr>
      <w:bookmarkStart w:id="112" w:name="_Toc11133"/>
      <w:bookmarkStart w:id="113" w:name="_Toc15569"/>
      <w:bookmarkStart w:id="114" w:name="_Toc6003"/>
      <w:r>
        <w:rPr>
          <w:rFonts w:hint="eastAsia" w:ascii="宋体" w:hAnsi="宋体"/>
          <w:color w:val="auto"/>
          <w:sz w:val="21"/>
          <w:szCs w:val="21"/>
          <w:highlight w:val="none"/>
        </w:rPr>
        <w:t>21.投标文件的补充、修改与撤回</w:t>
      </w:r>
      <w:bookmarkEnd w:id="112"/>
      <w:bookmarkEnd w:id="113"/>
      <w:bookmarkEnd w:id="114"/>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2"/>
        <w:rPr>
          <w:color w:val="auto"/>
          <w:highlight w:val="none"/>
        </w:rPr>
      </w:pPr>
    </w:p>
    <w:p>
      <w:pPr>
        <w:pStyle w:val="5"/>
        <w:spacing w:line="480" w:lineRule="auto"/>
        <w:jc w:val="center"/>
        <w:rPr>
          <w:rFonts w:ascii="宋体" w:hAnsi="宋体"/>
          <w:color w:val="auto"/>
          <w:highlight w:val="none"/>
        </w:rPr>
      </w:pPr>
      <w:bookmarkStart w:id="115" w:name="_Toc23466"/>
      <w:bookmarkStart w:id="116" w:name="_Toc5049"/>
      <w:bookmarkStart w:id="117" w:name="_Toc29574"/>
      <w:r>
        <w:rPr>
          <w:rFonts w:hint="eastAsia" w:ascii="宋体" w:hAnsi="宋体"/>
          <w:color w:val="auto"/>
          <w:highlight w:val="none"/>
        </w:rPr>
        <w:t>第五章开标与评标</w:t>
      </w:r>
      <w:bookmarkEnd w:id="115"/>
      <w:bookmarkEnd w:id="116"/>
      <w:bookmarkEnd w:id="117"/>
    </w:p>
    <w:p>
      <w:pPr>
        <w:pStyle w:val="6"/>
        <w:widowControl w:val="0"/>
        <w:overflowPunct w:val="0"/>
        <w:rPr>
          <w:rFonts w:ascii="宋体" w:hAnsi="宋体"/>
          <w:color w:val="auto"/>
          <w:sz w:val="21"/>
          <w:szCs w:val="21"/>
          <w:highlight w:val="none"/>
        </w:rPr>
      </w:pPr>
      <w:bookmarkStart w:id="118" w:name="_Toc27700"/>
      <w:bookmarkStart w:id="119" w:name="_Toc28458"/>
      <w:bookmarkStart w:id="120" w:name="_Toc24251"/>
      <w:r>
        <w:rPr>
          <w:rFonts w:hint="eastAsia" w:ascii="宋体" w:hAnsi="宋体"/>
          <w:color w:val="auto"/>
          <w:sz w:val="21"/>
          <w:szCs w:val="21"/>
          <w:highlight w:val="none"/>
        </w:rPr>
        <w:t>22.开标</w:t>
      </w:r>
      <w:bookmarkEnd w:id="118"/>
      <w:bookmarkEnd w:id="119"/>
      <w:bookmarkEnd w:id="120"/>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121" w:name="_Toc5974"/>
      <w:bookmarkStart w:id="122" w:name="_Toc5524"/>
      <w:bookmarkStart w:id="123" w:name="_Toc4921"/>
      <w:r>
        <w:rPr>
          <w:rFonts w:hint="eastAsia" w:ascii="宋体" w:hAnsi="宋体"/>
          <w:color w:val="auto"/>
          <w:sz w:val="21"/>
          <w:szCs w:val="21"/>
          <w:highlight w:val="none"/>
        </w:rPr>
        <w:t>23.评标委员会及评标方法</w:t>
      </w:r>
      <w:bookmarkEnd w:id="121"/>
      <w:bookmarkEnd w:id="122"/>
      <w:bookmarkEnd w:id="123"/>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24" w:name="_Toc15231"/>
      <w:bookmarkStart w:id="125" w:name="_Toc26402"/>
      <w:bookmarkStart w:id="126" w:name="_Toc32730"/>
      <w:r>
        <w:rPr>
          <w:rFonts w:hint="eastAsia" w:ascii="宋体" w:hAnsi="宋体"/>
          <w:color w:val="auto"/>
          <w:sz w:val="21"/>
          <w:szCs w:val="21"/>
          <w:highlight w:val="none"/>
        </w:rPr>
        <w:t>24.评审原则及评标过程的保密</w:t>
      </w:r>
      <w:bookmarkEnd w:id="124"/>
      <w:bookmarkEnd w:id="125"/>
      <w:bookmarkEnd w:id="126"/>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6"/>
        <w:widowControl w:val="0"/>
        <w:overflowPunct w:val="0"/>
        <w:rPr>
          <w:rFonts w:ascii="宋体" w:hAnsi="宋体"/>
          <w:color w:val="auto"/>
          <w:sz w:val="21"/>
          <w:szCs w:val="21"/>
          <w:highlight w:val="none"/>
        </w:rPr>
      </w:pPr>
      <w:bookmarkStart w:id="127" w:name="_Toc3762"/>
      <w:bookmarkStart w:id="128" w:name="_Toc16745"/>
      <w:bookmarkStart w:id="129" w:name="_Toc18436"/>
      <w:r>
        <w:rPr>
          <w:rFonts w:hint="eastAsia" w:ascii="宋体" w:hAnsi="宋体"/>
          <w:color w:val="auto"/>
          <w:sz w:val="21"/>
          <w:szCs w:val="21"/>
          <w:highlight w:val="none"/>
        </w:rPr>
        <w:t>25.投标文件的初审</w:t>
      </w:r>
      <w:bookmarkEnd w:id="127"/>
      <w:bookmarkEnd w:id="128"/>
      <w:bookmarkEnd w:id="129"/>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投标保证金瑕疵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包括但不限于：①投标人未按招标文件要求提交投标保证金；②提交方式、提交时间、提交金额不符合招标文件要求；③投标保证金有效期不符合招标文件要求。</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6"/>
        <w:widowControl w:val="0"/>
        <w:overflowPunct w:val="0"/>
        <w:rPr>
          <w:rFonts w:ascii="宋体" w:hAnsi="宋体"/>
          <w:color w:val="auto"/>
          <w:sz w:val="21"/>
          <w:szCs w:val="21"/>
          <w:highlight w:val="none"/>
        </w:rPr>
      </w:pPr>
      <w:bookmarkStart w:id="130" w:name="_Toc27673"/>
      <w:bookmarkStart w:id="131" w:name="_Toc21742"/>
      <w:bookmarkStart w:id="132" w:name="_Toc29184"/>
      <w:r>
        <w:rPr>
          <w:rFonts w:hint="eastAsia" w:ascii="宋体" w:hAnsi="宋体"/>
          <w:color w:val="auto"/>
          <w:sz w:val="21"/>
          <w:szCs w:val="21"/>
          <w:highlight w:val="none"/>
        </w:rPr>
        <w:t>26.商务、技术、价格评审（具体评审项目详见投标资料表）</w:t>
      </w:r>
      <w:bookmarkEnd w:id="130"/>
      <w:bookmarkEnd w:id="131"/>
      <w:bookmarkEnd w:id="132"/>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3" w:name="_Toc7593"/>
      <w:bookmarkStart w:id="134" w:name="_Toc22192"/>
      <w:bookmarkStart w:id="135" w:name="_Toc17683"/>
      <w:r>
        <w:rPr>
          <w:rFonts w:hint="eastAsia" w:ascii="宋体" w:hAnsi="宋体"/>
          <w:color w:val="auto"/>
          <w:sz w:val="21"/>
          <w:szCs w:val="21"/>
          <w:highlight w:val="none"/>
        </w:rPr>
        <w:t>27.优惠政策</w:t>
      </w:r>
      <w:bookmarkEnd w:id="133"/>
      <w:bookmarkEnd w:id="134"/>
      <w:bookmarkEnd w:id="135"/>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6" w:name="_Toc316375620"/>
      <w:bookmarkStart w:id="137" w:name="_Toc31141"/>
      <w:bookmarkStart w:id="138" w:name="_Toc22591"/>
      <w:bookmarkStart w:id="139" w:name="_Toc12115"/>
      <w:bookmarkStart w:id="140" w:name="_Toc382049120"/>
      <w:bookmarkStart w:id="141" w:name="_Toc20328"/>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5"/>
        <w:spacing w:line="480" w:lineRule="auto"/>
        <w:jc w:val="center"/>
        <w:rPr>
          <w:rFonts w:ascii="宋体" w:hAnsi="宋体"/>
          <w:color w:val="auto"/>
          <w:highlight w:val="none"/>
        </w:rPr>
      </w:pPr>
      <w:bookmarkStart w:id="142" w:name="_Toc29310"/>
      <w:bookmarkStart w:id="143" w:name="_Toc12251"/>
      <w:bookmarkStart w:id="144" w:name="_Toc5528"/>
      <w:r>
        <w:rPr>
          <w:rFonts w:hint="eastAsia" w:ascii="宋体" w:hAnsi="宋体"/>
          <w:color w:val="auto"/>
          <w:highlight w:val="none"/>
        </w:rPr>
        <w:t>第六章授予合同</w:t>
      </w:r>
      <w:bookmarkEnd w:id="142"/>
      <w:bookmarkEnd w:id="143"/>
      <w:bookmarkEnd w:id="144"/>
    </w:p>
    <w:p>
      <w:pPr>
        <w:pStyle w:val="6"/>
        <w:widowControl w:val="0"/>
        <w:overflowPunct w:val="0"/>
        <w:rPr>
          <w:rFonts w:ascii="宋体" w:hAnsi="宋体"/>
          <w:color w:val="auto"/>
          <w:sz w:val="21"/>
          <w:szCs w:val="21"/>
          <w:highlight w:val="none"/>
        </w:rPr>
      </w:pPr>
      <w:bookmarkStart w:id="145" w:name="_Toc6696"/>
      <w:bookmarkStart w:id="146" w:name="_Toc27817"/>
      <w:bookmarkStart w:id="147" w:name="_Toc17778"/>
      <w:bookmarkStart w:id="148" w:name="_Toc508284011"/>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6"/>
        <w:widowControl w:val="0"/>
        <w:overflowPunct w:val="0"/>
        <w:rPr>
          <w:rFonts w:ascii="宋体" w:hAnsi="宋体"/>
          <w:color w:val="auto"/>
          <w:sz w:val="21"/>
          <w:szCs w:val="21"/>
          <w:highlight w:val="none"/>
        </w:rPr>
      </w:pPr>
      <w:bookmarkStart w:id="149" w:name="_Toc12440"/>
      <w:bookmarkStart w:id="150" w:name="_Toc23136"/>
      <w:bookmarkStart w:id="151" w:name="_Toc508284013"/>
      <w:bookmarkStart w:id="152" w:name="_Toc29283"/>
      <w:r>
        <w:rPr>
          <w:rFonts w:hint="eastAsia" w:ascii="宋体" w:hAnsi="宋体"/>
          <w:color w:val="auto"/>
          <w:sz w:val="21"/>
          <w:szCs w:val="21"/>
          <w:highlight w:val="none"/>
        </w:rPr>
        <w:t>30.发布采购结果</w:t>
      </w:r>
      <w:bookmarkEnd w:id="149"/>
      <w:bookmarkEnd w:id="150"/>
      <w:bookmarkEnd w:id="151"/>
      <w:bookmarkEnd w:id="152"/>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6"/>
        <w:widowControl w:val="0"/>
        <w:overflowPunct w:val="0"/>
        <w:rPr>
          <w:rFonts w:ascii="宋体" w:hAnsi="宋体"/>
          <w:color w:val="auto"/>
          <w:sz w:val="21"/>
          <w:szCs w:val="21"/>
          <w:highlight w:val="none"/>
        </w:rPr>
      </w:pPr>
      <w:bookmarkStart w:id="153" w:name="_Toc27279"/>
      <w:bookmarkStart w:id="154" w:name="_Toc22451"/>
      <w:bookmarkStart w:id="155" w:name="_Toc22262"/>
      <w:r>
        <w:rPr>
          <w:rFonts w:hint="eastAsia" w:ascii="宋体" w:hAnsi="宋体"/>
          <w:color w:val="auto"/>
          <w:sz w:val="21"/>
          <w:szCs w:val="21"/>
          <w:highlight w:val="none"/>
        </w:rPr>
        <w:t>31.合同的签订与履行</w:t>
      </w:r>
      <w:bookmarkEnd w:id="153"/>
      <w:bookmarkEnd w:id="154"/>
      <w:bookmarkEnd w:id="155"/>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6"/>
        <w:widowControl w:val="0"/>
        <w:overflowPunct w:val="0"/>
        <w:rPr>
          <w:rFonts w:ascii="宋体" w:hAnsi="宋体"/>
          <w:color w:val="auto"/>
          <w:sz w:val="21"/>
          <w:szCs w:val="21"/>
          <w:highlight w:val="none"/>
        </w:rPr>
      </w:pPr>
      <w:bookmarkStart w:id="156" w:name="_Toc382049124"/>
      <w:bookmarkStart w:id="157" w:name="_Toc7405"/>
      <w:bookmarkStart w:id="158" w:name="_Toc303084277"/>
      <w:bookmarkStart w:id="159" w:name="_Toc29009"/>
      <w:bookmarkStart w:id="160" w:name="_Toc25756"/>
      <w:bookmarkStart w:id="161" w:name="_Toc2744"/>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5"/>
        <w:spacing w:line="480" w:lineRule="auto"/>
        <w:jc w:val="center"/>
        <w:rPr>
          <w:rFonts w:ascii="宋体" w:hAnsi="宋体"/>
          <w:color w:val="auto"/>
          <w:highlight w:val="none"/>
        </w:rPr>
      </w:pPr>
      <w:bookmarkStart w:id="162" w:name="_Toc7360"/>
      <w:bookmarkStart w:id="163" w:name="_Toc20699"/>
      <w:bookmarkStart w:id="164" w:name="_Toc13694"/>
      <w:r>
        <w:rPr>
          <w:rFonts w:hint="eastAsia" w:ascii="宋体" w:hAnsi="宋体"/>
          <w:color w:val="auto"/>
          <w:highlight w:val="none"/>
        </w:rPr>
        <w:t>第七章询问或质疑</w:t>
      </w:r>
      <w:bookmarkEnd w:id="162"/>
      <w:bookmarkEnd w:id="163"/>
      <w:bookmarkEnd w:id="164"/>
    </w:p>
    <w:p>
      <w:pPr>
        <w:pStyle w:val="6"/>
        <w:widowControl w:val="0"/>
        <w:overflowPunct w:val="0"/>
        <w:rPr>
          <w:rFonts w:ascii="宋体" w:hAnsi="宋体"/>
          <w:color w:val="auto"/>
          <w:sz w:val="21"/>
          <w:szCs w:val="21"/>
          <w:highlight w:val="none"/>
        </w:rPr>
      </w:pPr>
      <w:bookmarkStart w:id="165" w:name="_Toc25498"/>
      <w:bookmarkStart w:id="166" w:name="_Toc22900"/>
      <w:bookmarkStart w:id="167" w:name="_Toc17974"/>
      <w:r>
        <w:rPr>
          <w:rFonts w:hint="eastAsia" w:ascii="宋体" w:hAnsi="宋体"/>
          <w:color w:val="auto"/>
          <w:sz w:val="21"/>
          <w:szCs w:val="21"/>
          <w:highlight w:val="none"/>
        </w:rPr>
        <w:t>33.询问</w:t>
      </w:r>
      <w:bookmarkEnd w:id="165"/>
      <w:bookmarkEnd w:id="166"/>
      <w:bookmarkEnd w:id="167"/>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630" w:hanging="630" w:hangingChars="300"/>
        <w:jc w:val="both"/>
        <w:rPr>
          <w:rFonts w:ascii="宋体" w:hAnsi="宋体"/>
          <w:color w:val="auto"/>
          <w:szCs w:val="21"/>
          <w:highlight w:val="none"/>
        </w:rPr>
      </w:pPr>
      <w:r>
        <w:rPr>
          <w:rFonts w:hint="eastAsia" w:ascii="宋体" w:hAnsi="宋体"/>
          <w:color w:val="auto"/>
          <w:szCs w:val="21"/>
          <w:highlight w:val="none"/>
        </w:rPr>
        <w:t>33.2采购代理机构应当自收到投标人询问之日起3个工作日内作出答复，但答复的内容不得涉及商业秘密或者依法应当保密的内容。</w:t>
      </w:r>
    </w:p>
    <w:p>
      <w:pPr>
        <w:pStyle w:val="6"/>
        <w:widowControl w:val="0"/>
        <w:overflowPunct w:val="0"/>
        <w:rPr>
          <w:rFonts w:ascii="宋体" w:hAnsi="宋体"/>
          <w:color w:val="auto"/>
          <w:sz w:val="21"/>
          <w:szCs w:val="21"/>
          <w:highlight w:val="none"/>
        </w:rPr>
      </w:pPr>
      <w:bookmarkStart w:id="168" w:name="_Toc11264"/>
      <w:bookmarkStart w:id="169" w:name="_Toc2767"/>
      <w:bookmarkStart w:id="170" w:name="_Toc8234"/>
      <w:r>
        <w:rPr>
          <w:rFonts w:hint="eastAsia" w:ascii="宋体" w:hAnsi="宋体"/>
          <w:color w:val="auto"/>
          <w:sz w:val="21"/>
          <w:szCs w:val="21"/>
          <w:highlight w:val="none"/>
        </w:rPr>
        <w:t>34.质疑</w:t>
      </w:r>
      <w:bookmarkEnd w:id="168"/>
      <w:bookmarkEnd w:id="169"/>
      <w:bookmarkEnd w:id="170"/>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numPr>
          <w:ilvl w:val="1"/>
          <w:numId w:val="3"/>
        </w:numPr>
        <w:tabs>
          <w:tab w:val="left" w:pos="907"/>
        </w:tabs>
        <w:rPr>
          <w:color w:val="auto"/>
          <w:highlight w:val="none"/>
        </w:rPr>
      </w:pPr>
      <w:r>
        <w:rPr>
          <w:rFonts w:hint="eastAsia" w:ascii="宋体" w:hAnsi="宋体"/>
          <w:color w:val="auto"/>
          <w:szCs w:val="21"/>
          <w:highlight w:val="none"/>
        </w:rPr>
        <w:t>采购代理机构应当自受理投标人书面质疑之日起七个工作日内作出答复，并以书面形式通知提出质疑的投标人和其他有关投标人，但答复的内容不得涉及商业秘密或者依法应当保密的内容。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5"/>
        <w:spacing w:line="480" w:lineRule="auto"/>
        <w:jc w:val="center"/>
        <w:rPr>
          <w:rFonts w:ascii="宋体" w:hAnsi="宋体"/>
          <w:color w:val="auto"/>
          <w:highlight w:val="none"/>
        </w:rPr>
      </w:pPr>
      <w:bookmarkStart w:id="171" w:name="_Toc8919"/>
      <w:bookmarkStart w:id="172" w:name="_Toc24383"/>
      <w:bookmarkStart w:id="173" w:name="_Toc5690"/>
      <w:r>
        <w:rPr>
          <w:rFonts w:hint="eastAsia" w:ascii="宋体" w:hAnsi="宋体"/>
          <w:color w:val="auto"/>
          <w:highlight w:val="none"/>
        </w:rPr>
        <w:t>第八章其他</w:t>
      </w:r>
      <w:bookmarkEnd w:id="171"/>
      <w:bookmarkEnd w:id="172"/>
      <w:bookmarkEnd w:id="173"/>
    </w:p>
    <w:p>
      <w:pPr>
        <w:pStyle w:val="6"/>
        <w:widowControl w:val="0"/>
        <w:overflowPunct w:val="0"/>
        <w:rPr>
          <w:rFonts w:ascii="宋体" w:hAnsi="宋体"/>
          <w:color w:val="auto"/>
          <w:sz w:val="21"/>
          <w:szCs w:val="21"/>
          <w:highlight w:val="none"/>
        </w:rPr>
      </w:pPr>
      <w:bookmarkStart w:id="174" w:name="_Toc21187"/>
      <w:bookmarkStart w:id="175" w:name="_Toc6548"/>
      <w:bookmarkStart w:id="176" w:name="_Toc10082"/>
      <w:r>
        <w:rPr>
          <w:rFonts w:hint="eastAsia" w:ascii="宋体" w:hAnsi="宋体"/>
          <w:color w:val="auto"/>
          <w:sz w:val="21"/>
          <w:szCs w:val="21"/>
          <w:highlight w:val="none"/>
        </w:rPr>
        <w:t>35.招标文件的解释权</w:t>
      </w:r>
      <w:bookmarkEnd w:id="174"/>
      <w:bookmarkEnd w:id="175"/>
      <w:bookmarkEnd w:id="176"/>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4"/>
        <w:spacing w:before="0" w:after="0" w:line="240" w:lineRule="auto"/>
        <w:rPr>
          <w:color w:val="auto"/>
          <w:sz w:val="28"/>
          <w:szCs w:val="28"/>
          <w:highlight w:val="none"/>
        </w:rPr>
      </w:pPr>
      <w:bookmarkStart w:id="177" w:name="_Toc31854"/>
      <w:bookmarkStart w:id="178" w:name="_Toc7011"/>
      <w:bookmarkStart w:id="179" w:name="_Toc382"/>
      <w:r>
        <w:rPr>
          <w:rFonts w:hint="eastAsia"/>
          <w:color w:val="auto"/>
          <w:sz w:val="28"/>
          <w:szCs w:val="28"/>
          <w:highlight w:val="none"/>
        </w:rPr>
        <w:t>第五部分 用户需求书</w:t>
      </w:r>
      <w:bookmarkEnd w:id="177"/>
      <w:bookmarkEnd w:id="178"/>
      <w:bookmarkEnd w:id="179"/>
    </w:p>
    <w:p>
      <w:pPr>
        <w:pStyle w:val="5"/>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3"/>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条款名称</w:t>
            </w:r>
          </w:p>
        </w:tc>
        <w:tc>
          <w:tcPr>
            <w:tcW w:w="6466"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合格投标人</w:t>
            </w:r>
          </w:p>
        </w:tc>
        <w:tc>
          <w:tcPr>
            <w:tcW w:w="6466" w:type="dxa"/>
            <w:vAlign w:val="center"/>
          </w:tcPr>
          <w:p>
            <w:pPr>
              <w:pStyle w:val="33"/>
              <w:ind w:left="210" w:hanging="210" w:hangingChars="100"/>
              <w:rPr>
                <w:rFonts w:ascii="宋体" w:hAnsi="宋体" w:cs="宋体"/>
                <w:bCs/>
                <w:color w:val="auto"/>
                <w:kern w:val="44"/>
                <w:szCs w:val="21"/>
                <w:highlight w:val="none"/>
              </w:rPr>
            </w:pPr>
            <w:r>
              <w:rPr>
                <w:rFonts w:hint="eastAsia" w:ascii="宋体" w:hAnsi="宋体" w:cs="宋体"/>
                <w:color w:val="auto"/>
                <w:szCs w:val="21"/>
                <w:highlight w:val="none"/>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420" w:firstLineChars="200"/>
              <w:jc w:val="left"/>
              <w:textAlignment w:val="auto"/>
              <w:rPr>
                <w:rFonts w:ascii="宋体" w:hAnsi="宋体" w:cs="宋体"/>
                <w:color w:val="auto"/>
                <w:szCs w:val="21"/>
                <w:highlight w:val="none"/>
              </w:rPr>
            </w:pPr>
            <w:r>
              <w:rPr>
                <w:rFonts w:hint="eastAsia" w:ascii="宋体" w:hAnsi="宋体" w:eastAsia="宋体" w:cs="宋体"/>
                <w:color w:val="auto"/>
                <w:sz w:val="21"/>
                <w:szCs w:val="21"/>
                <w:highlight w:val="none"/>
                <w:shd w:val="clear"/>
                <w:lang w:eastAsia="zh-CN"/>
              </w:rPr>
              <w:t>签订合同之日起</w:t>
            </w:r>
            <w:r>
              <w:rPr>
                <w:rFonts w:hint="eastAsia" w:ascii="宋体" w:hAnsi="宋体" w:cs="宋体"/>
                <w:color w:val="auto"/>
                <w:sz w:val="21"/>
                <w:szCs w:val="21"/>
                <w:highlight w:val="none"/>
                <w:shd w:val="clear"/>
                <w:lang w:val="en-US" w:eastAsia="zh-CN"/>
              </w:rPr>
              <w:t>一</w:t>
            </w:r>
            <w:r>
              <w:rPr>
                <w:rFonts w:hint="eastAsia" w:ascii="宋体" w:hAnsi="宋体" w:eastAsia="宋体" w:cs="宋体"/>
                <w:color w:val="auto"/>
                <w:sz w:val="21"/>
                <w:szCs w:val="21"/>
                <w:highlight w:val="none"/>
                <w:shd w:val="clear"/>
                <w:lang w:eastAsia="zh-CN"/>
              </w:rPr>
              <w:t>年，在服务期限内，预算使用完毕或服务期限到期即合同终止</w:t>
            </w:r>
            <w:r>
              <w:rPr>
                <w:rFonts w:hint="eastAsia" w:ascii="宋体" w:hAnsi="宋体" w:cs="宋体"/>
                <w:color w:val="auto"/>
                <w:sz w:val="21"/>
                <w:szCs w:val="21"/>
                <w:highlight w:val="none"/>
                <w:shd w:val="clear"/>
                <w:lang w:eastAsia="zh-CN"/>
              </w:rPr>
              <w:t>，</w:t>
            </w:r>
            <w:r>
              <w:rPr>
                <w:rFonts w:hint="eastAsia" w:ascii="宋体" w:hAnsi="宋体" w:eastAsia="宋体" w:cs="宋体"/>
                <w:color w:val="auto"/>
                <w:sz w:val="21"/>
                <w:szCs w:val="21"/>
                <w:highlight w:val="none"/>
                <w:shd w:val="clear"/>
                <w:lang w:eastAsia="zh-CN"/>
              </w:rPr>
              <w:t>以先到为准。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1、合同签订之日起，每</w:t>
            </w:r>
            <w:r>
              <w:rPr>
                <w:rFonts w:hint="eastAsia" w:ascii="宋体" w:hAnsi="宋体" w:cs="宋体"/>
                <w:color w:val="auto"/>
                <w:szCs w:val="21"/>
                <w:highlight w:val="none"/>
                <w:lang w:val="en-US" w:eastAsia="zh-CN"/>
              </w:rPr>
              <w:t>季度</w:t>
            </w:r>
            <w:r>
              <w:rPr>
                <w:rFonts w:hint="eastAsia" w:ascii="宋体" w:hAnsi="宋体" w:cs="宋体"/>
                <w:color w:val="auto"/>
                <w:szCs w:val="21"/>
                <w:highlight w:val="none"/>
              </w:rPr>
              <w:t>结算一次，结算金额以双方对账清单为准。</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2、每次支付前，中标人需提供等金额的正式合法有效发票。如因提供的发票不合法或者无效造成的经济损失由中标人负责。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420" w:firstLineChars="200"/>
              <w:jc w:val="left"/>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★1、报价方式：供应商必须以下浮率方式进行报价。</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2、下浮率在合同执行期间固定不变，供应商不得因零售价、劳务成本、运输成本、货物的行业标准或国家标准的变动或其他任何理由予以变更。</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3、结算方式：结算单价=参考单价×（1-下浮率），结算单价保留2位小数（四舍五入）。</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4、报价包含广告宣传标识设计与制作等完成本项项目</w:t>
            </w:r>
            <w:r>
              <w:rPr>
                <w:rFonts w:hint="eastAsia" w:ascii="宋体" w:hAnsi="宋体" w:cs="宋体"/>
                <w:color w:val="auto"/>
                <w:szCs w:val="21"/>
                <w:highlight w:val="none"/>
                <w:lang w:eastAsia="zh-CN"/>
              </w:rPr>
              <w:t>所需的所有材料、配件、运输、仓储、安装调试、验收、售后服务、税费</w:t>
            </w:r>
            <w:r>
              <w:rPr>
                <w:rFonts w:hint="eastAsia" w:ascii="宋体" w:hAnsi="宋体" w:cs="宋体"/>
                <w:color w:val="auto"/>
                <w:szCs w:val="21"/>
                <w:highlight w:val="none"/>
                <w:lang w:val="en-US" w:eastAsia="zh-CN"/>
              </w:rPr>
              <w:t>及合同实施过程中的不可预见费用等全部费用</w:t>
            </w:r>
            <w:r>
              <w:rPr>
                <w:rFonts w:hint="eastAsia" w:ascii="宋体" w:hAnsi="宋体" w:cs="宋体"/>
                <w:color w:val="auto"/>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420" w:firstLineChars="200"/>
              <w:jc w:val="left"/>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420" w:firstLineChars="200"/>
              <w:jc w:val="left"/>
              <w:textAlignment w:val="auto"/>
              <w:rPr>
                <w:rFonts w:ascii="宋体" w:hAnsi="宋体" w:cs="宋体"/>
                <w:color w:val="auto"/>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rPr>
          <w:color w:val="auto"/>
          <w:highlight w:val="none"/>
        </w:rPr>
      </w:pPr>
    </w:p>
    <w:p>
      <w:pPr>
        <w:pStyle w:val="2"/>
        <w:rPr>
          <w:color w:val="auto"/>
          <w:highlight w:val="none"/>
          <w:lang w:val="en-US"/>
        </w:rPr>
      </w:pPr>
    </w:p>
    <w:p>
      <w:pPr>
        <w:rPr>
          <w:color w:val="auto"/>
          <w:highlight w:val="none"/>
          <w:lang w:val="en-US"/>
        </w:rPr>
      </w:pPr>
    </w:p>
    <w:p>
      <w:pPr>
        <w:bidi w:val="0"/>
        <w:rPr>
          <w:color w:val="auto"/>
          <w:highlight w:val="none"/>
          <w:lang w:val="en-US"/>
        </w:rPr>
      </w:pPr>
    </w:p>
    <w:p>
      <w:pPr>
        <w:bidi w:val="0"/>
        <w:rPr>
          <w:color w:val="auto"/>
          <w:highlight w:val="none"/>
          <w:lang w:val="en-US"/>
        </w:rPr>
      </w:pPr>
    </w:p>
    <w:p>
      <w:pPr>
        <w:bidi w:val="0"/>
        <w:rPr>
          <w:color w:val="auto"/>
          <w:highlight w:val="none"/>
          <w:lang w:val="en-US"/>
        </w:rPr>
      </w:pPr>
    </w:p>
    <w:p>
      <w:pPr>
        <w:rPr>
          <w:color w:val="auto"/>
          <w:highlight w:val="none"/>
        </w:rPr>
      </w:pPr>
    </w:p>
    <w:p>
      <w:pPr>
        <w:pStyle w:val="5"/>
        <w:jc w:val="center"/>
        <w:rPr>
          <w:rFonts w:ascii="宋体" w:hAnsi="宋体"/>
          <w:color w:val="auto"/>
          <w:sz w:val="24"/>
          <w:highlight w:val="none"/>
        </w:rPr>
      </w:pPr>
      <w:bookmarkStart w:id="181" w:name="_Toc19316"/>
      <w:r>
        <w:rPr>
          <w:rFonts w:hint="eastAsia" w:ascii="宋体" w:hAnsi="宋体"/>
          <w:color w:val="auto"/>
          <w:highlight w:val="none"/>
        </w:rPr>
        <w:t>第二章 技术需求书</w:t>
      </w:r>
      <w:bookmarkEnd w:id="181"/>
    </w:p>
    <w:p>
      <w:pPr>
        <w:pStyle w:val="6"/>
        <w:bidi w:val="0"/>
        <w:rPr>
          <w:rFonts w:hint="eastAsia"/>
          <w:color w:val="auto"/>
          <w:highlight w:val="none"/>
          <w:lang w:val="en-US" w:eastAsia="zh-CN"/>
        </w:rPr>
      </w:pPr>
      <w:bookmarkStart w:id="182" w:name="_Toc14462"/>
      <w:bookmarkStart w:id="183" w:name="_Toc13112"/>
      <w:bookmarkStart w:id="184" w:name="_Toc24679"/>
      <w:bookmarkStart w:id="185" w:name="_Toc31278"/>
      <w:r>
        <w:rPr>
          <w:rFonts w:hint="eastAsia"/>
          <w:color w:val="auto"/>
          <w:highlight w:val="none"/>
          <w:lang w:val="en-US" w:eastAsia="zh-CN"/>
        </w:rPr>
        <w:t>一、项目概况</w:t>
      </w:r>
    </w:p>
    <w:p>
      <w:pPr>
        <w:bidi w:val="0"/>
        <w:ind w:firstLine="420" w:firstLineChars="200"/>
        <w:rPr>
          <w:rFonts w:hint="eastAsia" w:ascii="宋体" w:hAnsi="宋体" w:eastAsia="宋体" w:cs="宋体"/>
          <w:b w:val="0"/>
          <w:bCs/>
          <w:color w:val="auto"/>
          <w:kern w:val="0"/>
          <w:szCs w:val="21"/>
          <w:highlight w:val="none"/>
          <w:lang w:val="en-US" w:eastAsia="zh-CN" w:bidi="ar-SA"/>
        </w:rPr>
      </w:pPr>
      <w:r>
        <w:rPr>
          <w:rFonts w:hint="eastAsia"/>
          <w:color w:val="auto"/>
          <w:highlight w:val="none"/>
          <w:lang w:val="en-US" w:eastAsia="zh-CN"/>
        </w:rPr>
        <w:t>横沥镇社区卫生服务中心及辖区站点为开展日常宣传工作，参考近年零星广告宣传标识制作安装情况，结合中心工作计划，现通过招标确定一家单位承担横沥镇社区卫生服务中心及辖区站点零星广告宣传标识制作等工作，主要内容包括设计制作横幅、室内/室外背胶喷画、电子宣传屏，标识牌，宣传栏，宣传背景墙等。</w:t>
      </w:r>
    </w:p>
    <w:p>
      <w:pPr>
        <w:ind w:firstLine="420"/>
        <w:rPr>
          <w:rFonts w:hint="eastAsia"/>
          <w:color w:val="auto"/>
          <w:highlight w:val="none"/>
          <w:lang w:val="en-US" w:eastAsia="zh-CN"/>
        </w:rPr>
      </w:pPr>
    </w:p>
    <w:p>
      <w:pPr>
        <w:pStyle w:val="8"/>
        <w:numPr>
          <w:ilvl w:val="0"/>
          <w:numId w:val="0"/>
        </w:numPr>
        <w:bidi w:val="0"/>
        <w:spacing w:line="360" w:lineRule="auto"/>
        <w:rPr>
          <w:rFonts w:hint="eastAsia" w:ascii="宋体" w:hAnsi="宋体" w:eastAsia="宋体" w:cs="宋体"/>
          <w:b/>
          <w:bCs w:val="0"/>
          <w:color w:val="auto"/>
          <w:kern w:val="0"/>
          <w:sz w:val="21"/>
          <w:szCs w:val="21"/>
          <w:highlight w:val="none"/>
          <w:lang w:val="en-US" w:eastAsia="zh-CN" w:bidi="ar-SA"/>
        </w:rPr>
      </w:pPr>
      <w:r>
        <w:rPr>
          <w:rFonts w:hint="eastAsia" w:eastAsia="宋体" w:asciiTheme="majorHAnsi" w:hAnsiTheme="majorHAnsi" w:cstheme="majorBidi"/>
          <w:b/>
          <w:bCs/>
          <w:color w:val="auto"/>
          <w:sz w:val="24"/>
          <w:szCs w:val="28"/>
          <w:highlight w:val="none"/>
          <w:lang w:val="en-US" w:eastAsia="zh-CN" w:bidi="ar-SA"/>
        </w:rPr>
        <w:t>二、采购清单</w:t>
      </w:r>
      <w:r>
        <w:rPr>
          <w:rFonts w:hint="eastAsia" w:asciiTheme="majorHAnsi" w:hAnsiTheme="majorHAnsi" w:cstheme="majorBidi"/>
          <w:b/>
          <w:bCs/>
          <w:color w:val="auto"/>
          <w:sz w:val="24"/>
          <w:szCs w:val="28"/>
          <w:highlight w:val="none"/>
          <w:lang w:val="en-US" w:eastAsia="zh-CN" w:bidi="ar-SA"/>
        </w:rPr>
        <w:t>参考</w:t>
      </w:r>
      <w:r>
        <w:rPr>
          <w:rFonts w:hint="eastAsia" w:eastAsia="宋体" w:asciiTheme="majorHAnsi" w:hAnsiTheme="majorHAnsi" w:cstheme="majorBidi"/>
          <w:b/>
          <w:bCs/>
          <w:color w:val="auto"/>
          <w:sz w:val="24"/>
          <w:szCs w:val="28"/>
          <w:highlight w:val="none"/>
          <w:lang w:val="en-US" w:eastAsia="zh-CN" w:bidi="ar-SA"/>
        </w:rPr>
        <w:t>单价（含广告宣传标识设计与制作）</w:t>
      </w:r>
    </w:p>
    <w:tbl>
      <w:tblPr>
        <w:tblStyle w:val="23"/>
        <w:tblW w:w="80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3"/>
        <w:gridCol w:w="3570"/>
        <w:gridCol w:w="1050"/>
        <w:gridCol w:w="945"/>
        <w:gridCol w:w="17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制作材料</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参考</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单价</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室内背胶宣传喷画（含过膜）</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元/平方</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户外高精背胶喷画（含过膜）</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元/平方</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KT板贴室内背胶喷画（含过膜）</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元/平方</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PVC5厘安迪板贴室内背胶喷画（含过膜）</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元/平方</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烤漆宣传栏</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元/个</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4200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户外灯布喷画</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元/平方</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红布横幅</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元/米</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即时贴介字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元/平方</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功能室发光科室牌</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元/个</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铝框架含喷画</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元/个</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地面防滑标识</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元/幅</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灯箱UV膜宣传栏（1.2*2.4米）</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元/个</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中医红木框加喷画</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元/个</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铝框亚克力板夹画制度牌</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元/个</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灯箱宣传栏换膜（1.2*2.4米）</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元/平方</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安装单色电子屏</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元/平方</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墙身立体PVC板，亚克力板宣传背景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元/平方</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义诊宣传场地（含台凳，宣传牌背景等）</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元/次</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6600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亚克力丝印提示牌（30*50厘米）</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元/个</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证书</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元/本</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笔记本定制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元/本</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牌匾</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元/块</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工作证（卡片印刷、配套卡套、绳子）</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元/套</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卡片定制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元/张</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易拉宝宣传架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元/个</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不干胶贴纸</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元/张</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0.25</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旗帜（党旗、国旗、单位定制旗等）</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元/面</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台牌</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元/个</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亚克力水晶字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元/厘米</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帐篷围布</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元/平方</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亚克力透明盒（A4）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元/个</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地贴（警戒线、温馨提示等）</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元/条</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椅子间隔PVC板</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元/块</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桁架搭建</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元/米</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含安装搬运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磨砂纸张贴</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元/平方</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帐篷租借</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元/个</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含安装搬运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长桌租借</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元/张</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含安装搬运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椅子租借</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元/张</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含安装搬运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舞台搭建</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元/平方</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讲台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元/张</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含安装搬运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音响设备租借</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元/次</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2600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含安装搬运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宣传展架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元/个</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展架海报</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元/个</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桌布</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元/块</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含安装</w:t>
            </w:r>
          </w:p>
        </w:tc>
      </w:tr>
    </w:tbl>
    <w:p>
      <w:pPr>
        <w:pStyle w:val="8"/>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注：本采购清单以外宣传方面的物品（设计制作安装）数量较少的视情况也可纳入到该合同的采购范围内，但价格不得高于市场价格。如需高空安装的，需增加高空安装费及需搭建竹架的，另计费用。</w:t>
      </w:r>
    </w:p>
    <w:p>
      <w:pPr>
        <w:bidi w:val="0"/>
        <w:rPr>
          <w:rFonts w:hint="eastAsia"/>
          <w:color w:val="auto"/>
          <w:highlight w:val="none"/>
          <w:lang w:val="en-US" w:eastAsia="zh-CN"/>
        </w:rPr>
      </w:pPr>
    </w:p>
    <w:p>
      <w:pPr>
        <w:pStyle w:val="6"/>
        <w:bidi w:val="0"/>
        <w:rPr>
          <w:rFonts w:hint="eastAsia"/>
          <w:color w:val="auto"/>
          <w:highlight w:val="none"/>
          <w:lang w:val="en-US" w:eastAsia="zh-CN"/>
        </w:rPr>
      </w:pPr>
      <w:r>
        <w:rPr>
          <w:rFonts w:hint="eastAsia"/>
          <w:color w:val="auto"/>
          <w:highlight w:val="none"/>
          <w:lang w:val="en-US" w:eastAsia="zh-CN"/>
        </w:rPr>
        <w:t>三、项目要求</w:t>
      </w:r>
    </w:p>
    <w:p>
      <w:pPr>
        <w:pStyle w:val="8"/>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1、项目必须保证质量和安全的要求，符合安全、适用、经济、美观的综合要求。</w:t>
      </w:r>
    </w:p>
    <w:p>
      <w:pPr>
        <w:pStyle w:val="8"/>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2、投标公司必须按我中心的要求签署单次采购合同（或送货清单），保证按时按质供货，不得以次充好，或随意更换。对于不合格产品，我中心有权拒绝接收。</w:t>
      </w:r>
    </w:p>
    <w:p>
      <w:pPr>
        <w:pStyle w:val="8"/>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3、所有的产品都必须上门安装。</w:t>
      </w:r>
    </w:p>
    <w:p>
      <w:pPr>
        <w:pStyle w:val="8"/>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4、应急服务：如遇急需使用广告印刷品（一般为喷画）需在1小时内送达。</w:t>
      </w:r>
    </w:p>
    <w:p>
      <w:pPr>
        <w:bidi w:val="0"/>
        <w:rPr>
          <w:rFonts w:hint="eastAsia"/>
          <w:color w:val="auto"/>
          <w:highlight w:val="none"/>
        </w:rPr>
      </w:pPr>
    </w:p>
    <w:p>
      <w:pPr>
        <w:ind w:firstLine="422" w:firstLineChars="200"/>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注：不满足招标文件中 “★”条款的投标文件将作无效投标处理。</w:t>
      </w:r>
    </w:p>
    <w:p>
      <w:pPr>
        <w:pStyle w:val="2"/>
        <w:ind w:left="0" w:leftChars="0" w:firstLine="0" w:firstLineChars="0"/>
        <w:rPr>
          <w:color w:val="auto"/>
          <w:highlight w:val="none"/>
        </w:rPr>
        <w:sectPr>
          <w:pgSz w:w="11906" w:h="16838"/>
          <w:pgMar w:top="1440" w:right="1800" w:bottom="1440" w:left="1800" w:header="851" w:footer="992" w:gutter="0"/>
          <w:pgNumType w:fmt="decimal"/>
          <w:cols w:space="720" w:num="1"/>
          <w:docGrid w:type="lines" w:linePitch="312" w:charSpace="0"/>
        </w:sectPr>
      </w:pPr>
    </w:p>
    <w:bookmarkEnd w:id="182"/>
    <w:bookmarkEnd w:id="183"/>
    <w:bookmarkEnd w:id="184"/>
    <w:bookmarkEnd w:id="185"/>
    <w:p>
      <w:pPr>
        <w:pStyle w:val="4"/>
        <w:spacing w:before="0" w:after="0" w:line="240" w:lineRule="auto"/>
        <w:rPr>
          <w:color w:val="auto"/>
          <w:sz w:val="28"/>
          <w:szCs w:val="28"/>
          <w:highlight w:val="none"/>
        </w:rPr>
      </w:pPr>
      <w:bookmarkStart w:id="186" w:name="_Toc12014"/>
      <w:bookmarkStart w:id="187" w:name="_Toc12485"/>
      <w:bookmarkStart w:id="188" w:name="_Toc21448"/>
      <w:r>
        <w:rPr>
          <w:rFonts w:hint="eastAsia"/>
          <w:color w:val="auto"/>
          <w:sz w:val="28"/>
          <w:szCs w:val="28"/>
          <w:highlight w:val="none"/>
        </w:rPr>
        <w:t>第六部分 合同格式（仅供参考）</w:t>
      </w:r>
      <w:bookmarkEnd w:id="186"/>
      <w:bookmarkEnd w:id="187"/>
      <w:bookmarkEnd w:id="188"/>
      <w:bookmarkStart w:id="189" w:name="_Toc21155"/>
      <w:bookmarkStart w:id="190" w:name="_Toc1534"/>
      <w:bookmarkStart w:id="191" w:name="_Toc13430"/>
    </w:p>
    <w:p>
      <w:pPr>
        <w:pStyle w:val="5"/>
        <w:spacing w:line="240" w:lineRule="auto"/>
        <w:jc w:val="center"/>
        <w:rPr>
          <w:rFonts w:ascii="宋体" w:hAnsi="宋体" w:cs="宋体"/>
          <w:color w:val="auto"/>
          <w:highlight w:val="none"/>
        </w:rPr>
      </w:pPr>
      <w:bookmarkStart w:id="192" w:name="_Toc19575"/>
      <w:bookmarkStart w:id="193" w:name="_Toc8880"/>
      <w:bookmarkStart w:id="194" w:name="_Toc16730"/>
      <w:r>
        <w:rPr>
          <w:rFonts w:hint="eastAsia" w:ascii="宋体" w:hAnsi="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1"/>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1"/>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1"/>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1"/>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1"/>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1"/>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1"/>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1"/>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1、凡与本合同有关而引起的一切争议，甲乙双方应首先通过友好协商解决，如经协商后仍不能达成协议时，任何一方可以向甲方所在地人民法院提出诉讼。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pStyle w:val="2"/>
        <w:rPr>
          <w:rFonts w:cstheme="minorBidi"/>
          <w:color w:val="auto"/>
          <w:sz w:val="21"/>
          <w:szCs w:val="21"/>
          <w:highlight w:val="none"/>
          <w:lang w:val="en-US" w:bidi="ar-SA"/>
        </w:rPr>
      </w:pPr>
      <w:r>
        <w:rPr>
          <w:rFonts w:hint="eastAsia" w:cstheme="minorBidi"/>
          <w:color w:val="auto"/>
          <w:sz w:val="21"/>
          <w:szCs w:val="21"/>
          <w:highlight w:val="none"/>
          <w:lang w:val="en-US" w:bidi="ar-SA"/>
        </w:rPr>
        <w:t>以下无正文</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4"/>
        <w:spacing w:before="0" w:after="0" w:line="240" w:lineRule="auto"/>
        <w:rPr>
          <w:color w:val="auto"/>
          <w:sz w:val="28"/>
          <w:szCs w:val="28"/>
          <w:highlight w:val="none"/>
        </w:rPr>
      </w:pPr>
      <w:bookmarkStart w:id="198" w:name="_Toc1478"/>
      <w:bookmarkStart w:id="199" w:name="_Toc23749"/>
      <w:bookmarkStart w:id="200" w:name="_Toc31587"/>
      <w:r>
        <w:rPr>
          <w:rFonts w:hint="eastAsia"/>
          <w:color w:val="auto"/>
          <w:sz w:val="28"/>
          <w:szCs w:val="28"/>
          <w:highlight w:val="none"/>
        </w:rPr>
        <w:t>第七部分  投标文件格式</w:t>
      </w:r>
      <w:bookmarkEnd w:id="198"/>
      <w:bookmarkEnd w:id="199"/>
      <w:bookmarkEnd w:id="200"/>
    </w:p>
    <w:p>
      <w:pPr>
        <w:rPr>
          <w:color w:val="auto"/>
          <w:highlight w:val="none"/>
        </w:rPr>
      </w:pPr>
    </w:p>
    <w:p>
      <w:pPr>
        <w:pStyle w:val="5"/>
        <w:rPr>
          <w:color w:val="auto"/>
          <w:highlight w:val="none"/>
        </w:rPr>
      </w:pPr>
      <w:bookmarkStart w:id="201" w:name="_Toc5794"/>
      <w:bookmarkStart w:id="202" w:name="_Toc26830"/>
      <w:bookmarkStart w:id="203" w:name="_Toc6790"/>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rPr>
          <w:color w:val="auto"/>
          <w:highlight w:val="none"/>
        </w:rPr>
      </w:pPr>
      <w:bookmarkStart w:id="204" w:name="_Toc18893"/>
      <w:bookmarkStart w:id="205" w:name="_Toc5670"/>
      <w:bookmarkStart w:id="206" w:name="_Toc25502"/>
      <w:r>
        <w:rPr>
          <w:rFonts w:hint="eastAsia"/>
          <w:color w:val="auto"/>
          <w:highlight w:val="none"/>
        </w:rPr>
        <w:t>评分标准索引表</w:t>
      </w:r>
      <w:bookmarkEnd w:id="204"/>
      <w:bookmarkEnd w:id="205"/>
      <w:bookmarkEnd w:id="206"/>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noWrap/>
            <w:vAlign w:val="center"/>
          </w:tcPr>
          <w:p>
            <w:pPr>
              <w:pStyle w:val="53"/>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noWrap/>
            <w:vAlign w:val="center"/>
          </w:tcPr>
          <w:p>
            <w:pPr>
              <w:pStyle w:val="53"/>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noWrap/>
            <w:vAlign w:val="center"/>
          </w:tcPr>
          <w:p>
            <w:pPr>
              <w:pStyle w:val="53"/>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30"/>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702" w:type="dxa"/>
            <w:gridSpan w:val="3"/>
            <w:noWrap/>
            <w:vAlign w:val="center"/>
          </w:tcPr>
          <w:p>
            <w:pPr>
              <w:pStyle w:val="17"/>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9"/>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2"/>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jc w:val="center"/>
        <w:rPr>
          <w:color w:val="auto"/>
          <w:highlight w:val="none"/>
        </w:rPr>
      </w:pPr>
      <w:bookmarkStart w:id="207" w:name="_Toc22080"/>
      <w:bookmarkStart w:id="208" w:name="_Toc8194"/>
      <w:bookmarkStart w:id="209" w:name="_Toc30640"/>
      <w:r>
        <w:rPr>
          <w:rFonts w:hint="eastAsia"/>
          <w:color w:val="auto"/>
          <w:highlight w:val="none"/>
        </w:rPr>
        <w:t>第一章价格文件</w:t>
      </w:r>
      <w:bookmarkEnd w:id="207"/>
      <w:bookmarkEnd w:id="208"/>
    </w:p>
    <w:p>
      <w:pPr>
        <w:pStyle w:val="5"/>
        <w:jc w:val="center"/>
        <w:rPr>
          <w:color w:val="auto"/>
          <w:highlight w:val="none"/>
        </w:rPr>
      </w:pPr>
      <w:bookmarkStart w:id="210" w:name="_Toc19750"/>
      <w:bookmarkStart w:id="211" w:name="_Toc4168"/>
      <w:r>
        <w:rPr>
          <w:rFonts w:hint="eastAsia"/>
          <w:color w:val="auto"/>
          <w:highlight w:val="none"/>
        </w:rPr>
        <w:t>一、唱标一览表</w:t>
      </w:r>
      <w:bookmarkEnd w:id="210"/>
      <w:bookmarkEnd w:id="211"/>
    </w:p>
    <w:p>
      <w:pPr>
        <w:rPr>
          <w:color w:val="auto"/>
          <w:highlight w:val="none"/>
        </w:rPr>
      </w:pPr>
    </w:p>
    <w:tbl>
      <w:tblPr>
        <w:tblStyle w:val="23"/>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hint="default" w:ascii="宋体" w:hAnsi="宋体" w:eastAsia="宋体"/>
                <w:color w:val="auto"/>
                <w:szCs w:val="21"/>
                <w:highlight w:val="none"/>
                <w:lang w:val="en-US" w:eastAsia="zh-CN"/>
              </w:rPr>
            </w:pPr>
            <w:r>
              <w:rPr>
                <w:rFonts w:hint="eastAsia" w:ascii="宋体" w:hAnsi="宋体"/>
                <w:color w:val="auto"/>
                <w:sz w:val="21"/>
                <w:szCs w:val="21"/>
                <w:highlight w:val="none"/>
                <w:lang w:val="en-US" w:eastAsia="zh-CN"/>
              </w:rPr>
              <w:t>投标下浮率</w:t>
            </w:r>
            <w:r>
              <w:rPr>
                <w:rFonts w:hint="eastAsia" w:ascii="宋体" w:hAnsi="宋体" w:eastAsia="宋体"/>
                <w:color w:val="auto"/>
                <w:sz w:val="21"/>
                <w:szCs w:val="21"/>
                <w:highlight w:val="none"/>
              </w:rPr>
              <w:t>（%）</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color w:val="auto"/>
          <w:szCs w:val="21"/>
          <w:highlight w:val="none"/>
        </w:rPr>
        <w:t xml:space="preserve">      </w:t>
      </w:r>
      <w:r>
        <w:rPr>
          <w:rFonts w:hint="eastAsia" w:ascii="宋体" w:hAnsi="宋体" w:eastAsia="宋体"/>
          <w:color w:val="auto"/>
          <w:sz w:val="21"/>
          <w:szCs w:val="21"/>
          <w:highlight w:val="none"/>
        </w:rPr>
        <w:t>注：1、投标下浮率栏须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大写和小写两种方式</w:t>
      </w:r>
      <w:r>
        <w:rPr>
          <w:rFonts w:ascii="宋体" w:hAnsi="宋体" w:eastAsia="宋体"/>
          <w:color w:val="auto"/>
          <w:sz w:val="21"/>
          <w:szCs w:val="21"/>
          <w:highlight w:val="none"/>
        </w:rPr>
        <w:t>表示的</w:t>
      </w:r>
      <w:r>
        <w:rPr>
          <w:rFonts w:hint="eastAsia" w:ascii="宋体" w:hAnsi="宋体" w:eastAsia="宋体"/>
          <w:color w:val="auto"/>
          <w:sz w:val="21"/>
          <w:szCs w:val="21"/>
          <w:highlight w:val="none"/>
        </w:rPr>
        <w:t>投标下浮率，投标下浮率保留小数点后两位。投标下浮率大小写不一致，以大写为准。投标下浮率必须准确唯一且应包含招标文件要求的所有费用。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2、此表应按投标人须知的规定密封标记并与《授权委托书》、《投标保证金汇入情况说明》</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spacing w:after="0" w:line="360" w:lineRule="auto"/>
        <w:ind w:left="357" w:leftChars="170" w:firstLine="359" w:firstLineChars="171"/>
        <w:rPr>
          <w:rFonts w:ascii="宋体" w:hAnsi="宋体" w:eastAsia="宋体"/>
          <w:color w:val="auto"/>
          <w:sz w:val="21"/>
          <w:szCs w:val="21"/>
          <w:highlight w:val="none"/>
        </w:rPr>
      </w:pPr>
    </w:p>
    <w:p>
      <w:pPr>
        <w:ind w:left="357" w:leftChars="170" w:firstLine="359" w:firstLineChars="171"/>
        <w:rPr>
          <w:rFonts w:ascii="宋体" w:hAnsi="宋体"/>
          <w:color w:val="auto"/>
          <w:szCs w:val="21"/>
          <w:highlight w:val="none"/>
        </w:rPr>
      </w:pPr>
    </w:p>
    <w:p>
      <w:pPr>
        <w:rPr>
          <w:color w:val="auto"/>
          <w:highlight w:val="none"/>
        </w:rPr>
      </w:pPr>
    </w:p>
    <w:p>
      <w:pPr>
        <w:pStyle w:val="2"/>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5"/>
        <w:jc w:val="center"/>
        <w:rPr>
          <w:color w:val="auto"/>
          <w:highlight w:val="none"/>
        </w:rPr>
      </w:pPr>
      <w:bookmarkStart w:id="212" w:name="_Toc31172"/>
      <w:bookmarkStart w:id="213" w:name="_Toc31062"/>
      <w:r>
        <w:rPr>
          <w:rFonts w:hint="eastAsia"/>
          <w:color w:val="auto"/>
          <w:highlight w:val="none"/>
        </w:rPr>
        <w:t>二、报价明细表</w:t>
      </w:r>
      <w:bookmarkEnd w:id="212"/>
      <w:bookmarkEnd w:id="213"/>
    </w:p>
    <w:p>
      <w:pPr>
        <w:pStyle w:val="30"/>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0"/>
        <w:rPr>
          <w:rFonts w:ascii="黑体" w:eastAsia="黑体"/>
          <w:color w:val="auto"/>
          <w:sz w:val="32"/>
          <w:szCs w:val="32"/>
          <w:highlight w:val="none"/>
        </w:rPr>
      </w:pPr>
    </w:p>
    <w:p>
      <w:pPr>
        <w:pStyle w:val="30"/>
        <w:rPr>
          <w:rFonts w:ascii="黑体" w:eastAsia="黑体"/>
          <w:color w:val="auto"/>
          <w:sz w:val="32"/>
          <w:szCs w:val="32"/>
          <w:highlight w:val="none"/>
        </w:rPr>
      </w:pPr>
    </w:p>
    <w:p>
      <w:pPr>
        <w:pStyle w:val="5"/>
        <w:jc w:val="center"/>
        <w:rPr>
          <w:color w:val="auto"/>
          <w:highlight w:val="none"/>
        </w:rPr>
      </w:pPr>
      <w:bookmarkStart w:id="214" w:name="_Toc20974"/>
      <w:bookmarkStart w:id="215" w:name="_Toc23355"/>
      <w:r>
        <w:rPr>
          <w:rFonts w:hint="eastAsia"/>
          <w:color w:val="auto"/>
          <w:highlight w:val="none"/>
        </w:rPr>
        <w:t>三、小型或微型企业（货物/服务/承担的工程）明细表</w:t>
      </w:r>
      <w:bookmarkEnd w:id="214"/>
      <w:bookmarkEnd w:id="215"/>
    </w:p>
    <w:tbl>
      <w:tblPr>
        <w:tblStyle w:val="23"/>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33"/>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注：</w:t>
      </w:r>
    </w:p>
    <w:p>
      <w:pPr>
        <w:ind w:firstLine="422" w:firstLineChars="200"/>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3"/>
          <w:rFonts w:hint="eastAsia" w:ascii="宋体" w:hAnsi="宋体" w:eastAsia="宋体" w:cs="宋体"/>
          <w:b/>
          <w:color w:val="auto"/>
          <w:sz w:val="21"/>
          <w:szCs w:val="21"/>
          <w:highlight w:val="none"/>
        </w:rPr>
        <w:t>；</w:t>
      </w:r>
    </w:p>
    <w:p>
      <w:pPr>
        <w:pStyle w:val="33"/>
        <w:ind w:firstLine="422"/>
        <w:rPr>
          <w:rFonts w:ascii="黑体" w:eastAsia="黑体"/>
          <w:color w:val="auto"/>
          <w:sz w:val="32"/>
          <w:szCs w:val="32"/>
          <w:highlight w:val="none"/>
        </w:rPr>
      </w:pPr>
      <w:r>
        <w:rPr>
          <w:rStyle w:val="43"/>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5"/>
        <w:jc w:val="center"/>
        <w:rPr>
          <w:color w:val="auto"/>
          <w:highlight w:val="none"/>
        </w:rPr>
      </w:pPr>
      <w:bookmarkStart w:id="216" w:name="_Toc16718"/>
      <w:bookmarkStart w:id="217" w:name="_Toc13970"/>
      <w:r>
        <w:rPr>
          <w:rFonts w:hint="eastAsia"/>
          <w:color w:val="auto"/>
          <w:highlight w:val="none"/>
        </w:rPr>
        <w:t>四、节能产品或环境标志产品明细表</w:t>
      </w:r>
      <w:bookmarkEnd w:id="216"/>
      <w:bookmarkEnd w:id="217"/>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0"/>
        <w:rPr>
          <w:color w:val="auto"/>
          <w:highlight w:val="none"/>
        </w:rPr>
      </w:pPr>
    </w:p>
    <w:p>
      <w:pPr>
        <w:tabs>
          <w:tab w:val="left" w:pos="284"/>
        </w:tabs>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注：</w:t>
      </w:r>
    </w:p>
    <w:p>
      <w:pPr>
        <w:tabs>
          <w:tab w:val="left" w:pos="284"/>
        </w:tabs>
        <w:ind w:firstLine="422" w:firstLineChars="200"/>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3"/>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5"/>
        <w:jc w:val="center"/>
        <w:rPr>
          <w:color w:val="auto"/>
          <w:highlight w:val="none"/>
        </w:rPr>
      </w:pPr>
      <w:bookmarkStart w:id="218" w:name="_Toc10853"/>
      <w:bookmarkStart w:id="219" w:name="_Toc17482"/>
      <w:r>
        <w:rPr>
          <w:rFonts w:hint="eastAsia"/>
          <w:color w:val="auto"/>
          <w:highlight w:val="none"/>
        </w:rPr>
        <w:t>五、中小企业声明函</w:t>
      </w:r>
      <w:bookmarkEnd w:id="218"/>
      <w:bookmarkEnd w:id="219"/>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9"/>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2"/>
        <w:wordWrap w:val="0"/>
        <w:ind w:left="0" w:firstLine="480"/>
        <w:jc w:val="right"/>
        <w:rPr>
          <w:rFonts w:asciiTheme="minorEastAsia" w:hAnsiTheme="minorEastAsia" w:eastAsiaTheme="minorEastAsia" w:cstheme="minorEastAsia"/>
          <w:color w:val="auto"/>
          <w:sz w:val="21"/>
          <w:szCs w:val="21"/>
          <w:highlight w:val="none"/>
          <w:lang w:val="en-US"/>
        </w:rPr>
      </w:pP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9"/>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2"/>
        <w:ind w:left="0" w:firstLine="480"/>
        <w:rPr>
          <w:rFonts w:asciiTheme="minorEastAsia" w:hAnsiTheme="minorEastAsia" w:eastAsiaTheme="minorEastAsia" w:cstheme="minorEastAsia"/>
          <w:color w:val="auto"/>
          <w:sz w:val="21"/>
          <w:szCs w:val="21"/>
          <w:highlight w:val="none"/>
          <w:lang w:val="en-US"/>
        </w:rPr>
      </w:pP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220" w:name="_Toc7959"/>
      <w:bookmarkStart w:id="221" w:name="_Toc8560"/>
      <w:r>
        <w:rPr>
          <w:rFonts w:hint="eastAsia"/>
          <w:color w:val="auto"/>
          <w:highlight w:val="none"/>
        </w:rPr>
        <w:t>六、残疾人福利性单位声明函</w:t>
      </w:r>
      <w:bookmarkEnd w:id="220"/>
      <w:bookmarkEnd w:id="221"/>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单位名称（盖章）：</w:t>
      </w:r>
      <w:bookmarkStart w:id="222" w:name="_Toc30277"/>
      <w:bookmarkStart w:id="223" w:name="_Toc17761"/>
      <w:bookmarkStart w:id="224" w:name="_Toc508960153"/>
      <w:bookmarkStart w:id="225" w:name="_Toc509927455"/>
      <w:bookmarkStart w:id="226" w:name="_Toc509844825"/>
      <w:bookmarkStart w:id="227" w:name="_Toc508958703"/>
      <w:bookmarkStart w:id="228" w:name="_Toc510171693"/>
      <w:bookmarkStart w:id="229" w:name="_Toc30247"/>
      <w:bookmarkStart w:id="230" w:name="_Toc22970"/>
      <w:bookmarkStart w:id="231" w:name="_Toc509479530"/>
      <w:bookmarkStart w:id="232" w:name="_Toc508898066"/>
      <w:bookmarkStart w:id="233" w:name="_Toc20910"/>
    </w:p>
    <w:p>
      <w:pPr>
        <w:jc w:val="center"/>
        <w:rPr>
          <w:rFonts w:ascii="宋体" w:hAnsi="宋体"/>
          <w:color w:val="auto"/>
          <w:szCs w:val="21"/>
          <w:highlight w:val="none"/>
        </w:rPr>
      </w:pPr>
      <w:r>
        <w:rPr>
          <w:rFonts w:hint="eastAsia" w:ascii="宋体" w:hAnsi="宋体"/>
          <w:color w:val="auto"/>
          <w:szCs w:val="21"/>
          <w:highlight w:val="none"/>
        </w:rPr>
        <w:t>日  期：</w:t>
      </w:r>
      <w:bookmarkEnd w:id="222"/>
      <w:bookmarkEnd w:id="223"/>
      <w:bookmarkEnd w:id="224"/>
      <w:bookmarkEnd w:id="225"/>
      <w:bookmarkEnd w:id="226"/>
      <w:bookmarkEnd w:id="227"/>
      <w:bookmarkEnd w:id="228"/>
      <w:bookmarkEnd w:id="229"/>
      <w:bookmarkEnd w:id="230"/>
      <w:bookmarkEnd w:id="231"/>
      <w:bookmarkEnd w:id="232"/>
      <w:bookmarkEnd w:id="233"/>
    </w:p>
    <w:p>
      <w:pPr>
        <w:pStyle w:val="2"/>
        <w:rPr>
          <w:color w:val="auto"/>
          <w:highlight w:val="none"/>
        </w:rPr>
      </w:pPr>
    </w:p>
    <w:p>
      <w:pPr>
        <w:ind w:firstLine="420" w:firstLineChars="200"/>
        <w:rPr>
          <w:rFonts w:ascii="宋体" w:hAnsi="宋体"/>
          <w:color w:val="auto"/>
          <w:szCs w:val="21"/>
          <w:highlight w:val="none"/>
        </w:rPr>
      </w:pPr>
      <w:bookmarkStart w:id="234" w:name="_Toc508898067"/>
      <w:bookmarkStart w:id="235" w:name="_Toc508958704"/>
      <w:bookmarkStart w:id="236" w:name="_Toc28527"/>
      <w:bookmarkStart w:id="237" w:name="_Toc5447"/>
      <w:bookmarkStart w:id="238" w:name="_Toc509479531"/>
      <w:bookmarkStart w:id="239" w:name="_Toc510171694"/>
      <w:bookmarkStart w:id="240" w:name="_Toc31520"/>
      <w:bookmarkStart w:id="241" w:name="_Toc509927456"/>
      <w:bookmarkStart w:id="242" w:name="_Toc509844826"/>
      <w:bookmarkStart w:id="243" w:name="_Toc21053"/>
      <w:bookmarkStart w:id="244" w:name="_Toc26216"/>
      <w:bookmarkStart w:id="245" w:name="_Toc508960154"/>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highlight w:val="none"/>
        </w:rPr>
      </w:pPr>
      <w:bookmarkStart w:id="246" w:name="_Toc24848"/>
      <w:bookmarkStart w:id="247" w:name="_Toc508958705"/>
      <w:bookmarkStart w:id="248" w:name="_Toc14653"/>
      <w:bookmarkStart w:id="249" w:name="_Toc509844827"/>
      <w:bookmarkStart w:id="250" w:name="_Toc508898068"/>
      <w:bookmarkStart w:id="251" w:name="_Toc28626"/>
      <w:bookmarkStart w:id="252" w:name="_Toc509479532"/>
      <w:bookmarkStart w:id="253" w:name="_Toc9148"/>
      <w:bookmarkStart w:id="254" w:name="_Toc509927457"/>
      <w:bookmarkStart w:id="255" w:name="_Toc508960155"/>
      <w:bookmarkStart w:id="256" w:name="_Toc28126"/>
      <w:bookmarkStart w:id="257" w:name="_Toc510171695"/>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highlight w:val="none"/>
        </w:rPr>
      </w:pPr>
      <w:bookmarkStart w:id="258" w:name="_Toc508960156"/>
      <w:bookmarkStart w:id="259" w:name="_Toc28044"/>
      <w:bookmarkStart w:id="260" w:name="_Toc9837"/>
      <w:bookmarkStart w:id="261" w:name="_Toc510171696"/>
      <w:bookmarkStart w:id="262" w:name="_Toc22981"/>
      <w:bookmarkStart w:id="263" w:name="_Toc509844828"/>
      <w:bookmarkStart w:id="264" w:name="_Toc7858"/>
      <w:bookmarkStart w:id="265" w:name="_Toc508958706"/>
      <w:bookmarkStart w:id="266" w:name="_Toc509479533"/>
      <w:bookmarkStart w:id="267" w:name="_Toc28686"/>
      <w:bookmarkStart w:id="268" w:name="_Toc509927458"/>
      <w:bookmarkStart w:id="269" w:name="_Toc508898069"/>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highlight w:val="none"/>
        </w:rPr>
      </w:pPr>
      <w:bookmarkStart w:id="270" w:name="_Toc509844829"/>
      <w:bookmarkStart w:id="271" w:name="_Toc510171697"/>
      <w:bookmarkStart w:id="272" w:name="_Toc509927459"/>
      <w:bookmarkStart w:id="273" w:name="_Toc18843"/>
      <w:bookmarkStart w:id="274" w:name="_Toc508960157"/>
      <w:bookmarkStart w:id="275" w:name="_Toc5289"/>
      <w:bookmarkStart w:id="276" w:name="_Toc508898070"/>
      <w:bookmarkStart w:id="277" w:name="_Toc509479534"/>
      <w:bookmarkStart w:id="278" w:name="_Toc508958707"/>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5"/>
        <w:jc w:val="center"/>
        <w:rPr>
          <w:color w:val="auto"/>
          <w:highlight w:val="none"/>
        </w:rPr>
      </w:pPr>
      <w:bookmarkStart w:id="279" w:name="_Toc23948"/>
      <w:bookmarkStart w:id="280" w:name="_Toc6471"/>
      <w:r>
        <w:rPr>
          <w:rFonts w:hint="eastAsia"/>
          <w:color w:val="auto"/>
          <w:highlight w:val="none"/>
        </w:rPr>
        <w:t>第二章商务文件</w:t>
      </w:r>
      <w:bookmarkEnd w:id="279"/>
      <w:bookmarkEnd w:id="280"/>
    </w:p>
    <w:bookmarkEnd w:id="209"/>
    <w:p>
      <w:pPr>
        <w:pStyle w:val="5"/>
        <w:jc w:val="center"/>
        <w:rPr>
          <w:color w:val="auto"/>
          <w:highlight w:val="none"/>
        </w:rPr>
      </w:pPr>
      <w:bookmarkStart w:id="281" w:name="_Toc1952"/>
      <w:bookmarkStart w:id="282" w:name="_Toc23787"/>
      <w:r>
        <w:rPr>
          <w:rFonts w:hint="eastAsia"/>
          <w:color w:val="auto"/>
          <w:highlight w:val="none"/>
        </w:rPr>
        <w:t>一、投标函</w:t>
      </w:r>
      <w:bookmarkEnd w:id="281"/>
      <w:bookmarkEnd w:id="282"/>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在此提交的投标文件，正本套，副本套，唱标信封及电子文件各1份。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5"/>
        <w:jc w:val="center"/>
        <w:rPr>
          <w:color w:val="auto"/>
          <w:highlight w:val="none"/>
        </w:rPr>
      </w:pPr>
      <w:bookmarkStart w:id="283" w:name="_Toc28616"/>
      <w:bookmarkStart w:id="284" w:name="_Toc15719"/>
      <w:r>
        <w:rPr>
          <w:rFonts w:hint="eastAsia"/>
          <w:color w:val="auto"/>
          <w:highlight w:val="none"/>
        </w:rPr>
        <w:t>二、资格申明函</w:t>
      </w:r>
      <w:bookmarkEnd w:id="283"/>
      <w:bookmarkEnd w:id="284"/>
    </w:p>
    <w:p>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36"/>
        <w:spacing w:line="500" w:lineRule="atLeast"/>
        <w:ind w:firstLine="3517" w:firstLineChars="1675"/>
        <w:rPr>
          <w:rFonts w:ascii="宋体" w:eastAsia="宋体"/>
          <w:color w:val="auto"/>
          <w:sz w:val="21"/>
          <w:szCs w:val="21"/>
          <w:highlight w:val="none"/>
        </w:rPr>
      </w:pPr>
    </w:p>
    <w:p>
      <w:pPr>
        <w:pStyle w:val="36"/>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highlight w:val="none"/>
        </w:rPr>
      </w:pPr>
    </w:p>
    <w:p>
      <w:pPr>
        <w:rPr>
          <w:color w:val="auto"/>
          <w:highlight w:val="none"/>
        </w:rPr>
      </w:pPr>
      <w:bookmarkStart w:id="285" w:name="_Toc16412"/>
    </w:p>
    <w:p>
      <w:pPr>
        <w:pStyle w:val="5"/>
        <w:jc w:val="center"/>
        <w:rPr>
          <w:color w:val="auto"/>
          <w:highlight w:val="none"/>
        </w:rPr>
      </w:pPr>
      <w:bookmarkStart w:id="286" w:name="_Toc21273"/>
      <w:bookmarkStart w:id="287" w:name="_Toc32742"/>
      <w:r>
        <w:rPr>
          <w:rFonts w:hint="eastAsia"/>
          <w:color w:val="auto"/>
          <w:highlight w:val="none"/>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Cs w:val="21"/>
          <w:highlight w:val="none"/>
          <w:lang w:eastAsia="zh-CN"/>
        </w:rPr>
        <w:t>税收违法黑名单</w:t>
      </w:r>
      <w:r>
        <w:rPr>
          <w:rFonts w:hint="eastAsia" w:ascii="宋体" w:hAnsi="宋体" w:cs="宋体"/>
          <w:color w:val="auto"/>
          <w:szCs w:val="21"/>
          <w:highlight w:val="none"/>
        </w:rPr>
        <w:t>、政府采购严重违法失信行为记录名单。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5"/>
        <w:jc w:val="center"/>
        <w:rPr>
          <w:color w:val="auto"/>
          <w:highlight w:val="none"/>
        </w:rPr>
      </w:pPr>
      <w:bookmarkStart w:id="288" w:name="_Toc13243"/>
      <w:bookmarkStart w:id="289" w:name="_Toc3894"/>
      <w:r>
        <w:rPr>
          <w:rFonts w:hint="eastAsia"/>
          <w:color w:val="auto"/>
          <w:highlight w:val="none"/>
        </w:rPr>
        <w:t>四、法定代表人证明书</w:t>
      </w:r>
      <w:bookmarkEnd w:id="288"/>
      <w:bookmarkEnd w:id="289"/>
    </w:p>
    <w:p>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6"/>
        <w:spacing w:line="420" w:lineRule="atLeast"/>
        <w:ind w:firstLine="433"/>
        <w:rPr>
          <w:rFonts w:ascii="宋体" w:eastAsia="宋体"/>
          <w:color w:val="auto"/>
          <w:sz w:val="21"/>
          <w:szCs w:val="21"/>
          <w:highlight w:val="none"/>
        </w:rPr>
      </w:pPr>
    </w:p>
    <w:p>
      <w:pPr>
        <w:pStyle w:val="36"/>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36"/>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6"/>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290" w:name="_Toc5626"/>
      <w:bookmarkStart w:id="291" w:name="_Toc5918"/>
      <w:r>
        <w:rPr>
          <w:rFonts w:hint="eastAsia"/>
          <w:color w:val="auto"/>
          <w:highlight w:val="none"/>
        </w:rPr>
        <w:t>五、法定代表人授权书</w:t>
      </w:r>
      <w:bookmarkEnd w:id="290"/>
      <w:bookmarkEnd w:id="291"/>
    </w:p>
    <w:p>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6"/>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36"/>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36"/>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5"/>
        <w:jc w:val="center"/>
        <w:rPr>
          <w:color w:val="auto"/>
          <w:highlight w:val="none"/>
        </w:rPr>
      </w:pPr>
      <w:bookmarkStart w:id="293" w:name="_Toc18562"/>
      <w:bookmarkStart w:id="294" w:name="_Toc24013"/>
      <w:r>
        <w:rPr>
          <w:rFonts w:hint="eastAsia"/>
          <w:color w:val="auto"/>
          <w:highlight w:val="none"/>
        </w:rPr>
        <w:t>六、投标人基本情况说明</w:t>
      </w:r>
      <w:bookmarkEnd w:id="293"/>
      <w:bookmarkEnd w:id="294"/>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2"/>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5"/>
        <w:jc w:val="center"/>
        <w:rPr>
          <w:color w:val="auto"/>
          <w:highlight w:val="none"/>
        </w:rPr>
      </w:pPr>
      <w:bookmarkStart w:id="295" w:name="_Toc29995"/>
      <w:bookmarkStart w:id="296" w:name="_Toc4926"/>
      <w:bookmarkStart w:id="297" w:name="_Toc1511"/>
      <w:bookmarkStart w:id="298" w:name="_Toc17470"/>
      <w:bookmarkStart w:id="299" w:name="_Toc5919"/>
      <w:bookmarkStart w:id="300" w:name="_Toc28067"/>
      <w:bookmarkStart w:id="301" w:name="_Toc24210"/>
      <w:r>
        <w:rPr>
          <w:rFonts w:hint="eastAsia"/>
          <w:color w:val="auto"/>
          <w:highlight w:val="none"/>
        </w:rPr>
        <w:t>七、营业执照</w:t>
      </w:r>
      <w:bookmarkEnd w:id="295"/>
      <w:bookmarkEnd w:id="296"/>
      <w:bookmarkEnd w:id="297"/>
      <w:bookmarkEnd w:id="298"/>
      <w:bookmarkEnd w:id="299"/>
      <w:bookmarkEnd w:id="300"/>
      <w:bookmarkEnd w:id="301"/>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5"/>
        <w:jc w:val="center"/>
        <w:rPr>
          <w:color w:val="auto"/>
          <w:highlight w:val="none"/>
        </w:rPr>
      </w:pPr>
      <w:bookmarkStart w:id="302" w:name="_Toc29439"/>
      <w:bookmarkStart w:id="303" w:name="_Toc21638"/>
      <w:r>
        <w:rPr>
          <w:rFonts w:hint="eastAsia"/>
          <w:color w:val="auto"/>
          <w:highlight w:val="none"/>
        </w:rPr>
        <w:t>八、特殊资格要求证明文件</w:t>
      </w:r>
      <w:bookmarkEnd w:id="302"/>
      <w:bookmarkEnd w:id="30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pStyle w:val="5"/>
        <w:jc w:val="center"/>
        <w:rPr>
          <w:color w:val="auto"/>
          <w:highlight w:val="none"/>
        </w:rPr>
      </w:pPr>
      <w:bookmarkStart w:id="304" w:name="_Toc14263"/>
      <w:bookmarkStart w:id="305" w:name="_Toc23341"/>
      <w:r>
        <w:rPr>
          <w:rFonts w:hint="eastAsia"/>
          <w:color w:val="auto"/>
          <w:highlight w:val="none"/>
        </w:rPr>
        <w:t>九、承诺书</w:t>
      </w:r>
      <w:bookmarkEnd w:id="304"/>
      <w:bookmarkEnd w:id="305"/>
    </w:p>
    <w:p>
      <w:pPr>
        <w:pStyle w:val="36"/>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36"/>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（项目名称）</w:t>
      </w:r>
      <w:r>
        <w:rPr>
          <w:rFonts w:hint="eastAsia" w:ascii="宋体" w:eastAsia="宋体" w:cs="宋体"/>
          <w:color w:val="auto"/>
          <w:sz w:val="21"/>
          <w:szCs w:val="21"/>
          <w:highlight w:val="none"/>
        </w:rPr>
        <w:t>项目（项目编号：）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pPr>
        <w:pStyle w:val="36"/>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5"/>
        <w:jc w:val="center"/>
        <w:rPr>
          <w:color w:val="auto"/>
          <w:highlight w:val="none"/>
        </w:rPr>
      </w:pPr>
      <w:bookmarkStart w:id="307" w:name="_Toc13955"/>
      <w:bookmarkStart w:id="308" w:name="_Toc13653"/>
      <w:r>
        <w:rPr>
          <w:rFonts w:hint="eastAsia"/>
          <w:color w:val="auto"/>
          <w:highlight w:val="none"/>
        </w:rPr>
        <w:t>十、招标代理服务费承诺书</w:t>
      </w:r>
      <w:bookmarkEnd w:id="307"/>
      <w:bookmarkEnd w:id="308"/>
    </w:p>
    <w:p>
      <w:pPr>
        <w:pStyle w:val="36"/>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0"/>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jc w:val="center"/>
        <w:rPr>
          <w:color w:val="auto"/>
          <w:highlight w:val="none"/>
        </w:rPr>
      </w:pPr>
      <w:bookmarkStart w:id="309" w:name="_Toc1975"/>
      <w:bookmarkStart w:id="310" w:name="_Toc12598"/>
      <w:r>
        <w:rPr>
          <w:rFonts w:hint="eastAsia"/>
          <w:color w:val="auto"/>
          <w:highlight w:val="none"/>
        </w:rPr>
        <w:t>十一、商务条款偏离表</w:t>
      </w:r>
      <w:bookmarkEnd w:id="309"/>
      <w:bookmarkEnd w:id="310"/>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1" w:name="_Toc32183"/>
    </w:p>
    <w:p>
      <w:pPr>
        <w:pStyle w:val="5"/>
        <w:jc w:val="center"/>
        <w:rPr>
          <w:color w:val="auto"/>
          <w:highlight w:val="none"/>
        </w:rPr>
      </w:pPr>
      <w:bookmarkStart w:id="312" w:name="_Toc19276"/>
      <w:bookmarkStart w:id="313" w:name="_Toc25391"/>
      <w:r>
        <w:rPr>
          <w:rFonts w:hint="eastAsia"/>
          <w:color w:val="auto"/>
          <w:highlight w:val="none"/>
        </w:rPr>
        <w:t>十二、业绩表</w:t>
      </w:r>
      <w:bookmarkEnd w:id="312"/>
      <w:bookmarkEnd w:id="313"/>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bl>
    <w:p>
      <w:pPr>
        <w:pStyle w:val="33"/>
        <w:rPr>
          <w:rFonts w:ascii="宋体" w:hAnsi="宋体"/>
          <w:color w:val="auto"/>
          <w:szCs w:val="21"/>
          <w:highlight w:val="none"/>
        </w:rPr>
      </w:pPr>
    </w:p>
    <w:p>
      <w:pPr>
        <w:pStyle w:val="33"/>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2"/>
        <w:ind w:left="0"/>
        <w:rPr>
          <w:color w:val="auto"/>
          <w:highlight w:val="none"/>
        </w:rPr>
      </w:pPr>
    </w:p>
    <w:p>
      <w:pPr>
        <w:pStyle w:val="5"/>
        <w:jc w:val="center"/>
        <w:rPr>
          <w:rFonts w:ascii="黑体" w:eastAsia="黑体"/>
          <w:color w:val="auto"/>
          <w:szCs w:val="28"/>
          <w:highlight w:val="none"/>
        </w:rPr>
      </w:pPr>
      <w:bookmarkStart w:id="314" w:name="_Toc14688"/>
      <w:bookmarkStart w:id="315" w:name="_Toc20520"/>
      <w:r>
        <w:rPr>
          <w:rFonts w:hint="eastAsia"/>
          <w:color w:val="auto"/>
          <w:highlight w:val="none"/>
        </w:rPr>
        <w:t>第三章技术文件</w:t>
      </w:r>
      <w:bookmarkEnd w:id="311"/>
      <w:bookmarkEnd w:id="314"/>
      <w:bookmarkEnd w:id="315"/>
    </w:p>
    <w:p>
      <w:pPr>
        <w:pStyle w:val="5"/>
        <w:jc w:val="center"/>
        <w:rPr>
          <w:color w:val="auto"/>
          <w:highlight w:val="none"/>
        </w:rPr>
      </w:pPr>
      <w:bookmarkStart w:id="316" w:name="_Toc7092"/>
      <w:bookmarkStart w:id="317" w:name="_Toc13097"/>
      <w:r>
        <w:rPr>
          <w:rFonts w:hint="eastAsia"/>
          <w:color w:val="auto"/>
          <w:highlight w:val="none"/>
        </w:rPr>
        <w:t>一、技术规格偏离表</w:t>
      </w:r>
      <w:bookmarkEnd w:id="316"/>
      <w:bookmarkEnd w:id="317"/>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1274"/>
      <w:bookmarkStart w:id="320" w:name="_Toc26078"/>
      <w:bookmarkStart w:id="321" w:name="_Toc4464"/>
      <w:bookmarkStart w:id="322" w:name="_Toc6080"/>
      <w:bookmarkStart w:id="323" w:name="_Toc18668"/>
      <w:bookmarkStart w:id="324" w:name="_Toc4827"/>
    </w:p>
    <w:p>
      <w:pPr>
        <w:pStyle w:val="5"/>
        <w:jc w:val="center"/>
        <w:rPr>
          <w:color w:val="auto"/>
          <w:highlight w:val="none"/>
        </w:rPr>
      </w:pPr>
      <w:bookmarkStart w:id="325" w:name="_Toc10734"/>
      <w:bookmarkStart w:id="326" w:name="_Toc13461"/>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27" w:name="_Toc29642"/>
            <w:bookmarkStart w:id="328" w:name="_Toc27079"/>
            <w:bookmarkStart w:id="329" w:name="_Toc29560"/>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30" w:name="_Toc26124"/>
            <w:bookmarkStart w:id="331" w:name="_Toc14815"/>
            <w:bookmarkStart w:id="332" w:name="_Toc15368"/>
            <w:bookmarkStart w:id="333" w:name="_Toc27090"/>
            <w:bookmarkStart w:id="334" w:name="_Toc16872"/>
            <w:bookmarkStart w:id="335" w:name="_Toc1016"/>
            <w:bookmarkStart w:id="336" w:name="_Toc15903"/>
            <w:bookmarkStart w:id="337" w:name="_Toc12049"/>
            <w:bookmarkStart w:id="338" w:name="_Toc4304"/>
            <w:bookmarkStart w:id="339" w:name="_Toc10045"/>
            <w:bookmarkStart w:id="340" w:name="_Toc21739"/>
            <w:bookmarkStart w:id="341" w:name="_Toc22448"/>
            <w:bookmarkStart w:id="342" w:name="_Toc2700"/>
            <w:bookmarkStart w:id="343" w:name="_Toc19251"/>
            <w:bookmarkStart w:id="344" w:name="_Toc24662"/>
            <w:bookmarkStart w:id="345" w:name="_Toc32531"/>
            <w:bookmarkStart w:id="346" w:name="_Toc8490"/>
            <w:bookmarkStart w:id="347" w:name="_Toc21809"/>
            <w:bookmarkStart w:id="348" w:name="_Toc22917"/>
            <w:bookmarkStart w:id="349" w:name="_Toc27442"/>
            <w:bookmarkStart w:id="350" w:name="_Toc22879"/>
            <w:bookmarkStart w:id="351" w:name="_Toc7333"/>
            <w:bookmarkStart w:id="352" w:name="_Toc8312"/>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53" w:name="_Toc10122"/>
            <w:bookmarkStart w:id="354" w:name="_Toc2408"/>
            <w:bookmarkStart w:id="355" w:name="_Toc22153"/>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56" w:name="_Toc27285"/>
            <w:bookmarkStart w:id="357" w:name="_Toc16003"/>
            <w:bookmarkStart w:id="358" w:name="_Toc29838"/>
            <w:bookmarkStart w:id="359" w:name="_Toc27185"/>
            <w:bookmarkStart w:id="360" w:name="_Toc1330"/>
            <w:bookmarkStart w:id="361" w:name="_Toc20139"/>
            <w:bookmarkStart w:id="362" w:name="_Toc17642"/>
            <w:bookmarkStart w:id="363" w:name="_Toc5992"/>
            <w:bookmarkStart w:id="364" w:name="_Toc17296"/>
            <w:bookmarkStart w:id="365" w:name="_Toc3701"/>
            <w:bookmarkStart w:id="366" w:name="_Toc5563"/>
            <w:bookmarkStart w:id="367" w:name="_Toc20820"/>
            <w:bookmarkStart w:id="368" w:name="_Toc1912"/>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69" w:name="_Toc857"/>
            <w:bookmarkStart w:id="370" w:name="_Toc19105"/>
            <w:bookmarkStart w:id="371" w:name="_Toc3520"/>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3"/>
        <w:rPr>
          <w:rFonts w:ascii="宋体" w:hAnsi="宋体"/>
          <w:color w:val="auto"/>
          <w:szCs w:val="21"/>
          <w:highlight w:val="none"/>
        </w:rPr>
      </w:pPr>
    </w:p>
    <w:p>
      <w:pPr>
        <w:pStyle w:val="33"/>
        <w:rPr>
          <w:rFonts w:ascii="宋体" w:hAnsi="宋体"/>
          <w:color w:val="auto"/>
          <w:szCs w:val="21"/>
          <w:highlight w:val="none"/>
        </w:rPr>
      </w:pPr>
      <w:r>
        <w:rPr>
          <w:rFonts w:hint="eastAsia" w:ascii="宋体" w:hAnsi="宋体"/>
          <w:color w:val="auto"/>
          <w:szCs w:val="21"/>
          <w:highlight w:val="none"/>
        </w:rPr>
        <w:t>注：</w:t>
      </w:r>
    </w:p>
    <w:p>
      <w:pPr>
        <w:pStyle w:val="33"/>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3"/>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3"/>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3"/>
        <w:rPr>
          <w:rFonts w:ascii="宋体" w:hAnsi="宋体"/>
          <w:color w:val="auto"/>
          <w:szCs w:val="21"/>
          <w:highlight w:val="none"/>
        </w:rPr>
      </w:pPr>
    </w:p>
    <w:p>
      <w:pPr>
        <w:pStyle w:val="33"/>
        <w:numPr>
          <w:ilvl w:val="0"/>
          <w:numId w:val="11"/>
        </w:numPr>
        <w:rPr>
          <w:rFonts w:ascii="黑体" w:eastAsia="黑体"/>
          <w:color w:val="auto"/>
          <w:sz w:val="32"/>
          <w:szCs w:val="32"/>
          <w:highlight w:val="none"/>
        </w:rPr>
      </w:pPr>
      <w:r>
        <w:rPr>
          <w:rFonts w:hint="eastAsia" w:ascii="宋体" w:hAnsi="宋体"/>
          <w:color w:val="auto"/>
          <w:szCs w:val="21"/>
          <w:highlight w:val="none"/>
        </w:rPr>
        <w:br w:type="page"/>
      </w:r>
    </w:p>
    <w:p>
      <w:pPr>
        <w:pStyle w:val="5"/>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393"/>
        <w:gridCol w:w="2394"/>
        <w:gridCol w:w="1178"/>
        <w:gridCol w:w="18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5"/>
        <w:jc w:val="center"/>
        <w:rPr>
          <w:color w:val="auto"/>
          <w:highlight w:val="none"/>
        </w:rPr>
      </w:pPr>
      <w:bookmarkStart w:id="374" w:name="_Toc21519"/>
      <w:r>
        <w:rPr>
          <w:rFonts w:hint="eastAsia"/>
          <w:color w:val="auto"/>
          <w:highlight w:val="none"/>
        </w:rPr>
        <w:t>四、项目技术方案</w:t>
      </w:r>
      <w:bookmarkEnd w:id="373"/>
      <w:bookmarkEnd w:id="374"/>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5"/>
        <w:jc w:val="center"/>
        <w:rPr>
          <w:color w:val="auto"/>
          <w:highlight w:val="none"/>
        </w:rPr>
      </w:pPr>
      <w:bookmarkStart w:id="375" w:name="_Toc16328"/>
      <w:bookmarkStart w:id="376" w:name="_Toc26880"/>
      <w:r>
        <w:rPr>
          <w:rFonts w:hint="eastAsia"/>
          <w:color w:val="auto"/>
          <w:highlight w:val="none"/>
        </w:rPr>
        <w:t>五、项目负责人及团队成员资料表</w:t>
      </w:r>
      <w:bookmarkEnd w:id="375"/>
      <w:bookmarkEnd w:id="376"/>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2"/>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5"/>
        <w:jc w:val="center"/>
        <w:rPr>
          <w:color w:val="auto"/>
          <w:highlight w:val="none"/>
        </w:rPr>
      </w:pPr>
      <w:bookmarkStart w:id="377" w:name="_Toc26980"/>
      <w:bookmarkStart w:id="378" w:name="_Toc15431"/>
      <w:r>
        <w:rPr>
          <w:rFonts w:hint="eastAsia"/>
          <w:color w:val="auto"/>
          <w:highlight w:val="none"/>
        </w:rPr>
        <w:t>六、投标货物明细一览表</w:t>
      </w:r>
      <w:bookmarkEnd w:id="377"/>
      <w:bookmarkEnd w:id="378"/>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宋体" w:hAnsi="宋体"/>
          <w:color w:val="auto"/>
          <w:szCs w:val="21"/>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5"/>
        <w:jc w:val="center"/>
        <w:rPr>
          <w:color w:val="auto"/>
          <w:highlight w:val="none"/>
        </w:rPr>
      </w:pPr>
      <w:bookmarkStart w:id="379" w:name="_Toc21541"/>
      <w:bookmarkStart w:id="380" w:name="_Toc16710"/>
      <w:r>
        <w:rPr>
          <w:rFonts w:hint="eastAsia"/>
          <w:color w:val="auto"/>
          <w:highlight w:val="none"/>
        </w:rPr>
        <w:t>七、投标保证金汇入情况说明</w:t>
      </w:r>
      <w:bookmarkEnd w:id="379"/>
      <w:bookmarkEnd w:id="380"/>
    </w:p>
    <w:p>
      <w:pPr>
        <w:spacing w:line="480" w:lineRule="auto"/>
        <w:rPr>
          <w:rFonts w:ascii="宋体" w:hAnsi="宋体"/>
          <w:color w:val="auto"/>
          <w:szCs w:val="21"/>
          <w:highlight w:val="none"/>
        </w:rPr>
      </w:pPr>
      <w:r>
        <w:rPr>
          <w:rFonts w:hint="eastAsia" w:ascii="宋体" w:hAnsi="宋体"/>
          <w:color w:val="auto"/>
          <w:szCs w:val="21"/>
          <w:highlight w:val="none"/>
        </w:rPr>
        <w:t>致：广东政通招标有限公司：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本单位已按（项目名称）包（采购项目编号：）的招标文件要求，于年月日前以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方式汇入指定帐户（帐户名称：，帐号：,开户银行：）。</w:t>
      </w:r>
    </w:p>
    <w:p>
      <w:pPr>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本单位投标保证金的汇款情况：（详见附件－投标保证金进帐单）</w:t>
      </w:r>
    </w:p>
    <w:p>
      <w:pPr>
        <w:ind w:firstLine="420" w:firstLineChars="200"/>
        <w:rPr>
          <w:rFonts w:ascii="宋体" w:hAnsi="宋体"/>
          <w:color w:val="auto"/>
          <w:szCs w:val="21"/>
          <w:highlight w:val="none"/>
        </w:rPr>
      </w:pPr>
      <w:r>
        <w:rPr>
          <w:rFonts w:hint="eastAsia" w:ascii="宋体" w:hAnsi="宋体"/>
          <w:color w:val="auto"/>
          <w:szCs w:val="21"/>
          <w:highlight w:val="none"/>
        </w:rPr>
        <w:t>汇出时间：年月日；</w:t>
      </w:r>
    </w:p>
    <w:p>
      <w:pPr>
        <w:ind w:firstLine="420" w:firstLineChars="200"/>
        <w:rPr>
          <w:rFonts w:ascii="宋体" w:hAnsi="宋体"/>
          <w:color w:val="auto"/>
          <w:szCs w:val="21"/>
          <w:highlight w:val="none"/>
        </w:rPr>
      </w:pPr>
      <w:r>
        <w:rPr>
          <w:rFonts w:hint="eastAsia" w:ascii="宋体" w:hAnsi="宋体"/>
          <w:color w:val="auto"/>
          <w:szCs w:val="21"/>
          <w:highlight w:val="none"/>
        </w:rPr>
        <w:t>汇款金额：（大写）人民币（小写：￥元），</w:t>
      </w:r>
    </w:p>
    <w:p>
      <w:pPr>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（必须是投标时使用的帐户名）   </w:t>
      </w:r>
    </w:p>
    <w:p>
      <w:pPr>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（必须是投标时使用的帐号）     </w:t>
      </w:r>
    </w:p>
    <w:p>
      <w:pPr>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pPr>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480" w:lineRule="auto"/>
        <w:ind w:right="628" w:rightChars="299"/>
        <w:jc w:val="center"/>
        <w:rPr>
          <w:rFonts w:ascii="宋体" w:hAnsi="宋体"/>
          <w:color w:val="auto"/>
          <w:szCs w:val="21"/>
          <w:highlight w:val="none"/>
        </w:rPr>
      </w:pPr>
      <w:r>
        <w:rPr>
          <w:rFonts w:hint="eastAsia" w:ascii="宋体" w:hAnsi="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单位名称：</w:t>
      </w:r>
    </w:p>
    <w:p>
      <w:pPr>
        <w:rPr>
          <w:rFonts w:ascii="宋体" w:hAnsi="宋体"/>
          <w:color w:val="auto"/>
          <w:szCs w:val="21"/>
          <w:highlight w:val="none"/>
        </w:rPr>
      </w:pPr>
      <w:r>
        <w:rPr>
          <w:rFonts w:hint="eastAsia" w:ascii="宋体" w:hAnsi="宋体"/>
          <w:color w:val="auto"/>
          <w:szCs w:val="21"/>
          <w:highlight w:val="none"/>
        </w:rPr>
        <w:t>单位地址：</w:t>
      </w:r>
    </w:p>
    <w:p>
      <w:pPr>
        <w:rPr>
          <w:rFonts w:ascii="宋体" w:hAnsi="宋体"/>
          <w:color w:val="auto"/>
          <w:szCs w:val="21"/>
          <w:highlight w:val="none"/>
        </w:rPr>
      </w:pPr>
      <w:r>
        <w:rPr>
          <w:rFonts w:hint="eastAsia" w:ascii="宋体" w:hAnsi="宋体"/>
          <w:color w:val="auto"/>
          <w:szCs w:val="21"/>
          <w:highlight w:val="none"/>
        </w:rPr>
        <w:t>联系人：</w:t>
      </w:r>
    </w:p>
    <w:p>
      <w:pPr>
        <w:rPr>
          <w:rFonts w:ascii="宋体" w:hAnsi="宋体"/>
          <w:color w:val="auto"/>
          <w:szCs w:val="21"/>
          <w:highlight w:val="none"/>
        </w:rPr>
      </w:pPr>
      <w:r>
        <w:rPr>
          <w:rFonts w:hint="eastAsia" w:ascii="宋体" w:hAnsi="宋体"/>
          <w:color w:val="auto"/>
          <w:szCs w:val="21"/>
          <w:highlight w:val="none"/>
        </w:rPr>
        <w:t xml:space="preserve">单位电话： </w:t>
      </w:r>
    </w:p>
    <w:p>
      <w:pPr>
        <w:rPr>
          <w:rFonts w:ascii="宋体" w:hAnsi="宋体"/>
          <w:color w:val="auto"/>
          <w:szCs w:val="21"/>
          <w:highlight w:val="none"/>
        </w:rPr>
      </w:pPr>
      <w:r>
        <w:rPr>
          <w:rFonts w:hint="eastAsia" w:ascii="宋体" w:hAnsi="宋体"/>
          <w:color w:val="auto"/>
          <w:szCs w:val="21"/>
          <w:highlight w:val="none"/>
        </w:rPr>
        <w:t>联系人手机：</w:t>
      </w:r>
    </w:p>
    <w:p>
      <w:pPr>
        <w:rPr>
          <w:rFonts w:ascii="宋体" w:hAnsi="宋体"/>
          <w:color w:val="auto"/>
          <w:szCs w:val="21"/>
          <w:highlight w:val="none"/>
        </w:rPr>
      </w:pP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23"/>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ind w:firstLine="422" w:firstLineChars="200"/>
        <w:rPr>
          <w:rFonts w:ascii="宋体" w:hAnsi="宋体"/>
          <w:b/>
          <w:bCs/>
          <w:color w:val="auto"/>
          <w:szCs w:val="21"/>
          <w:highlight w:val="none"/>
        </w:rPr>
      </w:pPr>
      <w:r>
        <w:rPr>
          <w:rFonts w:hint="eastAsia" w:ascii="宋体" w:hAnsi="宋体"/>
          <w:b/>
          <w:bCs/>
          <w:color w:val="auto"/>
          <w:szCs w:val="21"/>
          <w:highlight w:val="none"/>
        </w:rPr>
        <w:t>注：（1）此表既要装订在投标文件中，又要按投标人须知的规定与唱标一览表、投标保证金汇款底单复印件及授权委托书一同密封装入唱标文件，唱标文件单独提交。</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（2）若投标人以投标担保函形式提交投标保证金，则无需在投标文件中提供此格式。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color w:val="auto"/>
          <w:szCs w:val="21"/>
          <w:highlight w:val="none"/>
        </w:rPr>
        <w:br w:type="page"/>
      </w:r>
    </w:p>
    <w:p>
      <w:pPr>
        <w:pStyle w:val="5"/>
        <w:jc w:val="center"/>
        <w:rPr>
          <w:color w:val="auto"/>
          <w:highlight w:val="none"/>
        </w:rPr>
      </w:pPr>
      <w:bookmarkStart w:id="381" w:name="_Toc24545"/>
      <w:bookmarkStart w:id="382" w:name="_Toc26855"/>
      <w:r>
        <w:rPr>
          <w:rFonts w:hint="eastAsia"/>
          <w:color w:val="auto"/>
          <w:highlight w:val="none"/>
        </w:rPr>
        <w:t>八、政府采购投标担保函</w:t>
      </w:r>
      <w:bookmarkEnd w:id="381"/>
      <w:bookmarkEnd w:id="382"/>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（采购人或采购代理机构）：</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鉴于（以下简称“投标人”）拟参加编号为</w:t>
      </w:r>
      <w:r>
        <w:rPr>
          <w:rFonts w:hint="eastAsia" w:ascii="宋体" w:hAnsi="宋体" w:cs="宋体"/>
          <w:color w:val="auto"/>
          <w:szCs w:val="21"/>
          <w:highlight w:val="none"/>
          <w:u w:val="single"/>
        </w:rPr>
        <w:t xml:space="preserve">            的</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（一）在投标人出现下列情形之一时，我方承担保证责任：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1．中标后投标人无正当理由不与采购人或者采购代理机构签订《政府采购合同》；</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2．招标文件规定的投标人应当缴纳保证金的其他情形。</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（二）我方承担保证责任的最高金额为人民币元（大写），即本项目的投标保证金金额。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我方的保证期间为：自本保函生效之日起个月止。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个工作日内进行审查，符合应承担保证责任情形的，我方应按照你方的要求代投标人向你方支付投标保证金。</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1．依照法律规定或你方与投标人的另行约定，全部或者部分免除投标人投标保证金义务时，我方亦免除相应的保证责任。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2．因你方原因致使投标人发生本保函第一条第（一）款约定情形的，我方不承担保证责任。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3．因不可抗力造成投标人发生本保函第一条约定情形的，我方不承担保证责任。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4．你方或其他有权机关对招标文件进行任何澄清或修改，加重我方保证责任的，我方对加重部分不承担保证责任，但该澄清或修改经我方事先书面同意的除外。</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pacing w:line="480" w:lineRule="auto"/>
        <w:jc w:val="right"/>
        <w:rPr>
          <w:rFonts w:ascii="宋体" w:hAnsi="宋体" w:cs="宋体"/>
          <w:color w:val="auto"/>
          <w:szCs w:val="21"/>
          <w:highlight w:val="none"/>
        </w:rPr>
      </w:pP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p>
    <w:p>
      <w:pPr>
        <w:rPr>
          <w:rFonts w:ascii="宋体" w:hAnsi="宋体"/>
          <w:b/>
          <w:bCs/>
          <w:color w:val="auto"/>
          <w:szCs w:val="21"/>
          <w:highlight w:val="none"/>
        </w:rPr>
      </w:pPr>
      <w:r>
        <w:rPr>
          <w:rFonts w:hint="eastAsia" w:ascii="宋体" w:hAnsi="宋体"/>
          <w:b/>
          <w:bCs/>
          <w:color w:val="auto"/>
          <w:szCs w:val="21"/>
          <w:highlight w:val="none"/>
        </w:rPr>
        <w:t>注：</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（1）若投标人不以投标担保函形式提交投标保证金，则无需在投标文件中提供此格式。</w:t>
      </w:r>
    </w:p>
    <w:p>
      <w:pPr>
        <w:ind w:firstLine="422" w:firstLineChars="200"/>
        <w:rPr>
          <w:color w:val="auto"/>
          <w:highlight w:val="none"/>
        </w:rPr>
      </w:pPr>
      <w:r>
        <w:rPr>
          <w:rFonts w:hint="eastAsia" w:ascii="宋体" w:hAnsi="宋体"/>
          <w:b/>
          <w:bCs/>
          <w:color w:val="auto"/>
          <w:szCs w:val="21"/>
          <w:highlight w:val="none"/>
        </w:rPr>
        <w:t>（2）若投标人以投标担保函形式提交投标保证金，则应将投标担保函原件交予采购代理机构。</w:t>
      </w:r>
    </w:p>
    <w:p>
      <w:pPr>
        <w:rPr>
          <w:rFonts w:ascii="黑体" w:eastAsia="黑体"/>
          <w:color w:val="auto"/>
          <w:sz w:val="30"/>
          <w:szCs w:val="30"/>
          <w:highlight w:val="none"/>
        </w:rPr>
      </w:pPr>
      <w:r>
        <w:rPr>
          <w:rFonts w:hint="eastAsia" w:ascii="宋体" w:hAnsi="宋体"/>
          <w:color w:val="auto"/>
          <w:szCs w:val="21"/>
          <w:highlight w:val="none"/>
        </w:rPr>
        <w:br w:type="page"/>
      </w:r>
    </w:p>
    <w:p>
      <w:pPr>
        <w:pStyle w:val="5"/>
        <w:jc w:val="center"/>
        <w:rPr>
          <w:color w:val="auto"/>
          <w:highlight w:val="none"/>
        </w:rPr>
      </w:pPr>
      <w:bookmarkStart w:id="383" w:name="_Toc6961"/>
      <w:r>
        <w:rPr>
          <w:rFonts w:hint="eastAsia"/>
          <w:color w:val="auto"/>
          <w:highlight w:val="none"/>
        </w:rPr>
        <w:t>九、政府采购履约担保函</w:t>
      </w:r>
      <w:bookmarkEnd w:id="383"/>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2"/>
        <w:rPr>
          <w:color w:val="auto"/>
          <w:highlight w:val="none"/>
        </w:rPr>
      </w:pPr>
    </w:p>
    <w:p>
      <w:pPr>
        <w:rPr>
          <w:color w:val="auto"/>
          <w:highlight w:val="none"/>
        </w:rPr>
      </w:pPr>
      <w:r>
        <w:rPr>
          <w:color w:val="auto"/>
          <w:highlight w:val="none"/>
        </w:rPr>
        <w:br w:type="page"/>
      </w:r>
    </w:p>
    <w:p>
      <w:pPr>
        <w:pStyle w:val="5"/>
        <w:jc w:val="center"/>
        <w:rPr>
          <w:color w:val="auto"/>
          <w:highlight w:val="none"/>
        </w:rPr>
      </w:pPr>
      <w:bookmarkStart w:id="384" w:name="_Toc26782"/>
      <w:bookmarkStart w:id="385" w:name="_Toc26772"/>
      <w:r>
        <w:rPr>
          <w:rFonts w:hint="eastAsia"/>
          <w:color w:val="auto"/>
          <w:highlight w:val="none"/>
        </w:rPr>
        <w:t>第四章唱标信封（单独封装）</w:t>
      </w:r>
      <w:bookmarkEnd w:id="384"/>
      <w:bookmarkEnd w:id="385"/>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ind w:firstLine="420" w:firstLineChars="200"/>
        <w:rPr>
          <w:color w:val="auto"/>
          <w:highlight w:val="none"/>
        </w:rPr>
      </w:pPr>
      <w:r>
        <w:rPr>
          <w:rFonts w:hint="eastAsia"/>
          <w:color w:val="auto"/>
          <w:highlight w:val="none"/>
        </w:rPr>
        <w:t>（3）投标保证金汇入情况说明及投标保证金汇款底单（复印件加盖公章），或《政府采购投标担保函》复印件。</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6"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5"/>
        <w:jc w:val="center"/>
        <w:rPr>
          <w:color w:val="auto"/>
          <w:highlight w:val="none"/>
        </w:rPr>
      </w:pPr>
      <w:bookmarkStart w:id="387" w:name="_Toc2710"/>
      <w:bookmarkStart w:id="388" w:name="_Toc22736"/>
      <w:r>
        <w:rPr>
          <w:rFonts w:hint="eastAsia"/>
          <w:color w:val="auto"/>
          <w:highlight w:val="none"/>
        </w:rPr>
        <w:t>第五章联合体共同投标协议书（如有需要）</w:t>
      </w:r>
      <w:bookmarkEnd w:id="387"/>
      <w:bookmarkEnd w:id="388"/>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六、本协议书一式份，随响应文件装订份，联合体成员各份。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6"/>
    <w:p>
      <w:pPr>
        <w:pStyle w:val="2"/>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p>
    <w:p>
      <w:pPr>
        <w:rPr>
          <w:rFonts w:ascii="宋体" w:hAnsi="宋体" w:cs="宋体"/>
          <w:color w:val="auto"/>
          <w:szCs w:val="21"/>
          <w:highlight w:val="none"/>
        </w:rPr>
      </w:pPr>
      <w:r>
        <w:rPr>
          <w:rFonts w:hint="eastAsia" w:ascii="宋体" w:hAnsi="宋体" w:cs="宋体"/>
          <w:color w:val="auto"/>
          <w:szCs w:val="21"/>
          <w:highlight w:val="none"/>
        </w:rPr>
        <w:t>地址：邮编：</w:t>
      </w:r>
    </w:p>
    <w:p>
      <w:pPr>
        <w:rPr>
          <w:rFonts w:ascii="宋体" w:hAnsi="宋体" w:cs="宋体"/>
          <w:color w:val="auto"/>
          <w:szCs w:val="21"/>
          <w:highlight w:val="none"/>
        </w:rPr>
      </w:pPr>
      <w:r>
        <w:rPr>
          <w:rFonts w:hint="eastAsia" w:ascii="宋体" w:hAnsi="宋体" w:cs="宋体"/>
          <w:color w:val="auto"/>
          <w:szCs w:val="21"/>
          <w:highlight w:val="none"/>
        </w:rPr>
        <w:t>联系人：联系电话：</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p>
    <w:p>
      <w:pPr>
        <w:rPr>
          <w:rFonts w:ascii="宋体" w:hAnsi="宋体" w:cs="宋体"/>
          <w:color w:val="auto"/>
          <w:szCs w:val="21"/>
          <w:highlight w:val="none"/>
        </w:rPr>
      </w:pPr>
      <w:r>
        <w:rPr>
          <w:rFonts w:hint="eastAsia" w:ascii="宋体" w:hAnsi="宋体" w:cs="宋体"/>
          <w:color w:val="auto"/>
          <w:szCs w:val="21"/>
          <w:highlight w:val="none"/>
        </w:rPr>
        <w:t>联系电话：</w:t>
      </w:r>
    </w:p>
    <w:p>
      <w:pPr>
        <w:rPr>
          <w:rFonts w:ascii="宋体" w:hAnsi="宋体" w:cs="宋体"/>
          <w:color w:val="auto"/>
          <w:szCs w:val="21"/>
          <w:highlight w:val="none"/>
        </w:rPr>
      </w:pPr>
      <w:r>
        <w:rPr>
          <w:rFonts w:hint="eastAsia" w:ascii="宋体" w:hAnsi="宋体" w:cs="宋体"/>
          <w:color w:val="auto"/>
          <w:szCs w:val="21"/>
          <w:highlight w:val="none"/>
        </w:rPr>
        <w:t>地址： 邮编：</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p>
    <w:p>
      <w:pPr>
        <w:rPr>
          <w:rFonts w:ascii="宋体" w:hAnsi="宋体" w:cs="宋体"/>
          <w:color w:val="auto"/>
          <w:szCs w:val="21"/>
          <w:highlight w:val="none"/>
        </w:rPr>
      </w:pPr>
      <w:r>
        <w:rPr>
          <w:rFonts w:hint="eastAsia" w:ascii="宋体" w:hAnsi="宋体" w:cs="宋体"/>
          <w:color w:val="auto"/>
          <w:szCs w:val="21"/>
          <w:highlight w:val="none"/>
        </w:rPr>
        <w:t>质疑项目的编号：包号：</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p>
    <w:p>
      <w:pPr>
        <w:rPr>
          <w:rFonts w:ascii="宋体" w:hAnsi="宋体" w:cs="宋体"/>
          <w:color w:val="auto"/>
          <w:szCs w:val="21"/>
          <w:highlight w:val="none"/>
        </w:rPr>
      </w:pPr>
      <w:r>
        <w:rPr>
          <w:rFonts w:hint="eastAsia" w:ascii="宋体" w:hAnsi="宋体" w:cs="宋体"/>
          <w:color w:val="auto"/>
          <w:szCs w:val="21"/>
          <w:highlight w:val="none"/>
        </w:rPr>
        <w:t>采购文件获取日期：</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p>
    <w:p>
      <w:pPr>
        <w:rPr>
          <w:rFonts w:ascii="宋体" w:hAnsi="宋体" w:cs="宋体"/>
          <w:color w:val="auto"/>
          <w:szCs w:val="21"/>
          <w:highlight w:val="none"/>
        </w:rPr>
      </w:pPr>
    </w:p>
    <w:p>
      <w:pPr>
        <w:rPr>
          <w:rFonts w:ascii="宋体" w:hAnsi="宋体" w:cs="宋体"/>
          <w:color w:val="auto"/>
          <w:szCs w:val="21"/>
          <w:highlight w:val="none"/>
          <w:u w:val="dotted"/>
        </w:rPr>
      </w:pPr>
      <w:r>
        <w:rPr>
          <w:rFonts w:hint="eastAsia" w:ascii="宋体" w:hAnsi="宋体" w:cs="宋体"/>
          <w:color w:val="auto"/>
          <w:szCs w:val="21"/>
          <w:highlight w:val="none"/>
        </w:rPr>
        <w:t>法律依据：</w:t>
      </w:r>
    </w:p>
    <w:p>
      <w:pPr>
        <w:rPr>
          <w:rFonts w:ascii="宋体" w:hAnsi="宋体" w:cs="宋体"/>
          <w:color w:val="auto"/>
          <w:szCs w:val="21"/>
          <w:highlight w:val="none"/>
          <w:u w:val="dotted"/>
        </w:rPr>
      </w:pP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rPr>
          <w:color w:val="auto"/>
          <w:highlight w:val="none"/>
        </w:rPr>
      </w:pPr>
    </w:p>
    <w:p>
      <w:pPr>
        <w:pStyle w:val="2"/>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3"/>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承诺:</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本公司对招标文件的内容已经了解，并自愿购买该招标文件。</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本公司对提供的所有资料的真实性、有效性承担责任。</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招标文件售后不退。</w:t>
            </w:r>
          </w:p>
          <w:p>
            <w:pPr>
              <w:ind w:firstLine="3738" w:firstLineChars="1335"/>
              <w:jc w:val="both"/>
              <w:textAlignment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招标文件领取人签名: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人民币</w:t>
            </w:r>
            <w:r>
              <w:rPr>
                <w:rFonts w:hint="eastAsia" w:ascii="宋体" w:hAnsi="宋体" w:cs="宋体"/>
                <w:color w:val="auto"/>
                <w:sz w:val="28"/>
                <w:szCs w:val="28"/>
                <w:highlight w:val="none"/>
                <w:lang w:val="en-US" w:eastAsia="zh-CN"/>
              </w:rPr>
              <w:t>300</w:t>
            </w:r>
            <w:r>
              <w:rPr>
                <w:rFonts w:hint="eastAsia" w:ascii="宋体" w:hAnsi="宋体" w:cs="宋体"/>
                <w:color w:val="auto"/>
                <w:sz w:val="28"/>
                <w:szCs w:val="28"/>
                <w:highlight w:val="none"/>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b/>
                <w:bCs/>
                <w:color w:val="auto"/>
                <w:sz w:val="32"/>
                <w:szCs w:val="32"/>
                <w:highlight w:val="none"/>
              </w:rPr>
              <w:t>注：开完发票后请把报名表格交还至前台</w:t>
            </w:r>
          </w:p>
        </w:tc>
      </w:tr>
    </w:tbl>
    <w:p>
      <w:pPr>
        <w:pStyle w:val="22"/>
        <w:ind w:left="0" w:firstLine="0" w:firstLineChars="0"/>
        <w:rPr>
          <w:color w:val="auto"/>
          <w:highlight w:val="none"/>
        </w:rPr>
      </w:pPr>
    </w:p>
    <w:sectPr>
      <w:footerReference r:id="rId14" w:type="first"/>
      <w:footerReference r:id="rId13"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4847"/>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9"/>
        <w:rPr>
          <w:rFonts w:eastAsia="微软雅黑"/>
        </w:rPr>
      </w:pPr>
      <w:r>
        <w:rPr>
          <w:rStyle w:val="29"/>
        </w:rPr>
        <w:footnoteRef/>
      </w:r>
      <w:r>
        <w:rPr>
          <w:rFonts w:hint="eastAsia"/>
        </w:rPr>
        <w:t>从业人员、营业人员、资产总额填报上一年度数据，无上一年度数据的新成立企业可不填报。</w:t>
      </w:r>
    </w:p>
  </w:footnote>
  <w:footnote w:id="1">
    <w:p>
      <w:pPr>
        <w:pStyle w:val="19"/>
      </w:pPr>
      <w:r>
        <w:rPr>
          <w:rStyle w:val="29"/>
        </w:rPr>
        <w:footnoteRef/>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B6DDD"/>
    <w:rsid w:val="000C4524"/>
    <w:rsid w:val="000D44A6"/>
    <w:rsid w:val="000D5273"/>
    <w:rsid w:val="000F09D9"/>
    <w:rsid w:val="000F0E98"/>
    <w:rsid w:val="001049A5"/>
    <w:rsid w:val="00111107"/>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670CC"/>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B468B"/>
    <w:rsid w:val="004D51A2"/>
    <w:rsid w:val="004D5AFB"/>
    <w:rsid w:val="004E04FD"/>
    <w:rsid w:val="004F1BB7"/>
    <w:rsid w:val="004F2238"/>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3721A"/>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0017"/>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2F05"/>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4432"/>
    <w:rsid w:val="00AC5C21"/>
    <w:rsid w:val="00AE310E"/>
    <w:rsid w:val="00AE4FC5"/>
    <w:rsid w:val="00AE7D81"/>
    <w:rsid w:val="00AF5796"/>
    <w:rsid w:val="00AF5F1F"/>
    <w:rsid w:val="00B027A4"/>
    <w:rsid w:val="00B13255"/>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47E4E"/>
    <w:rsid w:val="00C531F8"/>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340C"/>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08F7"/>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031B"/>
    <w:rsid w:val="00F52A5F"/>
    <w:rsid w:val="00F55954"/>
    <w:rsid w:val="00F61962"/>
    <w:rsid w:val="00F62865"/>
    <w:rsid w:val="00F64022"/>
    <w:rsid w:val="00F64660"/>
    <w:rsid w:val="00F85E59"/>
    <w:rsid w:val="00F97062"/>
    <w:rsid w:val="00F9745D"/>
    <w:rsid w:val="00FC7B53"/>
    <w:rsid w:val="00FD48CC"/>
    <w:rsid w:val="00FE62D1"/>
    <w:rsid w:val="00FF26BF"/>
    <w:rsid w:val="018023CE"/>
    <w:rsid w:val="01881AD6"/>
    <w:rsid w:val="01917A48"/>
    <w:rsid w:val="01B40242"/>
    <w:rsid w:val="01B938AA"/>
    <w:rsid w:val="01E73D89"/>
    <w:rsid w:val="01E74B6E"/>
    <w:rsid w:val="02126CDB"/>
    <w:rsid w:val="021832B7"/>
    <w:rsid w:val="024E2E49"/>
    <w:rsid w:val="02A741FD"/>
    <w:rsid w:val="02C16E5D"/>
    <w:rsid w:val="02D964CF"/>
    <w:rsid w:val="032D0464"/>
    <w:rsid w:val="0340787C"/>
    <w:rsid w:val="03707410"/>
    <w:rsid w:val="037F03E3"/>
    <w:rsid w:val="03A0770F"/>
    <w:rsid w:val="03A27BF9"/>
    <w:rsid w:val="03A448B8"/>
    <w:rsid w:val="03A4578A"/>
    <w:rsid w:val="03AD071E"/>
    <w:rsid w:val="03B67E12"/>
    <w:rsid w:val="03D10969"/>
    <w:rsid w:val="04DF1036"/>
    <w:rsid w:val="050F6021"/>
    <w:rsid w:val="055214B8"/>
    <w:rsid w:val="05A97DEC"/>
    <w:rsid w:val="05C81981"/>
    <w:rsid w:val="065A32ED"/>
    <w:rsid w:val="06BC41F2"/>
    <w:rsid w:val="06DF3DBD"/>
    <w:rsid w:val="07197D08"/>
    <w:rsid w:val="071C2CFD"/>
    <w:rsid w:val="071E5C55"/>
    <w:rsid w:val="07391925"/>
    <w:rsid w:val="073A47CB"/>
    <w:rsid w:val="073F7319"/>
    <w:rsid w:val="07536A42"/>
    <w:rsid w:val="07595F41"/>
    <w:rsid w:val="07615EC0"/>
    <w:rsid w:val="076E24F4"/>
    <w:rsid w:val="077005AB"/>
    <w:rsid w:val="078F4581"/>
    <w:rsid w:val="07995C5E"/>
    <w:rsid w:val="07B34F45"/>
    <w:rsid w:val="07BE179A"/>
    <w:rsid w:val="07BF027F"/>
    <w:rsid w:val="08031A31"/>
    <w:rsid w:val="081A5CC7"/>
    <w:rsid w:val="087400C9"/>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25EAF"/>
    <w:rsid w:val="0BDF26F7"/>
    <w:rsid w:val="0BE31BA4"/>
    <w:rsid w:val="0C264099"/>
    <w:rsid w:val="0C2B4952"/>
    <w:rsid w:val="0C7B2220"/>
    <w:rsid w:val="0D890E47"/>
    <w:rsid w:val="0DC64A00"/>
    <w:rsid w:val="0DFC60BA"/>
    <w:rsid w:val="0E4249F1"/>
    <w:rsid w:val="0F2955F4"/>
    <w:rsid w:val="0F6C5A53"/>
    <w:rsid w:val="0F7C5FF6"/>
    <w:rsid w:val="0FC63FBD"/>
    <w:rsid w:val="10382D43"/>
    <w:rsid w:val="106C564D"/>
    <w:rsid w:val="107B7B8F"/>
    <w:rsid w:val="107C67CE"/>
    <w:rsid w:val="1080523F"/>
    <w:rsid w:val="108F06C9"/>
    <w:rsid w:val="109D68CB"/>
    <w:rsid w:val="10A949B8"/>
    <w:rsid w:val="10C54639"/>
    <w:rsid w:val="11200D07"/>
    <w:rsid w:val="11DA73AF"/>
    <w:rsid w:val="12C60D80"/>
    <w:rsid w:val="131867D4"/>
    <w:rsid w:val="131F7A3A"/>
    <w:rsid w:val="132645D0"/>
    <w:rsid w:val="13455ABC"/>
    <w:rsid w:val="1370322B"/>
    <w:rsid w:val="13B27845"/>
    <w:rsid w:val="13BE469F"/>
    <w:rsid w:val="13F87121"/>
    <w:rsid w:val="141A03E1"/>
    <w:rsid w:val="143B2E0B"/>
    <w:rsid w:val="14672B11"/>
    <w:rsid w:val="14892735"/>
    <w:rsid w:val="14CC769D"/>
    <w:rsid w:val="157D38E3"/>
    <w:rsid w:val="15D359D7"/>
    <w:rsid w:val="15D81E0F"/>
    <w:rsid w:val="161771F3"/>
    <w:rsid w:val="16222D6D"/>
    <w:rsid w:val="16371A2B"/>
    <w:rsid w:val="163C77BE"/>
    <w:rsid w:val="16632F86"/>
    <w:rsid w:val="1679588C"/>
    <w:rsid w:val="16994962"/>
    <w:rsid w:val="16A71041"/>
    <w:rsid w:val="16AA24BF"/>
    <w:rsid w:val="16F72341"/>
    <w:rsid w:val="17680CAB"/>
    <w:rsid w:val="176E4128"/>
    <w:rsid w:val="1783371F"/>
    <w:rsid w:val="17E62B67"/>
    <w:rsid w:val="180C0192"/>
    <w:rsid w:val="180F4499"/>
    <w:rsid w:val="18221ECE"/>
    <w:rsid w:val="184A6EA2"/>
    <w:rsid w:val="18DD0A66"/>
    <w:rsid w:val="190B7894"/>
    <w:rsid w:val="19A2789F"/>
    <w:rsid w:val="19B7100D"/>
    <w:rsid w:val="1A460CF5"/>
    <w:rsid w:val="1A7F297D"/>
    <w:rsid w:val="1AB16AC1"/>
    <w:rsid w:val="1B034A52"/>
    <w:rsid w:val="1B1F34AD"/>
    <w:rsid w:val="1B5A51FC"/>
    <w:rsid w:val="1B8D5DC6"/>
    <w:rsid w:val="1BFE1D3B"/>
    <w:rsid w:val="1C2775EC"/>
    <w:rsid w:val="1C750ECE"/>
    <w:rsid w:val="1CA22168"/>
    <w:rsid w:val="1D0836D7"/>
    <w:rsid w:val="1D196139"/>
    <w:rsid w:val="1DB85900"/>
    <w:rsid w:val="1DF051AF"/>
    <w:rsid w:val="1E010AF7"/>
    <w:rsid w:val="1E0178EB"/>
    <w:rsid w:val="1E301173"/>
    <w:rsid w:val="1E38333E"/>
    <w:rsid w:val="1E5C7612"/>
    <w:rsid w:val="1E636E30"/>
    <w:rsid w:val="1E710DD6"/>
    <w:rsid w:val="1EA40BB4"/>
    <w:rsid w:val="1F43381C"/>
    <w:rsid w:val="1FA4148D"/>
    <w:rsid w:val="20121621"/>
    <w:rsid w:val="201A421D"/>
    <w:rsid w:val="20341172"/>
    <w:rsid w:val="204E554F"/>
    <w:rsid w:val="20590035"/>
    <w:rsid w:val="20C35213"/>
    <w:rsid w:val="20FC799E"/>
    <w:rsid w:val="21072664"/>
    <w:rsid w:val="21693C0A"/>
    <w:rsid w:val="22154DDD"/>
    <w:rsid w:val="22213E42"/>
    <w:rsid w:val="22336873"/>
    <w:rsid w:val="225C57F7"/>
    <w:rsid w:val="23175889"/>
    <w:rsid w:val="232C5C75"/>
    <w:rsid w:val="238C2182"/>
    <w:rsid w:val="239015D1"/>
    <w:rsid w:val="23B02530"/>
    <w:rsid w:val="23BB4E7D"/>
    <w:rsid w:val="23C172D6"/>
    <w:rsid w:val="23F04F64"/>
    <w:rsid w:val="24814CBE"/>
    <w:rsid w:val="24AC168B"/>
    <w:rsid w:val="2571114C"/>
    <w:rsid w:val="25857F75"/>
    <w:rsid w:val="258C3BEC"/>
    <w:rsid w:val="25E576CC"/>
    <w:rsid w:val="260E3862"/>
    <w:rsid w:val="262569FC"/>
    <w:rsid w:val="26344C98"/>
    <w:rsid w:val="264B6870"/>
    <w:rsid w:val="26F56CE2"/>
    <w:rsid w:val="272D1F94"/>
    <w:rsid w:val="27435D49"/>
    <w:rsid w:val="27A34F71"/>
    <w:rsid w:val="27B36A67"/>
    <w:rsid w:val="27EB0D9B"/>
    <w:rsid w:val="286602C8"/>
    <w:rsid w:val="28665C95"/>
    <w:rsid w:val="28A64522"/>
    <w:rsid w:val="28CC5B40"/>
    <w:rsid w:val="28F525D1"/>
    <w:rsid w:val="290B3EB9"/>
    <w:rsid w:val="291418C2"/>
    <w:rsid w:val="2950768C"/>
    <w:rsid w:val="29794227"/>
    <w:rsid w:val="297A5FC4"/>
    <w:rsid w:val="2A1113BC"/>
    <w:rsid w:val="2A8D4F8F"/>
    <w:rsid w:val="2A911082"/>
    <w:rsid w:val="2A917B34"/>
    <w:rsid w:val="2AA33C87"/>
    <w:rsid w:val="2AE3766F"/>
    <w:rsid w:val="2B4B680F"/>
    <w:rsid w:val="2B7E4054"/>
    <w:rsid w:val="2BC92502"/>
    <w:rsid w:val="2BF22742"/>
    <w:rsid w:val="2C987C56"/>
    <w:rsid w:val="2CBD45CF"/>
    <w:rsid w:val="2CEB5F6D"/>
    <w:rsid w:val="2CFF149A"/>
    <w:rsid w:val="2D201865"/>
    <w:rsid w:val="2D4B5CEA"/>
    <w:rsid w:val="2D652658"/>
    <w:rsid w:val="2D7F37B7"/>
    <w:rsid w:val="2DC80C49"/>
    <w:rsid w:val="2DCA6355"/>
    <w:rsid w:val="2DF0699F"/>
    <w:rsid w:val="2E166748"/>
    <w:rsid w:val="2E556F01"/>
    <w:rsid w:val="2E8E20B4"/>
    <w:rsid w:val="2ED06066"/>
    <w:rsid w:val="2ED1223D"/>
    <w:rsid w:val="2EE470F7"/>
    <w:rsid w:val="2F000139"/>
    <w:rsid w:val="2F561B8A"/>
    <w:rsid w:val="2F9F42DC"/>
    <w:rsid w:val="2FE04319"/>
    <w:rsid w:val="2FF37AB3"/>
    <w:rsid w:val="307350B9"/>
    <w:rsid w:val="308C7755"/>
    <w:rsid w:val="30914729"/>
    <w:rsid w:val="30FF27D2"/>
    <w:rsid w:val="31170995"/>
    <w:rsid w:val="31264A30"/>
    <w:rsid w:val="31884E67"/>
    <w:rsid w:val="31A0275E"/>
    <w:rsid w:val="31B060CA"/>
    <w:rsid w:val="31B7357A"/>
    <w:rsid w:val="31ED6B08"/>
    <w:rsid w:val="31F915C9"/>
    <w:rsid w:val="32310A09"/>
    <w:rsid w:val="32610CE6"/>
    <w:rsid w:val="32631A32"/>
    <w:rsid w:val="328464CE"/>
    <w:rsid w:val="32AB70C5"/>
    <w:rsid w:val="32DC33E0"/>
    <w:rsid w:val="3309322B"/>
    <w:rsid w:val="335D0AF5"/>
    <w:rsid w:val="3370088C"/>
    <w:rsid w:val="33A3154A"/>
    <w:rsid w:val="33DC2F78"/>
    <w:rsid w:val="3428227C"/>
    <w:rsid w:val="350D6342"/>
    <w:rsid w:val="35260F83"/>
    <w:rsid w:val="35602226"/>
    <w:rsid w:val="356B72E7"/>
    <w:rsid w:val="3572424F"/>
    <w:rsid w:val="35FC3844"/>
    <w:rsid w:val="366061FD"/>
    <w:rsid w:val="36751B19"/>
    <w:rsid w:val="36794DEF"/>
    <w:rsid w:val="36AD519D"/>
    <w:rsid w:val="36B57705"/>
    <w:rsid w:val="374F1A0B"/>
    <w:rsid w:val="37A103ED"/>
    <w:rsid w:val="37EA5E6E"/>
    <w:rsid w:val="37F75B74"/>
    <w:rsid w:val="37FF016F"/>
    <w:rsid w:val="38427C0B"/>
    <w:rsid w:val="387C5ABE"/>
    <w:rsid w:val="389B3A1E"/>
    <w:rsid w:val="38EB6119"/>
    <w:rsid w:val="39DE33DA"/>
    <w:rsid w:val="39FA5B4A"/>
    <w:rsid w:val="39FE0BE9"/>
    <w:rsid w:val="3A3C1AAF"/>
    <w:rsid w:val="3A424C25"/>
    <w:rsid w:val="3A4B7CC1"/>
    <w:rsid w:val="3A51228C"/>
    <w:rsid w:val="3A552E60"/>
    <w:rsid w:val="3A5D642F"/>
    <w:rsid w:val="3AB210FC"/>
    <w:rsid w:val="3ACE216B"/>
    <w:rsid w:val="3AD95C13"/>
    <w:rsid w:val="3B0E42D3"/>
    <w:rsid w:val="3B1E260C"/>
    <w:rsid w:val="3B261E51"/>
    <w:rsid w:val="3B973F88"/>
    <w:rsid w:val="3BCD72F7"/>
    <w:rsid w:val="3C414142"/>
    <w:rsid w:val="3CE114D9"/>
    <w:rsid w:val="3CF737A2"/>
    <w:rsid w:val="3CF7509A"/>
    <w:rsid w:val="3D10295A"/>
    <w:rsid w:val="3E0572FD"/>
    <w:rsid w:val="3E1A5292"/>
    <w:rsid w:val="3E5A7FE7"/>
    <w:rsid w:val="3EC8179E"/>
    <w:rsid w:val="3EF66B2E"/>
    <w:rsid w:val="3F217914"/>
    <w:rsid w:val="3F942B76"/>
    <w:rsid w:val="3F9A3C01"/>
    <w:rsid w:val="3FAB5A5B"/>
    <w:rsid w:val="3FD70BB0"/>
    <w:rsid w:val="3FFB55AC"/>
    <w:rsid w:val="401C5F9D"/>
    <w:rsid w:val="401C690C"/>
    <w:rsid w:val="401D7195"/>
    <w:rsid w:val="405F1BE4"/>
    <w:rsid w:val="40A51286"/>
    <w:rsid w:val="40CE3DC0"/>
    <w:rsid w:val="40D7455A"/>
    <w:rsid w:val="40E743E5"/>
    <w:rsid w:val="40F35EEC"/>
    <w:rsid w:val="4110038E"/>
    <w:rsid w:val="41734CBA"/>
    <w:rsid w:val="41C01B53"/>
    <w:rsid w:val="41DD7057"/>
    <w:rsid w:val="420F7A65"/>
    <w:rsid w:val="4216611A"/>
    <w:rsid w:val="423E300F"/>
    <w:rsid w:val="425656C8"/>
    <w:rsid w:val="4257273C"/>
    <w:rsid w:val="425D7213"/>
    <w:rsid w:val="42677B61"/>
    <w:rsid w:val="42756DB0"/>
    <w:rsid w:val="42B21AD2"/>
    <w:rsid w:val="42D208E8"/>
    <w:rsid w:val="42FD694D"/>
    <w:rsid w:val="434A6D8F"/>
    <w:rsid w:val="43FA5777"/>
    <w:rsid w:val="44044D92"/>
    <w:rsid w:val="441C1611"/>
    <w:rsid w:val="443C440B"/>
    <w:rsid w:val="443F7DBF"/>
    <w:rsid w:val="44514F52"/>
    <w:rsid w:val="446B348A"/>
    <w:rsid w:val="448965CB"/>
    <w:rsid w:val="44C5497E"/>
    <w:rsid w:val="44FA2D53"/>
    <w:rsid w:val="4571374F"/>
    <w:rsid w:val="458B1BB0"/>
    <w:rsid w:val="4611075B"/>
    <w:rsid w:val="461A2EB2"/>
    <w:rsid w:val="46214818"/>
    <w:rsid w:val="467A0297"/>
    <w:rsid w:val="468B7125"/>
    <w:rsid w:val="46C4691F"/>
    <w:rsid w:val="47841568"/>
    <w:rsid w:val="479D1D34"/>
    <w:rsid w:val="47B609C0"/>
    <w:rsid w:val="47CF543E"/>
    <w:rsid w:val="482D31EA"/>
    <w:rsid w:val="485970A0"/>
    <w:rsid w:val="48847961"/>
    <w:rsid w:val="48946B91"/>
    <w:rsid w:val="48A41906"/>
    <w:rsid w:val="48B65C71"/>
    <w:rsid w:val="48F303D7"/>
    <w:rsid w:val="492837FF"/>
    <w:rsid w:val="492E6A57"/>
    <w:rsid w:val="49B86103"/>
    <w:rsid w:val="4A0030EE"/>
    <w:rsid w:val="4AC36065"/>
    <w:rsid w:val="4B560086"/>
    <w:rsid w:val="4B7501F5"/>
    <w:rsid w:val="4B8C2DEB"/>
    <w:rsid w:val="4BFA3C9F"/>
    <w:rsid w:val="4BFB5208"/>
    <w:rsid w:val="4C0E3379"/>
    <w:rsid w:val="4C107F48"/>
    <w:rsid w:val="4C3277BC"/>
    <w:rsid w:val="4C686851"/>
    <w:rsid w:val="4CB25875"/>
    <w:rsid w:val="4CC353EB"/>
    <w:rsid w:val="4CF36F3C"/>
    <w:rsid w:val="4D3739CE"/>
    <w:rsid w:val="4D4F67BA"/>
    <w:rsid w:val="4D603399"/>
    <w:rsid w:val="4D867EE1"/>
    <w:rsid w:val="4DBC4C65"/>
    <w:rsid w:val="4DD731F1"/>
    <w:rsid w:val="4DF6568D"/>
    <w:rsid w:val="4E2E1A80"/>
    <w:rsid w:val="4E550010"/>
    <w:rsid w:val="4E5F14CB"/>
    <w:rsid w:val="4ED81ECB"/>
    <w:rsid w:val="4F3705F8"/>
    <w:rsid w:val="4F651D09"/>
    <w:rsid w:val="4FAC3540"/>
    <w:rsid w:val="4FBB12F4"/>
    <w:rsid w:val="4FCF1583"/>
    <w:rsid w:val="4FFA7625"/>
    <w:rsid w:val="501B0BF9"/>
    <w:rsid w:val="506F29A5"/>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693932"/>
    <w:rsid w:val="549A6BFA"/>
    <w:rsid w:val="54C61423"/>
    <w:rsid w:val="54E72921"/>
    <w:rsid w:val="55806F07"/>
    <w:rsid w:val="558F3CE2"/>
    <w:rsid w:val="55F3454C"/>
    <w:rsid w:val="55FA2961"/>
    <w:rsid w:val="565E3E0E"/>
    <w:rsid w:val="565E7F4F"/>
    <w:rsid w:val="56775789"/>
    <w:rsid w:val="56857D06"/>
    <w:rsid w:val="56914056"/>
    <w:rsid w:val="569F0E63"/>
    <w:rsid w:val="56DB613D"/>
    <w:rsid w:val="573810DA"/>
    <w:rsid w:val="57FC2169"/>
    <w:rsid w:val="58096275"/>
    <w:rsid w:val="580E4560"/>
    <w:rsid w:val="581C04F1"/>
    <w:rsid w:val="582E6EF7"/>
    <w:rsid w:val="58434392"/>
    <w:rsid w:val="584E30E6"/>
    <w:rsid w:val="59014D02"/>
    <w:rsid w:val="597B384D"/>
    <w:rsid w:val="59903AA4"/>
    <w:rsid w:val="59996DA8"/>
    <w:rsid w:val="59AC3CE9"/>
    <w:rsid w:val="59C30F1B"/>
    <w:rsid w:val="5A0D5854"/>
    <w:rsid w:val="5A20156F"/>
    <w:rsid w:val="5A250E62"/>
    <w:rsid w:val="5A8E5D27"/>
    <w:rsid w:val="5A9847F3"/>
    <w:rsid w:val="5AC7121C"/>
    <w:rsid w:val="5AD90B8D"/>
    <w:rsid w:val="5AE12927"/>
    <w:rsid w:val="5B2243E9"/>
    <w:rsid w:val="5B4E1A44"/>
    <w:rsid w:val="5B666742"/>
    <w:rsid w:val="5B6919B0"/>
    <w:rsid w:val="5B873201"/>
    <w:rsid w:val="5B89551D"/>
    <w:rsid w:val="5B967767"/>
    <w:rsid w:val="5B9E55DE"/>
    <w:rsid w:val="5C1D18D2"/>
    <w:rsid w:val="5C286807"/>
    <w:rsid w:val="5C2A15C6"/>
    <w:rsid w:val="5C446BC8"/>
    <w:rsid w:val="5C4C687B"/>
    <w:rsid w:val="5C7C2768"/>
    <w:rsid w:val="5CB23AE6"/>
    <w:rsid w:val="5CB843E0"/>
    <w:rsid w:val="5CBB0F9F"/>
    <w:rsid w:val="5CF55792"/>
    <w:rsid w:val="5CFD533A"/>
    <w:rsid w:val="5D893B14"/>
    <w:rsid w:val="5D9F3D30"/>
    <w:rsid w:val="5E2810D5"/>
    <w:rsid w:val="5E2B7D62"/>
    <w:rsid w:val="5E2F31A6"/>
    <w:rsid w:val="5E71411E"/>
    <w:rsid w:val="5EA06921"/>
    <w:rsid w:val="5ED5006A"/>
    <w:rsid w:val="5F576E4B"/>
    <w:rsid w:val="5F5D4EDE"/>
    <w:rsid w:val="5F653903"/>
    <w:rsid w:val="5F7A2C30"/>
    <w:rsid w:val="5FBE370A"/>
    <w:rsid w:val="60292845"/>
    <w:rsid w:val="61027308"/>
    <w:rsid w:val="612E1A5D"/>
    <w:rsid w:val="61816046"/>
    <w:rsid w:val="61881DE7"/>
    <w:rsid w:val="62182687"/>
    <w:rsid w:val="62391564"/>
    <w:rsid w:val="623E50A4"/>
    <w:rsid w:val="62816669"/>
    <w:rsid w:val="62BA0953"/>
    <w:rsid w:val="62D03A7C"/>
    <w:rsid w:val="62F16BCB"/>
    <w:rsid w:val="62F648FE"/>
    <w:rsid w:val="630A30D8"/>
    <w:rsid w:val="63341DB1"/>
    <w:rsid w:val="63447612"/>
    <w:rsid w:val="63907004"/>
    <w:rsid w:val="63A10995"/>
    <w:rsid w:val="63B7664D"/>
    <w:rsid w:val="63C23EFA"/>
    <w:rsid w:val="63C41644"/>
    <w:rsid w:val="643A070A"/>
    <w:rsid w:val="644C573D"/>
    <w:rsid w:val="647F1ACC"/>
    <w:rsid w:val="648667A7"/>
    <w:rsid w:val="64DB383A"/>
    <w:rsid w:val="65032F85"/>
    <w:rsid w:val="65136B50"/>
    <w:rsid w:val="653B0C50"/>
    <w:rsid w:val="657E2A35"/>
    <w:rsid w:val="65A94E9D"/>
    <w:rsid w:val="65C60A92"/>
    <w:rsid w:val="662203DD"/>
    <w:rsid w:val="66615FB2"/>
    <w:rsid w:val="666B723B"/>
    <w:rsid w:val="6678045A"/>
    <w:rsid w:val="66DD6702"/>
    <w:rsid w:val="679406CB"/>
    <w:rsid w:val="67AB52F1"/>
    <w:rsid w:val="67C35C0B"/>
    <w:rsid w:val="681233D2"/>
    <w:rsid w:val="681D5EE5"/>
    <w:rsid w:val="68652AB3"/>
    <w:rsid w:val="6895578E"/>
    <w:rsid w:val="689F1926"/>
    <w:rsid w:val="68AD17BB"/>
    <w:rsid w:val="68D94D22"/>
    <w:rsid w:val="692B2E4A"/>
    <w:rsid w:val="692E7663"/>
    <w:rsid w:val="694303FB"/>
    <w:rsid w:val="696A0B34"/>
    <w:rsid w:val="698D6A17"/>
    <w:rsid w:val="69A233E7"/>
    <w:rsid w:val="69DA61FF"/>
    <w:rsid w:val="69EE3535"/>
    <w:rsid w:val="69F954C1"/>
    <w:rsid w:val="6A2031B6"/>
    <w:rsid w:val="6A440C53"/>
    <w:rsid w:val="6A507D0C"/>
    <w:rsid w:val="6AC61F6F"/>
    <w:rsid w:val="6ADE74F0"/>
    <w:rsid w:val="6B1002C0"/>
    <w:rsid w:val="6B1F5CFA"/>
    <w:rsid w:val="6B723594"/>
    <w:rsid w:val="6B805156"/>
    <w:rsid w:val="6BD50977"/>
    <w:rsid w:val="6BEA2A9B"/>
    <w:rsid w:val="6BEE7B02"/>
    <w:rsid w:val="6C9C0875"/>
    <w:rsid w:val="6C9D1F03"/>
    <w:rsid w:val="6CAA3931"/>
    <w:rsid w:val="6D3933CA"/>
    <w:rsid w:val="6D7B61EC"/>
    <w:rsid w:val="6D8D7E22"/>
    <w:rsid w:val="6DC3266E"/>
    <w:rsid w:val="6DD049FF"/>
    <w:rsid w:val="6E09491E"/>
    <w:rsid w:val="6E0D3655"/>
    <w:rsid w:val="6E5F4465"/>
    <w:rsid w:val="6E6557B3"/>
    <w:rsid w:val="6E8C54DA"/>
    <w:rsid w:val="6EF11E03"/>
    <w:rsid w:val="6F111C62"/>
    <w:rsid w:val="6F2176E5"/>
    <w:rsid w:val="6F3053CA"/>
    <w:rsid w:val="6F592303"/>
    <w:rsid w:val="6F5F5B74"/>
    <w:rsid w:val="6F9B1C65"/>
    <w:rsid w:val="6FD47A25"/>
    <w:rsid w:val="6FF44026"/>
    <w:rsid w:val="6FFB146E"/>
    <w:rsid w:val="701A5C74"/>
    <w:rsid w:val="706516C3"/>
    <w:rsid w:val="70864A71"/>
    <w:rsid w:val="70896E68"/>
    <w:rsid w:val="71322C59"/>
    <w:rsid w:val="714556B4"/>
    <w:rsid w:val="715B60E9"/>
    <w:rsid w:val="71860FA0"/>
    <w:rsid w:val="71E96309"/>
    <w:rsid w:val="71EA1FED"/>
    <w:rsid w:val="72284A0C"/>
    <w:rsid w:val="72C16204"/>
    <w:rsid w:val="730313F6"/>
    <w:rsid w:val="731E1007"/>
    <w:rsid w:val="73370D24"/>
    <w:rsid w:val="7359268C"/>
    <w:rsid w:val="739503EB"/>
    <w:rsid w:val="73A05B28"/>
    <w:rsid w:val="73C07D69"/>
    <w:rsid w:val="749E2255"/>
    <w:rsid w:val="74B42AE4"/>
    <w:rsid w:val="750A429D"/>
    <w:rsid w:val="75167F59"/>
    <w:rsid w:val="754D77D2"/>
    <w:rsid w:val="755D38A7"/>
    <w:rsid w:val="755F5A0F"/>
    <w:rsid w:val="75614792"/>
    <w:rsid w:val="756672DA"/>
    <w:rsid w:val="756E5849"/>
    <w:rsid w:val="75784473"/>
    <w:rsid w:val="757E044C"/>
    <w:rsid w:val="75977BC3"/>
    <w:rsid w:val="75B161B3"/>
    <w:rsid w:val="75E470E3"/>
    <w:rsid w:val="76736B32"/>
    <w:rsid w:val="76E3765E"/>
    <w:rsid w:val="76FC2AFA"/>
    <w:rsid w:val="773F0836"/>
    <w:rsid w:val="77653671"/>
    <w:rsid w:val="778546CC"/>
    <w:rsid w:val="77B56730"/>
    <w:rsid w:val="77B911F9"/>
    <w:rsid w:val="77C04A8B"/>
    <w:rsid w:val="77D85DB3"/>
    <w:rsid w:val="780252A0"/>
    <w:rsid w:val="78027772"/>
    <w:rsid w:val="78671E95"/>
    <w:rsid w:val="78A50513"/>
    <w:rsid w:val="78B92B9D"/>
    <w:rsid w:val="78CC45F8"/>
    <w:rsid w:val="793B7339"/>
    <w:rsid w:val="796518DD"/>
    <w:rsid w:val="796E0C55"/>
    <w:rsid w:val="79AA0532"/>
    <w:rsid w:val="79B82D71"/>
    <w:rsid w:val="79F70999"/>
    <w:rsid w:val="79FE1DDD"/>
    <w:rsid w:val="7A075767"/>
    <w:rsid w:val="7A212062"/>
    <w:rsid w:val="7A282A11"/>
    <w:rsid w:val="7AB90FF6"/>
    <w:rsid w:val="7AC21562"/>
    <w:rsid w:val="7AD474A4"/>
    <w:rsid w:val="7B115232"/>
    <w:rsid w:val="7B3E6396"/>
    <w:rsid w:val="7B416BDC"/>
    <w:rsid w:val="7B5350AD"/>
    <w:rsid w:val="7B6867EB"/>
    <w:rsid w:val="7B697C89"/>
    <w:rsid w:val="7B8D34C3"/>
    <w:rsid w:val="7B971D84"/>
    <w:rsid w:val="7BF32F03"/>
    <w:rsid w:val="7C1724A5"/>
    <w:rsid w:val="7C8E3CCF"/>
    <w:rsid w:val="7CA54112"/>
    <w:rsid w:val="7CBC5262"/>
    <w:rsid w:val="7CE50CE4"/>
    <w:rsid w:val="7D2177E3"/>
    <w:rsid w:val="7D2E5ABF"/>
    <w:rsid w:val="7E2142A2"/>
    <w:rsid w:val="7E4F5384"/>
    <w:rsid w:val="7E5A6DFA"/>
    <w:rsid w:val="7E730D4D"/>
    <w:rsid w:val="7E7B0BF2"/>
    <w:rsid w:val="7E7C7A78"/>
    <w:rsid w:val="7E8D75B6"/>
    <w:rsid w:val="7EB2417D"/>
    <w:rsid w:val="7EF760EE"/>
    <w:rsid w:val="7F2A21E7"/>
    <w:rsid w:val="7F763FE8"/>
    <w:rsid w:val="7F8048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2"/>
    <w:unhideWhenUsed/>
    <w:qFormat/>
    <w:uiPriority w:val="9"/>
    <w:pPr>
      <w:keepNext/>
      <w:keepLines/>
      <w:outlineLvl w:val="2"/>
    </w:pPr>
    <w:rPr>
      <w:b/>
      <w:bCs/>
      <w:sz w:val="28"/>
      <w:szCs w:val="32"/>
    </w:rPr>
  </w:style>
  <w:style w:type="paragraph" w:styleId="6">
    <w:name w:val="heading 4"/>
    <w:basedOn w:val="1"/>
    <w:next w:val="1"/>
    <w:link w:val="34"/>
    <w:unhideWhenUsed/>
    <w:qFormat/>
    <w:uiPriority w:val="9"/>
    <w:pPr>
      <w:keepNext/>
      <w:keepLines/>
      <w:outlineLvl w:val="3"/>
    </w:pPr>
    <w:rPr>
      <w:rFonts w:asciiTheme="majorHAnsi" w:hAnsiTheme="majorHAnsi" w:cstheme="majorBidi"/>
      <w:b/>
      <w:bCs/>
      <w:sz w:val="24"/>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cs="宋体"/>
      <w:sz w:val="24"/>
      <w:lang w:val="zh-CN" w:bidi="zh-CN"/>
    </w:rPr>
  </w:style>
  <w:style w:type="paragraph" w:styleId="7">
    <w:name w:val="annotation text"/>
    <w:basedOn w:val="1"/>
    <w:semiHidden/>
    <w:unhideWhenUsed/>
    <w:qFormat/>
    <w:uiPriority w:val="99"/>
  </w:style>
  <w:style w:type="paragraph" w:styleId="8">
    <w:name w:val="Body Text Indent"/>
    <w:basedOn w:val="1"/>
    <w:qFormat/>
    <w:uiPriority w:val="0"/>
    <w:pPr>
      <w:ind w:left="540"/>
    </w:pPr>
    <w:rPr>
      <w:rFonts w:ascii="Times New Roman" w:hAnsi="Times New Roman" w:eastAsia="宋体" w:cs="Times New Roman"/>
      <w:szCs w:val="20"/>
    </w:rPr>
  </w:style>
  <w:style w:type="paragraph" w:styleId="9">
    <w:name w:val="toc 3"/>
    <w:basedOn w:val="1"/>
    <w:next w:val="1"/>
    <w:unhideWhenUsed/>
    <w:qFormat/>
    <w:uiPriority w:val="39"/>
    <w:pPr>
      <w:tabs>
        <w:tab w:val="right" w:leader="dot" w:pos="8296"/>
      </w:tabs>
      <w:ind w:left="838" w:leftChars="381"/>
    </w:pPr>
    <w:rPr>
      <w:szCs w:val="21"/>
    </w:rPr>
  </w:style>
  <w:style w:type="paragraph" w:styleId="10">
    <w:name w:val="Plain Text"/>
    <w:basedOn w:val="1"/>
    <w:link w:val="45"/>
    <w:qFormat/>
    <w:uiPriority w:val="0"/>
    <w:pPr>
      <w:widowControl w:val="0"/>
      <w:adjustRightInd/>
      <w:snapToGrid/>
      <w:jc w:val="both"/>
    </w:pPr>
    <w:rPr>
      <w:rFonts w:ascii="宋体" w:hAnsi="Courier New" w:cs="Times New Roman"/>
      <w:b/>
      <w:kern w:val="2"/>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8"/>
    <w:semiHidden/>
    <w:unhideWhenUsed/>
    <w:qFormat/>
    <w:uiPriority w:val="99"/>
    <w:rPr>
      <w:sz w:val="18"/>
      <w:szCs w:val="18"/>
    </w:rPr>
  </w:style>
  <w:style w:type="paragraph" w:styleId="13">
    <w:name w:val="footer"/>
    <w:basedOn w:val="1"/>
    <w:link w:val="47"/>
    <w:unhideWhenUsed/>
    <w:qFormat/>
    <w:uiPriority w:val="99"/>
    <w:pPr>
      <w:tabs>
        <w:tab w:val="center" w:pos="4153"/>
        <w:tab w:val="right" w:pos="8306"/>
      </w:tabs>
    </w:pPr>
    <w:rPr>
      <w:sz w:val="18"/>
      <w:szCs w:val="18"/>
    </w:rPr>
  </w:style>
  <w:style w:type="paragraph" w:styleId="14">
    <w:name w:val="header"/>
    <w:basedOn w:val="1"/>
    <w:link w:val="46"/>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footnote text"/>
    <w:basedOn w:val="1"/>
    <w:semiHidden/>
    <w:unhideWhenUsed/>
    <w:qFormat/>
    <w:uiPriority w:val="99"/>
    <w:rPr>
      <w:sz w:val="18"/>
    </w:rPr>
  </w:style>
  <w:style w:type="paragraph" w:styleId="20">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1">
    <w:name w:val="Normal (Web)"/>
    <w:basedOn w:val="1"/>
    <w:link w:val="50"/>
    <w:qFormat/>
    <w:uiPriority w:val="0"/>
    <w:pPr>
      <w:widowControl w:val="0"/>
      <w:adjustRightInd/>
      <w:snapToGrid/>
      <w:jc w:val="both"/>
    </w:pPr>
    <w:rPr>
      <w:rFonts w:asciiTheme="minorHAnsi" w:hAnsiTheme="minorHAnsi"/>
      <w:kern w:val="2"/>
      <w:sz w:val="24"/>
      <w:szCs w:val="24"/>
    </w:rPr>
  </w:style>
  <w:style w:type="paragraph" w:styleId="22">
    <w:name w:val="Body Text First Indent"/>
    <w:basedOn w:val="2"/>
    <w:unhideWhenUsed/>
    <w:qFormat/>
    <w:uiPriority w:val="99"/>
    <w:pPr>
      <w:ind w:firstLine="420" w:firstLineChars="100"/>
    </w:pPr>
    <w:rPr>
      <w:rFonts w:ascii="Times New Roman" w:hAnsi="Times New Roman" w:cs="Times New Roman"/>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qFormat/>
    <w:uiPriority w:val="20"/>
    <w:rPr>
      <w:i/>
      <w:iCs/>
    </w:rPr>
  </w:style>
  <w:style w:type="character" w:styleId="27">
    <w:name w:val="Hyperlink"/>
    <w:qFormat/>
    <w:uiPriority w:val="99"/>
    <w:rPr>
      <w:rFonts w:hint="eastAsia" w:ascii="宋体" w:hAnsi="宋体" w:eastAsia="宋体" w:cs="宋体"/>
      <w:b/>
      <w:color w:val="0031C1"/>
      <w:kern w:val="0"/>
      <w:sz w:val="18"/>
      <w:szCs w:val="18"/>
      <w:u w:val="none"/>
      <w:lang w:eastAsia="en-US"/>
    </w:rPr>
  </w:style>
  <w:style w:type="character" w:styleId="28">
    <w:name w:val="annotation reference"/>
    <w:basedOn w:val="25"/>
    <w:semiHidden/>
    <w:unhideWhenUsed/>
    <w:qFormat/>
    <w:uiPriority w:val="99"/>
    <w:rPr>
      <w:sz w:val="21"/>
      <w:szCs w:val="21"/>
    </w:rPr>
  </w:style>
  <w:style w:type="character" w:styleId="29">
    <w:name w:val="footnote reference"/>
    <w:basedOn w:val="25"/>
    <w:semiHidden/>
    <w:unhideWhenUsed/>
    <w:qFormat/>
    <w:uiPriority w:val="99"/>
    <w:rPr>
      <w:vertAlign w:val="superscript"/>
    </w:rPr>
  </w:style>
  <w:style w:type="paragraph" w:customStyle="1" w:styleId="30">
    <w:name w:val="表格文字"/>
    <w:basedOn w:val="1"/>
    <w:qFormat/>
    <w:uiPriority w:val="0"/>
    <w:pPr>
      <w:adjustRightInd/>
      <w:spacing w:before="25" w:after="25"/>
    </w:pPr>
    <w:rPr>
      <w:rFonts w:ascii="Times New Roman"/>
      <w:bCs/>
      <w:spacing w:val="10"/>
      <w:szCs w:val="20"/>
    </w:rPr>
  </w:style>
  <w:style w:type="character" w:customStyle="1" w:styleId="31">
    <w:name w:val="标题 2 Char"/>
    <w:basedOn w:val="25"/>
    <w:link w:val="4"/>
    <w:qFormat/>
    <w:uiPriority w:val="9"/>
    <w:rPr>
      <w:rFonts w:asciiTheme="majorHAnsi" w:hAnsiTheme="majorHAnsi" w:eastAsiaTheme="majorEastAsia" w:cstheme="majorBidi"/>
      <w:b/>
      <w:bCs/>
      <w:sz w:val="32"/>
      <w:szCs w:val="32"/>
    </w:rPr>
  </w:style>
  <w:style w:type="character" w:customStyle="1" w:styleId="32">
    <w:name w:val="标题 3 Char"/>
    <w:basedOn w:val="25"/>
    <w:link w:val="5"/>
    <w:qFormat/>
    <w:uiPriority w:val="9"/>
    <w:rPr>
      <w:rFonts w:ascii="Tahoma" w:hAnsi="Tahoma" w:eastAsia="宋体"/>
      <w:b/>
      <w:bCs/>
      <w:sz w:val="28"/>
      <w:szCs w:val="32"/>
    </w:rPr>
  </w:style>
  <w:style w:type="paragraph" w:styleId="33">
    <w:name w:val="List Paragraph"/>
    <w:basedOn w:val="1"/>
    <w:qFormat/>
    <w:uiPriority w:val="34"/>
    <w:pPr>
      <w:ind w:firstLine="420" w:firstLineChars="200"/>
    </w:pPr>
  </w:style>
  <w:style w:type="character" w:customStyle="1" w:styleId="34">
    <w:name w:val="标题 4 Char"/>
    <w:basedOn w:val="25"/>
    <w:link w:val="6"/>
    <w:qFormat/>
    <w:uiPriority w:val="9"/>
    <w:rPr>
      <w:rFonts w:eastAsia="宋体" w:asciiTheme="majorHAnsi" w:hAnsiTheme="majorHAnsi" w:cstheme="majorBidi"/>
      <w:b/>
      <w:bCs/>
      <w:sz w:val="24"/>
      <w:szCs w:val="28"/>
    </w:rPr>
  </w:style>
  <w:style w:type="character" w:customStyle="1" w:styleId="35">
    <w:name w:val="正文缩进2格 Char"/>
    <w:link w:val="36"/>
    <w:qFormat/>
    <w:uiPriority w:val="0"/>
    <w:rPr>
      <w:rFonts w:ascii="仿宋_GB2312" w:hAnsi="宋体" w:eastAsia="仿宋_GB2312"/>
      <w:kern w:val="2"/>
      <w:sz w:val="31"/>
    </w:rPr>
  </w:style>
  <w:style w:type="paragraph" w:customStyle="1" w:styleId="36">
    <w:name w:val="正文缩进2格"/>
    <w:basedOn w:val="1"/>
    <w:next w:val="1"/>
    <w:link w:val="35"/>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7">
    <w:name w:val="正文缩进4格"/>
    <w:basedOn w:val="36"/>
    <w:qFormat/>
    <w:uiPriority w:val="0"/>
    <w:pPr>
      <w:ind w:left="2" w:firstLine="538" w:firstLineChars="192"/>
    </w:pPr>
    <w:rPr>
      <w:color w:val="0000FF"/>
      <w:sz w:val="28"/>
    </w:rPr>
  </w:style>
  <w:style w:type="character" w:customStyle="1" w:styleId="38">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9">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0">
    <w:name w:val="标题1"/>
    <w:qFormat/>
    <w:uiPriority w:val="0"/>
    <w:rPr>
      <w:rFonts w:ascii="Times New Roman" w:hAnsi="Times New Roman" w:eastAsia="宋体" w:cs="Times New Roman"/>
      <w:b/>
      <w:kern w:val="0"/>
      <w:sz w:val="24"/>
      <w:szCs w:val="20"/>
      <w:lang w:eastAsia="en-US"/>
    </w:rPr>
  </w:style>
  <w:style w:type="character" w:customStyle="1" w:styleId="41">
    <w:name w:val="标题 3.1 Char"/>
    <w:link w:val="42"/>
    <w:qFormat/>
    <w:uiPriority w:val="0"/>
    <w:rPr>
      <w:rFonts w:ascii="宋体" w:hAnsi="宋体" w:eastAsia="宋体"/>
      <w:b/>
      <w:color w:val="FF0000"/>
      <w:kern w:val="2"/>
      <w:sz w:val="32"/>
    </w:rPr>
  </w:style>
  <w:style w:type="paragraph" w:customStyle="1" w:styleId="42">
    <w:name w:val="标题 3.1"/>
    <w:basedOn w:val="5"/>
    <w:link w:val="41"/>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3">
    <w:name w:val="样式 楷体_GB2312 小四"/>
    <w:qFormat/>
    <w:uiPriority w:val="0"/>
    <w:rPr>
      <w:rFonts w:ascii="楷体_GB2312" w:hAnsi="楷体_GB2312" w:eastAsia="仿宋_GB2312"/>
      <w:sz w:val="24"/>
    </w:rPr>
  </w:style>
  <w:style w:type="character" w:customStyle="1" w:styleId="44">
    <w:name w:val="纯文本 Char"/>
    <w:qFormat/>
    <w:uiPriority w:val="0"/>
    <w:rPr>
      <w:rFonts w:ascii="宋体" w:hAnsi="Courier New" w:eastAsia="宋体" w:cs="Times New Roman"/>
      <w:b/>
      <w:kern w:val="2"/>
      <w:sz w:val="21"/>
      <w:szCs w:val="20"/>
    </w:rPr>
  </w:style>
  <w:style w:type="character" w:customStyle="1" w:styleId="45">
    <w:name w:val="纯文本 Char1"/>
    <w:basedOn w:val="25"/>
    <w:link w:val="10"/>
    <w:semiHidden/>
    <w:qFormat/>
    <w:uiPriority w:val="99"/>
    <w:rPr>
      <w:rFonts w:ascii="宋体" w:hAnsi="Courier New" w:eastAsia="宋体" w:cs="Courier New"/>
      <w:sz w:val="21"/>
      <w:szCs w:val="21"/>
    </w:rPr>
  </w:style>
  <w:style w:type="character" w:customStyle="1" w:styleId="46">
    <w:name w:val="页眉 Char"/>
    <w:basedOn w:val="25"/>
    <w:link w:val="14"/>
    <w:qFormat/>
    <w:uiPriority w:val="99"/>
    <w:rPr>
      <w:rFonts w:ascii="Tahoma" w:hAnsi="Tahoma"/>
      <w:sz w:val="18"/>
      <w:szCs w:val="18"/>
    </w:rPr>
  </w:style>
  <w:style w:type="character" w:customStyle="1" w:styleId="47">
    <w:name w:val="页脚 Char"/>
    <w:basedOn w:val="25"/>
    <w:link w:val="13"/>
    <w:qFormat/>
    <w:uiPriority w:val="99"/>
    <w:rPr>
      <w:rFonts w:ascii="Tahoma" w:hAnsi="Tahoma"/>
      <w:sz w:val="18"/>
      <w:szCs w:val="18"/>
    </w:rPr>
  </w:style>
  <w:style w:type="character" w:customStyle="1" w:styleId="48">
    <w:name w:val="批注框文本 Char"/>
    <w:basedOn w:val="25"/>
    <w:link w:val="12"/>
    <w:semiHidden/>
    <w:qFormat/>
    <w:uiPriority w:val="99"/>
    <w:rPr>
      <w:rFonts w:ascii="Tahoma" w:hAnsi="Tahoma"/>
      <w:sz w:val="18"/>
      <w:szCs w:val="18"/>
    </w:rPr>
  </w:style>
  <w:style w:type="paragraph" w:customStyle="1" w:styleId="49">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0">
    <w:name w:val="普通(网站) Char"/>
    <w:link w:val="21"/>
    <w:qFormat/>
    <w:uiPriority w:val="0"/>
    <w:rPr>
      <w:rFonts w:eastAsia="宋体"/>
      <w:kern w:val="2"/>
      <w:sz w:val="24"/>
      <w:szCs w:val="24"/>
    </w:rPr>
  </w:style>
  <w:style w:type="paragraph" w:customStyle="1" w:styleId="51">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2">
    <w:name w:val="p141"/>
    <w:qFormat/>
    <w:uiPriority w:val="0"/>
    <w:rPr>
      <w:sz w:val="21"/>
      <w:szCs w:val="21"/>
    </w:rPr>
  </w:style>
  <w:style w:type="paragraph" w:customStyle="1" w:styleId="53">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4">
    <w:name w:val="正文无缩进"/>
    <w:basedOn w:val="36"/>
    <w:qFormat/>
    <w:uiPriority w:val="0"/>
    <w:pPr>
      <w:ind w:firstLine="0" w:firstLineChars="0"/>
    </w:pPr>
  </w:style>
  <w:style w:type="paragraph" w:customStyle="1" w:styleId="55">
    <w:name w:val="一级条标题"/>
    <w:basedOn w:val="56"/>
    <w:next w:val="57"/>
    <w:qFormat/>
    <w:uiPriority w:val="0"/>
    <w:pPr>
      <w:tabs>
        <w:tab w:val="left" w:pos="720"/>
      </w:tabs>
      <w:spacing w:beforeLines="0" w:afterLines="0"/>
      <w:outlineLvl w:val="2"/>
    </w:pPr>
  </w:style>
  <w:style w:type="paragraph" w:customStyle="1" w:styleId="56">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57">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58">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59">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60">
    <w:name w:val="font131"/>
    <w:basedOn w:val="25"/>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80</Pages>
  <Words>32840</Words>
  <Characters>33748</Characters>
  <Lines>349</Lines>
  <Paragraphs>98</Paragraphs>
  <TotalTime>0</TotalTime>
  <ScaleCrop>false</ScaleCrop>
  <LinksUpToDate>false</LinksUpToDate>
  <CharactersWithSpaces>35116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七月！</cp:lastModifiedBy>
  <cp:lastPrinted>2021-04-23T09:50:00Z</cp:lastPrinted>
  <dcterms:modified xsi:type="dcterms:W3CDTF">2023-04-27T09:19:25Z</dcterms:modified>
  <dc:subject>公开招标文件版本</dc:subject>
  <dc:title>公开招标文件版本</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FD6E73E844F744BA9918CD2611942047_13</vt:lpwstr>
  </property>
</Properties>
</file>