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441901-2022-11176</w:t>
      </w:r>
    </w:p>
    <w:p>
      <w:pPr>
        <w:jc w:val="center"/>
      </w:pPr>
      <w:r>
        <w:rPr>
          <w:b/>
          <w:sz w:val="24"/>
        </w:rPr>
        <w:t>采购项目编号：</w:t>
      </w:r>
      <w:r>
        <w:rPr>
          <w:b/>
          <w:sz w:val="24"/>
        </w:rPr>
        <w:t>441901-2022-11176</w:t>
      </w:r>
    </w:p>
    <w:p>
      <w:pPr>
        <w:jc w:val="center"/>
      </w:pPr>
      <w:r>
        <w:rPr>
          <w:b/>
          <w:sz w:val="24"/>
        </w:rPr>
        <w:t>项目名称：</w:t>
      </w:r>
      <w:r>
        <w:rPr>
          <w:b/>
          <w:sz w:val="24"/>
        </w:rPr>
        <w:t>2023年市工信局派遣人员项目</w:t>
      </w:r>
    </w:p>
    <w:p>
      <w:pPr>
        <w:jc w:val="center"/>
      </w:pPr>
      <w:r>
        <w:rPr>
          <w:b/>
          <w:sz w:val="24"/>
        </w:rPr>
        <w:t>采购人：</w:t>
      </w:r>
      <w:r>
        <w:rPr>
          <w:b/>
          <w:sz w:val="24"/>
        </w:rPr>
        <w:t>东莞市工业和信息化局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东莞市工业和信息化局</w:t>
      </w:r>
      <w:r>
        <w:rPr/>
        <w:t>的委托，采用</w:t>
      </w:r>
      <w:r>
        <w:rPr/>
        <w:t>公开招标</w:t>
      </w:r>
      <w:r>
        <w:rPr/>
        <w:t>方式组织采购</w:t>
      </w:r>
      <w:r>
        <w:rPr/>
        <w:t>2023年市工信局派遣人员项目</w:t>
      </w:r>
      <w:r>
        <w:rPr/>
        <w:t>。欢迎符合资格条件的国内供应商参加投标。</w:t>
      </w:r>
    </w:p>
    <w:p>
      <w:r>
        <w:rPr>
          <w:b/>
          <w:sz w:val="28"/>
        </w:rPr>
        <w:t>一.项目概述</w:t>
      </w:r>
    </w:p>
    <w:p>
      <w:r>
        <w:rPr>
          <w:b/>
          <w:sz w:val="24"/>
        </w:rPr>
        <w:t>1.名称与编号</w:t>
      </w:r>
    </w:p>
    <w:p>
      <w:pPr>
        <w:ind w:firstLine="480"/>
      </w:pPr>
      <w:r>
        <w:rPr/>
        <w:t>项目名称：</w:t>
      </w:r>
      <w:r>
        <w:rPr/>
        <w:t>2023年市工信局派遣人员项目</w:t>
      </w:r>
    </w:p>
    <w:p>
      <w:pPr>
        <w:ind w:firstLine="480"/>
      </w:pPr>
      <w:r>
        <w:rPr/>
        <w:t>采购计划编号：</w:t>
      </w:r>
      <w:r>
        <w:rPr/>
        <w:t>441901-2022-11176</w:t>
      </w:r>
    </w:p>
    <w:p>
      <w:pPr>
        <w:ind w:firstLine="480"/>
      </w:pPr>
      <w:r>
        <w:rPr/>
        <w:t>采购项目编号：</w:t>
      </w:r>
      <w:r>
        <w:rPr/>
        <w:t>441901-2022-11176</w:t>
      </w:r>
    </w:p>
    <w:p>
      <w:pPr>
        <w:ind w:firstLine="480"/>
      </w:pPr>
      <w:r>
        <w:rPr/>
        <w:t>采购方式：</w:t>
      </w:r>
      <w:r>
        <w:rPr/>
        <w:t>公开招标</w:t>
      </w:r>
    </w:p>
    <w:p>
      <w:pPr>
        <w:ind w:firstLine="480"/>
      </w:pPr>
      <w:r>
        <w:rPr/>
        <w:t>预算金额：</w:t>
      </w:r>
      <w:r>
        <w:rPr/>
        <w:t>4,148,000.00</w:t>
      </w:r>
      <w:r>
        <w:rPr/>
        <w:t>元</w:t>
      </w:r>
    </w:p>
    <w:p>
      <w:r>
        <w:rPr>
          <w:b/>
          <w:sz w:val="24"/>
        </w:rPr>
        <w:t>2.项目内容及需求情况（采购项目技术规格、参数及要求）</w:t>
      </w:r>
    </w:p>
    <w:p>
      <w:pPr>
        <w:ind w:firstLine="480"/>
      </w:pPr>
    </w:p>
    <w:p/>
    <w:p>
      <w:r>
        <w:rPr/>
        <w:t>采购包1(派遣人员项目):</w:t>
      </w:r>
    </w:p>
    <w:p>
      <w:r>
        <w:rPr/>
        <w:t>采购包预算金额：4,148,000.00元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派遣人员</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合同履行期限：一年（2023年1月至2023年12月）。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采购包1（派遣人员项目）：</w:t>
      </w:r>
      <w:r>
        <w:rPr/>
        <w:t>本项目整体专门面向中小企业采购。投标人须符合本项目采购标的对应行业（本项目行业为：租赁和商务服务业）的政策划分标准。监狱企业、残疾人福利单位视同小型、微型企业。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采购包1（派遣人员项目）：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东莞市工业和信息化局</w:t>
      </w:r>
    </w:p>
    <w:p>
      <w:pPr>
        <w:ind w:firstLine="480"/>
      </w:pPr>
      <w:r>
        <w:rPr/>
        <w:t>地址：</w:t>
      </w:r>
      <w:r>
        <w:rPr/>
        <w:t>广东省东莞市南城区鸿福西路68号</w:t>
      </w:r>
    </w:p>
    <w:p>
      <w:pPr>
        <w:ind w:firstLine="480"/>
      </w:pPr>
      <w:r>
        <w:rPr/>
        <w:t>联系方式：</w:t>
      </w:r>
      <w:r>
        <w:rPr/>
        <w:t>21689005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本项目为2023年市工信局派遣人员项目。</w:t>
      </w:r>
    </w:p>
    <w:p/>
    <w:p>
      <w:pPr>
        <w:ind w:firstLine="480"/>
      </w:pPr>
    </w:p>
    <w:p/>
    <w:p>
      <w:r>
        <w:rPr/>
        <w:t>采购包1（派遣人员项目）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一年（2023年1月至2023年12月）。</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1期：支付比例100%，每月月底前采购人与中标人核对每个岗位上月服务人数，根据双方确定的人数由中标人制作费用明细表（含工资、社保、个税、奖金等），中标人制作的费用表与采购人确认后，中标人须在采购人办理支付手续前5个工作日内提供等额的正式发票，采购人在十个工作日之内向中标人拨付上月费用。</w:t>
            </w:r>
          </w:p>
        </w:tc>
      </w:tr>
      <w:tr>
        <w:tc>
          <w:tcPr>
            <w:tcW w:type="dxa" w:w="4153"/>
          </w:tcPr>
          <w:p>
            <w:r>
              <w:rPr/>
              <w:t>验收要求</w:t>
            </w:r>
          </w:p>
        </w:tc>
        <w:tc>
          <w:tcPr>
            <w:tcW w:type="dxa" w:w="4153"/>
          </w:tcPr>
          <w:p/>
          <w:p/>
          <w:p/>
          <w:p>
            <w:r>
              <w:rPr/>
              <w:t>1期：1期：(一)中标人须为本项目设立完整的辅助服务组织机构，组织机构人数不少于40人，包括市倍增办工作人员岗位26个、市级企业服务专员和产业链补强专员岗位13个、国防动员工作专职人员岗位1个。 (二)服务人员要严格遵守采购人相关纪律要求和规章制度、忠于职守、文明礼貌、严格遵守劳动纪律、服从和执行采购人做出的工作安排和调度。如有违反的，应予以严肃处理。 (三) 人员素质要求： 1.遵纪守法。具有良好的思想品德，作风正派，无违法犯罪记录； 2.身体健康， 无传染病；具有正常履行职责的身体条件和工作能力，工作责任感强，能吃苦耐劳，为人诚实， 品行端正，遵纪守法，思想政治素质好； 3.学习能力强，具有较强的服务意识； 4.接受采购人的工作安排和培训安排，遵守采购人要求及日常管理工作规范； 5.采购人可根据实际情况或需求， 对派遣人员资格条件要求进行调整，中标人必须服从，且派遣的人员必须符合采购人的要求。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1、付款方法和条件，(一)劳务管理费发放 劳务管理费按每月实际派遣人数进行结算。结算前必须经过采购人核算。 (二)工资发放 1.采购人应向中标人提供派遣员工的薪酬福利明细。所有货币工资均由采购人支付给中标人，中标人应按月及时足额支付给员工，员工薪酬福利随政府政策调整而调整。 2.采购人支付给中标人员工的工资不得低于采购人当地政府规定最低工资标准，遵守国家相关规定及遵循同工同酬的原则。 3.中标人须如实发放员工工资，如中标人出现克扣员工工资情况，一切法律责任由中标人承担。采购人有权对中标人保存的工资记录进行抽检和监督。中标人必须按照法律规定和本合同约定为派遣员工代扣代缴个人所得税、社会保险，采购人有权审查相关缴纳资料。 4.员工工资由中标人通过银行发放，因中标人的原因造成员工工资延误，未缴纳个人所得税及社保的，由中标人承担相应的法律责任，与采购人无关。如因采购人逾期付款造成中标人发放工资、缴纳社保延误的，由此引起的责任和赔偿等均由采购人承担。</w:t>
            </w:r>
          </w:p>
          <w:p/>
          <w:p>
            <w:r>
              <w:rPr/>
              <w:t>2、其他，投标报价采取打包报价的方式，投标报价包括材料、工具、人工、管理费、利润、税金、风险、招标代理费用等一切因素所有应该和可能发生的费用因素。</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派遣人员</w:t>
            </w:r>
          </w:p>
        </w:tc>
        <w:tc>
          <w:tcPr>
            <w:tcW w:type="dxa" w:w="933"/>
          </w:tcPr>
          <w:p>
            <w:pPr>
              <w:jc w:val="left"/>
            </w:pPr>
            <w:r>
              <w:rPr/>
              <w:t>批</w:t>
            </w:r>
          </w:p>
        </w:tc>
        <w:tc>
          <w:tcPr>
            <w:tcW w:type="dxa" w:w="933"/>
          </w:tcPr>
          <w:p>
            <w:pPr>
              <w:jc w:val="right"/>
            </w:pPr>
            <w:r>
              <w:rPr/>
              <w:t>1.00</w:t>
            </w:r>
          </w:p>
        </w:tc>
        <w:tc>
          <w:tcPr>
            <w:tcW w:type="dxa" w:w="933"/>
          </w:tcPr>
          <w:p>
            <w:pPr>
              <w:jc w:val="right"/>
            </w:pPr>
            <w:r>
              <w:rPr/>
              <w:t>4,148,000.00</w:t>
            </w:r>
          </w:p>
        </w:tc>
        <w:tc>
          <w:tcPr>
            <w:tcW w:type="dxa" w:w="933"/>
          </w:tcPr>
          <w:p>
            <w:pPr>
              <w:jc w:val="right"/>
            </w:pPr>
            <w:r>
              <w:rPr/>
              <w:t>4,148,000.00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派遣人员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pPr>
              <w:ind w:firstLine="420"/>
            </w:pPr>
            <w:r>
              <w:rPr>
                <w:sz w:val="21"/>
              </w:rPr>
              <w:t>东莞市工业和信息化局经市政府批复同意设立的劳务派遣岗位有</w:t>
            </w:r>
            <w:r>
              <w:rPr>
                <w:sz w:val="21"/>
              </w:rPr>
              <w:t>40个，包括市倍增办工作人员岗位26个、市级企业服务专员和产业链补强专员岗位13个、国防动员工作专职人员岗位1个，现拟通过公开招标确定中标人，并由中标人负责员工报酬及福利的发放、劳动纠纷处理等事务。</w:t>
            </w:r>
          </w:p>
          <w:p/>
          <w:p>
            <w:r>
              <w:rPr>
                <w:b/>
                <w:sz w:val="24"/>
              </w:rPr>
              <w:t>二</w:t>
            </w:r>
            <w:r>
              <w:rPr>
                <w:b/>
                <w:sz w:val="24"/>
              </w:rPr>
              <w:t>、采购内容</w:t>
            </w:r>
          </w:p>
          <w:tbl>
            <w:tblPr>
              <w:tblBorders>
                <w:top w:val="none" w:color="000000" w:sz="4"/>
                <w:left w:val="none" w:color="000000" w:sz="4"/>
                <w:bottom w:val="none" w:color="000000" w:sz="4"/>
                <w:right w:val="none" w:color="000000" w:sz="4"/>
                <w:insideH w:val="none"/>
                <w:insideV w:val="none"/>
              </w:tblBorders>
            </w:tblPr>
            <w:tblGrid>
              <w:gridCol w:w="1753"/>
              <w:gridCol w:w="958"/>
              <w:gridCol w:w="1317"/>
              <w:gridCol w:w="1546"/>
            </w:tblGrid>
            <w:tr>
              <w:tc>
                <w:tcPr>
                  <w:tcW w:type="dxa" w:w="1753"/>
                  <w:tcBorders>
                    <w:top w:val="single" w:color="000000" w:sz="4"/>
                    <w:left w:val="single" w:color="000000" w:sz="4"/>
                    <w:bottom w:val="single" w:color="000000" w:sz="4"/>
                    <w:right w:val="single" w:color="000000" w:sz="4"/>
                  </w:tcBorders>
                  <w:vAlign w:val="top"/>
                </w:tcPr>
                <w:p>
                  <w:pPr>
                    <w:jc w:val="center"/>
                  </w:pPr>
                  <w:r>
                    <w:rPr>
                      <w:sz w:val="21"/>
                    </w:rPr>
                    <w:t>采购内容</w:t>
                  </w:r>
                </w:p>
              </w:tc>
              <w:tc>
                <w:tcPr>
                  <w:tcW w:type="dxa" w:w="958"/>
                  <w:tcBorders>
                    <w:top w:val="single" w:color="000000" w:sz="4"/>
                    <w:left w:val="single" w:color="000000" w:sz="4"/>
                    <w:bottom w:val="single" w:color="000000" w:sz="4"/>
                    <w:right w:val="single" w:color="000000" w:sz="4"/>
                  </w:tcBorders>
                  <w:vAlign w:val="top"/>
                </w:tcPr>
                <w:p>
                  <w:pPr>
                    <w:jc w:val="center"/>
                  </w:pPr>
                  <w:r>
                    <w:rPr>
                      <w:sz w:val="21"/>
                    </w:rPr>
                    <w:t>计划派遣数量</w:t>
                  </w:r>
                </w:p>
              </w:tc>
              <w:tc>
                <w:tcPr>
                  <w:tcW w:type="dxa" w:w="1317"/>
                  <w:tcBorders>
                    <w:top w:val="single" w:color="000000" w:sz="4"/>
                    <w:left w:val="single" w:color="000000" w:sz="4"/>
                    <w:bottom w:val="single" w:color="000000" w:sz="4"/>
                    <w:right w:val="single" w:color="000000" w:sz="4"/>
                  </w:tcBorders>
                  <w:vAlign w:val="top"/>
                </w:tcPr>
                <w:p>
                  <w:pPr>
                    <w:jc w:val="center"/>
                  </w:pPr>
                  <w:r>
                    <w:rPr>
                      <w:sz w:val="21"/>
                    </w:rPr>
                    <w:t>服务期</w:t>
                  </w:r>
                </w:p>
              </w:tc>
              <w:tc>
                <w:tcPr>
                  <w:tcW w:type="dxa" w:w="1546"/>
                  <w:tcBorders>
                    <w:top w:val="single" w:color="000000" w:sz="4"/>
                    <w:left w:val="single" w:color="000000" w:sz="4"/>
                    <w:bottom w:val="single" w:color="000000" w:sz="4"/>
                    <w:right w:val="single" w:color="000000" w:sz="4"/>
                  </w:tcBorders>
                  <w:vAlign w:val="top"/>
                </w:tcPr>
                <w:p>
                  <w:pPr>
                    <w:jc w:val="center"/>
                  </w:pPr>
                  <w:r>
                    <w:rPr>
                      <w:sz w:val="21"/>
                    </w:rPr>
                    <w:t>★劳务管理费最高限价</w:t>
                  </w:r>
                </w:p>
              </w:tc>
            </w:tr>
            <w:tr>
              <w:tc>
                <w:tcPr>
                  <w:tcW w:type="dxa" w:w="1753"/>
                  <w:tcBorders>
                    <w:top w:val="none" w:color="000000" w:sz="4"/>
                    <w:left w:val="single" w:color="000000" w:sz="4"/>
                    <w:bottom w:val="single" w:color="000000" w:sz="4"/>
                    <w:right w:val="single" w:color="000000" w:sz="4"/>
                  </w:tcBorders>
                  <w:vAlign w:val="top"/>
                </w:tcPr>
                <w:p>
                  <w:r>
                    <w:rPr>
                      <w:sz w:val="19"/>
                    </w:rPr>
                    <w:t>2023年市工信局派遣人员项目</w:t>
                  </w:r>
                </w:p>
              </w:tc>
              <w:tc>
                <w:tcPr>
                  <w:tcW w:type="dxa" w:w="958"/>
                  <w:tcBorders>
                    <w:top w:val="none" w:color="000000" w:sz="4"/>
                    <w:left w:val="single" w:color="000000" w:sz="4"/>
                    <w:bottom w:val="single" w:color="000000" w:sz="4"/>
                    <w:right w:val="single" w:color="000000" w:sz="4"/>
                  </w:tcBorders>
                  <w:vAlign w:val="top"/>
                </w:tcPr>
                <w:p>
                  <w:pPr>
                    <w:jc w:val="center"/>
                  </w:pPr>
                  <w:r>
                    <w:rPr>
                      <w:sz w:val="21"/>
                    </w:rPr>
                    <w:t>40人</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2023年1月至2023年12月</w:t>
                  </w:r>
                </w:p>
              </w:tc>
              <w:tc>
                <w:tcPr>
                  <w:tcW w:type="dxa" w:w="1546"/>
                  <w:tcBorders>
                    <w:top w:val="none" w:color="000000" w:sz="4"/>
                    <w:left w:val="single" w:color="000000" w:sz="4"/>
                    <w:bottom w:val="single" w:color="000000" w:sz="4"/>
                    <w:right w:val="single" w:color="000000" w:sz="4"/>
                  </w:tcBorders>
                  <w:vAlign w:val="top"/>
                </w:tcPr>
                <w:p>
                  <w:pPr>
                    <w:jc w:val="center"/>
                  </w:pPr>
                  <w:r>
                    <w:rPr>
                      <w:sz w:val="21"/>
                    </w:rPr>
                    <w:t>￥</w:t>
                  </w:r>
                  <w:r>
                    <w:rPr>
                      <w:sz w:val="21"/>
                    </w:rPr>
                    <w:t>180.00元/人/月</w:t>
                  </w:r>
                </w:p>
              </w:tc>
            </w:tr>
          </w:tbl>
          <w:p>
            <w:pPr>
              <w:ind w:firstLine="420"/>
            </w:pPr>
            <w:r>
              <w:rPr>
                <w:sz w:val="21"/>
              </w:rPr>
              <w:t>本项目派遣员工工资费用由采购人定，包括基本工资、社会保险费和公积金（五险一金）、津贴、补贴、奖金、人身意外保险、福利、国家政策性收费及其他费用（如办公经费）等，具体以实际发生额为准。</w:t>
            </w:r>
          </w:p>
          <w:p>
            <w:pPr>
              <w:ind w:firstLine="420"/>
            </w:pPr>
            <w:r>
              <w:rPr>
                <w:sz w:val="21"/>
              </w:rPr>
              <w:t>本项目劳务派遣员工工资待遇按《东莞市机关事业单位聘员管理办法》各类别标准执行，薪酬标准如有变动将由采购人按实际情况进行调整。</w:t>
            </w:r>
          </w:p>
          <w:p/>
          <w:p>
            <w:r>
              <w:rPr>
                <w:b/>
                <w:sz w:val="24"/>
              </w:rPr>
              <w:t>三、</w:t>
            </w:r>
            <w:r>
              <w:rPr>
                <w:b/>
                <w:sz w:val="24"/>
              </w:rPr>
              <w:t>服务内容要求</w:t>
            </w:r>
          </w:p>
          <w:p>
            <w:pPr>
              <w:ind w:firstLine="420"/>
            </w:pPr>
            <w:r>
              <w:rPr>
                <w:sz w:val="21"/>
              </w:rPr>
              <w:t>1.</w:t>
            </w:r>
            <w:r>
              <w:rPr>
                <w:sz w:val="21"/>
              </w:rPr>
              <w:t>由中标人负责人员的招聘及补岗工作，中标人需根据采购人的用人需求，及时招聘符合岗位要求的服务人员，确保服务工作顺利进行。</w:t>
            </w:r>
          </w:p>
          <w:p>
            <w:pPr>
              <w:ind w:firstLine="420"/>
            </w:pPr>
            <w:r>
              <w:rPr>
                <w:sz w:val="21"/>
              </w:rPr>
              <w:t>2.</w:t>
            </w:r>
            <w:r>
              <w:rPr>
                <w:sz w:val="21"/>
              </w:rPr>
              <w:t>中标人需建立服务人员信息档案（花名册、身份证、学历证书及资格证书复印件等）。</w:t>
            </w:r>
          </w:p>
          <w:p>
            <w:pPr>
              <w:ind w:firstLine="420"/>
            </w:pPr>
            <w:r>
              <w:rPr>
                <w:sz w:val="21"/>
              </w:rPr>
              <w:t>3.</w:t>
            </w:r>
            <w:r>
              <w:rPr>
                <w:sz w:val="21"/>
              </w:rPr>
              <w:t>中标人需为劳务派遣岗位人员购买社保和住房公积金（五险一金：按照当地社会保险缴费标准和规定）。</w:t>
            </w:r>
          </w:p>
          <w:p>
            <w:pPr>
              <w:ind w:firstLine="420"/>
            </w:pPr>
            <w:r>
              <w:rPr>
                <w:sz w:val="21"/>
              </w:rPr>
              <w:t>4.</w:t>
            </w:r>
            <w:r>
              <w:rPr>
                <w:sz w:val="21"/>
              </w:rPr>
              <w:t>中标人负责服务人员的档案管理、计生关系管理以及专业技术人员的职称申报、评定等。</w:t>
            </w:r>
          </w:p>
          <w:p>
            <w:pPr>
              <w:ind w:firstLine="420"/>
            </w:pPr>
            <w:r>
              <w:rPr>
                <w:sz w:val="21"/>
              </w:rPr>
              <w:t>5.</w:t>
            </w:r>
            <w:r>
              <w:rPr>
                <w:sz w:val="21"/>
              </w:rPr>
              <w:t>服务期内发生劳资纠纷由中标人负责处理。</w:t>
            </w:r>
          </w:p>
          <w:p>
            <w:pPr>
              <w:ind w:firstLine="420"/>
            </w:pPr>
            <w:r>
              <w:rPr>
                <w:sz w:val="21"/>
              </w:rPr>
              <w:t>6.</w:t>
            </w:r>
            <w:r>
              <w:rPr>
                <w:sz w:val="21"/>
              </w:rPr>
              <w:t>劳务派遣岗位人员发生工伤事故，由中标人进行调查及处理，并为员工进行工伤鉴定、工伤待遇申报。</w:t>
            </w:r>
          </w:p>
          <w:p>
            <w:pPr>
              <w:ind w:firstLine="420"/>
            </w:pPr>
            <w:r>
              <w:rPr>
                <w:sz w:val="21"/>
              </w:rPr>
              <w:t>7.</w:t>
            </w:r>
            <w:r>
              <w:rPr>
                <w:sz w:val="21"/>
              </w:rPr>
              <w:t>劳务派遣岗位人员发生重大疾病、非因工死亡等事故，中标人依照法律法规进行调查处理。</w:t>
            </w:r>
          </w:p>
          <w:p>
            <w:pPr>
              <w:ind w:firstLine="420"/>
            </w:pPr>
            <w:r>
              <w:rPr>
                <w:sz w:val="21"/>
              </w:rPr>
              <w:t>8.</w:t>
            </w:r>
            <w:r>
              <w:rPr>
                <w:sz w:val="21"/>
              </w:rPr>
              <w:t>中标人须做好劳务派遣岗位人员服务工作内容的保密监督工作，确保对工作所涉及内容的保密性。</w:t>
            </w:r>
          </w:p>
          <w:p>
            <w:pPr>
              <w:ind w:firstLine="420"/>
            </w:pPr>
            <w:r>
              <w:rPr>
                <w:sz w:val="21"/>
              </w:rPr>
              <w:t>9.</w:t>
            </w:r>
            <w:r>
              <w:rPr>
                <w:sz w:val="21"/>
              </w:rPr>
              <w:t>中标人需负责协调、处理劳务派遣岗位人员的突发事件以及与采购人的争议、纠纷。</w:t>
            </w:r>
          </w:p>
          <w:p>
            <w:pPr>
              <w:ind w:firstLine="420"/>
            </w:pPr>
            <w:r>
              <w:rPr>
                <w:sz w:val="21"/>
              </w:rPr>
              <w:t>10.</w:t>
            </w:r>
            <w:r>
              <w:rPr>
                <w:sz w:val="21"/>
              </w:rPr>
              <w:t>制定合法的规章制度，并对劳务派遣岗位人员进行有效管理。督促劳务派遣岗位人员遵守法律法规和采购人的各项规章制度。</w:t>
            </w:r>
          </w:p>
          <w:p>
            <w:pPr>
              <w:ind w:firstLine="420"/>
            </w:pPr>
          </w:p>
          <w:p>
            <w:r>
              <w:rPr>
                <w:b/>
                <w:sz w:val="24"/>
              </w:rPr>
              <w:t>四、服务要求</w:t>
            </w:r>
          </w:p>
          <w:p>
            <w:pPr>
              <w:ind w:firstLine="420"/>
            </w:pPr>
            <w:r>
              <w:rPr>
                <w:sz w:val="21"/>
              </w:rPr>
              <w:t>(一)中标人须为本项目设立完整的辅助服务组织机构，组织机构人数不少于40人，包括市倍增办工作人员岗位26个、市级企业服务专员和产业链补强专员岗位13个、国防动员工作专职人员岗位1个。</w:t>
            </w:r>
          </w:p>
          <w:p>
            <w:pPr>
              <w:ind w:firstLine="420"/>
            </w:pPr>
            <w:r>
              <w:rPr>
                <w:sz w:val="21"/>
              </w:rPr>
              <w:t>(二)服务人员要严格遵守采购人相关纪律要求和规章制度、忠于职守、文明礼貌、严格遵守劳动纪律、服从和执行采购人做出的工作安排和调度。如有违反的，应予以严肃处理。</w:t>
            </w:r>
          </w:p>
          <w:p>
            <w:pPr>
              <w:ind w:firstLine="420"/>
            </w:pPr>
            <w:r>
              <w:rPr>
                <w:sz w:val="21"/>
              </w:rPr>
              <w:t>(三)人员素质要求：</w:t>
            </w:r>
          </w:p>
          <w:p>
            <w:pPr>
              <w:ind w:firstLine="420"/>
            </w:pPr>
            <w:r>
              <w:rPr>
                <w:sz w:val="21"/>
              </w:rPr>
              <w:t>1.遵纪守法。具有良好的思想品德，作风正派，无违法犯罪记录；</w:t>
            </w:r>
          </w:p>
          <w:p>
            <w:pPr>
              <w:ind w:firstLine="420"/>
            </w:pPr>
            <w:r>
              <w:rPr>
                <w:sz w:val="21"/>
              </w:rPr>
              <w:t>2.身体健康，无传染病；具有正常履行职责的身体条件和工作能力，工作责任感强， 能吃苦耐劳，为人诚实，品行端正，遵纪守法，思想政治素质好；</w:t>
            </w:r>
          </w:p>
          <w:p>
            <w:pPr>
              <w:ind w:firstLine="420"/>
            </w:pPr>
            <w:r>
              <w:rPr>
                <w:sz w:val="21"/>
              </w:rPr>
              <w:t>3.学习能力强，具有较强的服务意识；</w:t>
            </w:r>
          </w:p>
          <w:p>
            <w:pPr>
              <w:ind w:firstLine="420"/>
            </w:pPr>
            <w:r>
              <w:rPr>
                <w:sz w:val="21"/>
              </w:rPr>
              <w:t>4.接受采购人的工作安排和培训安排，遵守采购人要求及日常管理工作规范；</w:t>
            </w:r>
          </w:p>
          <w:p>
            <w:pPr>
              <w:ind w:firstLine="420"/>
            </w:pPr>
            <w:r>
              <w:rPr>
                <w:sz w:val="21"/>
              </w:rPr>
              <w:t>5.采购人可根据实际情况或需求，对派遣人员资格条件要求进行调整，中标人必须服从，且派遣的人员必须符合采购人的要求。</w:t>
            </w:r>
          </w:p>
          <w:p>
            <w:pPr>
              <w:ind w:firstLine="420"/>
            </w:pPr>
          </w:p>
          <w:p>
            <w:r>
              <w:rPr>
                <w:b/>
                <w:sz w:val="24"/>
              </w:rPr>
              <w:t>五、其它要求</w:t>
            </w:r>
          </w:p>
          <w:p>
            <w:pPr>
              <w:ind w:firstLine="420"/>
            </w:pPr>
            <w:r>
              <w:rPr>
                <w:sz w:val="21"/>
              </w:rPr>
              <w:t>1.中标人应提供所有劳务派遣岗位人员的个人档案资料，经采购人确认后方可上岗。</w:t>
            </w:r>
          </w:p>
          <w:p>
            <w:pPr>
              <w:ind w:firstLine="420"/>
            </w:pPr>
            <w:r>
              <w:rPr>
                <w:sz w:val="21"/>
              </w:rPr>
              <w:t>2.中标人签订合同前必须按照国家相关保密规定和采购人签订《保密协议》，对违反《保密协议》相关内容规定的，采购人有权追究其法律责任。</w:t>
            </w:r>
          </w:p>
          <w:p>
            <w:pPr>
              <w:ind w:firstLine="420"/>
            </w:pPr>
            <w:r>
              <w:rPr>
                <w:sz w:val="21"/>
              </w:rPr>
              <w:t>3.服务期内发生各种事故：包括安全、交通、防火和劳资纠纷等事件均由中标人承担责任，依法应给予赔偿或补偿费用由采购人承担。</w:t>
            </w:r>
          </w:p>
          <w:p>
            <w:pPr>
              <w:ind w:firstLine="420"/>
            </w:pPr>
            <w:r>
              <w:rPr>
                <w:sz w:val="21"/>
              </w:rPr>
              <w:t>4.服务期内，采购人按季度对中标人的工作质量、履约情况、社保购买情况、工作配合度等进行综合评价，评价合格则继续履行服务合同。如项目服务未达到要求，则采购人上报监管部门终止服务合同。</w:t>
            </w:r>
          </w:p>
          <w:p>
            <w:pPr>
              <w:ind w:firstLine="420"/>
            </w:pPr>
            <w:r>
              <w:rPr>
                <w:sz w:val="21"/>
              </w:rPr>
              <w:t>5.劳务派遣岗位人员的工作由采购人进行分配、管理。</w:t>
            </w:r>
          </w:p>
          <w:p>
            <w:pPr>
              <w:ind w:firstLine="420"/>
            </w:pPr>
          </w:p>
          <w:p>
            <w:r>
              <w:rPr>
                <w:b/>
                <w:sz w:val="24"/>
              </w:rPr>
              <w:t>六、违约责任</w:t>
            </w:r>
          </w:p>
          <w:p>
            <w:pPr>
              <w:ind w:firstLine="420"/>
            </w:pPr>
            <w:r>
              <w:rPr>
                <w:sz w:val="21"/>
              </w:rPr>
              <w:t>1.未经采购人同意，中标人不得将承包项目发包或转包，否则，视为中标人违约，采购人有权单方面终止合同。</w:t>
            </w:r>
          </w:p>
          <w:p>
            <w:pPr>
              <w:ind w:firstLine="420"/>
            </w:pPr>
            <w:r>
              <w:rPr>
                <w:sz w:val="21"/>
              </w:rPr>
              <w:t>2.若中标人在签订合同并生效后30天内未能提交符合服务内容及要求表中所需配置的劳务派遣岗位人员，则视为中标人主动违约，采购人有权单方面终止合同。</w:t>
            </w:r>
          </w:p>
          <w:p>
            <w:pPr>
              <w:ind w:firstLine="420"/>
            </w:pPr>
            <w:r>
              <w:rPr>
                <w:sz w:val="21"/>
              </w:rPr>
              <w:t>3.在服务期间，未经采购人同意，中标人不得随意更换劳务派遣岗位人员。中标人提供的人员因为调走、辞职或被中标人辞退等原因导致人数不足的，而中标人在30天内未能及时补齐符合项目要求的人员时，则视为中标人主动违约，采购人有权单方面终止合同。</w:t>
            </w:r>
          </w:p>
          <w:p>
            <w:pPr>
              <w:ind w:firstLine="420"/>
            </w:pPr>
            <w:r>
              <w:rPr>
                <w:sz w:val="21"/>
              </w:rPr>
              <w:t>4.由于中标人工作失误的原因，造成劳务派遣岗位人员的经济损失，所产生的损失及后果由中标人承担。因中标人业务人员蓄意破坏设备设施、违反规程造成重大事故的，一经查实，则视为中标人违约，采购人有权终止合同，责令中标人和劳务派遣岗位人员赔偿损失并追究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采购包1(派遣人员项目)：综合评分法,是指投标文件满足招标文件全部实质性要求，且按照评审因素的量化指标评审得分最高的投标人为中标候选人的评标方法。（最低报价不是中标的唯一依据。）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采购包1（派遣人员项目）：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采购包1（派遣人员项目）：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本项目整体专门面向中小企业采购。投标人须符合本项目采购标的对应行业（本项目行业为：租赁和商务服务业）的政策划分标准。监狱企业、残疾人福利单位视同小型、微型企业。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采购包1（派遣人员项目）：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采购包1派遣人员项目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项目总体服务方案 (10.0分)</w:t>
            </w:r>
            <w:r>
              <w:rPr/>
              <w:t>，（等次分值选择：</w:t>
            </w:r>
            <w:r>
              <w:rPr/>
              <w:t>0.0;</w:t>
            </w:r>
            <w:r>
              <w:rPr/>
              <w:t>1.0;</w:t>
            </w:r>
            <w:r>
              <w:rPr/>
              <w:t>4.0;</w:t>
            </w:r>
            <w:r>
              <w:rPr/>
              <w:t>7.0;</w:t>
            </w:r>
            <w:r>
              <w:rPr/>
              <w:t>10.0;</w:t>
            </w:r>
            <w:r>
              <w:rPr/>
              <w:t>）</w:t>
            </w:r>
          </w:p>
        </w:tc>
        <w:tc>
          <w:tcPr>
            <w:tcW w:type="dxa" w:w="5076"/>
          </w:tcPr>
          <w:p>
            <w:pPr>
              <w:jc w:val="left"/>
            </w:pPr>
            <w:r>
              <w:rPr/>
              <w:t>根据投标人提供的项目总体服务方案（包括不限于服务内容、服务流程等 ）进行评审： ①方案内容非常具体详细，服务流程非常全面、可行，对项目研究的工作思路、方法非常清晰的得10分；  ②方案内容比较具体详细， 服务流程比较全面、可行，对项目研究的工作思路、方法比较清晰的得7分； ③方案内容基本具体详细，服务流程基本全面、可行，对项目研究的工作思路、方法基本清晰的得4分；  ④方案内容、服务流程简单，对项目研究的工作思路、方法一般的得1分； ⑤未提供不得分。</w:t>
            </w:r>
          </w:p>
        </w:tc>
      </w:tr>
      <w:tr>
        <w:tc>
          <w:tcPr>
            <w:tcW w:type="dxa" w:w="922"/>
            <w:gridSpan w:val="2"/>
            <w:vMerge/>
          </w:tcPr>
          <w:p/>
        </w:tc>
        <w:tc>
          <w:tcPr>
            <w:tcW w:type="dxa" w:w="2307"/>
          </w:tcPr>
          <w:p>
            <w:pPr>
              <w:jc w:val="left"/>
            </w:pPr>
            <w:r>
              <w:rPr/>
              <w:t>响应程度 (8.0分)</w:t>
            </w:r>
            <w:r>
              <w:rPr/>
              <w:t>，（等次分值选择：</w:t>
            </w:r>
            <w:r>
              <w:rPr/>
              <w:t>0.0;</w:t>
            </w:r>
            <w:r>
              <w:rPr/>
              <w:t>2.0;</w:t>
            </w:r>
            <w:r>
              <w:rPr/>
              <w:t>5.0;</w:t>
            </w:r>
            <w:r>
              <w:rPr/>
              <w:t>8.0;</w:t>
            </w:r>
            <w:r>
              <w:rPr/>
              <w:t>）</w:t>
            </w:r>
          </w:p>
        </w:tc>
        <w:tc>
          <w:tcPr>
            <w:tcW w:type="dxa" w:w="5076"/>
          </w:tcPr>
          <w:p>
            <w:pPr>
              <w:jc w:val="left"/>
            </w:pPr>
            <w:r>
              <w:rPr/>
              <w:t>根据投标人对采购需求书的响应程度，以及投标人额外的保密性承诺、服务承诺等进行评审：  ①投标文件对采购需求书的响应程度完全响应，额外的保密性承诺和服务承诺详细、合理、可操作性强的得8分；  ②投标文件对用户需求书的响应程度基本响应，额外的保密性承诺和服务承诺较详细、合理的得5分；  ③投标文件对用户需求书的响应程度响应一般，没有额外的保密性承诺和服务承诺的得2分；  ④未提供不得分。</w:t>
            </w:r>
          </w:p>
        </w:tc>
      </w:tr>
      <w:tr>
        <w:tc>
          <w:tcPr>
            <w:tcW w:type="dxa" w:w="922"/>
            <w:gridSpan w:val="2"/>
            <w:vMerge/>
          </w:tcPr>
          <w:p/>
        </w:tc>
        <w:tc>
          <w:tcPr>
            <w:tcW w:type="dxa" w:w="2307"/>
          </w:tcPr>
          <w:p>
            <w:pPr>
              <w:jc w:val="left"/>
            </w:pPr>
            <w:r>
              <w:rPr/>
              <w:t>管理方案 (8.0分)</w:t>
            </w:r>
            <w:r>
              <w:rPr/>
              <w:t>，（等次分值选择：</w:t>
            </w:r>
            <w:r>
              <w:rPr/>
              <w:t>0.0;</w:t>
            </w:r>
            <w:r>
              <w:rPr/>
              <w:t>2.0;</w:t>
            </w:r>
            <w:r>
              <w:rPr/>
              <w:t>5.0;</w:t>
            </w:r>
            <w:r>
              <w:rPr/>
              <w:t>8.0;</w:t>
            </w:r>
            <w:r>
              <w:rPr/>
              <w:t>）</w:t>
            </w:r>
          </w:p>
        </w:tc>
        <w:tc>
          <w:tcPr>
            <w:tcW w:type="dxa" w:w="5076"/>
          </w:tcPr>
          <w:p>
            <w:pPr>
              <w:jc w:val="left"/>
            </w:pPr>
            <w:r>
              <w:rPr/>
              <w:t>根据投标人所提供的管理方案(包括不限于培训、管理服务架构、管理办法等)进行评审：  ①方案非常明确、详尽，人员培训内容非常合理，管理服务框架、管理办法非常具体可行的得8分；  ②方案基本明确、详尽，人员培训内容比较合理，管理服务框架、管理办法比较具体可行的得5分；  ③方案一般，人员培训、管理服务框架、管理办法简单的得2分；  ④未提供不得分。</w:t>
            </w:r>
          </w:p>
        </w:tc>
      </w:tr>
      <w:tr>
        <w:tc>
          <w:tcPr>
            <w:tcW w:type="dxa" w:w="922"/>
            <w:gridSpan w:val="2"/>
            <w:vMerge/>
          </w:tcPr>
          <w:p/>
        </w:tc>
        <w:tc>
          <w:tcPr>
            <w:tcW w:type="dxa" w:w="2307"/>
          </w:tcPr>
          <w:p>
            <w:pPr>
              <w:jc w:val="left"/>
            </w:pPr>
            <w:r>
              <w:rPr/>
              <w:t>内部管理制度 (5.0分)</w:t>
            </w:r>
            <w:r>
              <w:rPr/>
              <w:t>，（等次分值选择：</w:t>
            </w:r>
            <w:r>
              <w:rPr/>
              <w:t>0.0;</w:t>
            </w:r>
            <w:r>
              <w:rPr/>
              <w:t>1.0;</w:t>
            </w:r>
            <w:r>
              <w:rPr/>
              <w:t>3.0;</w:t>
            </w:r>
            <w:r>
              <w:rPr/>
              <w:t>5.0;</w:t>
            </w:r>
            <w:r>
              <w:rPr/>
              <w:t>）</w:t>
            </w:r>
          </w:p>
        </w:tc>
        <w:tc>
          <w:tcPr>
            <w:tcW w:type="dxa" w:w="5076"/>
          </w:tcPr>
          <w:p>
            <w:pPr>
              <w:jc w:val="left"/>
            </w:pPr>
            <w:r>
              <w:rPr/>
              <w:t>根据投标人提供的公司管理制度的合理性、科学性、全面性以及是否适用进行评审：  ①制度非常完整合理，科学性、全面性、可行性非常强的得5 分；  ②制度较完整，科学性、全面性、可行性较强的得3分；  ③制度基本完整，科学性、全面性、可行性一般的得1分；  ④未提供不得分。</w:t>
            </w:r>
          </w:p>
        </w:tc>
      </w:tr>
      <w:tr>
        <w:tc>
          <w:tcPr>
            <w:tcW w:type="dxa" w:w="922"/>
            <w:gridSpan w:val="2"/>
            <w:vMerge/>
          </w:tcPr>
          <w:p/>
        </w:tc>
        <w:tc>
          <w:tcPr>
            <w:tcW w:type="dxa" w:w="2307"/>
          </w:tcPr>
          <w:p>
            <w:pPr>
              <w:jc w:val="left"/>
            </w:pPr>
            <w:r>
              <w:rPr/>
              <w:t>客户服务及关系维护方案 (8.0分)</w:t>
            </w:r>
            <w:r>
              <w:rPr/>
              <w:t>，（等次分值选择：</w:t>
            </w:r>
            <w:r>
              <w:rPr/>
              <w:t>0.0;</w:t>
            </w:r>
            <w:r>
              <w:rPr/>
              <w:t>2.0;</w:t>
            </w:r>
            <w:r>
              <w:rPr/>
              <w:t>5.0;</w:t>
            </w:r>
            <w:r>
              <w:rPr/>
              <w:t>8.0;</w:t>
            </w:r>
            <w:r>
              <w:rPr/>
              <w:t>）</w:t>
            </w:r>
          </w:p>
        </w:tc>
        <w:tc>
          <w:tcPr>
            <w:tcW w:type="dxa" w:w="5076"/>
          </w:tcPr>
          <w:p>
            <w:pPr>
              <w:jc w:val="left"/>
            </w:pPr>
            <w:r>
              <w:rPr/>
              <w:t>根据投标人所提供客户服务及关系维护方案（含劳动争议处理流程及相关措施、风险防范等）进行评审：  ①客户服务及关系维护方案非常严谨合理、明确，针对性非常强，可行性、有效性非常高的得8分；  ②客户服务及关系维护方案较严谨合理、明确，针对性强，可行性、有效性高的得5分；  ③客户服务及关系维护方案不太严谨合理、明确，针对性一般，的得2分；  ④未提供不得分。</w:t>
            </w:r>
          </w:p>
        </w:tc>
      </w:tr>
      <w:tr>
        <w:tc>
          <w:tcPr>
            <w:tcW w:type="dxa" w:w="922"/>
            <w:gridSpan w:val="2"/>
            <w:vMerge/>
          </w:tcPr>
          <w:p/>
        </w:tc>
        <w:tc>
          <w:tcPr>
            <w:tcW w:type="dxa" w:w="2307"/>
          </w:tcPr>
          <w:p>
            <w:pPr>
              <w:jc w:val="left"/>
            </w:pPr>
            <w:r>
              <w:rPr/>
              <w:t>应急方案 (8.0分)</w:t>
            </w:r>
            <w:r>
              <w:rPr/>
              <w:t>，（等次分值选择：</w:t>
            </w:r>
            <w:r>
              <w:rPr/>
              <w:t>0.0;</w:t>
            </w:r>
            <w:r>
              <w:rPr/>
              <w:t>2.0;</w:t>
            </w:r>
            <w:r>
              <w:rPr/>
              <w:t>5.0;</w:t>
            </w:r>
            <w:r>
              <w:rPr/>
              <w:t>8.0;</w:t>
            </w:r>
            <w:r>
              <w:rPr/>
              <w:t>）</w:t>
            </w:r>
          </w:p>
        </w:tc>
        <w:tc>
          <w:tcPr>
            <w:tcW w:type="dxa" w:w="5076"/>
          </w:tcPr>
          <w:p>
            <w:pPr>
              <w:jc w:val="left"/>
            </w:pPr>
            <w:r>
              <w:rPr/>
              <w:t>根据投标人所提供应急措施预案及增值服务方案进行评审：  ①方案非常明确、详尽、合理，对紧急情况分析非常全面，可操作性强，增值方案有利于项目实施的得8分；  ②方案比较明确、详尽、合理，对紧急情况分析较全面，可操作性较强，增值方案较有利于项目实施的得5分；  ③方案基本合理明确，对紧急情况分析基本合理，增值方案可行性一般的得2分；  ④未提供不得分。</w:t>
            </w:r>
          </w:p>
        </w:tc>
      </w:tr>
      <w:tr>
        <w:tc>
          <w:tcPr>
            <w:tcW w:type="dxa" w:w="922"/>
            <w:gridSpan w:val="2"/>
            <w:vMerge/>
          </w:tcPr>
          <w:p/>
        </w:tc>
        <w:tc>
          <w:tcPr>
            <w:tcW w:type="dxa" w:w="2307"/>
          </w:tcPr>
          <w:p>
            <w:pPr>
              <w:jc w:val="left"/>
            </w:pPr>
            <w:r>
              <w:rPr/>
              <w:t>拟投入本项目的项目负责人情况 (2.0分)</w:t>
            </w:r>
          </w:p>
        </w:tc>
        <w:tc>
          <w:tcPr>
            <w:tcW w:type="dxa" w:w="5076"/>
          </w:tcPr>
          <w:p>
            <w:pPr>
              <w:jc w:val="left"/>
            </w:pPr>
            <w:r>
              <w:rPr/>
              <w:t>根据投标人拟投入本项目的项目负责人（仅一人）进行评审：  具有人力资源和社会保障部门颁发的二级（或以上）客户服务管理师证书的得2分，本项最高得2分。 注：须提供证书及投标人为其缴纳的距开标时间前六个月（不含开标当月）内任意一个月的社保证明复印件加盖投标人公章，否则不得分。</w:t>
            </w:r>
          </w:p>
        </w:tc>
      </w:tr>
      <w:tr>
        <w:tc>
          <w:tcPr>
            <w:tcW w:type="dxa" w:w="922"/>
            <w:gridSpan w:val="2"/>
            <w:vMerge/>
          </w:tcPr>
          <w:p/>
        </w:tc>
        <w:tc>
          <w:tcPr>
            <w:tcW w:type="dxa" w:w="2307"/>
          </w:tcPr>
          <w:p>
            <w:pPr>
              <w:jc w:val="left"/>
            </w:pPr>
            <w:r>
              <w:rPr/>
              <w:t>拟投入本项目的服务人员情况 (6.0分)</w:t>
            </w:r>
          </w:p>
        </w:tc>
        <w:tc>
          <w:tcPr>
            <w:tcW w:type="dxa" w:w="5076"/>
          </w:tcPr>
          <w:p>
            <w:pPr>
              <w:jc w:val="left"/>
            </w:pPr>
            <w:r>
              <w:rPr/>
              <w:t>根据投标人拟投入本项目的人员（除项目负责人外）进行评审：  ①具有由人力资源和社会保障部门颁发的档案馆员（或以上）职称证书的得2分；本项最高得2分。 ②具有由人力资源和社会保障部门颁发的会计专业技术资格中级（或以上）证书的得2分；本项最高得2分。 ③具有高级人力资源法务师培训证书的得2分；具有中级人力资源法务师培训证书的得1分；本项最高得2分。 注：①同一人员具有不同证书的，不重复得分。②须提供证书及投标人为其缴纳的距开标时间前六个月（不含开标当月）内任意一个月的社保证明复印件加盖投标人公章，否则不得分。</w:t>
            </w:r>
          </w:p>
        </w:tc>
      </w:tr>
      <w:tr>
        <w:tc>
          <w:tcPr>
            <w:tcW w:type="dxa" w:w="922"/>
            <w:gridSpan w:val="2"/>
            <w:vMerge w:val="restart"/>
          </w:tcPr>
          <w:p>
            <w:pPr>
              <w:jc w:val="center"/>
            </w:pPr>
            <w:r>
              <w:rPr/>
              <w:t>商务部分</w:t>
            </w:r>
          </w:p>
        </w:tc>
        <w:tc>
          <w:tcPr>
            <w:tcW w:type="dxa" w:w="2307"/>
          </w:tcPr>
          <w:p>
            <w:pPr>
              <w:jc w:val="left"/>
            </w:pPr>
            <w:r>
              <w:rPr/>
              <w:t>企业认证 (15.0分)</w:t>
            </w:r>
          </w:p>
        </w:tc>
        <w:tc>
          <w:tcPr>
            <w:tcW w:type="dxa" w:w="5076"/>
          </w:tcPr>
          <w:p>
            <w:pPr>
              <w:jc w:val="left"/>
            </w:pPr>
            <w:r>
              <w:rPr/>
              <w:t>根据投标人具有由国家认证认可监督管理部门批准设立的认证机构颁发并在有效期内的以下证书进行评审：  ①质量管理体系认证证书的得3分，本项最高得3分；  ②职业健康安全管理体系认证证书的得3分，本项最高得3分；  ③信息安全管理体系认证证书的得3分，本项最高得3分；   ④具有企业诚信管理体系认证证书的得3分，本项最高得3分；  ⑤具有售后服务认证证书五星（或以上）的得3分，为四星（或以下）得1分，本项最高得3分。 注：须提供有效证书复印件加盖投标人公章，否则不得分。</w:t>
            </w:r>
          </w:p>
        </w:tc>
      </w:tr>
      <w:tr>
        <w:tc>
          <w:tcPr>
            <w:tcW w:type="dxa" w:w="922"/>
            <w:gridSpan w:val="2"/>
            <w:vMerge/>
          </w:tcPr>
          <w:p/>
        </w:tc>
        <w:tc>
          <w:tcPr>
            <w:tcW w:type="dxa" w:w="2307"/>
          </w:tcPr>
          <w:p>
            <w:pPr>
              <w:jc w:val="left"/>
            </w:pPr>
            <w:r>
              <w:rPr/>
              <w:t>业绩情况 (20.0分)</w:t>
            </w:r>
          </w:p>
        </w:tc>
        <w:tc>
          <w:tcPr>
            <w:tcW w:type="dxa" w:w="5076"/>
          </w:tcPr>
          <w:p>
            <w:pPr>
              <w:jc w:val="left"/>
            </w:pPr>
            <w:r>
              <w:rPr/>
              <w:t>根据投标人具有的劳务派遣（或劳务外包）项目业绩进行评审，每提供一个有效业绩得1分，本项最高得20分。  注：须提供合同关键页复印件及中标（成交）通知书加盖投标人公章，否则不得分。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441901-2022-11176</w:t>
      </w:r>
    </w:p>
    <w:p>
      <w:pPr>
        <w:jc w:val="center"/>
      </w:pPr>
      <w:r>
        <w:rPr>
          <w:b/>
          <w:sz w:val="24"/>
        </w:rPr>
        <w:t>采购项目编号：</w:t>
      </w:r>
      <w:r>
        <w:rPr>
          <w:b/>
          <w:sz w:val="24"/>
        </w:rPr>
        <w:t>441901-2022-11176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2023年市工信局派遣人员项目</w:t>
      </w:r>
      <w:r>
        <w:rPr>
          <w:u w:val="single"/>
        </w:rPr>
        <w:t>”</w:t>
      </w:r>
      <w:r>
        <w:rPr/>
        <w:t>项目的招标[采购项目编号为：</w:t>
      </w:r>
      <w:r>
        <w:rPr>
          <w:u w:val="single"/>
        </w:rPr>
        <w:t>441901-2022-11176</w:t>
      </w:r>
      <w:r>
        <w:rPr/>
        <w:t>]，我方愿参与投标。</w:t>
      </w:r>
    </w:p>
    <w:p>
      <w:pPr>
        <w:ind w:firstLine="480"/>
      </w:pPr>
      <w:r>
        <w:rPr/>
        <w:t>我方确认收到贵方提供的</w:t>
      </w:r>
      <w:r>
        <w:rPr>
          <w:u w:val="single"/>
        </w:rPr>
        <w:t>“</w:t>
      </w:r>
      <w:r>
        <w:rPr>
          <w:u w:val="single"/>
        </w:rPr>
        <w:t>2023年市工信局派遣人员项目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2023年市工信局派遣人员项目</w:t>
      </w:r>
      <w:r>
        <w:rPr/>
        <w:t>”项目采购[采购项目编号为</w:t>
      </w:r>
      <w:r>
        <w:rPr/>
        <w:t>441901-2022-11176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东莞市工业和信息化局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2023年市工信局派遣人员项目</w:t>
      </w:r>
      <w:r>
        <w:rPr/>
        <w:t>招标中获中标（采购项目编号：</w:t>
      </w:r>
      <w:r>
        <w:rPr/>
        <w:t>441901-2022-11176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2023年市工信局派遣人员项目</w:t>
      </w:r>
      <w:r>
        <w:rPr/>
        <w:t>”项目（采购项目编号：</w:t>
      </w:r>
      <w:r>
        <w:rPr/>
        <w:t>441901-2022-11176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