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441900011-2022-00192</w:t>
      </w:r>
    </w:p>
    <w:p>
      <w:pPr>
        <w:jc w:val="center"/>
      </w:pPr>
      <w:r>
        <w:rPr>
          <w:b/>
          <w:sz w:val="24"/>
        </w:rPr>
        <w:t>采购项目编号：</w:t>
      </w:r>
      <w:r>
        <w:rPr>
          <w:b/>
          <w:sz w:val="24"/>
        </w:rPr>
        <w:t>441900011-2022-00192</w:t>
      </w:r>
    </w:p>
    <w:p>
      <w:pPr>
        <w:jc w:val="center"/>
      </w:pPr>
      <w:r>
        <w:rPr>
          <w:b/>
          <w:sz w:val="24"/>
        </w:rPr>
        <w:t>项目名称：</w:t>
      </w:r>
      <w:r>
        <w:rPr>
          <w:b/>
          <w:sz w:val="24"/>
        </w:rPr>
        <w:t>东莞滨海湾新区智慧道路（三期）光纤租赁服务项目</w:t>
      </w:r>
    </w:p>
    <w:p>
      <w:pPr>
        <w:jc w:val="center"/>
      </w:pPr>
      <w:r>
        <w:rPr>
          <w:b/>
          <w:sz w:val="24"/>
        </w:rPr>
        <w:t>采购人：</w:t>
      </w:r>
      <w:r>
        <w:rPr>
          <w:b/>
          <w:sz w:val="24"/>
        </w:rPr>
        <w:t>东莞滨海湾新区管理委员会</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东莞滨海湾新区管理委员会</w:t>
      </w:r>
      <w:r>
        <w:rPr/>
        <w:t>的委托，采用</w:t>
      </w:r>
      <w:r>
        <w:rPr/>
        <w:t>竞争性磋商</w:t>
      </w:r>
      <w:r>
        <w:rPr/>
        <w:t>方式组织采购</w:t>
      </w:r>
      <w:r>
        <w:rPr/>
        <w:t>东莞滨海湾新区智慧道路（三期）光纤租赁服务项目</w:t>
      </w:r>
      <w:r>
        <w:rPr/>
        <w:t>。欢迎符合资格条件的供应商参加。</w:t>
      </w:r>
    </w:p>
    <w:p>
      <w:r>
        <w:rPr>
          <w:b/>
          <w:sz w:val="28"/>
        </w:rPr>
        <w:t>一.项目概述</w:t>
      </w:r>
    </w:p>
    <w:p>
      <w:r>
        <w:rPr>
          <w:b/>
          <w:sz w:val="24"/>
        </w:rPr>
        <w:t>1.名称与编号</w:t>
      </w:r>
    </w:p>
    <w:p>
      <w:pPr>
        <w:ind w:firstLine="480"/>
      </w:pPr>
      <w:r>
        <w:rPr/>
        <w:t>采购项目名称：</w:t>
      </w:r>
      <w:r>
        <w:rPr/>
        <w:t>东莞滨海湾新区智慧道路（三期）光纤租赁服务项目</w:t>
      </w:r>
    </w:p>
    <w:p>
      <w:pPr>
        <w:ind w:firstLine="480"/>
      </w:pPr>
      <w:r>
        <w:rPr/>
        <w:t>采购计划编号：</w:t>
      </w:r>
      <w:r>
        <w:rPr/>
        <w:t>441900011-2022-00192</w:t>
      </w:r>
    </w:p>
    <w:p>
      <w:pPr>
        <w:ind w:firstLine="480"/>
      </w:pPr>
      <w:r>
        <w:rPr/>
        <w:t>采购项目编号：</w:t>
      </w:r>
      <w:r>
        <w:rPr/>
        <w:t>441900011-2022-00192</w:t>
      </w:r>
    </w:p>
    <w:p>
      <w:pPr>
        <w:ind w:firstLine="480"/>
      </w:pPr>
      <w:r>
        <w:rPr/>
        <w:t>采购方式：</w:t>
      </w:r>
      <w:r>
        <w:rPr/>
        <w:t>竞争性磋商</w:t>
      </w:r>
    </w:p>
    <w:p>
      <w:pPr>
        <w:ind w:firstLine="480"/>
      </w:pPr>
      <w:r>
        <w:rPr/>
        <w:t>预算金额：</w:t>
      </w:r>
      <w:r>
        <w:rPr/>
        <w:t>1,632,000.00</w:t>
      </w:r>
      <w:r>
        <w:rPr/>
        <w:t>元</w:t>
      </w:r>
    </w:p>
    <w:p>
      <w:r>
        <w:rPr>
          <w:b/>
          <w:sz w:val="24"/>
        </w:rPr>
        <w:t>2.项目内容及需求情况（采购项目技术规格、参数及要求）</w:t>
      </w:r>
    </w:p>
    <w:p>
      <w:pPr>
        <w:ind w:firstLine="480"/>
      </w:pPr>
    </w:p>
    <w:p/>
    <w:p>
      <w:r>
        <w:rPr/>
        <w:t>采购包1(东莞滨海湾新区智慧道路（三期）光纤租赁服务项目):</w:t>
      </w:r>
    </w:p>
    <w:p>
      <w:r>
        <w:rPr/>
        <w:t>采购包预算金额：1,632,000.00元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其他租赁服务</w:t>
            </w:r>
          </w:p>
        </w:tc>
        <w:tc>
          <w:tcPr>
            <w:tcW w:type="dxa" w:w="2052"/>
          </w:tcPr>
          <w:p>
            <w:r>
              <w:rPr/>
              <w:t>按要求提供相关点位一年光纤租赁服务</w:t>
            </w:r>
          </w:p>
        </w:tc>
        <w:tc>
          <w:tcPr>
            <w:tcW w:type="dxa" w:w="977"/>
          </w:tcPr>
          <w:p>
            <w:r>
              <w:rPr/>
              <w:t>1.0000(项)</w:t>
            </w:r>
          </w:p>
        </w:tc>
        <w:tc>
          <w:tcPr>
            <w:tcW w:type="dxa" w:w="977"/>
          </w:tcPr>
          <w:p>
            <w:r>
              <w:rPr/>
              <w:t>详见第二章</w:t>
            </w:r>
          </w:p>
        </w:tc>
        <w:tc>
          <w:tcPr>
            <w:tcW w:type="dxa" w:w="977"/>
          </w:tcPr>
          <w:p>
            <w:r>
              <w:rPr/>
              <w:t>1,632,000.00</w:t>
            </w:r>
          </w:p>
        </w:tc>
        <w:tc>
          <w:tcPr>
            <w:tcW w:type="dxa" w:w="977"/>
          </w:tcPr>
          <w:p>
            <w:r>
              <w:rPr/>
              <w:t>否</w:t>
            </w:r>
          </w:p>
        </w:tc>
      </w:tr>
    </w:tbl>
    <w:p/>
    <w:p>
      <w:r>
        <w:rPr/>
        <w:t>本采购包不接受联合体响应</w:t>
      </w:r>
    </w:p>
    <w:p/>
    <w:p>
      <w:r>
        <w:rPr/>
        <w:t>合同履行期限：完工期：在接收到项目通知中标后90个自然日内完成所有网点的管道及线路铺设工作并交付采购人使用。如不能按时交付，采购人有权取消其中标（成交）资格。服务期：自验收合格次月1日起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采购包1（东莞滨海湾新区智慧道路（三期）光纤租赁服务项目）：</w:t>
      </w:r>
      <w:r>
        <w:rPr/>
        <w:t>本项目不属于专门面向中小企业采购。</w:t>
      </w:r>
    </w:p>
    <w:p/>
    <w:p>
      <w:r>
        <w:rPr>
          <w:b/>
          <w:sz w:val="24"/>
        </w:rPr>
        <w:t>3.本项目特定的资格要求：</w:t>
      </w:r>
    </w:p>
    <w:p>
      <w:pPr>
        <w:ind w:firstLine="480"/>
      </w:pPr>
    </w:p>
    <w:p/>
    <w:p>
      <w:r>
        <w:rPr/>
        <w:t>采购包1（东莞滨海湾新区智慧道路（三期）光纤租赁服务项目）：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东莞滨海湾新区管理委员会</w:t>
      </w:r>
    </w:p>
    <w:p>
      <w:pPr>
        <w:ind w:firstLine="480"/>
      </w:pPr>
      <w:r>
        <w:rPr/>
        <w:t>地址：</w:t>
      </w:r>
      <w:r>
        <w:rPr/>
        <w:t>东莞滨海湾新区湾区1号</w:t>
      </w:r>
    </w:p>
    <w:p>
      <w:pPr>
        <w:ind w:firstLine="480"/>
      </w:pPr>
      <w:r>
        <w:rPr/>
        <w:t>联系方式：</w:t>
      </w:r>
      <w:r>
        <w:rPr/>
        <w:t>0769-26889224</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本项目为东莞滨海湾新区智慧道路（三期）光纤租赁服务项目</w:t>
      </w:r>
    </w:p>
    <w:p/>
    <w:p>
      <w:pPr>
        <w:ind w:firstLine="480"/>
      </w:pPr>
    </w:p>
    <w:p/>
    <w:p>
      <w:r>
        <w:rPr/>
        <w:t>采购包1（东莞滨海湾新区智慧道路（三期）光纤租赁服务项目）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完工期：在接收到项目通知中标后90个自然日内完成所有网点的管道及线路铺设工作并交付采购人使用。如不能按时交付，采购人有权取消其中标（成交）资格。服务期：自验收合格次月1日起12个月。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1期：支付比例100%,1、本项目自正式开通并验收通过后的下一个月起，服务期每满半年支付租赁服务费用，按照“实际成交光纤租赁费单价×实际开通使用租赁线路（条数）×6个月”的计算方式据实支付。 2、成交人在达到请款条件的5个工作日内开出等额发票给采购人，采购人在收到发票等请款资料无误后30个工作日内支付服务费； 3、采购人不再另行支付除合同金额外的任何其他费用。 注：合同期内，如存在租用点位数量增减，按实结算。</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1、报价要求，★磋商报价包含完成本次采购所有服务内容的费用，包括合同期间所有调度平台网络业务的运行、维护费用及合同实施过程中不可预见费用等全部费用。（注：供应商应对本项目每条线路租赁费用进行分项报价，每条线路租赁费用不超400元/月，否则视为无效报价）</w:t>
            </w:r>
          </w:p>
          <w:p/>
          <w:p>
            <w:r>
              <w:rPr/>
              <w:t>2、售后服务要求，（1）服务期内，成交人需为本项目的光纤线路提供免费保修以及软件维护、升级，保证所有光纤符合正常运行标准。 （2）服务期内，成交人需为本项目提供7×24小时的技术咨询服务和报障专门联系人及电话。 （3）服务期内，成交人在接到采购人的报障通知后，务必30分钟内响应，2小时内到达故障现场进行抢修，24小时内修复（不可抗力除外）。 （4）服务期内，成交人需保证本项目所涉及的所有光纤线路处于正常工作状态的比例不小于95%；成交人应对其中的故障线路、设备负责免费维修，对不能修复的线路、设备负责免费更换。 （5）服务期内，成交人需协助配合采购人完成本项目所涉及的线路和设备搬迁工作，由此产生的一切费用均由成交人承担。</w:t>
            </w:r>
          </w:p>
          <w:p/>
          <w:p>
            <w:r>
              <w:rPr/>
              <w:t>3、其他要求，供应商应充分结合本采购文件上下文了解项目采购需求、采购文件未尽事宜，将在合同签订或项目执行过程中双方协商确定，供应商须无条件满足采购单位的合理要求。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其他租赁服务</w:t>
            </w:r>
          </w:p>
        </w:tc>
        <w:tc>
          <w:tcPr>
            <w:tcW w:type="dxa" w:w="933"/>
          </w:tcPr>
          <w:p>
            <w:pPr>
              <w:jc w:val="left"/>
            </w:pPr>
            <w:r>
              <w:rPr/>
              <w:t>按要求提供相关点位一年光纤租赁服务</w:t>
            </w:r>
          </w:p>
        </w:tc>
        <w:tc>
          <w:tcPr>
            <w:tcW w:type="dxa" w:w="933"/>
          </w:tcPr>
          <w:p>
            <w:pPr>
              <w:jc w:val="left"/>
            </w:pPr>
            <w:r>
              <w:rPr/>
              <w:t>项</w:t>
            </w:r>
          </w:p>
        </w:tc>
        <w:tc>
          <w:tcPr>
            <w:tcW w:type="dxa" w:w="933"/>
          </w:tcPr>
          <w:p>
            <w:pPr>
              <w:jc w:val="right"/>
            </w:pPr>
            <w:r>
              <w:rPr/>
              <w:t>1.00</w:t>
            </w:r>
          </w:p>
        </w:tc>
        <w:tc>
          <w:tcPr>
            <w:tcW w:type="dxa" w:w="933"/>
          </w:tcPr>
          <w:p>
            <w:pPr>
              <w:jc w:val="right"/>
            </w:pPr>
            <w:r>
              <w:rPr/>
              <w:t>1,632,000.00</w:t>
            </w:r>
          </w:p>
        </w:tc>
        <w:tc>
          <w:tcPr>
            <w:tcW w:type="dxa" w:w="933"/>
          </w:tcPr>
          <w:p>
            <w:pPr>
              <w:jc w:val="right"/>
            </w:pPr>
            <w:r>
              <w:rPr/>
              <w:t>1,632,000.00</w:t>
            </w:r>
          </w:p>
        </w:tc>
        <w:tc>
          <w:tcPr>
            <w:tcW w:type="dxa" w:w="840"/>
          </w:tcPr>
          <w:p>
            <w:r>
              <w:rPr/>
              <w:t>信息传输业</w:t>
            </w:r>
          </w:p>
        </w:tc>
        <w:tc>
          <w:tcPr>
            <w:tcW w:type="dxa" w:w="933"/>
          </w:tcPr>
          <w:p>
            <w:r>
              <w:rPr/>
              <w:t>详见附表一</w:t>
            </w:r>
          </w:p>
        </w:tc>
      </w:tr>
    </w:tbl>
    <w:p/>
    <w:p>
      <w:r>
        <w:rPr>
          <w:b/>
        </w:rPr>
        <w:t>附表</w:t>
      </w:r>
      <w:r>
        <w:rPr>
          <w:b/>
        </w:rPr>
        <w:t>一</w:t>
      </w:r>
      <w:r>
        <w:rPr>
          <w:b/>
        </w:rPr>
        <w:t>：</w:t>
      </w:r>
      <w:r>
        <w:rPr>
          <w:b/>
        </w:rPr>
        <w:t>按要求提供相关点位一年光纤租赁服务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w:t>
            </w:r>
            <w:r>
              <w:rPr>
                <w:b/>
                <w:sz w:val="21"/>
              </w:rPr>
              <w:t>项目概况</w:t>
            </w:r>
          </w:p>
          <w:p>
            <w:pPr>
              <w:ind w:firstLine="420"/>
              <w:jc w:val="both"/>
            </w:pPr>
            <w:r>
              <w:rPr>
                <w:sz w:val="21"/>
              </w:rPr>
              <w:t>滨海湾新区地理位置优越，连片土地开发中。在统筹片区交通方面，滨海大道北接环莞快速路，南通滨海湾新区，连接虎门高铁站和虎门南站，全长约</w:t>
            </w:r>
            <w:r>
              <w:rPr>
                <w:sz w:val="21"/>
              </w:rPr>
              <w:t>30公里。中期规划中，滨海湾滨新区拟对主要道路的智慧灯杆点位以及多个项目信息汇聚点，预计共</w:t>
            </w:r>
            <w:r>
              <w:rPr>
                <w:sz w:val="21"/>
              </w:rPr>
              <w:t>340</w:t>
            </w:r>
            <w:r>
              <w:rPr>
                <w:sz w:val="21"/>
              </w:rPr>
              <w:t>个点位；通过光纤将前端信息（照明、视频、</w:t>
            </w:r>
            <w:r>
              <w:rPr>
                <w:sz w:val="21"/>
              </w:rPr>
              <w:t>WIFI、音视频显示屏、报警等功能）传送到监控中心。</w:t>
            </w:r>
          </w:p>
          <w:p>
            <w:pPr>
              <w:jc w:val="left"/>
            </w:pPr>
            <w:r>
              <w:rPr>
                <w:b/>
                <w:sz w:val="21"/>
              </w:rPr>
              <w:t>二、</w:t>
            </w:r>
            <w:r>
              <w:rPr>
                <w:b/>
                <w:sz w:val="21"/>
              </w:rPr>
              <w:t>服务目标</w:t>
            </w:r>
          </w:p>
          <w:p>
            <w:pPr>
              <w:ind w:firstLine="420"/>
              <w:jc w:val="both"/>
            </w:pPr>
            <w:r>
              <w:rPr>
                <w:sz w:val="21"/>
              </w:rPr>
              <w:t>本次项目目的为租用</w:t>
            </w:r>
            <w:r>
              <w:rPr>
                <w:sz w:val="21"/>
              </w:rPr>
              <w:t>340</w:t>
            </w:r>
            <w:r>
              <w:rPr>
                <w:sz w:val="21"/>
              </w:rPr>
              <w:t>条裸纤分点线路，实现光纤组网。</w:t>
            </w:r>
          </w:p>
          <w:p>
            <w:pPr>
              <w:ind w:firstLine="420"/>
              <w:jc w:val="both"/>
            </w:pPr>
            <w:r>
              <w:rPr>
                <w:sz w:val="21"/>
              </w:rPr>
              <w:t>具体内容要求：租用以上预计</w:t>
            </w:r>
            <w:r>
              <w:rPr>
                <w:sz w:val="21"/>
              </w:rPr>
              <w:t>340</w:t>
            </w:r>
            <w:r>
              <w:rPr>
                <w:sz w:val="21"/>
              </w:rPr>
              <w:t>条裸纤网络，保证线路性能的可靠性和安全性，保证业务系统的正常运行。</w:t>
            </w:r>
          </w:p>
          <w:p>
            <w:pPr>
              <w:jc w:val="left"/>
            </w:pPr>
            <w:r>
              <w:rPr>
                <w:b/>
                <w:sz w:val="21"/>
              </w:rPr>
              <w:t>三、</w:t>
            </w:r>
            <w:r>
              <w:rPr>
                <w:b/>
                <w:sz w:val="21"/>
              </w:rPr>
              <w:t>服务内容</w:t>
            </w:r>
          </w:p>
          <w:p>
            <w:pPr>
              <w:jc w:val="both"/>
            </w:pPr>
            <w:r>
              <w:rPr>
                <w:sz w:val="21"/>
              </w:rPr>
              <w:t xml:space="preserve">   1、东莞滨海湾新区管理委员会租用</w:t>
            </w:r>
            <w:r>
              <w:rPr>
                <w:sz w:val="21"/>
              </w:rPr>
              <w:t>340</w:t>
            </w:r>
            <w:r>
              <w:rPr>
                <w:sz w:val="21"/>
              </w:rPr>
              <w:t>条裸纤线路。</w:t>
            </w:r>
          </w:p>
          <w:p>
            <w:pPr>
              <w:jc w:val="both"/>
            </w:pPr>
            <w:r>
              <w:rPr>
                <w:sz w:val="21"/>
              </w:rPr>
              <w:t xml:space="preserve">   1）</w:t>
            </w:r>
            <w:r>
              <w:rPr>
                <w:sz w:val="21"/>
              </w:rPr>
              <w:t>340</w:t>
            </w:r>
            <w:r>
              <w:rPr>
                <w:sz w:val="21"/>
              </w:rPr>
              <w:t>个分点一览表：</w:t>
            </w:r>
          </w:p>
          <w:tbl>
            <w:tblPr>
              <w:tblInd w:type="dxa" w:w="90"/>
              <w:tblBorders>
                <w:top w:val="none" w:color="000000" w:sz="4"/>
                <w:left w:val="none" w:color="000000" w:sz="4"/>
                <w:bottom w:val="none" w:color="000000" w:sz="4"/>
                <w:right w:val="none" w:color="000000" w:sz="4"/>
                <w:insideH w:val="none"/>
                <w:insideV w:val="none"/>
              </w:tblBorders>
            </w:tblPr>
            <w:tblGrid>
              <w:gridCol w:w="684"/>
              <w:gridCol w:w="1843"/>
              <w:gridCol w:w="2385"/>
              <w:gridCol w:w="684"/>
            </w:tblGrid>
            <w:tr>
              <w:tc>
                <w:tcPr>
                  <w:tcW w:type="dxa" w:w="6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43"/>
                  <w:tcBorders>
                    <w:top w:val="single" w:color="000000" w:sz="4"/>
                    <w:left w:val="none" w:color="000000" w:sz="4"/>
                    <w:bottom w:val="single" w:color="000000" w:sz="4"/>
                    <w:right w:val="single" w:color="000000" w:sz="4"/>
                  </w:tcBorders>
                  <w:vAlign w:val="top"/>
                </w:tcPr>
                <w:p>
                  <w:pPr>
                    <w:jc w:val="center"/>
                  </w:pPr>
                  <w:r>
                    <w:rPr>
                      <w:sz w:val="21"/>
                    </w:rPr>
                    <w:t>智慧灯杆编号</w:t>
                  </w:r>
                </w:p>
              </w:tc>
              <w:tc>
                <w:tcPr>
                  <w:tcW w:type="dxa" w:w="2385"/>
                  <w:tcBorders>
                    <w:top w:val="single" w:color="000000" w:sz="4"/>
                    <w:left w:val="none" w:color="000000" w:sz="4"/>
                    <w:bottom w:val="single" w:color="000000" w:sz="4"/>
                    <w:right w:val="single" w:color="000000" w:sz="4"/>
                  </w:tcBorders>
                  <w:vAlign w:val="top"/>
                </w:tcPr>
                <w:p>
                  <w:pPr>
                    <w:jc w:val="center"/>
                  </w:pPr>
                  <w:r>
                    <w:rPr>
                      <w:sz w:val="21"/>
                    </w:rPr>
                    <w:t>所在道路</w:t>
                  </w:r>
                </w:p>
              </w:tc>
              <w:tc>
                <w:tcPr>
                  <w:tcW w:type="dxa" w:w="684"/>
                  <w:tcBorders>
                    <w:top w:val="single" w:color="000000" w:sz="4"/>
                    <w:left w:val="none" w:color="000000" w:sz="4"/>
                    <w:bottom w:val="single" w:color="000000" w:sz="4"/>
                    <w:right w:val="single" w:color="000000" w:sz="4"/>
                  </w:tcBorders>
                  <w:vAlign w:val="top"/>
                </w:tcPr>
                <w:p>
                  <w:pPr>
                    <w:jc w:val="center"/>
                  </w:pPr>
                  <w:r>
                    <w:rPr>
                      <w:sz w:val="21"/>
                    </w:rPr>
                    <w:t>线路数量</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BHWDD-EM-058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BHWDD-EM-064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BHWDD-EM-067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BHWDD-WM-018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BHWDD-WM-058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BHWFD-E-011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BHWFD-E-020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BHWFD-E-051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BHWFD-E-069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BHWFD-E-087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BHWFD-E-095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BHWFD-W-060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BHWFD-W-066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BHWFD-W-079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BHWFD-W-086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BHWFD-W-093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DWDD-N-078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ZHHL-N-017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DWDD-N-087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DWDD-N-096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HHL-S-015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DWDD-S-027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DWDD-S-067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ZHHL-S-016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DWDD-S-079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DWDD-S-089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DWDD-S-092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DWDD-S-095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199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FHL-E-047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219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229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FHL-W-039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FHL-W-042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BHDD-1NC-024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DWDD-S-101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DWDD-N-102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DWDD-N-100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DWDD-S-100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239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DWDD-S-98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BHDD-1NC-025+1（利旧）</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BHDD-1S-049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BHDD-2S-001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BHFD-N-002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BHFD-N-006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249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BHFD-S-002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BHFD-S-007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YB-N-10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259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YB-S-09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YB-S-10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269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WQ-WN-019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279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289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WQ-WN-057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WQ-ES-007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WQ-ES-018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WQ-ES-021</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299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WQ-ES-029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WQ-ES-035</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WQ-ES-038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309</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WQ-ES-044</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310</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WQ-ES-046</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WQ-ES-048</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WQ-ES-050</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WQ-ES-052</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WQ-ES-053</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WQ-ES-057</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WQ-ES-059</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317</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318</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2</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319</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3</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320</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4</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321</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5</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322</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6</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323</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7</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324</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8</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325</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9</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326</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10</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327</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11</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328</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12</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329</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13</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330</w:t>
                  </w:r>
                </w:p>
              </w:tc>
              <w:tc>
                <w:tcPr>
                  <w:tcW w:type="dxa" w:w="1843"/>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14</w:t>
                  </w:r>
                </w:p>
              </w:tc>
              <w:tc>
                <w:tcPr>
                  <w:tcW w:type="dxa" w:w="2385"/>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331</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交通控制器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684"/>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332</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333</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334</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335</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336</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337</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684"/>
                  <w:tcBorders>
                    <w:top w:val="none" w:color="000000" w:sz="4"/>
                    <w:left w:val="single" w:color="000000" w:sz="4"/>
                    <w:bottom w:val="single" w:color="000000" w:sz="4"/>
                    <w:right w:val="single" w:color="000000" w:sz="4"/>
                  </w:tcBorders>
                  <w:vAlign w:val="top"/>
                </w:tcPr>
                <w:p>
                  <w:pPr>
                    <w:jc w:val="center"/>
                  </w:pPr>
                  <w:r>
                    <w:rPr>
                      <w:color w:val="000000"/>
                      <w:sz w:val="21"/>
                    </w:rPr>
                    <w:t>338</w:t>
                  </w:r>
                </w:p>
              </w:tc>
              <w:tc>
                <w:tcPr>
                  <w:tcW w:type="dxa" w:w="1843"/>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2385"/>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4912"/>
                  <w:gridSpan w:val="3"/>
                  <w:tcBorders>
                    <w:top w:val="none" w:color="000000" w:sz="4"/>
                    <w:left w:val="single" w:color="000000" w:sz="4"/>
                    <w:bottom w:val="single" w:color="000000" w:sz="4"/>
                    <w:right w:val="single" w:color="000000" w:sz="4"/>
                  </w:tcBorders>
                  <w:vAlign w:val="bottom"/>
                </w:tcPr>
                <w:p>
                  <w:pPr>
                    <w:jc w:val="center"/>
                  </w:pPr>
                  <w:r>
                    <w:rPr>
                      <w:sz w:val="21"/>
                    </w:rPr>
                    <w:t>合计：</w:t>
                  </w:r>
                </w:p>
              </w:tc>
              <w:tc>
                <w:tcPr>
                  <w:tcW w:type="dxa" w:w="684"/>
                  <w:tcBorders>
                    <w:top w:val="none" w:color="000000" w:sz="4"/>
                    <w:left w:val="none" w:color="000000" w:sz="4"/>
                    <w:bottom w:val="single" w:color="000000" w:sz="4"/>
                    <w:right w:val="single" w:color="000000" w:sz="4"/>
                  </w:tcBorders>
                  <w:vAlign w:val="bottom"/>
                </w:tcPr>
                <w:p>
                  <w:pPr>
                    <w:jc w:val="center"/>
                  </w:pPr>
                  <w:r>
                    <w:rPr>
                      <w:sz w:val="21"/>
                    </w:rPr>
                    <w:t>340</w:t>
                  </w:r>
                </w:p>
              </w:tc>
            </w:tr>
          </w:tbl>
          <w:p>
            <w:pPr>
              <w:ind w:firstLine="420"/>
              <w:jc w:val="both"/>
            </w:pPr>
            <w:r>
              <w:rPr>
                <w:sz w:val="21"/>
              </w:rPr>
              <w:t>备注：具体点位以实际施工位置为准。</w:t>
            </w:r>
          </w:p>
          <w:p>
            <w:pPr>
              <w:ind w:firstLine="420"/>
              <w:jc w:val="both"/>
            </w:pPr>
            <w:r>
              <w:rPr>
                <w:sz w:val="21"/>
              </w:rPr>
              <w:t>2、整体组网方案说明</w:t>
            </w:r>
          </w:p>
          <w:p>
            <w:pPr>
              <w:ind w:firstLine="420"/>
              <w:jc w:val="both"/>
            </w:pPr>
            <w:r>
              <w:rPr>
                <w:sz w:val="21"/>
              </w:rPr>
              <w:t>本项目可分为道路智慧灯杆与项目信息汇聚点两部分需求：</w:t>
            </w:r>
          </w:p>
          <w:p>
            <w:pPr>
              <w:ind w:firstLine="420"/>
              <w:jc w:val="both"/>
            </w:pP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ind w:firstLine="420"/>
              <w:jc w:val="both"/>
            </w:pPr>
            <w:r>
              <w:rPr>
                <w:sz w:val="21"/>
              </w:rPr>
              <w:t>2）项目信息汇聚点：7个项目信息汇聚点（花海里项目、亲子乐园项目、文体公园项目、观海长廊项目、中虹建设项目、其他2个项目），分别汇聚在1台设备中，各接入4芯光缆(实际使用2芯，2芯备用)；再连接到网络交接箱中，通过网络交接箱主干光缆将前端信息传输至监控中心机房。</w:t>
            </w:r>
          </w:p>
          <w:p>
            <w:pPr>
              <w:ind w:firstLine="420"/>
              <w:jc w:val="both"/>
            </w:pPr>
            <w:r>
              <w:rPr>
                <w:sz w:val="21"/>
              </w:rPr>
              <w:t>3</w:t>
            </w:r>
            <w:r>
              <w:rPr>
                <w:sz w:val="21"/>
              </w:rPr>
              <w:t>、技术方案</w:t>
            </w:r>
          </w:p>
          <w:p>
            <w:pPr>
              <w:jc w:val="both"/>
            </w:pPr>
            <w:r>
              <w:rPr>
                <w:sz w:val="21"/>
              </w:rPr>
              <w:t xml:space="preserve">   根据大型网络项目的建设情况以及根据网络建设中的先进可靠性、安全保密性、易用扩展性、经济适用性及标准和规范的原则，要求采用点对点的实时传输模式。网络架构图如下：</w:t>
            </w:r>
          </w:p>
          <w:p>
            <w:pPr>
              <w:jc w:val="both"/>
            </w:pPr>
            <w:r>
              <w:drawing>
                <wp:inline distT="0" distR="0" distB="0" distL="0">
                  <wp:extent cx="3554729" cy="203127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031273"/>
                          </a:xfrm>
                          <a:prstGeom prst="rect">
                            <a:avLst/>
                          </a:prstGeom>
                        </pic:spPr>
                      </pic:pic>
                    </a:graphicData>
                  </a:graphic>
                </wp:inline>
              </w:drawing>
            </w:r>
          </w:p>
          <w:p>
            <w:pPr>
              <w:jc w:val="left"/>
            </w:pPr>
            <w:r>
              <w:rPr>
                <w:b/>
                <w:sz w:val="21"/>
              </w:rPr>
              <w:t xml:space="preserve">     四、</w:t>
            </w:r>
            <w:r>
              <w:rPr>
                <w:b/>
                <w:sz w:val="21"/>
              </w:rPr>
              <w:t>主要技术要求</w:t>
            </w:r>
          </w:p>
          <w:p>
            <w:pPr>
              <w:ind w:firstLine="560"/>
              <w:jc w:val="both"/>
            </w:pPr>
            <w:r>
              <w:rPr>
                <w:sz w:val="21"/>
              </w:rPr>
              <w:t>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ind w:firstLine="560"/>
              <w:jc w:val="both"/>
            </w:pPr>
            <w:r>
              <w:rPr>
                <w:sz w:val="21"/>
              </w:rPr>
              <w:t>2、稳定性高。采用点对点裸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ind w:firstLine="420"/>
              <w:jc w:val="both"/>
            </w:pPr>
            <w:r>
              <w:rPr>
                <w:sz w:val="21"/>
              </w:rPr>
              <w:t xml:space="preserve"> 3、网络易平滑升级，扩展性高。采用裸光纤接入，可灵活增加或减少网点，对原有的网络结构不造成影响，网络易于扩展延伸。</w:t>
            </w:r>
          </w:p>
          <w:p>
            <w:pPr>
              <w:ind w:firstLine="447"/>
              <w:jc w:val="both"/>
            </w:pP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ind w:firstLine="447"/>
              <w:jc w:val="both"/>
            </w:pPr>
            <w:r>
              <w:rPr>
                <w:sz w:val="21"/>
              </w:rPr>
              <w:t>5、抗扰能力强。因为光纤是非金属的介质材料，不受强电干扰、电气信号干扰和雷电干扰，抗电磁脉冲能力也很强，保密性好。</w:t>
            </w:r>
          </w:p>
          <w:p>
            <w:pPr>
              <w:jc w:val="left"/>
            </w:pPr>
            <w:r>
              <w:rPr>
                <w:b/>
                <w:sz w:val="21"/>
              </w:rPr>
              <w:t xml:space="preserve">    五、组网、安装线路及服务要求</w:t>
            </w:r>
          </w:p>
          <w:p>
            <w:pPr>
              <w:ind w:firstLine="480"/>
              <w:jc w:val="both"/>
            </w:pPr>
            <w:r>
              <w:rPr>
                <w:sz w:val="21"/>
              </w:rPr>
              <w:t>1</w:t>
            </w:r>
            <w:r>
              <w:rPr>
                <w:sz w:val="21"/>
              </w:rPr>
              <w:t>、</w:t>
            </w:r>
            <w:r>
              <w:rPr>
                <w:sz w:val="21"/>
              </w:rPr>
              <w:t>供应商提供的网络、设备必须具有高可靠性，保证</w:t>
            </w:r>
            <w:r>
              <w:rPr>
                <w:sz w:val="21"/>
              </w:rPr>
              <w:t>本项目</w:t>
            </w:r>
            <w:r>
              <w:rPr>
                <w:sz w:val="21"/>
              </w:rPr>
              <w:t>的正常运行，具有完备的网络健康保障及运营支持体系。</w:t>
            </w:r>
          </w:p>
          <w:p>
            <w:pPr>
              <w:jc w:val="both"/>
            </w:pPr>
            <w:r>
              <w:rPr>
                <w:sz w:val="21"/>
              </w:rPr>
              <w:t xml:space="preserve">    2</w:t>
            </w:r>
            <w:r>
              <w:rPr>
                <w:sz w:val="21"/>
              </w:rPr>
              <w:t>、</w:t>
            </w:r>
            <w:r>
              <w:rPr>
                <w:sz w:val="21"/>
              </w:rPr>
              <w:t>供应商须结合本项目详细说明安全保密要求，并制定细致的保密的保密方案。提供的网络必须具有很强的安全保密性，确保</w:t>
            </w:r>
            <w:r>
              <w:rPr>
                <w:sz w:val="21"/>
              </w:rPr>
              <w:t>本项目</w:t>
            </w:r>
            <w:r>
              <w:rPr>
                <w:sz w:val="21"/>
              </w:rPr>
              <w:t>的安全与保密，具有完善的安全保障措施。</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1402289247@qq.com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滨海湾新区智慧道路（三期）光纤租赁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采购包1（东莞滨海湾新区智慧道路（三期）光纤租赁服务项目）：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w:t>
            </w:r>
          </w:p>
        </w:tc>
      </w:tr>
    </w:tbl>
    <w:p/>
    <w:p>
      <w:pPr>
        <w:ind w:firstLine="480"/>
      </w:pPr>
      <w:r>
        <w:rPr/>
        <w:t>表二符合性审查表：</w:t>
      </w:r>
    </w:p>
    <w:p>
      <w:pPr>
        <w:ind w:firstLine="480"/>
      </w:pPr>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项目技术方案 (12.0分)</w:t>
            </w:r>
            <w:r>
              <w:rPr/>
              <w:t>，（等次分值选择：</w:t>
            </w:r>
            <w:r>
              <w:rPr/>
              <w:t>0.0;</w:t>
            </w:r>
            <w:r>
              <w:rPr/>
              <w:t>4.0;</w:t>
            </w:r>
            <w:r>
              <w:rPr/>
              <w:t>8.0;</w:t>
            </w:r>
            <w:r>
              <w:rPr/>
              <w:t>12.0;</w:t>
            </w:r>
            <w:r>
              <w:rPr/>
              <w:t>）</w:t>
            </w:r>
          </w:p>
        </w:tc>
        <w:tc>
          <w:tcPr>
            <w:tcW w:type="dxa" w:w="5076"/>
          </w:tcPr>
          <w:p>
            <w:pPr>
              <w:jc w:val="left"/>
            </w:pPr>
            <w:r>
              <w:rPr/>
              <w:t>根据投标人所提供技术服务方案的详细性、合理性、针对性等进行评审： 技术方案详细完整合理，方案针对性高，切合本项目需求，得12分； 技术方案较详细，方案针对性和合理性较高，较为满足本项目需求，得8分； 技术方案一般，方案针对性和合理性不够完善，得4分； 未提供方案的不得分。</w:t>
            </w:r>
          </w:p>
        </w:tc>
      </w:tr>
      <w:tr>
        <w:tc>
          <w:tcPr>
            <w:tcW w:type="dxa" w:w="922"/>
            <w:gridSpan w:val="2"/>
            <w:vMerge/>
          </w:tcPr>
          <w:p/>
        </w:tc>
        <w:tc>
          <w:tcPr>
            <w:tcW w:type="dxa" w:w="2307"/>
          </w:tcPr>
          <w:p>
            <w:pPr>
              <w:jc w:val="left"/>
            </w:pPr>
            <w:r>
              <w:rPr/>
              <w:t>实施保障方案 (12.0分)</w:t>
            </w:r>
            <w:r>
              <w:rPr/>
              <w:t>，（等次分值选择：</w:t>
            </w:r>
            <w:r>
              <w:rPr/>
              <w:t>0.0;</w:t>
            </w:r>
            <w:r>
              <w:rPr/>
              <w:t>4.0;</w:t>
            </w:r>
            <w:r>
              <w:rPr/>
              <w:t>8.0;</w:t>
            </w:r>
            <w:r>
              <w:rPr/>
              <w:t>12.0;</w:t>
            </w:r>
            <w:r>
              <w:rPr/>
              <w:t>）</w:t>
            </w:r>
          </w:p>
        </w:tc>
        <w:tc>
          <w:tcPr>
            <w:tcW w:type="dxa" w:w="5076"/>
          </w:tcPr>
          <w:p>
            <w:pPr>
              <w:jc w:val="left"/>
            </w:pPr>
            <w:r>
              <w:rPr/>
              <w:t>根据投标人提供的实施保障方案综合情况进行评审： 实施措施方案详细完整，人员配备完善，能保障提供优质的售后服务工作，有应急响应方案且方案合理，有详细技术培训方案，安排非常合理、周全，得12分； 实施措施方案基本完整，人员配备基本合理，基本保障售后服务工作，有应急响应方案且方案基本合理，有详细技术培训方案，安排基本合理、较周全，得8分； 实施措施方案不完整，人员配备不合理，不能保障售后服务工作，有应急响应方案但不合理，有技术培训方案，但培训安排不详细，得4分； 未提供方案的不得分。</w:t>
            </w:r>
          </w:p>
        </w:tc>
      </w:tr>
      <w:tr>
        <w:tc>
          <w:tcPr>
            <w:tcW w:type="dxa" w:w="922"/>
            <w:gridSpan w:val="2"/>
            <w:vMerge/>
          </w:tcPr>
          <w:p/>
        </w:tc>
        <w:tc>
          <w:tcPr>
            <w:tcW w:type="dxa" w:w="2307"/>
          </w:tcPr>
          <w:p>
            <w:pPr>
              <w:jc w:val="left"/>
            </w:pPr>
            <w:r>
              <w:rPr/>
              <w:t>售后服务方案 (11.0分)</w:t>
            </w:r>
            <w:r>
              <w:rPr/>
              <w:t>，（等次分值选择：</w:t>
            </w:r>
            <w:r>
              <w:rPr/>
              <w:t>0.0;</w:t>
            </w:r>
            <w:r>
              <w:rPr/>
              <w:t>3.0;</w:t>
            </w:r>
            <w:r>
              <w:rPr/>
              <w:t>7.0;</w:t>
            </w:r>
            <w:r>
              <w:rPr/>
              <w:t>11.0;</w:t>
            </w:r>
            <w:r>
              <w:rPr/>
              <w:t>）</w:t>
            </w:r>
          </w:p>
        </w:tc>
        <w:tc>
          <w:tcPr>
            <w:tcW w:type="dxa" w:w="5076"/>
          </w:tcPr>
          <w:p>
            <w:pPr>
              <w:jc w:val="left"/>
            </w:pPr>
            <w:r>
              <w:rPr/>
              <w:t>根据供应商提供的售后服务方案综合情况进行评审： 售后服务方案详细完整，人员配备完善，能保障提供优质的售后服务工作，有售后服务方案且方案合理，有详细技术培训方案，安排非常合理、周全，得11分； 售后服务方案基本完整，人员配备基本合理，基本保障售后服务工作，有售后服务方案且方案较合理，有详细技术培训方案，安排基本合理、较周全，得7分； 售后服务方案不完整，人员配备不合理，不能保障售后服务工作，有售后服务方案但不合理，有技术培训方案，但培训安排不详细，得3分； 未提供相应方案不得分。</w:t>
            </w:r>
          </w:p>
        </w:tc>
      </w:tr>
      <w:tr>
        <w:tc>
          <w:tcPr>
            <w:tcW w:type="dxa" w:w="922"/>
            <w:gridSpan w:val="2"/>
            <w:vMerge/>
          </w:tcPr>
          <w:p/>
        </w:tc>
        <w:tc>
          <w:tcPr>
            <w:tcW w:type="dxa" w:w="2307"/>
          </w:tcPr>
          <w:p>
            <w:pPr>
              <w:jc w:val="left"/>
            </w:pPr>
            <w:r>
              <w:rPr/>
              <w:t>拟投入本项目人员情况1 (8.0分)</w:t>
            </w:r>
          </w:p>
        </w:tc>
        <w:tc>
          <w:tcPr>
            <w:tcW w:type="dxa" w:w="5076"/>
          </w:tcPr>
          <w:p>
            <w:pPr>
              <w:jc w:val="left"/>
            </w:pPr>
            <w:r>
              <w:rPr/>
              <w:t>供应商拟投入的项目经理（仅一人）具有： ①人力资源和社会保障部门或工业和信息化部门颁发的通信类高级技师证书的，得2分，本项最高得分2分。 ②人力资源和社会保障部门或工业和信息化部门颁发的通信类或电子技术类高级或以上工程师证书的，得2分，本项最高得分2分。 ③工业和信息化部门颁发的高级网络与信息安全管理师证书的，得2分，本项最高得分2分。 ④工业和信息化部门颁发的数据安全师证书的，得2分，本项最高得分2分。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tcPr>
          <w:p/>
        </w:tc>
        <w:tc>
          <w:tcPr>
            <w:tcW w:type="dxa" w:w="2307"/>
          </w:tcPr>
          <w:p>
            <w:pPr>
              <w:jc w:val="left"/>
            </w:pPr>
            <w:r>
              <w:rPr/>
              <w:t>拟投入本项目人员情况2 (6.0分)</w:t>
            </w:r>
          </w:p>
        </w:tc>
        <w:tc>
          <w:tcPr>
            <w:tcW w:type="dxa" w:w="5076"/>
          </w:tcPr>
          <w:p>
            <w:pPr>
              <w:jc w:val="left"/>
            </w:pPr>
            <w:r>
              <w:rPr/>
              <w:t>供应商拟投入本项目的技术负责人（仅一人、项目经理除外）具有： ①人力资源和社会保障部门颁发的通信与广电工程专业一级建造师证书的，得2分，本项最高得分2分。 ②人力资源和社会保障部门颁发的通信类或电子技术类高级或以上工程师证书的，得2分，本项最高得分2分。 ③工业和信息化部门颁发的高级网络与信息安全管理师证书的，得2分，本项最高得分2分。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tcPr>
          <w:p/>
        </w:tc>
        <w:tc>
          <w:tcPr>
            <w:tcW w:type="dxa" w:w="2307"/>
          </w:tcPr>
          <w:p>
            <w:pPr>
              <w:jc w:val="left"/>
            </w:pPr>
            <w:r>
              <w:rPr/>
              <w:t>拟投入本项目人员情况3 (6.0分)</w:t>
            </w:r>
          </w:p>
        </w:tc>
        <w:tc>
          <w:tcPr>
            <w:tcW w:type="dxa" w:w="5076"/>
          </w:tcPr>
          <w:p>
            <w:pPr>
              <w:jc w:val="left"/>
            </w:pPr>
            <w:r>
              <w:rPr/>
              <w:t>供应商拟投入本项目的技术人员（项目经理、技术负责人除外）具有： 人力资源和社会保障部门或工业和信息化部门颁发的通信类或电子技术类高级或以上工程师证书的，每个得2分，本项最高得6分。 注：须提供以上人员证书及距开标前3个月（不含开标当月）内任意1个月供应商为其缴纳的社保证明复印件(加盖供应商公章)；如供应商受当地有关政府部门政策文件可享受阶段性免征或可延期缴纳社会养老保险的，供应商可提供开始享受阶段性免征或可延期缴纳社会养老保险时的上三个月的社会养老保险证明，并同时提供当地有关政府部门政策文件的打印件或复印件。（提供材料范围含其总公司及同一法人下的上级分公司。）</w:t>
            </w:r>
          </w:p>
        </w:tc>
      </w:tr>
      <w:tr>
        <w:tc>
          <w:tcPr>
            <w:tcW w:type="dxa" w:w="922"/>
            <w:gridSpan w:val="2"/>
            <w:vMerge w:val="restart"/>
          </w:tcPr>
          <w:p>
            <w:pPr>
              <w:jc w:val="center"/>
            </w:pPr>
            <w:r>
              <w:rPr/>
              <w:t>商务部分</w:t>
            </w:r>
          </w:p>
        </w:tc>
        <w:tc>
          <w:tcPr>
            <w:tcW w:type="dxa" w:w="2307"/>
          </w:tcPr>
          <w:p>
            <w:pPr>
              <w:jc w:val="left"/>
            </w:pPr>
            <w:r>
              <w:rPr/>
              <w:t>综合实力1 (18.0分)</w:t>
            </w:r>
          </w:p>
        </w:tc>
        <w:tc>
          <w:tcPr>
            <w:tcW w:type="dxa" w:w="5076"/>
          </w:tcPr>
          <w:p>
            <w:pPr>
              <w:jc w:val="left"/>
            </w:pPr>
            <w:r>
              <w:rPr/>
              <w:t>供应商具有国家认证认可监督管理部门批准设立的认证机构颁发的： ①质量管理体系认证证书； ②环境管理体系认证证书； ③网络空间安全管理体系认证证书； ④信息安全管理体系认证证书； ⑤信息技术服务管理体系认证证书； ⑥业务连续性管理体系认证证书 以上每个证书得3分，本项最高得18分。 注：须提供有效证书复印件加盖供应商公章，否则不得分。（提供材料范围含其总公司及同一法人下的上级分公司。）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综合实力2 (3.0分)</w:t>
            </w:r>
          </w:p>
        </w:tc>
        <w:tc>
          <w:tcPr>
            <w:tcW w:type="dxa" w:w="5076"/>
          </w:tcPr>
          <w:p>
            <w:pPr>
              <w:jc w:val="left"/>
            </w:pPr>
            <w:r>
              <w:rPr/>
              <w:t>供应商具有国家认证认可监督管理部门批准设立的认证机构频发并在有效期内的售后服务认证证书（五星或以上）得3分，五星以下（不含五星）得1分，本项最高得3分。 注：须提供有效证书复印件加盖供应商公章，否则不得分。（提供材料范围含其总公司及同一法人下的上级分公司。）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供应商荣誉 (4.0分)</w:t>
            </w:r>
          </w:p>
        </w:tc>
        <w:tc>
          <w:tcPr>
            <w:tcW w:type="dxa" w:w="5076"/>
          </w:tcPr>
          <w:p>
            <w:pPr>
              <w:jc w:val="left"/>
            </w:pPr>
            <w:r>
              <w:rPr/>
              <w:t>供应商获得过科学技术进步奖项的，国家级的每个得2分，省级或市级的每个得1分，本项最高得4分。 注：须提供证书复印件加盖供应商公章，否则不得分。（提供材料范围含其总公司及同一法人下的上级分公司。）</w:t>
            </w:r>
          </w:p>
        </w:tc>
      </w:tr>
      <w:tr>
        <w:tc>
          <w:tcPr>
            <w:tcW w:type="dxa" w:w="922"/>
            <w:gridSpan w:val="2"/>
            <w:vMerge/>
          </w:tcPr>
          <w:p/>
        </w:tc>
        <w:tc>
          <w:tcPr>
            <w:tcW w:type="dxa" w:w="2307"/>
          </w:tcPr>
          <w:p>
            <w:pPr>
              <w:jc w:val="left"/>
            </w:pPr>
            <w:r>
              <w:rPr/>
              <w:t>业绩 (10.0分)</w:t>
            </w:r>
          </w:p>
        </w:tc>
        <w:tc>
          <w:tcPr>
            <w:tcW w:type="dxa" w:w="5076"/>
          </w:tcPr>
          <w:p>
            <w:pPr>
              <w:jc w:val="left"/>
            </w:pPr>
            <w:r>
              <w:rPr/>
              <w:t>供应商具有含有光纤（或互联网）线路内容业绩的，每提供一个业绩得2分，本项最高得分10分。 注：须提供合同复印件加盖供应商公章，否则不得分。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8"/>
        </w:rPr>
        <w:t>广东省政府采购</w:t>
      </w:r>
    </w:p>
    <w:p>
      <w:pPr>
        <w:jc w:val="both"/>
      </w:pPr>
      <w:r>
        <w:rPr>
          <w:sz w:val="21"/>
        </w:rPr>
        <w:t xml:space="preserve"> </w:t>
      </w:r>
    </w:p>
    <w:p>
      <w:pPr>
        <w:jc w:val="center"/>
      </w:pPr>
      <w:r>
        <w:rPr>
          <w:b/>
          <w:sz w:val="48"/>
        </w:rPr>
        <w:t>合　同　书</w:t>
      </w:r>
    </w:p>
    <w:p>
      <w:pPr>
        <w:jc w:val="center"/>
      </w:pPr>
    </w:p>
    <w:p>
      <w:pPr>
        <w:jc w:val="both"/>
      </w:pPr>
    </w:p>
    <w:p>
      <w:pPr>
        <w:jc w:val="both"/>
      </w:pPr>
    </w:p>
    <w:p>
      <w:pPr>
        <w:jc w:val="both"/>
      </w:pPr>
    </w:p>
    <w:p>
      <w:pPr>
        <w:jc w:val="both"/>
      </w:pPr>
    </w:p>
    <w:p>
      <w:pPr>
        <w:jc w:val="both"/>
      </w:pPr>
    </w:p>
    <w:p>
      <w:pPr>
        <w:jc w:val="both"/>
      </w:pPr>
    </w:p>
    <w:p>
      <w:pPr>
        <w:jc w:val="both"/>
      </w:pPr>
    </w:p>
    <w:p>
      <w:pPr>
        <w:jc w:val="center"/>
      </w:pP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
    <w:p>
      <w:r>
        <w:rPr/>
        <w:t xml:space="preserve"> </w:t>
      </w:r>
    </w:p>
    <w:p>
      <w:pPr>
        <w:jc w:val="both"/>
      </w:pPr>
      <w:r>
        <w:rPr>
          <w:b/>
          <w:sz w:val="21"/>
        </w:rPr>
        <w:t>甲　　方：东莞滨海湾新区管理委员会　　　　　</w:t>
      </w:r>
    </w:p>
    <w:p>
      <w:pPr>
        <w:jc w:val="both"/>
      </w:pPr>
      <w:r>
        <w:rPr>
          <w:sz w:val="21"/>
        </w:rPr>
        <w:t>电　　话：　　传　　真：　　地　　址：</w:t>
      </w:r>
    </w:p>
    <w:p>
      <w:pPr>
        <w:jc w:val="both"/>
      </w:pPr>
      <w:r>
        <w:rPr>
          <w:b/>
          <w:sz w:val="21"/>
        </w:rPr>
        <w:t>乙　　方：　　　　　</w:t>
      </w:r>
    </w:p>
    <w:p>
      <w:pPr>
        <w:jc w:val="both"/>
      </w:pPr>
      <w:r>
        <w:rPr>
          <w:sz w:val="21"/>
        </w:rPr>
        <w:t>电　　话：　　传　　真：　　地　　址：</w:t>
      </w:r>
    </w:p>
    <w:p>
      <w:pPr>
        <w:ind w:firstLine="440"/>
        <w:jc w:val="both"/>
      </w:pPr>
      <w:r>
        <w:rPr>
          <w:sz w:val="21"/>
        </w:rPr>
        <w:t>根据</w:t>
      </w:r>
      <w:r>
        <w:rPr>
          <w:sz w:val="21"/>
          <w:u w:val="single"/>
        </w:rPr>
        <w:t>东莞滨海湾新区智慧道路（三期）光纤租赁服务项目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1"/>
        </w:rPr>
        <w:t>一、合同金额</w:t>
      </w:r>
    </w:p>
    <w:p>
      <w:pPr>
        <w:ind w:firstLine="440"/>
        <w:jc w:val="both"/>
      </w:pPr>
      <w:r>
        <w:rPr>
          <w:sz w:val="21"/>
        </w:rPr>
        <w:t>合同金额为（大写）：</w:t>
      </w:r>
      <w:r>
        <w:rPr>
          <w:sz w:val="21"/>
        </w:rPr>
        <w:t>_____________元（￥_________元）人民币。</w:t>
      </w:r>
    </w:p>
    <w:p>
      <w:pPr>
        <w:ind w:firstLine="420"/>
        <w:jc w:val="both"/>
      </w:pPr>
      <w:r>
        <w:rPr>
          <w:sz w:val="21"/>
        </w:rPr>
        <w:t>该金额</w:t>
      </w:r>
      <w:r>
        <w:rPr>
          <w:sz w:val="21"/>
        </w:rPr>
        <w:t>包含完成本次</w:t>
      </w:r>
      <w:r>
        <w:rPr>
          <w:sz w:val="21"/>
        </w:rPr>
        <w:t>采购</w:t>
      </w:r>
      <w:r>
        <w:rPr>
          <w:sz w:val="21"/>
        </w:rPr>
        <w:t>所有服务内容的费用，包括合同期间所有调度平台网络业务的运行、维护费用及合同实施过程中不可预见费用等全部费用。</w:t>
      </w:r>
      <w:r>
        <w:rPr>
          <w:sz w:val="21"/>
        </w:rPr>
        <w:t>（注：供应商应对本项目每条线路租赁费用进行分项报价，每条线路租赁费用不超</w:t>
      </w:r>
      <w:r>
        <w:rPr>
          <w:sz w:val="21"/>
        </w:rPr>
        <w:t>400元/月，否则视为无效报价）</w:t>
      </w:r>
    </w:p>
    <w:p>
      <w:pPr>
        <w:jc w:val="both"/>
      </w:pPr>
      <w:r>
        <w:rPr>
          <w:b/>
          <w:sz w:val="21"/>
        </w:rPr>
        <w:t>二、</w:t>
      </w:r>
      <w:r>
        <w:rPr>
          <w:b/>
          <w:sz w:val="21"/>
        </w:rPr>
        <w:t>合同</w:t>
      </w:r>
      <w:r>
        <w:rPr>
          <w:b/>
          <w:sz w:val="21"/>
        </w:rPr>
        <w:t>服务</w:t>
      </w:r>
      <w:r>
        <w:rPr>
          <w:b/>
          <w:sz w:val="21"/>
        </w:rPr>
        <w:t>内容</w:t>
      </w:r>
    </w:p>
    <w:p>
      <w:pPr>
        <w:jc w:val="left"/>
      </w:pPr>
      <w:r>
        <w:rPr>
          <w:b/>
          <w:sz w:val="21"/>
        </w:rPr>
        <w:t>（一）</w:t>
      </w:r>
      <w:r>
        <w:rPr>
          <w:b/>
          <w:sz w:val="21"/>
        </w:rPr>
        <w:t>项目概况</w:t>
      </w:r>
    </w:p>
    <w:p>
      <w:pPr>
        <w:ind w:firstLine="420"/>
        <w:jc w:val="both"/>
      </w:pPr>
      <w:r>
        <w:rPr>
          <w:sz w:val="21"/>
        </w:rPr>
        <w:t>滨海湾新区地理位置优越，连片土地开发中。在统筹片区交通方面，滨海大道北接环莞快速路，南通滨海湾新区，连接虎门高铁站和虎门南站，全长约</w:t>
      </w:r>
      <w:r>
        <w:rPr>
          <w:sz w:val="21"/>
        </w:rPr>
        <w:t>30公里。中期规划中，滨海湾滨新区拟对主要道路的智慧灯杆点位以及多个项目信息汇聚点，预计共</w:t>
      </w:r>
      <w:r>
        <w:rPr>
          <w:sz w:val="21"/>
        </w:rPr>
        <w:t>340</w:t>
      </w:r>
      <w:r>
        <w:rPr>
          <w:sz w:val="21"/>
        </w:rPr>
        <w:t>个点位；通过光纤将前端信息（照明、视频、</w:t>
      </w:r>
      <w:r>
        <w:rPr>
          <w:sz w:val="21"/>
        </w:rPr>
        <w:t>WIFI、音视频显示屏、报警等功能）传送到监控中心。</w:t>
      </w:r>
    </w:p>
    <w:p>
      <w:pPr>
        <w:jc w:val="left"/>
      </w:pPr>
      <w:r>
        <w:rPr>
          <w:b/>
          <w:sz w:val="21"/>
        </w:rPr>
        <w:t>（二）</w:t>
      </w:r>
      <w:r>
        <w:rPr>
          <w:b/>
          <w:sz w:val="21"/>
        </w:rPr>
        <w:t>服务目标</w:t>
      </w:r>
    </w:p>
    <w:p>
      <w:pPr>
        <w:ind w:firstLine="420"/>
        <w:jc w:val="both"/>
      </w:pPr>
      <w:r>
        <w:rPr>
          <w:sz w:val="21"/>
        </w:rPr>
        <w:t>本次项目目的为租用</w:t>
      </w:r>
      <w:r>
        <w:rPr>
          <w:sz w:val="21"/>
        </w:rPr>
        <w:t>325条裸纤分点线路，实现光纤组网。</w:t>
      </w:r>
    </w:p>
    <w:p>
      <w:pPr>
        <w:ind w:firstLine="420"/>
        <w:jc w:val="both"/>
      </w:pPr>
      <w:r>
        <w:rPr>
          <w:sz w:val="21"/>
        </w:rPr>
        <w:t>具体内容要求：租用以上预计</w:t>
      </w:r>
      <w:r>
        <w:rPr>
          <w:sz w:val="21"/>
        </w:rPr>
        <w:t>325条裸纤网络，保证线路性能的可靠性和安全性，保证业务系统的正常运行。</w:t>
      </w:r>
    </w:p>
    <w:p>
      <w:pPr>
        <w:jc w:val="left"/>
      </w:pPr>
      <w:r>
        <w:rPr>
          <w:b/>
          <w:sz w:val="21"/>
        </w:rPr>
        <w:t>（三）</w:t>
      </w:r>
      <w:r>
        <w:rPr>
          <w:b/>
          <w:sz w:val="21"/>
        </w:rPr>
        <w:t>服务内容</w:t>
      </w:r>
    </w:p>
    <w:p>
      <w:pPr>
        <w:jc w:val="both"/>
      </w:pPr>
      <w:r>
        <w:rPr>
          <w:sz w:val="21"/>
        </w:rPr>
        <w:t>1、东莞滨海湾新区管理委员会租用</w:t>
      </w:r>
      <w:r>
        <w:rPr>
          <w:sz w:val="21"/>
        </w:rPr>
        <w:t>340</w:t>
      </w:r>
      <w:r>
        <w:rPr>
          <w:sz w:val="21"/>
        </w:rPr>
        <w:t>条裸纤线路。</w:t>
      </w:r>
    </w:p>
    <w:p>
      <w:pPr>
        <w:ind w:firstLine="420"/>
        <w:jc w:val="both"/>
      </w:pPr>
      <w:r>
        <w:rPr>
          <w:sz w:val="21"/>
        </w:rPr>
        <w:t>1）</w:t>
      </w:r>
      <w:r>
        <w:rPr>
          <w:sz w:val="21"/>
        </w:rPr>
        <w:t>340</w:t>
      </w:r>
      <w:r>
        <w:rPr>
          <w:sz w:val="21"/>
        </w:rPr>
        <w:t>个分点一览表：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15"/>
        <w:gridCol w:w="2735"/>
        <w:gridCol w:w="3539"/>
        <w:gridCol w:w="1015"/>
      </w:tblGrid>
      <w:tr>
        <w:tc>
          <w:tcPr>
            <w:tcW w:type="dxa" w:w="101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735"/>
            <w:tcBorders>
              <w:top w:val="single" w:color="000000" w:sz="4"/>
              <w:left w:val="none" w:color="000000" w:sz="4"/>
              <w:bottom w:val="single" w:color="000000" w:sz="4"/>
              <w:right w:val="single" w:color="000000" w:sz="4"/>
            </w:tcBorders>
            <w:vAlign w:val="top"/>
          </w:tcPr>
          <w:p>
            <w:pPr>
              <w:jc w:val="center"/>
            </w:pPr>
            <w:r>
              <w:rPr>
                <w:sz w:val="21"/>
              </w:rPr>
              <w:t>智慧灯杆编号</w:t>
            </w:r>
          </w:p>
        </w:tc>
        <w:tc>
          <w:tcPr>
            <w:tcW w:type="dxa" w:w="3539"/>
            <w:tcBorders>
              <w:top w:val="single" w:color="000000" w:sz="4"/>
              <w:left w:val="none" w:color="000000" w:sz="4"/>
              <w:bottom w:val="single" w:color="000000" w:sz="4"/>
              <w:right w:val="single" w:color="000000" w:sz="4"/>
            </w:tcBorders>
            <w:vAlign w:val="top"/>
          </w:tcPr>
          <w:p>
            <w:pPr>
              <w:jc w:val="center"/>
            </w:pPr>
            <w:r>
              <w:rPr>
                <w:sz w:val="21"/>
              </w:rPr>
              <w:t>所在道路</w:t>
            </w:r>
          </w:p>
        </w:tc>
        <w:tc>
          <w:tcPr>
            <w:tcW w:type="dxa" w:w="1015"/>
            <w:tcBorders>
              <w:top w:val="single" w:color="000000" w:sz="4"/>
              <w:left w:val="none" w:color="000000" w:sz="4"/>
              <w:bottom w:val="single" w:color="000000" w:sz="4"/>
              <w:right w:val="single" w:color="000000" w:sz="4"/>
            </w:tcBorders>
            <w:vAlign w:val="top"/>
          </w:tcPr>
          <w:p>
            <w:pPr>
              <w:jc w:val="center"/>
            </w:pPr>
            <w:r>
              <w:rPr>
                <w:sz w:val="21"/>
              </w:rPr>
              <w:t>线路数量</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BHWDD-EM-058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BHWDD-EM-064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BHWDD-EM-067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BHWDD-WM-018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BHWDD-WM-058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BHWFD-E-011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BHWFD-E-020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BHWFD-E-051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BHWFD-E-069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BHWFD-E-087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BHWFD-E-095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BHWFD-W-060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BHWFD-W-066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BHWFD-W-079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BHWFD-W-086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BHWFD-W-093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滨海湾大道（沙角段）人行辅道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DWDD-N-078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ZHHL-N-017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DWDD-N-087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DWDD-N-096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HHL-S-015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DWDD-S-027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DWDD-S-067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ZHHL-S-016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DWDD-S-079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DWDD-S-089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DWDD-S-092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DWDD-S-095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东湾大道（交椅湾段）</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199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FHL-E-047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219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229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FHL-W-039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FHL-W-042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BHDD-1NC-024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DWDD-S-101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DWDD-N-102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DWDD-N-100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DWDD-S-100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239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DWDD-S-98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BHDD-1NC-025+1（利旧）</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BHDD-1S-049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BHDD-2S-001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综合设备箱</w:t>
            </w:r>
            <w:r>
              <w:rPr>
                <w:sz w:val="21"/>
              </w:rPr>
              <w:t>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福海路南延线</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BHFD-N-002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BHFD-N-006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249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BHFD-S-002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BHFD-S-007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滨海湾大桥辅道</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YB-N-10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259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YB-S-09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YB-S-10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迎宾路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269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WQ-WN-019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279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289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WQ-WN-057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WQ-ES-007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WQ-ES-018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WQ-ES-021</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299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WQ-ES-029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WQ-ES-035</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WQ-ES-038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309</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WQ-ES-044</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310</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WQ-ES-046</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WQ-ES-048</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WQ-ES-050</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WQ-ES-052</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WQ-ES-053</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WQ-ES-057</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WQ-ES-059</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317</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318</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2</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319</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3</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320</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4</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321</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5</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322</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6</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323</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7</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324</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8</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325</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9</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326</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10</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327</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11</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328</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12</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329</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13</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330</w:t>
            </w:r>
          </w:p>
        </w:tc>
        <w:tc>
          <w:tcPr>
            <w:tcW w:type="dxa" w:w="2735"/>
            <w:tcBorders>
              <w:top w:val="none" w:color="000000" w:sz="4"/>
              <w:left w:val="none" w:color="000000" w:sz="4"/>
              <w:bottom w:val="single" w:color="000000" w:sz="4"/>
              <w:right w:val="single" w:color="000000" w:sz="4"/>
            </w:tcBorders>
            <w:vAlign w:val="bottom"/>
          </w:tcPr>
          <w:p>
            <w:pPr>
              <w:jc w:val="center"/>
            </w:pPr>
            <w:r>
              <w:rPr>
                <w:sz w:val="21"/>
              </w:rPr>
              <w:t>滨海湾大桥</w:t>
            </w:r>
            <w:r>
              <w:rPr>
                <w:sz w:val="21"/>
              </w:rPr>
              <w:t>14</w:t>
            </w:r>
          </w:p>
        </w:tc>
        <w:tc>
          <w:tcPr>
            <w:tcW w:type="dxa" w:w="3539"/>
            <w:tcBorders>
              <w:top w:val="none" w:color="000000" w:sz="4"/>
              <w:left w:val="none" w:color="000000" w:sz="4"/>
              <w:bottom w:val="single" w:color="000000" w:sz="4"/>
              <w:right w:val="single" w:color="000000" w:sz="4"/>
            </w:tcBorders>
            <w:vAlign w:val="bottom"/>
          </w:tcPr>
          <w:p>
            <w:pPr>
              <w:jc w:val="center"/>
            </w:pPr>
            <w:r>
              <w:rPr>
                <w:sz w:val="21"/>
              </w:rPr>
              <w:t>滨海湾大桥</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331</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交通控制器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兴海路</w:t>
            </w:r>
          </w:p>
        </w:tc>
        <w:tc>
          <w:tcPr>
            <w:tcW w:type="dxa" w:w="1015"/>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332</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花海里项目部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333</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亲子乐园项目部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334</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观海长廊项目部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335</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文体公园项目部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336</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小天才项目部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337</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OPPO项目部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1015"/>
            <w:tcBorders>
              <w:top w:val="none" w:color="000000" w:sz="4"/>
              <w:left w:val="single" w:color="000000" w:sz="4"/>
              <w:bottom w:val="single" w:color="000000" w:sz="4"/>
              <w:right w:val="single" w:color="000000" w:sz="4"/>
            </w:tcBorders>
            <w:vAlign w:val="top"/>
          </w:tcPr>
          <w:p>
            <w:pPr>
              <w:jc w:val="center"/>
            </w:pPr>
            <w:r>
              <w:rPr>
                <w:color w:val="000000"/>
                <w:sz w:val="21"/>
              </w:rPr>
              <w:t>338</w:t>
            </w:r>
          </w:p>
        </w:tc>
        <w:tc>
          <w:tcPr>
            <w:tcW w:type="dxa" w:w="2735"/>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3539"/>
            <w:tcBorders>
              <w:top w:val="none" w:color="000000" w:sz="4"/>
              <w:left w:val="none" w:color="000000" w:sz="4"/>
              <w:bottom w:val="single" w:color="000000" w:sz="4"/>
              <w:right w:val="single" w:color="000000" w:sz="4"/>
            </w:tcBorders>
            <w:vAlign w:val="top"/>
          </w:tcPr>
          <w:p>
            <w:pPr>
              <w:jc w:val="center"/>
            </w:pPr>
            <w:r>
              <w:rPr>
                <w:sz w:val="21"/>
              </w:rPr>
              <w:t>中虹建设滨海湾新区项目部</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1</w:t>
            </w:r>
          </w:p>
        </w:tc>
      </w:tr>
      <w:tr>
        <w:tc>
          <w:tcPr>
            <w:tcW w:type="dxa" w:w="7289"/>
            <w:gridSpan w:val="3"/>
            <w:tcBorders>
              <w:top w:val="none" w:color="000000" w:sz="4"/>
              <w:left w:val="single" w:color="000000" w:sz="4"/>
              <w:bottom w:val="single" w:color="000000" w:sz="4"/>
              <w:right w:val="single" w:color="000000" w:sz="4"/>
            </w:tcBorders>
            <w:vAlign w:val="bottom"/>
          </w:tcPr>
          <w:p>
            <w:pPr>
              <w:jc w:val="center"/>
            </w:pPr>
            <w:r>
              <w:rPr>
                <w:sz w:val="21"/>
              </w:rPr>
              <w:t>合计：</w:t>
            </w:r>
          </w:p>
        </w:tc>
        <w:tc>
          <w:tcPr>
            <w:tcW w:type="dxa" w:w="1015"/>
            <w:tcBorders>
              <w:top w:val="none" w:color="000000" w:sz="4"/>
              <w:left w:val="none" w:color="000000" w:sz="4"/>
              <w:bottom w:val="single" w:color="000000" w:sz="4"/>
              <w:right w:val="single" w:color="000000" w:sz="4"/>
            </w:tcBorders>
            <w:vAlign w:val="bottom"/>
          </w:tcPr>
          <w:p>
            <w:pPr>
              <w:jc w:val="center"/>
            </w:pPr>
            <w:r>
              <w:rPr>
                <w:sz w:val="21"/>
              </w:rPr>
              <w:t>340</w:t>
            </w:r>
          </w:p>
        </w:tc>
      </w:tr>
    </w:tbl>
    <w:p>
      <w:pPr>
        <w:ind w:firstLine="420"/>
        <w:jc w:val="both"/>
      </w:pPr>
      <w:r>
        <w:rPr>
          <w:sz w:val="21"/>
        </w:rPr>
        <w:t>备注：具体点位以实际施工位置为准。</w:t>
      </w:r>
    </w:p>
    <w:p>
      <w:pPr>
        <w:ind w:firstLine="420"/>
        <w:jc w:val="both"/>
      </w:pPr>
      <w:r>
        <w:rPr>
          <w:sz w:val="21"/>
        </w:rPr>
        <w:t>2、整体组网方案说明</w:t>
      </w:r>
    </w:p>
    <w:p>
      <w:pPr>
        <w:ind w:firstLine="420"/>
        <w:jc w:val="both"/>
      </w:pPr>
      <w:r>
        <w:rPr>
          <w:sz w:val="21"/>
        </w:rPr>
        <w:t>本项目可分为道路智慧灯杆与项目信息汇聚点两部分需求：</w:t>
      </w:r>
    </w:p>
    <w:p>
      <w:pPr>
        <w:ind w:firstLine="420"/>
        <w:jc w:val="both"/>
      </w:pP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ind w:firstLine="420"/>
        <w:jc w:val="both"/>
      </w:pPr>
      <w:r>
        <w:rPr>
          <w:sz w:val="21"/>
        </w:rPr>
        <w:t>2）项目信息汇聚点：7个项目信息汇聚点（花海里项目、亲子乐园项目、文体公园项目、观海长廊项目、中虹建设项目、其他2个项目），分别汇聚在1台设备中，各接入4芯光缆(实际使用2芯，2芯备用)；再连接到网络交接箱中，通过网络交接箱主干光缆将前端信息传输至监控中心机房。</w:t>
      </w:r>
    </w:p>
    <w:p>
      <w:pPr>
        <w:ind w:firstLine="420"/>
        <w:jc w:val="both"/>
      </w:pPr>
      <w:r>
        <w:rPr>
          <w:sz w:val="21"/>
        </w:rPr>
        <w:t>3</w:t>
      </w:r>
      <w:r>
        <w:rPr>
          <w:sz w:val="21"/>
        </w:rPr>
        <w:t>、技术方案</w:t>
      </w:r>
    </w:p>
    <w:p>
      <w:pPr>
        <w:ind w:firstLine="420"/>
        <w:jc w:val="both"/>
      </w:pPr>
      <w:r>
        <w:rPr>
          <w:sz w:val="21"/>
        </w:rPr>
        <w:t>根据大型网络项目的建设情况以及根据网络建设中的先进可靠性、安全保密性、易用扩展性、经济适用性及标准和规范的原则，要求采用点对点的实时传输模式。网络架构图如下：</w:t>
      </w:r>
    </w:p>
    <w:p>
      <w:pPr>
        <w:ind w:firstLine="420"/>
        <w:jc w:val="both"/>
      </w:pPr>
      <w:r>
        <w:drawing>
          <wp:inline distT="0" distR="0" distB="0" distL="0">
            <wp:extent cx="5267325" cy="30099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67325" cy="3009900"/>
                    </a:xfrm>
                    <a:prstGeom prst="rect">
                      <a:avLst/>
                    </a:prstGeom>
                  </pic:spPr>
                </pic:pic>
              </a:graphicData>
            </a:graphic>
          </wp:inline>
        </w:drawing>
      </w:r>
    </w:p>
    <w:p>
      <w:pPr>
        <w:jc w:val="left"/>
      </w:pPr>
      <w:r>
        <w:rPr>
          <w:b/>
          <w:sz w:val="21"/>
        </w:rPr>
        <w:t>（四）</w:t>
      </w:r>
      <w:r>
        <w:rPr>
          <w:b/>
          <w:sz w:val="21"/>
        </w:rPr>
        <w:t>主要技术要求</w:t>
      </w:r>
    </w:p>
    <w:p>
      <w:pPr>
        <w:jc w:val="left"/>
      </w:pPr>
      <w:r>
        <w:rPr>
          <w:b/>
          <w:sz w:val="21"/>
        </w:rPr>
        <w:t xml:space="preserve">    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jc w:val="left"/>
      </w:pPr>
      <w:r>
        <w:rPr>
          <w:b/>
          <w:sz w:val="21"/>
        </w:rPr>
        <w:t xml:space="preserve">    2、稳定性高。采用点对点裸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ind w:firstLine="420"/>
        <w:jc w:val="both"/>
      </w:pPr>
      <w:r>
        <w:rPr>
          <w:sz w:val="21"/>
        </w:rPr>
        <w:t>3、网络易平滑升级，扩展性高。采用裸光纤接入，可灵活增加或减少网点，对原有的网络结构不造成影响，网络易于扩展延伸。</w:t>
      </w:r>
    </w:p>
    <w:p>
      <w:pPr>
        <w:ind w:firstLine="447"/>
        <w:jc w:val="both"/>
      </w:pP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ind w:firstLine="447"/>
        <w:jc w:val="both"/>
      </w:pPr>
      <w:r>
        <w:rPr>
          <w:sz w:val="21"/>
        </w:rPr>
        <w:t>5、抗扰能力强。因为光纤是非金属的介质材料，不受强电干扰、电气信号干扰和雷电干扰，抗电磁脉冲能力也很强，保密性好。</w:t>
      </w:r>
    </w:p>
    <w:p>
      <w:pPr>
        <w:jc w:val="left"/>
      </w:pPr>
      <w:r>
        <w:rPr>
          <w:b/>
          <w:sz w:val="21"/>
        </w:rPr>
        <w:t>（五）组网、安装线路及服务要求</w:t>
      </w:r>
    </w:p>
    <w:p>
      <w:pPr>
        <w:ind w:firstLine="480"/>
        <w:jc w:val="both"/>
      </w:pPr>
      <w:r>
        <w:rPr>
          <w:sz w:val="21"/>
        </w:rPr>
        <w:t>1</w:t>
      </w:r>
      <w:r>
        <w:rPr>
          <w:sz w:val="21"/>
        </w:rPr>
        <w:t>、</w:t>
      </w:r>
      <w:r>
        <w:rPr>
          <w:sz w:val="21"/>
        </w:rPr>
        <w:t>乙方</w:t>
      </w:r>
      <w:r>
        <w:rPr>
          <w:sz w:val="21"/>
        </w:rPr>
        <w:t>提供的网络、设备必须具有高可靠性，保证</w:t>
      </w:r>
      <w:r>
        <w:rPr>
          <w:sz w:val="21"/>
        </w:rPr>
        <w:t>本项目</w:t>
      </w:r>
      <w:r>
        <w:rPr>
          <w:sz w:val="21"/>
        </w:rPr>
        <w:t>的正常运行，具有完备的网络健康保障及运营支持体系。</w:t>
      </w:r>
    </w:p>
    <w:p>
      <w:pPr>
        <w:ind w:firstLine="480"/>
        <w:jc w:val="both"/>
      </w:pPr>
      <w:r>
        <w:rPr>
          <w:sz w:val="21"/>
        </w:rPr>
        <w:t>2</w:t>
      </w:r>
      <w:r>
        <w:rPr>
          <w:sz w:val="21"/>
        </w:rPr>
        <w:t>、</w:t>
      </w:r>
      <w:r>
        <w:rPr>
          <w:sz w:val="21"/>
        </w:rPr>
        <w:t>乙方</w:t>
      </w:r>
      <w:r>
        <w:rPr>
          <w:sz w:val="21"/>
        </w:rPr>
        <w:t>须结合本项目详细说明安全保密要求，并制定细致的保密的保密方案。提供的网络必须具有很强的安全保密性，确保</w:t>
      </w:r>
      <w:r>
        <w:rPr>
          <w:sz w:val="21"/>
        </w:rPr>
        <w:t>本项目</w:t>
      </w:r>
      <w:r>
        <w:rPr>
          <w:sz w:val="21"/>
        </w:rPr>
        <w:t>的安全与保密，具有完善的安全保障措施。</w:t>
      </w:r>
    </w:p>
    <w:p>
      <w:pPr>
        <w:jc w:val="both"/>
      </w:pPr>
      <w:r>
        <w:rPr>
          <w:b/>
          <w:sz w:val="21"/>
        </w:rPr>
        <w:t>三、售后服务</w:t>
      </w:r>
      <w:r>
        <w:rPr>
          <w:b/>
          <w:sz w:val="21"/>
        </w:rPr>
        <w:t>要求</w:t>
      </w:r>
    </w:p>
    <w:p>
      <w:pPr>
        <w:ind w:firstLine="420"/>
        <w:jc w:val="both"/>
      </w:pPr>
      <w:r>
        <w:rPr>
          <w:sz w:val="21"/>
        </w:rPr>
        <w:t>1</w:t>
      </w:r>
      <w:r>
        <w:rPr>
          <w:sz w:val="21"/>
        </w:rPr>
        <w:t>、</w:t>
      </w:r>
      <w:r>
        <w:rPr>
          <w:sz w:val="21"/>
        </w:rPr>
        <w:t>服务期内，</w:t>
      </w:r>
      <w:r>
        <w:rPr>
          <w:sz w:val="21"/>
        </w:rPr>
        <w:t>乙方</w:t>
      </w:r>
      <w:r>
        <w:rPr>
          <w:sz w:val="21"/>
        </w:rPr>
        <w:t>需为本项目的光纤线路提供免费保修以及软件维护、升级，保证所有光纤符合正常运行标准。</w:t>
      </w:r>
    </w:p>
    <w:p>
      <w:pPr>
        <w:ind w:firstLine="420"/>
        <w:jc w:val="both"/>
      </w:pPr>
      <w:r>
        <w:rPr>
          <w:sz w:val="21"/>
        </w:rPr>
        <w:t>2</w:t>
      </w:r>
      <w:r>
        <w:rPr>
          <w:sz w:val="21"/>
        </w:rPr>
        <w:t>、</w:t>
      </w:r>
      <w:r>
        <w:rPr>
          <w:sz w:val="21"/>
        </w:rPr>
        <w:t>服务期内，</w:t>
      </w:r>
      <w:r>
        <w:rPr>
          <w:sz w:val="21"/>
        </w:rPr>
        <w:t>乙方</w:t>
      </w:r>
      <w:r>
        <w:rPr>
          <w:sz w:val="21"/>
        </w:rPr>
        <w:t>需为本项目提供</w:t>
      </w:r>
      <w:r>
        <w:rPr>
          <w:sz w:val="21"/>
        </w:rPr>
        <w:t>7×24小时的技术咨询服务和报障专门联系人及电话。</w:t>
      </w:r>
    </w:p>
    <w:p>
      <w:pPr>
        <w:ind w:firstLine="420"/>
        <w:jc w:val="both"/>
      </w:pPr>
      <w:r>
        <w:rPr>
          <w:sz w:val="21"/>
        </w:rPr>
        <w:t>3</w:t>
      </w:r>
      <w:r>
        <w:rPr>
          <w:sz w:val="21"/>
        </w:rPr>
        <w:t>、</w:t>
      </w:r>
      <w:r>
        <w:rPr>
          <w:sz w:val="21"/>
        </w:rPr>
        <w:t>服务期内，</w:t>
      </w:r>
      <w:r>
        <w:rPr>
          <w:sz w:val="21"/>
        </w:rPr>
        <w:t>乙方</w:t>
      </w:r>
      <w:r>
        <w:rPr>
          <w:sz w:val="21"/>
        </w:rPr>
        <w:t>在接到</w:t>
      </w:r>
      <w:r>
        <w:rPr>
          <w:sz w:val="21"/>
        </w:rPr>
        <w:t>甲方</w:t>
      </w:r>
      <w:r>
        <w:rPr>
          <w:sz w:val="21"/>
        </w:rPr>
        <w:t>的报障通知后，务必</w:t>
      </w:r>
      <w:r>
        <w:rPr>
          <w:sz w:val="21"/>
        </w:rPr>
        <w:t>30分钟内响应，2小时内到达故障现场进行抢修，24小时内修复（不可抗力除外）。</w:t>
      </w:r>
    </w:p>
    <w:p>
      <w:pPr>
        <w:ind w:firstLine="420"/>
        <w:jc w:val="both"/>
      </w:pPr>
      <w:r>
        <w:rPr>
          <w:sz w:val="21"/>
        </w:rPr>
        <w:t>4</w:t>
      </w:r>
      <w:r>
        <w:rPr>
          <w:sz w:val="21"/>
        </w:rPr>
        <w:t>、</w:t>
      </w:r>
      <w:r>
        <w:rPr>
          <w:sz w:val="21"/>
        </w:rPr>
        <w:t>服务期内，</w:t>
      </w:r>
      <w:r>
        <w:rPr>
          <w:sz w:val="21"/>
        </w:rPr>
        <w:t>乙方</w:t>
      </w:r>
      <w:r>
        <w:rPr>
          <w:sz w:val="21"/>
        </w:rPr>
        <w:t>需保证本项目所涉及的所有光纤线路处于正常工作状态的比例不小于</w:t>
      </w:r>
      <w:r>
        <w:rPr>
          <w:sz w:val="21"/>
        </w:rPr>
        <w:t>95%；</w:t>
      </w:r>
      <w:r>
        <w:rPr>
          <w:sz w:val="21"/>
        </w:rPr>
        <w:t>乙方</w:t>
      </w:r>
      <w:r>
        <w:rPr>
          <w:sz w:val="21"/>
        </w:rPr>
        <w:t>应对其中的故障线路、设备负责免费维修，对不能修复的线路、设备负责免费更换。</w:t>
      </w:r>
    </w:p>
    <w:p>
      <w:pPr>
        <w:ind w:firstLine="420"/>
        <w:jc w:val="both"/>
      </w:pPr>
      <w:r>
        <w:rPr>
          <w:sz w:val="21"/>
        </w:rPr>
        <w:t>5</w:t>
      </w:r>
      <w:r>
        <w:rPr>
          <w:sz w:val="21"/>
        </w:rPr>
        <w:t>、</w:t>
      </w:r>
      <w:r>
        <w:rPr>
          <w:sz w:val="21"/>
        </w:rPr>
        <w:t>服务期内，</w:t>
      </w:r>
      <w:r>
        <w:rPr>
          <w:sz w:val="21"/>
        </w:rPr>
        <w:t>乙方</w:t>
      </w:r>
      <w:r>
        <w:rPr>
          <w:sz w:val="21"/>
        </w:rPr>
        <w:t>需协助配合</w:t>
      </w:r>
      <w:r>
        <w:rPr>
          <w:sz w:val="21"/>
        </w:rPr>
        <w:t>甲方</w:t>
      </w:r>
      <w:r>
        <w:rPr>
          <w:sz w:val="21"/>
        </w:rPr>
        <w:t>完成</w:t>
      </w:r>
      <w:r>
        <w:rPr>
          <w:sz w:val="21"/>
        </w:rPr>
        <w:t>本项目所涉及的线路和设备</w:t>
      </w:r>
      <w:r>
        <w:rPr>
          <w:sz w:val="21"/>
        </w:rPr>
        <w:t>搬迁</w:t>
      </w:r>
      <w:r>
        <w:rPr>
          <w:sz w:val="21"/>
        </w:rPr>
        <w:t>工作，</w:t>
      </w:r>
      <w:r>
        <w:rPr>
          <w:sz w:val="21"/>
        </w:rPr>
        <w:t>由此产生的一切费用均由</w:t>
      </w:r>
      <w:r>
        <w:rPr>
          <w:sz w:val="21"/>
        </w:rPr>
        <w:t>乙方</w:t>
      </w:r>
      <w:r>
        <w:rPr>
          <w:sz w:val="21"/>
        </w:rPr>
        <w:t>承担。</w:t>
      </w:r>
    </w:p>
    <w:p>
      <w:pPr>
        <w:jc w:val="both"/>
      </w:pPr>
      <w:r>
        <w:rPr>
          <w:b/>
          <w:sz w:val="21"/>
        </w:rPr>
        <w:t>四</w:t>
      </w:r>
      <w:r>
        <w:rPr>
          <w:b/>
          <w:sz w:val="21"/>
        </w:rPr>
        <w:t>、合同履约期限</w:t>
      </w:r>
    </w:p>
    <w:p>
      <w:pPr>
        <w:ind w:firstLine="420"/>
        <w:jc w:val="both"/>
      </w:pPr>
      <w:r>
        <w:rPr>
          <w:b/>
          <w:sz w:val="21"/>
        </w:rPr>
        <w:t>完工期：</w:t>
      </w:r>
      <w:r>
        <w:rPr>
          <w:sz w:val="21"/>
        </w:rPr>
        <w:t>在接收到项目通知中标后</w:t>
      </w:r>
      <w:r>
        <w:rPr>
          <w:sz w:val="21"/>
        </w:rPr>
        <w:t>90个自然日内完成所有网点的管道及线路铺设工作并交付甲方使用。如不能按时交付，甲方有权取消其中标（成交）资格。</w:t>
      </w:r>
      <w:r>
        <w:rPr>
          <w:b/>
          <w:sz w:val="21"/>
        </w:rPr>
        <w:t>服务期：</w:t>
      </w:r>
      <w:r>
        <w:rPr>
          <w:sz w:val="21"/>
        </w:rPr>
        <w:t>自验收合格次月</w:t>
      </w:r>
      <w:r>
        <w:rPr>
          <w:sz w:val="21"/>
        </w:rPr>
        <w:t>1日起12个月。</w:t>
      </w:r>
    </w:p>
    <w:p>
      <w:pPr>
        <w:jc w:val="both"/>
      </w:pPr>
      <w:r>
        <w:rPr>
          <w:b/>
          <w:sz w:val="21"/>
        </w:rPr>
        <w:t>五</w:t>
      </w:r>
      <w:r>
        <w:rPr>
          <w:b/>
          <w:sz w:val="21"/>
        </w:rPr>
        <w:t>、付款方式</w:t>
      </w:r>
    </w:p>
    <w:p>
      <w:pPr>
        <w:ind w:firstLine="420"/>
        <w:jc w:val="both"/>
      </w:pPr>
      <w:r>
        <w:rPr>
          <w:sz w:val="21"/>
        </w:rPr>
        <w:t>1、</w:t>
      </w:r>
      <w:r>
        <w:rPr>
          <w:sz w:val="21"/>
        </w:rPr>
        <w:t>本项目自正式开通并验收通过后的下一个月起，</w:t>
      </w:r>
      <w:r>
        <w:rPr>
          <w:sz w:val="21"/>
        </w:rPr>
        <w:t>服务期每满半年支付</w:t>
      </w:r>
      <w:r>
        <w:rPr>
          <w:sz w:val="21"/>
        </w:rPr>
        <w:t>租赁服务费用，按照</w:t>
      </w:r>
      <w:r>
        <w:rPr>
          <w:sz w:val="21"/>
        </w:rPr>
        <w:t>“实际</w:t>
      </w:r>
      <w:r>
        <w:rPr>
          <w:sz w:val="21"/>
        </w:rPr>
        <w:t>成交</w:t>
      </w:r>
      <w:r>
        <w:rPr>
          <w:sz w:val="21"/>
        </w:rPr>
        <w:t>光纤租赁费单价</w:t>
      </w:r>
      <w:r>
        <w:rPr>
          <w:sz w:val="21"/>
        </w:rPr>
        <w:t>×实际开通使用租赁线路（条数）×</w:t>
      </w:r>
      <w:r>
        <w:rPr>
          <w:sz w:val="21"/>
        </w:rPr>
        <w:t>6</w:t>
      </w:r>
      <w:r>
        <w:rPr>
          <w:sz w:val="21"/>
        </w:rPr>
        <w:t>个月</w:t>
      </w:r>
      <w:r>
        <w:rPr>
          <w:sz w:val="21"/>
        </w:rPr>
        <w:t>”的计算方式据实支付；</w:t>
      </w:r>
    </w:p>
    <w:p>
      <w:pPr>
        <w:ind w:firstLine="420"/>
        <w:jc w:val="both"/>
      </w:pPr>
      <w:r>
        <w:rPr>
          <w:sz w:val="21"/>
        </w:rPr>
        <w:t>2、乙方在达到请款条件的5个工作日内开出等额发票给甲方，甲方在收到发票等请款资料无误后30个工作日内支付服务费；</w:t>
      </w:r>
    </w:p>
    <w:p>
      <w:pPr>
        <w:ind w:firstLine="420"/>
        <w:jc w:val="both"/>
      </w:pPr>
      <w:r>
        <w:rPr>
          <w:sz w:val="21"/>
        </w:rPr>
        <w:t>3、甲方不再另行支付除合同金额外的任何其他费用。</w:t>
      </w:r>
    </w:p>
    <w:p>
      <w:pPr>
        <w:ind w:firstLine="420"/>
        <w:jc w:val="both"/>
      </w:pPr>
      <w:r>
        <w:rPr>
          <w:sz w:val="21"/>
        </w:rPr>
        <w:t>注：合同期内，如存在租用点位数量增减，按实结算。</w:t>
      </w:r>
    </w:p>
    <w:p>
      <w:pPr>
        <w:jc w:val="both"/>
      </w:pPr>
      <w:r>
        <w:rPr>
          <w:b/>
          <w:sz w:val="21"/>
        </w:rPr>
        <w:t>六</w:t>
      </w:r>
      <w:r>
        <w:rPr>
          <w:b/>
          <w:sz w:val="21"/>
        </w:rPr>
        <w:t>、</w:t>
      </w:r>
      <w:r>
        <w:rPr>
          <w:b/>
          <w:sz w:val="21"/>
        </w:rPr>
        <w:t>验收要求</w:t>
      </w:r>
    </w:p>
    <w:p>
      <w:pPr>
        <w:ind w:firstLine="420"/>
        <w:jc w:val="both"/>
      </w:pPr>
      <w:r>
        <w:rPr>
          <w:sz w:val="21"/>
        </w:rPr>
        <w:t>按国家及相关行业标准进行验收。</w:t>
      </w:r>
    </w:p>
    <w:p>
      <w:pPr>
        <w:jc w:val="both"/>
      </w:pPr>
      <w:r>
        <w:rPr>
          <w:b/>
          <w:sz w:val="21"/>
        </w:rPr>
        <w:t>七</w:t>
      </w:r>
      <w:r>
        <w:rPr>
          <w:b/>
          <w:sz w:val="21"/>
        </w:rPr>
        <w:t>、知识产权归属</w:t>
      </w:r>
    </w:p>
    <w:p>
      <w:pPr>
        <w:ind w:firstLine="420"/>
        <w:jc w:val="both"/>
      </w:pPr>
      <w:r>
        <w:rPr>
          <w:sz w:val="21"/>
        </w:rPr>
        <w:t>服务成果知识产权归属：本项目项下所有服务成果（包括乙方在合同履行过程中形成的阶段性服务成果及最终交付的服务成果）的知识产权和所有权全部归属甲方。未经甲方书面同意，乙方不得擅自将前述服务成果以及与之相关的任何资料用于本合同之外的任何场合或者向任何第三方转让、泄露；否则，由乙方承担全部的赔偿责任。</w:t>
      </w:r>
    </w:p>
    <w:p>
      <w:pPr>
        <w:ind w:firstLine="420"/>
        <w:jc w:val="both"/>
      </w:pPr>
      <w:r>
        <w:rPr>
          <w:sz w:val="21"/>
        </w:rPr>
        <w:t>乙方保证，甲方在中华人民共和国境内使用乙方提供的本合同内货物、资料、技术、服务或其任何一部分时，享有不受限制的无偿使用权，不会产生因第三方提出侵犯其专利权、商标权或其它知识产权而引起的法律或经济纠纷。如乙方不拥有相应的知识产权，则应由乙方负责获得并提供给甲方使用，合同总价中必须包括合法获取该知识产权的一切相关费用，如乙方没有单独列出的，视为已包含在合同总价中。一旦使用乙方提供的产品或服务，甲方不再承担第三方提出侵犯其专利权、商标权或其它知识产权而引起的法律或经济纠纷。因乙方违约而给甲方造成损失的，由乙方承担赔偿责任。</w:t>
      </w:r>
    </w:p>
    <w:p>
      <w:pPr>
        <w:jc w:val="both"/>
      </w:pPr>
      <w:r>
        <w:rPr>
          <w:b/>
          <w:sz w:val="21"/>
        </w:rPr>
        <w:t>八</w:t>
      </w:r>
      <w:r>
        <w:rPr>
          <w:b/>
          <w:sz w:val="21"/>
        </w:rPr>
        <w:t>、保密</w:t>
      </w:r>
    </w:p>
    <w:p>
      <w:pPr>
        <w:ind w:firstLine="420"/>
        <w:jc w:val="both"/>
      </w:pPr>
      <w:r>
        <w:rPr>
          <w:sz w:val="21"/>
        </w:rPr>
        <w:t>1.乙方对在合同履行过程中接触到的甲方的任何资料、文件、数据（无论是书面的还是电子的），以及对为甲方服务形成的任何交付物，负有为甲方保密的责任。未经甲方书面同意，乙方不得以任何方式向任何第三方提供或透露。</w:t>
      </w:r>
    </w:p>
    <w:p>
      <w:pPr>
        <w:ind w:firstLine="420"/>
        <w:jc w:val="both"/>
      </w:pPr>
      <w:r>
        <w:rPr>
          <w:sz w:val="21"/>
        </w:rPr>
        <w:t>2.甲方向乙方提供的任何资料、文件和信息，在乙方服务结束后，乙方均应及时归还甲方，电子文档的应从自己的电脑等存储设备上予永久删除。</w:t>
      </w:r>
    </w:p>
    <w:p>
      <w:pPr>
        <w:ind w:firstLine="420"/>
        <w:jc w:val="both"/>
      </w:pPr>
      <w:r>
        <w:rPr>
          <w:sz w:val="21"/>
        </w:rPr>
        <w:t>3.乙方人员违反上述保密规定时间，乙方应承担相应法律责任。</w:t>
      </w:r>
    </w:p>
    <w:p>
      <w:pPr>
        <w:jc w:val="both"/>
      </w:pPr>
      <w:r>
        <w:rPr>
          <w:b/>
          <w:sz w:val="21"/>
        </w:rPr>
        <w:t>九</w:t>
      </w:r>
      <w:r>
        <w:rPr>
          <w:b/>
          <w:sz w:val="21"/>
        </w:rPr>
        <w:t>、违约责任与赔偿损失</w:t>
      </w:r>
    </w:p>
    <w:p>
      <w:pPr>
        <w:ind w:firstLine="420"/>
        <w:jc w:val="both"/>
      </w:pPr>
      <w:r>
        <w:rPr>
          <w:sz w:val="21"/>
        </w:rPr>
        <w:t>1.乙方提供的服务不符合本合同规定的，甲方有权拒收，并且乙方须向甲方支付本合同总价5%的违约金。</w:t>
      </w:r>
    </w:p>
    <w:p>
      <w:pPr>
        <w:ind w:firstLine="420"/>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3.甲方无正当理由拒收接受服务，到期拒付服务款项的，甲方向乙方偿付本合同总的5%的违约金。甲方人逾期付款，则每日按本合同总价的3‰向乙方偿付违约金。</w:t>
      </w:r>
    </w:p>
    <w:p>
      <w:pPr>
        <w:ind w:firstLine="420"/>
        <w:jc w:val="both"/>
      </w:pPr>
      <w:r>
        <w:rPr>
          <w:sz w:val="21"/>
        </w:rPr>
        <w:t>4.对于因甲方原因导致变更、中止或者终止政府采购合同的，甲方向乙方偿付本合同总价的5%的违约金。</w:t>
      </w:r>
    </w:p>
    <w:p>
      <w:pPr>
        <w:ind w:firstLine="420"/>
        <w:jc w:val="both"/>
      </w:pPr>
      <w:r>
        <w:rPr>
          <w:sz w:val="21"/>
        </w:rPr>
        <w:t>5.其它违约责任按《中华人民共和国民法典(合同编)》处理。</w:t>
      </w:r>
    </w:p>
    <w:p>
      <w:pPr>
        <w:jc w:val="both"/>
      </w:pPr>
      <w:r>
        <w:rPr>
          <w:b/>
          <w:sz w:val="21"/>
        </w:rPr>
        <w:t>十、争议的解决</w:t>
      </w:r>
    </w:p>
    <w:p>
      <w:pPr>
        <w:ind w:firstLine="400"/>
        <w:jc w:val="both"/>
      </w:pPr>
      <w:r>
        <w:rPr>
          <w:sz w:val="21"/>
        </w:rPr>
        <w:t>合同执行过程中发生的任何争议，如双方不能通过友好协商解决，可向甲方所在地有管辖权的人民法院提起诉讼。</w:t>
      </w:r>
      <w:r>
        <w:rPr>
          <w:sz w:val="21"/>
        </w:rPr>
        <w:t xml:space="preserve">   </w:t>
      </w:r>
    </w:p>
    <w:p>
      <w:pPr>
        <w:jc w:val="both"/>
      </w:pPr>
      <w:r>
        <w:rPr>
          <w:b/>
          <w:sz w:val="21"/>
        </w:rPr>
        <w:t>十</w:t>
      </w:r>
      <w:r>
        <w:rPr>
          <w:b/>
          <w:sz w:val="21"/>
        </w:rPr>
        <w:t>一</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二</w:t>
      </w:r>
      <w:r>
        <w:rPr>
          <w:b/>
          <w:sz w:val="21"/>
        </w:rPr>
        <w:t>、税费</w:t>
      </w:r>
    </w:p>
    <w:p>
      <w:pPr>
        <w:ind w:firstLine="420"/>
        <w:jc w:val="both"/>
      </w:pPr>
      <w:r>
        <w:rPr>
          <w:sz w:val="21"/>
        </w:rPr>
        <w:t>在中国境内、外发生的与本合同执行有关的一切税费均由乙方负担。</w:t>
      </w:r>
    </w:p>
    <w:p>
      <w:pPr>
        <w:jc w:val="both"/>
      </w:pPr>
      <w:r>
        <w:rPr>
          <w:b/>
          <w:sz w:val="21"/>
        </w:rPr>
        <w:t>十七、其它</w:t>
      </w:r>
    </w:p>
    <w:p>
      <w:pPr>
        <w:ind w:firstLine="420"/>
        <w:jc w:val="both"/>
      </w:pPr>
      <w:r>
        <w:rPr>
          <w:sz w:val="21"/>
        </w:rPr>
        <w:t>1.本合同所有附件、</w:t>
      </w:r>
      <w:r>
        <w:rPr>
          <w:sz w:val="21"/>
        </w:rPr>
        <w:t>磋商文件</w:t>
      </w:r>
      <w:r>
        <w:rPr>
          <w:sz w:val="21"/>
        </w:rPr>
        <w:t>、投标文件、中标通知书均为合同的有效组成部分，与本合同具有同等法律效力。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w:t>
      </w:r>
      <w:r>
        <w:rPr>
          <w:b/>
          <w:sz w:val="21"/>
        </w:rPr>
        <w:t>三</w:t>
      </w:r>
      <w:r>
        <w:rPr>
          <w:b/>
          <w:sz w:val="21"/>
        </w:rPr>
        <w:t>、合同生效</w:t>
      </w:r>
    </w:p>
    <w:p>
      <w:pPr>
        <w:ind w:firstLine="420"/>
        <w:jc w:val="both"/>
      </w:pPr>
      <w:r>
        <w:rPr>
          <w:sz w:val="21"/>
        </w:rPr>
        <w:t>1.本合同在甲乙双方法人代表或其授权代表签字盖章后生效。</w:t>
      </w:r>
    </w:p>
    <w:p>
      <w:pPr>
        <w:ind w:firstLine="420"/>
        <w:jc w:val="both"/>
      </w:pPr>
      <w:r>
        <w:rPr>
          <w:sz w:val="21"/>
        </w:rPr>
        <w:t>2.合同一式    份。</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both"/>
            </w:pPr>
          </w:p>
          <w:p>
            <w:pPr>
              <w:jc w:val="both"/>
            </w:pPr>
          </w:p>
          <w:p>
            <w:pPr>
              <w:jc w:val="both"/>
            </w:pPr>
          </w:p>
          <w:p>
            <w:pPr>
              <w:jc w:val="both"/>
            </w:pPr>
          </w:p>
          <w:p>
            <w:pPr>
              <w:jc w:val="both"/>
            </w:pPr>
          </w:p>
          <w:p>
            <w:pPr>
              <w:jc w:val="both"/>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vAlign w:val="top"/>
          </w:tcPr>
          <w:p>
            <w:pPr>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c>
          <w:tcPr>
            <w:tcW w:type="dxa" w:w="4153"/>
            <w:tcBorders>
              <w:top w:val="none" w:color="000000" w:sz="4"/>
              <w:left w:val="none" w:color="000000" w:sz="4"/>
              <w:bottom w:val="none" w:color="000000" w:sz="4"/>
              <w:right w:val="none" w:color="000000" w:sz="4"/>
            </w:tcBorders>
            <w:vAlign w:val="top"/>
          </w:tcPr>
          <w:p>
            <w:pPr>
              <w:jc w:val="both"/>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c>
          <w:tcPr>
            <w:tcW w:type="dxa" w:w="4153"/>
            <w:tcBorders>
              <w:top w:val="none" w:color="000000" w:sz="4"/>
              <w:left w:val="none" w:color="000000" w:sz="4"/>
              <w:bottom w:val="none" w:color="000000" w:sz="4"/>
              <w:right w:val="none" w:color="000000" w:sz="4"/>
            </w:tcBorders>
            <w:vAlign w:val="top"/>
          </w:tcPr>
          <w:p>
            <w:pPr>
              <w:jc w:val="both"/>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c>
          <w:tcPr>
            <w:tcW w:type="dxa" w:w="4153"/>
            <w:tcBorders>
              <w:top w:val="none" w:color="000000" w:sz="4"/>
              <w:left w:val="none" w:color="000000" w:sz="4"/>
              <w:bottom w:val="none" w:color="000000" w:sz="4"/>
              <w:right w:val="none" w:color="000000" w:sz="4"/>
            </w:tcBorders>
            <w:vAlign w:val="top"/>
          </w:tcPr>
          <w:p>
            <w:pPr>
              <w:jc w:val="both"/>
            </w:pPr>
            <w:r>
              <w:rPr>
                <w:sz w:val="21"/>
              </w:rPr>
              <w:t>传真：</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c>
          <w:tcPr>
            <w:tcW w:type="dxa" w:w="4153"/>
            <w:tcBorders>
              <w:top w:val="none" w:color="000000" w:sz="4"/>
              <w:left w:val="none" w:color="000000" w:sz="4"/>
              <w:bottom w:val="none" w:color="000000" w:sz="4"/>
              <w:right w:val="none" w:color="000000" w:sz="4"/>
            </w:tcBorders>
            <w:vAlign w:val="top"/>
          </w:tcPr>
          <w:p>
            <w:pPr>
              <w:jc w:val="both"/>
            </w:pPr>
            <w:r>
              <w:rPr>
                <w:sz w:val="21"/>
              </w:rPr>
              <w:t>开户银行：</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c>
          <w:tcPr>
            <w:tcW w:type="dxa" w:w="4153"/>
            <w:tcBorders>
              <w:top w:val="none" w:color="000000" w:sz="4"/>
              <w:left w:val="none" w:color="000000" w:sz="4"/>
              <w:bottom w:val="none" w:color="000000" w:sz="4"/>
              <w:right w:val="none" w:color="000000" w:sz="4"/>
            </w:tcBorders>
            <w:vAlign w:val="top"/>
          </w:tcPr>
          <w:p>
            <w:pPr>
              <w:jc w:val="both"/>
            </w:pPr>
            <w:r>
              <w:rPr>
                <w:sz w:val="21"/>
              </w:rPr>
              <w:t>账号：</w:t>
            </w: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签约时间：</w:t>
            </w: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1"/>
              </w:rPr>
              <w:t>签约地点：</w:t>
            </w:r>
          </w:p>
        </w:tc>
        <w:tc>
          <w:tcPr>
            <w:tcW w:type="dxa" w:w="4153"/>
            <w:tcBorders>
              <w:top w:val="none" w:color="000000" w:sz="4"/>
              <w:left w:val="none" w:color="000000" w:sz="4"/>
              <w:bottom w:val="none" w:color="000000" w:sz="4"/>
              <w:right w:val="none" w:color="000000" w:sz="4"/>
            </w:tcBorders>
            <w:vAlign w:val="top"/>
          </w:tcPr>
          <w:p>
            <w:pPr>
              <w:jc w:val="both"/>
            </w:pPr>
          </w:p>
        </w:tc>
      </w:tr>
    </w:tbl>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441900011-2022-00192</w:t>
      </w:r>
    </w:p>
    <w:p>
      <w:pPr>
        <w:jc w:val="center"/>
      </w:pPr>
      <w:r>
        <w:rPr>
          <w:b/>
          <w:sz w:val="24"/>
        </w:rPr>
        <w:t>采购项目编号：</w:t>
      </w:r>
      <w:r>
        <w:rPr>
          <w:b/>
          <w:sz w:val="24"/>
        </w:rPr>
        <w:t>441900011-2022-00192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东莞滨海湾新区智慧道路（三期）光纤租赁服务项目</w:t>
      </w:r>
      <w:r>
        <w:rPr>
          <w:u w:val="single"/>
        </w:rPr>
        <w:t>”</w:t>
      </w:r>
      <w:r>
        <w:rPr/>
        <w:t>项目的竞争性磋商[采购项目编号为：</w:t>
      </w:r>
      <w:r>
        <w:rPr>
          <w:u w:val="single"/>
        </w:rPr>
        <w:t>441900011-2022-00192</w:t>
      </w:r>
      <w:r>
        <w:rPr/>
        <w:t>]，我方愿参与响应。</w:t>
      </w:r>
    </w:p>
    <w:p>
      <w:pPr>
        <w:ind w:firstLine="480"/>
      </w:pPr>
      <w:r>
        <w:rPr/>
        <w:t>我方确认收到贵方提供的</w:t>
      </w:r>
      <w:r>
        <w:rPr>
          <w:u w:val="single"/>
        </w:rPr>
        <w:t>“</w:t>
      </w:r>
      <w:r>
        <w:rPr>
          <w:u w:val="single"/>
        </w:rPr>
        <w:t>东莞滨海湾新区智慧道路（三期）光纤租赁服务项目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东莞滨海湾新区智慧道路（三期）光纤租赁服务项目</w:t>
      </w:r>
      <w:r>
        <w:rPr/>
        <w:t>”项目采购[采购项目编号为</w:t>
      </w:r>
      <w:r>
        <w:rPr/>
        <w:t>441900011-2022-00192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东莞滨海湾新区管理委员会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东莞滨海湾新区智慧道路（三期）光纤租赁服务项目</w:t>
      </w:r>
      <w:r>
        <w:rPr/>
        <w:t>（采购项目编号：</w:t>
      </w:r>
      <w:r>
        <w:rPr/>
        <w:t>441900011-2022-00192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东莞滨海湾新区智慧道路（三期）光纤租赁服务项目</w:t>
      </w:r>
      <w:r>
        <w:rPr/>
        <w:t>”项目（采购项目编号：</w:t>
      </w:r>
      <w:r>
        <w:rPr/>
        <w:t>441900011-2022-00192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