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441900009-2022-00548</w:t>
      </w:r>
    </w:p>
    <w:p>
      <w:pPr>
        <w:jc w:val="center"/>
      </w:pPr>
      <w:r>
        <w:rPr>
          <w:b/>
          <w:sz w:val="24"/>
        </w:rPr>
        <w:t>采购项目编号：</w:t>
      </w:r>
      <w:r>
        <w:rPr>
          <w:b/>
          <w:sz w:val="24"/>
        </w:rPr>
        <w:t>441900009-2022-00548</w:t>
      </w:r>
    </w:p>
    <w:p>
      <w:pPr>
        <w:jc w:val="center"/>
      </w:pPr>
      <w:r>
        <w:rPr>
          <w:b/>
          <w:sz w:val="24"/>
        </w:rPr>
        <w:t>项目名称：</w:t>
      </w:r>
      <w:r>
        <w:rPr>
          <w:b/>
          <w:sz w:val="24"/>
        </w:rPr>
        <w:t>松山湖交通信号灯维修项目</w:t>
      </w:r>
    </w:p>
    <w:p>
      <w:pPr>
        <w:jc w:val="center"/>
      </w:pPr>
      <w:r>
        <w:rPr>
          <w:b/>
          <w:sz w:val="24"/>
        </w:rPr>
        <w:t>采购人：</w:t>
      </w:r>
      <w:r>
        <w:rPr>
          <w:b/>
          <w:sz w:val="24"/>
        </w:rPr>
        <w:t>东莞市公安局交通警察支队松山湖大队</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东莞市公安局交通警察支队松山湖大队</w:t>
      </w:r>
      <w:r>
        <w:rPr/>
        <w:t>的委托，采用</w:t>
      </w:r>
      <w:r>
        <w:rPr/>
        <w:t>公开招标</w:t>
      </w:r>
      <w:r>
        <w:rPr/>
        <w:t>方式组织采购</w:t>
      </w:r>
      <w:r>
        <w:rPr/>
        <w:t>松山湖交通信号灯维修项目</w:t>
      </w:r>
      <w:r>
        <w:rPr/>
        <w:t>。欢迎符合资格条件的国内供应商参加投标。</w:t>
      </w:r>
    </w:p>
    <w:p>
      <w:r>
        <w:rPr>
          <w:b/>
          <w:sz w:val="28"/>
        </w:rPr>
        <w:t>一.项目概述</w:t>
      </w:r>
    </w:p>
    <w:p>
      <w:r>
        <w:rPr>
          <w:b/>
          <w:sz w:val="24"/>
        </w:rPr>
        <w:t>1.名称与编号</w:t>
      </w:r>
    </w:p>
    <w:p>
      <w:pPr>
        <w:ind w:firstLine="480"/>
      </w:pPr>
      <w:r>
        <w:rPr/>
        <w:t>项目名称：</w:t>
      </w:r>
      <w:r>
        <w:rPr/>
        <w:t>松山湖交通信号灯维修项目</w:t>
      </w:r>
    </w:p>
    <w:p>
      <w:pPr>
        <w:ind w:firstLine="480"/>
      </w:pPr>
      <w:r>
        <w:rPr/>
        <w:t>采购计划编号：</w:t>
      </w:r>
      <w:r>
        <w:rPr/>
        <w:t>441900009-2022-00548</w:t>
      </w:r>
    </w:p>
    <w:p>
      <w:pPr>
        <w:ind w:firstLine="480"/>
      </w:pPr>
      <w:r>
        <w:rPr/>
        <w:t>采购项目编号：</w:t>
      </w:r>
      <w:r>
        <w:rPr/>
        <w:t>441900009-2022-00548</w:t>
      </w:r>
    </w:p>
    <w:p>
      <w:pPr>
        <w:ind w:firstLine="480"/>
      </w:pPr>
      <w:r>
        <w:rPr/>
        <w:t>采购方式：</w:t>
      </w:r>
      <w:r>
        <w:rPr/>
        <w:t>公开招标</w:t>
      </w:r>
    </w:p>
    <w:p>
      <w:pPr>
        <w:ind w:firstLine="480"/>
      </w:pPr>
      <w:r>
        <w:rPr/>
        <w:t>预算金额：</w:t>
      </w:r>
      <w:r>
        <w:rPr/>
        <w:t>6,822,300.00</w:t>
      </w:r>
      <w:r>
        <w:rPr/>
        <w:t>元</w:t>
      </w:r>
    </w:p>
    <w:p>
      <w:r>
        <w:rPr>
          <w:b/>
          <w:sz w:val="24"/>
        </w:rPr>
        <w:t>2.项目内容及需求情况（采购项目技术规格、参数及要求）</w:t>
      </w:r>
    </w:p>
    <w:p>
      <w:pPr>
        <w:ind w:firstLine="480"/>
      </w:pPr>
    </w:p>
    <w:p/>
    <w:p>
      <w:r>
        <w:rPr/>
        <w:t>采购包1(东莞市公安局交通警察支队松山湖大队关于松山湖交通信号灯维修项目的采购项目):</w:t>
      </w:r>
    </w:p>
    <w:p>
      <w:r>
        <w:rPr/>
        <w:t>采购包预算金额：6,822,300.00元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106套交通信号灯2年维护</w:t>
            </w:r>
          </w:p>
        </w:tc>
        <w:tc>
          <w:tcPr>
            <w:tcW w:type="dxa" w:w="1187"/>
          </w:tcPr>
          <w:p>
            <w:r>
              <w:rPr/>
              <w:t>2.0000(年)</w:t>
            </w:r>
          </w:p>
        </w:tc>
        <w:tc>
          <w:tcPr>
            <w:tcW w:type="dxa" w:w="1187"/>
          </w:tcPr>
          <w:p>
            <w:r>
              <w:rPr/>
              <w:t>详见第二章</w:t>
            </w:r>
          </w:p>
        </w:tc>
        <w:tc>
          <w:tcPr>
            <w:tcW w:type="dxa" w:w="1187"/>
          </w:tcPr>
          <w:p>
            <w:r>
              <w:rPr/>
              <w:t>否</w:t>
            </w:r>
          </w:p>
        </w:tc>
      </w:tr>
    </w:tbl>
    <w:p/>
    <w:p>
      <w:r>
        <w:rPr/>
        <w:t>本采购包不接受联合体投标</w:t>
      </w:r>
    </w:p>
    <w:p/>
    <w:p>
      <w:r>
        <w:rPr/>
        <w:t>合同履行期限：自签订合同之日起两年（具体进场时间以采购人的书面进场通知为准。）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采购包1（东莞市公安局交通警察支队松山湖大队关于松山湖交通信号灯维修项目的采购项目）：</w:t>
      </w:r>
      <w:r>
        <w:rPr/>
        <w:t>本项目不属于专门面向中小企业的采购项目。</w:t>
      </w:r>
    </w:p>
    <w:p/>
    <w:p>
      <w:r>
        <w:rPr>
          <w:b/>
          <w:sz w:val="24"/>
        </w:rPr>
        <w:t>3.本项目特定的资格要求：</w:t>
      </w:r>
    </w:p>
    <w:p>
      <w:pPr>
        <w:ind w:firstLine="480"/>
      </w:pPr>
    </w:p>
    <w:p/>
    <w:p>
      <w:r>
        <w:rPr/>
        <w:t>采购包1（东莞市公安局交通警察支队松山湖大队关于松山湖交通信号灯维修项目的采购项目）：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含其上级或总公司）具备省级或以上公安部门颁发并在有效期内的《安全技术防范系统设计、施工、维修资格证》贰级或以上资质（非广东省公安技防部门颁发的资格证，须同时提供在广东省公安技防部门备案的资料）。</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东莞市公安局交通警察支队松山湖大队</w:t>
      </w:r>
    </w:p>
    <w:p>
      <w:pPr>
        <w:ind w:firstLine="480"/>
      </w:pPr>
      <w:r>
        <w:rPr/>
        <w:t>地址：</w:t>
      </w:r>
      <w:r>
        <w:rPr/>
        <w:t>东莞市松山湖新城路35号</w:t>
      </w:r>
    </w:p>
    <w:p>
      <w:pPr>
        <w:ind w:firstLine="480"/>
      </w:pPr>
      <w:r>
        <w:rPr/>
        <w:t>联系方式：</w:t>
      </w:r>
      <w:r>
        <w:rPr/>
        <w:t>0769-22891026</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本项目为松山湖交通信号灯维修项目。</w:t>
      </w:r>
    </w:p>
    <w:p/>
    <w:p>
      <w:pPr>
        <w:ind w:firstLine="480"/>
      </w:pPr>
    </w:p>
    <w:p/>
    <w:p>
      <w:r>
        <w:rPr/>
        <w:t>采购包1（东莞市公安局交通警察支队松山湖大队关于松山湖交通信号灯维修项目的采购项目）：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自签订合同之日起两年（具体进场时间以采购人的书面进场通知为准。）</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1期：支付比例100%，（1）合同签订后,按先作业，后拨付的拨款方式，采购人根据中标人维护考核结果，按季度拨款给中标人，每季度结束后，下一季度的第一个月的25日前拨款给中标人。 （2）维护费须经采购人现场考核，根据考核结果是否须扣除罚款的情形确定实际应付款数额后支付；付款时中标人应出具与实际应付款数额相符的发票，否则造成不能按时付款的责任由中标人自行承担。 注：本项目资金来源为财政资金，相关付款程序严格遵守东莞市财政局松山湖分局财政资金支付程序规定。</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1）报价应包含人工工资、施工费、材料费、交通费、设备费用及其它的配件或设备（包括自然损坏、人为破坏、车辆撞击损坏查证不到、被盗）、各种税费及合同实施过程中的不可预见费用等全部费用等。 （2）合同总价包括国家规定的所有税费及与项目相关的所有费用。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106套交通信号灯2年维护</w:t>
            </w:r>
          </w:p>
        </w:tc>
        <w:tc>
          <w:tcPr>
            <w:tcW w:type="dxa" w:w="385"/>
          </w:tcPr>
          <w:p>
            <w:r>
              <w:rPr/>
              <w:t>年</w:t>
            </w:r>
          </w:p>
        </w:tc>
        <w:tc>
          <w:tcPr>
            <w:tcW w:type="dxa" w:w="769"/>
          </w:tcPr>
          <w:p>
            <w:pPr>
              <w:jc w:val="right"/>
            </w:pPr>
            <w:r>
              <w:rPr/>
              <w:t>2.0000</w:t>
            </w:r>
          </w:p>
        </w:tc>
        <w:tc>
          <w:tcPr>
            <w:tcW w:type="dxa" w:w="769"/>
          </w:tcPr>
          <w:p>
            <w:pPr>
              <w:jc w:val="right"/>
            </w:pPr>
            <w:r>
              <w:rPr/>
              <w:t>3,411,150.00</w:t>
            </w:r>
          </w:p>
        </w:tc>
        <w:tc>
          <w:tcPr>
            <w:tcW w:type="dxa" w:w="769"/>
          </w:tcPr>
          <w:p>
            <w:pPr>
              <w:jc w:val="right"/>
            </w:pPr>
            <w:r>
              <w:rPr/>
              <w:t>6,822,300.00</w:t>
            </w:r>
          </w:p>
        </w:tc>
        <w:tc>
          <w:tcPr>
            <w:tcW w:type="dxa" w:w="769"/>
          </w:tcPr>
          <w:p>
            <w:r>
              <w:rPr/>
              <w:t>软件和信息技术服务业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106套交通信号灯2年维护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w:t>
            </w:r>
            <w:r>
              <w:rPr>
                <w:b/>
                <w:sz w:val="21"/>
              </w:rPr>
              <w:t>道路交通信号灯维护</w:t>
            </w:r>
          </w:p>
          <w:p>
            <w:pPr>
              <w:ind w:firstLine="422"/>
            </w:pPr>
            <w:r>
              <w:rPr>
                <w:b/>
                <w:sz w:val="21"/>
              </w:rPr>
              <w:t>1、道路交通信号灯维护内容：信号灯灯杆、控制机、机箱、管道线路、线材、信号灯灯组（含SCATS系统）、系统控制板等。</w:t>
            </w:r>
          </w:p>
          <w:p>
            <w:pPr>
              <w:ind w:firstLine="422"/>
            </w:pPr>
            <w:r>
              <w:rPr>
                <w:b/>
                <w:sz w:val="21"/>
              </w:rPr>
              <w:t>2、每天安排巡查人员对交通信号灯系统进行巡检，确保系统正常运行。</w:t>
            </w:r>
          </w:p>
          <w:p>
            <w:pPr>
              <w:ind w:firstLine="422"/>
            </w:pPr>
            <w:r>
              <w:rPr>
                <w:b/>
                <w:sz w:val="21"/>
              </w:rPr>
              <w:t>3、中标人需负责路口交通信号灯配时进行优化。</w:t>
            </w:r>
          </w:p>
          <w:p>
            <w:pPr>
              <w:ind w:firstLine="422"/>
            </w:pPr>
            <w:r>
              <w:rPr>
                <w:b/>
                <w:sz w:val="21"/>
              </w:rPr>
              <w:t>4、</w:t>
            </w:r>
            <w:r>
              <w:rPr>
                <w:sz w:val="21"/>
              </w:rPr>
              <w:t>★</w:t>
            </w:r>
            <w:r>
              <w:rPr>
                <w:b/>
                <w:sz w:val="21"/>
              </w:rPr>
              <w:t>投标人须承诺：在服务期内，须自行到供电部门或相关部门申请接电及安装电表等问题，服务期内所产生的电费由中标人负责，外场其它设备不能接信控电源。（须提供承诺函，格式自拟）</w:t>
            </w:r>
          </w:p>
          <w:p>
            <w:pPr>
              <w:ind w:firstLine="422"/>
            </w:pPr>
            <w:r>
              <w:rPr>
                <w:b/>
                <w:sz w:val="21"/>
              </w:rPr>
              <w:t>5、参考及执行依据：</w:t>
            </w:r>
          </w:p>
          <w:p>
            <w:pPr>
              <w:ind w:firstLine="420"/>
            </w:pPr>
            <w:r>
              <w:rPr>
                <w:sz w:val="21"/>
              </w:rPr>
              <w:t>《道路交通信号控制机》</w:t>
            </w:r>
            <w:r>
              <w:rPr>
                <w:sz w:val="21"/>
              </w:rPr>
              <w:t>(GB/25280-2016)</w:t>
            </w:r>
          </w:p>
          <w:p>
            <w:pPr>
              <w:ind w:firstLine="420"/>
            </w:pPr>
            <w:r>
              <w:rPr>
                <w:sz w:val="21"/>
              </w:rPr>
              <w:t>《道路交通信号控制机安装规范》</w:t>
            </w:r>
            <w:r>
              <w:rPr>
                <w:sz w:val="21"/>
              </w:rPr>
              <w:t>(GA/T489-2016)35</w:t>
            </w:r>
          </w:p>
          <w:p>
            <w:pPr>
              <w:ind w:firstLine="420"/>
            </w:pPr>
            <w:r>
              <w:rPr>
                <w:sz w:val="21"/>
              </w:rPr>
              <w:t>《交通信号控制机与上位机间的数据通信协议》</w:t>
            </w:r>
            <w:r>
              <w:rPr>
                <w:sz w:val="21"/>
              </w:rPr>
              <w:t>(GB/T20999-2017)</w:t>
            </w:r>
          </w:p>
          <w:p>
            <w:pPr>
              <w:ind w:firstLine="420"/>
            </w:pPr>
            <w:r>
              <w:rPr>
                <w:sz w:val="21"/>
              </w:rPr>
              <w:t>《道路交通管理数据字典交通信号控制》</w:t>
            </w:r>
            <w:r>
              <w:rPr>
                <w:sz w:val="21"/>
              </w:rPr>
              <w:t>(GB/T29098-2012)</w:t>
            </w:r>
          </w:p>
          <w:p>
            <w:pPr>
              <w:ind w:firstLine="420"/>
            </w:pPr>
            <w:r>
              <w:rPr>
                <w:sz w:val="21"/>
              </w:rPr>
              <w:t>《道路交通信号控制系统术语》</w:t>
            </w:r>
            <w:r>
              <w:rPr>
                <w:sz w:val="21"/>
              </w:rPr>
              <w:t>(GB/T31418-2015)</w:t>
            </w:r>
          </w:p>
          <w:p>
            <w:pPr>
              <w:ind w:firstLine="420"/>
            </w:pPr>
            <w:r>
              <w:rPr>
                <w:sz w:val="21"/>
              </w:rPr>
              <w:t>《道路交通信号灯设置与安装规范》</w:t>
            </w:r>
            <w:r>
              <w:rPr>
                <w:sz w:val="21"/>
              </w:rPr>
              <w:t>(GB/14886-2016)</w:t>
            </w:r>
          </w:p>
          <w:p>
            <w:pPr>
              <w:ind w:firstLine="420"/>
            </w:pPr>
            <w:r>
              <w:rPr>
                <w:sz w:val="21"/>
              </w:rPr>
              <w:t>《道路交通信号灯》</w:t>
            </w:r>
            <w:r>
              <w:rPr>
                <w:sz w:val="21"/>
              </w:rPr>
              <w:t>(GB/14887-2011)</w:t>
            </w:r>
          </w:p>
          <w:p>
            <w:pPr>
              <w:ind w:firstLine="420"/>
            </w:pPr>
            <w:r>
              <w:rPr>
                <w:sz w:val="21"/>
              </w:rPr>
              <w:t>《城市道路交通设施设计规范》</w:t>
            </w:r>
            <w:r>
              <w:rPr>
                <w:sz w:val="21"/>
              </w:rPr>
              <w:t>(GB/50688-2011)</w:t>
            </w:r>
          </w:p>
          <w:p>
            <w:pPr>
              <w:ind w:firstLine="420"/>
            </w:pPr>
            <w:r>
              <w:rPr>
                <w:sz w:val="21"/>
              </w:rPr>
              <w:t>《道路交通信号控制方式》</w:t>
            </w:r>
            <w:r>
              <w:rPr>
                <w:sz w:val="21"/>
              </w:rPr>
              <w:t>(GA/T527系列)</w:t>
            </w:r>
          </w:p>
          <w:p>
            <w:pPr>
              <w:ind w:firstLine="420"/>
            </w:pPr>
            <w:r>
              <w:rPr>
                <w:sz w:val="21"/>
              </w:rPr>
              <w:t>《公安交通指挥系统工程建设通用程序和要求》</w:t>
            </w:r>
            <w:r>
              <w:rPr>
                <w:sz w:val="21"/>
              </w:rPr>
              <w:t>(GA/T651-2014)</w:t>
            </w:r>
          </w:p>
          <w:p>
            <w:pPr>
              <w:ind w:firstLine="420"/>
            </w:pPr>
            <w:r>
              <w:rPr>
                <w:sz w:val="21"/>
              </w:rPr>
              <w:t>《公安交通管理外场设备基础设施施工通用要求》</w:t>
            </w:r>
            <w:r>
              <w:rPr>
                <w:sz w:val="21"/>
              </w:rPr>
              <w:t>(GA/T652-2017)</w:t>
            </w:r>
          </w:p>
          <w:p>
            <w:pPr>
              <w:ind w:firstLine="420"/>
            </w:pPr>
            <w:r>
              <w:rPr>
                <w:sz w:val="21"/>
              </w:rPr>
              <w:t>《道路交通管理信息采集规范》</w:t>
            </w:r>
            <w:r>
              <w:rPr>
                <w:sz w:val="21"/>
              </w:rPr>
              <w:t>(GA/T946.1-946.6-2011)</w:t>
            </w:r>
          </w:p>
          <w:p>
            <w:pPr>
              <w:ind w:firstLine="420"/>
            </w:pPr>
            <w:r>
              <w:rPr>
                <w:sz w:val="21"/>
              </w:rPr>
              <w:t>《闪光警告信号灯》</w:t>
            </w:r>
            <w:r>
              <w:rPr>
                <w:sz w:val="21"/>
              </w:rPr>
              <w:t>(GA/T743-2016)</w:t>
            </w:r>
          </w:p>
          <w:p>
            <w:pPr>
              <w:ind w:firstLine="420"/>
            </w:pPr>
            <w:r>
              <w:rPr>
                <w:sz w:val="21"/>
              </w:rPr>
              <w:t>《人行横道信号灯设置规范》</w:t>
            </w:r>
            <w:r>
              <w:rPr>
                <w:sz w:val="21"/>
              </w:rPr>
              <w:t>(GA/T851-2009)</w:t>
            </w:r>
          </w:p>
          <w:p>
            <w:pPr>
              <w:ind w:firstLine="420"/>
            </w:pPr>
            <w:r>
              <w:rPr>
                <w:sz w:val="21"/>
              </w:rPr>
              <w:t>《道路交通信号倒计时显示器》</w:t>
            </w:r>
            <w:r>
              <w:rPr>
                <w:sz w:val="21"/>
              </w:rPr>
              <w:t>(GA/T508-2014)</w:t>
            </w:r>
          </w:p>
          <w:p>
            <w:pPr>
              <w:ind w:firstLine="420"/>
            </w:pPr>
            <w:r>
              <w:rPr>
                <w:sz w:val="21"/>
              </w:rPr>
              <w:t>《公安交通集成指挥平台通信协议第</w:t>
            </w:r>
            <w:r>
              <w:rPr>
                <w:sz w:val="21"/>
              </w:rPr>
              <w:t>2 部分交通信号控制系统》GA/T1049.2-2013)</w:t>
            </w:r>
          </w:p>
          <w:p>
            <w:pPr>
              <w:ind w:firstLine="422"/>
            </w:pPr>
            <w:r>
              <w:rPr>
                <w:b/>
                <w:sz w:val="21"/>
              </w:rPr>
              <w:t>交通信号灯的维护路口如下：</w:t>
            </w:r>
          </w:p>
          <w:tbl>
            <w:tblPr>
              <w:tblBorders>
                <w:top w:val="none" w:color="000000" w:sz="4"/>
                <w:left w:val="none" w:color="000000" w:sz="4"/>
                <w:bottom w:val="none" w:color="000000" w:sz="4"/>
                <w:right w:val="none" w:color="000000" w:sz="4"/>
                <w:insideH w:val="none"/>
                <w:insideV w:val="none"/>
              </w:tblBorders>
            </w:tblPr>
            <w:tblGrid>
              <w:gridCol w:w="493"/>
              <w:gridCol w:w="3673"/>
              <w:gridCol w:w="1431"/>
            </w:tblGrid>
            <w:tr>
              <w:tc>
                <w:tcPr>
                  <w:tcW w:type="dxa" w:w="49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673"/>
                  <w:tcBorders>
                    <w:top w:val="single" w:color="000000" w:sz="4"/>
                    <w:left w:val="none" w:color="000000" w:sz="4"/>
                    <w:bottom w:val="single" w:color="000000" w:sz="4"/>
                    <w:right w:val="single" w:color="000000" w:sz="4"/>
                  </w:tcBorders>
                  <w:vAlign w:val="top"/>
                </w:tcPr>
                <w:p>
                  <w:pPr>
                    <w:jc w:val="center"/>
                  </w:pPr>
                  <w:r>
                    <w:rPr>
                      <w:sz w:val="21"/>
                    </w:rPr>
                    <w:t>位置</w:t>
                  </w:r>
                </w:p>
              </w:tc>
              <w:tc>
                <w:tcPr>
                  <w:tcW w:type="dxa" w:w="1431"/>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迎宾路与工业西路路口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新城路与工业北路路口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新城路与迎宾路路口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新城路与工业南路路口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新城路与红棉路路口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新城路与沁园路路口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新城路与玉兰路路口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新城路与大学路路口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红棉路与大学路路口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红棉路与玉兰路路口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红棉路与沁园路路口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红棉路与礼宾路路口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沁园路与礼宾路路口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兴园路与科苑路路口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沁园路与新竹路、畅园路路口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大学路与新竹路路口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新城路与环湖路路口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工业北路与工业西路路口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工业北路与工业北二路路口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工业北二路路口与工业西四路路口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工业北路与工业东路路口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工业东路与迎宾路路口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红棉路与学勤路（</w:t>
                  </w:r>
                  <w:r>
                    <w:rPr>
                      <w:sz w:val="21"/>
                    </w:rPr>
                    <w:t>S10）路口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青田路与南山路路口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玉兰路理工学院路段</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新城路与科苑横路路口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工业北二路与工业北三路路口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台中路与基隆路路口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台中路与桃园路路口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台中路与阿里山路路口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工业东路青竹园路段</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红棉路艺鸣幼儿园路口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基隆路与富通路路口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新城路金多港掉头路口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工业南路与工业西路路口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工业南路与工业东路路口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沁园路与科苑路路口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阿里山路与高雄路路口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玉兰路与学府路路口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台南路与桃园路路口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台南路与阿里山路路口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阿里山路与桃园路路口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阿里山路与基隆路路口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大学路与学府路路口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台中路与美景大道路口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大学路与畅园路路口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工业西路与科技四路路口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畅园路与信息路路口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科苑路与科信路路口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科苑路与科聚二路路口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科聚路与科聚二路路口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科聚路与科信路路口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科技四路与总部二路路口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环湖路与湖景路路口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环湖路与象和路路口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环湖路与松水路路口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湖景路与茂华路路口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科技四路与总部三路路口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科技九路与总部二路路口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科技九路与总部三路路口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科技十路与总部二路路口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科技十路与总部三路路口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环湖路与茂华路路口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工业北路与工业北三路路口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科苑路与科发七路路口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科发七路东华医院路口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科苑路工商银行路口</w:t>
                  </w:r>
                </w:p>
              </w:tc>
              <w:tc>
                <w:tcPr>
                  <w:tcW w:type="dxa" w:w="1431"/>
                  <w:tcBorders>
                    <w:top w:val="none" w:color="000000" w:sz="4"/>
                    <w:left w:val="non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科苑路与科苑横路路口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2023年5月到期</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畅园路与佛富路路口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2023年5月到期</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环湖路与南山路路口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2023年5月到期</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大学路职业技术学院路段</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2023年5月到期</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工业西路与金钗路路口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2023年5月到期</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环湖路与南山路路口（莞美学校）</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2023年9月到期</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工业东路与工业东二路路口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2023年9月到期</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工业东路固高路段</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2023年9月到期</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月湖路与瑞和路</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黄闪</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碧湖路与现况路交叉口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国产信控机</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燕岭路口与南社北一村路交叉口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国产信控机</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生态园大道与月湖路路口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国产信控机</w:t>
                  </w:r>
                  <w:r>
                    <w:rPr>
                      <w:sz w:val="21"/>
                    </w:rPr>
                    <w:t>SCATS</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生态园大道与瑞和路路口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国产信控机</w:t>
                  </w:r>
                  <w:r>
                    <w:rPr>
                      <w:sz w:val="21"/>
                    </w:rPr>
                    <w:t>SCATS</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生态园大道与南朗路路口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国产信控机</w:t>
                  </w:r>
                  <w:r>
                    <w:rPr>
                      <w:sz w:val="21"/>
                    </w:rPr>
                    <w:t>SCATS</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凤凰大道路口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国产信控机</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新湖路与</w:t>
                  </w:r>
                  <w:r>
                    <w:rPr>
                      <w:sz w:val="21"/>
                    </w:rPr>
                    <w:t>12号路路口（丁字路口）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国产信控机</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月湖路与碧湖路路口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国产信控机</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东园大道与</w:t>
                  </w:r>
                  <w:r>
                    <w:rPr>
                      <w:sz w:val="21"/>
                    </w:rPr>
                    <w:t>20号路口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黄闪</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东园大道与</w:t>
                  </w:r>
                  <w:r>
                    <w:rPr>
                      <w:sz w:val="21"/>
                    </w:rPr>
                    <w:t>17号路口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黄闪</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生态园大道与绿道驿站路口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黄闪</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古村路与绿道驿站路口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黄闪</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月湖路与</w:t>
                  </w:r>
                  <w:r>
                    <w:rPr>
                      <w:sz w:val="21"/>
                    </w:rPr>
                    <w:t>75号路路口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封闭路口</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塘中路与</w:t>
                  </w:r>
                  <w:r>
                    <w:rPr>
                      <w:sz w:val="21"/>
                    </w:rPr>
                    <w:t>50号路路口（丁字路口）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封闭路口</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燕岭路与</w:t>
                  </w:r>
                  <w:r>
                    <w:rPr>
                      <w:sz w:val="21"/>
                    </w:rPr>
                    <w:t>52号路交叉口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黄闪、封闭路口</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燕岭路与</w:t>
                  </w:r>
                  <w:r>
                    <w:rPr>
                      <w:sz w:val="21"/>
                    </w:rPr>
                    <w:t>50号路交叉口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黄闪、封闭路口</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生态园大道与祥和路路口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黄闪、封闭路口</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月湖路与庆和号路</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黄闪、封闭路口</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月湖路与超朗路路口（翠图轩）</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黄闪、封闭路口</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东园大道与中心路路口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SCATS</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生态园大道与兴业路路口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东快立交与东兴西路路口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兴业路与东兴路路口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东园大道与生态园大道路口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东园大道与古村路路口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东园大道与茶石路口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月湖路与古村路路口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月湖路与燕岭路路口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月湖路与塘中路口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月湖路与茶石路路口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月湖路与</w:t>
                  </w:r>
                  <w:r>
                    <w:rPr>
                      <w:sz w:val="21"/>
                    </w:rPr>
                    <w:t>15号路口（冲美村路口）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南朗路与碧湖路路口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南朗路与古村路路口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南朗路与燕岭路路口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南朗路与塘中路路口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茶石路与南朗路路口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碧湖路与</w:t>
                  </w:r>
                  <w:r>
                    <w:rPr>
                      <w:sz w:val="21"/>
                    </w:rPr>
                    <w:t>12号路路口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生态园大道与超横路路口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智能信控机</w:t>
                  </w:r>
                  <w:r>
                    <w:rPr>
                      <w:sz w:val="21"/>
                    </w:rPr>
                    <w:t>ATC</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东园大道与下沙路口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兴业路与福兴路路口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福兴路与兴惠路路口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东园大道与文荟路路口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南园路与规划</w:t>
                  </w:r>
                  <w:r>
                    <w:rPr>
                      <w:sz w:val="21"/>
                    </w:rPr>
                    <w:t>32号路路口（十字路口）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南园路与规划</w:t>
                  </w:r>
                  <w:r>
                    <w:rPr>
                      <w:sz w:val="21"/>
                    </w:rPr>
                    <w:t>38号路路口（丁字路口右进右出）</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南园路与芦溪路路口（丁字路口）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南园路与芦溪二路路口（丁字路口）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南园路与大进路路口（十字路口）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南园路与大进东路路口（丁字路口）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兴达路与建兴路路口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东兴路与兴达路路口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改造升级</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生态园大道与莞樟路口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交寮步维护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生态园大道与初坑村路口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交寮步维护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生态园大道与初坑四路路口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交寮步维护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科技路路口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交寮步维护</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3673"/>
                  <w:tcBorders>
                    <w:top w:val="none" w:color="000000" w:sz="4"/>
                    <w:left w:val="none" w:color="000000" w:sz="4"/>
                    <w:bottom w:val="single" w:color="000000" w:sz="4"/>
                    <w:right w:val="single" w:color="000000" w:sz="4"/>
                  </w:tcBorders>
                  <w:vAlign w:val="top"/>
                </w:tcPr>
                <w:p>
                  <w:pPr>
                    <w:jc w:val="center"/>
                  </w:pPr>
                  <w:r>
                    <w:rPr>
                      <w:sz w:val="21"/>
                    </w:rPr>
                    <w:t>文荟路路口与工业大道路口</w:t>
                  </w:r>
                </w:p>
              </w:tc>
              <w:tc>
                <w:tcPr>
                  <w:tcW w:type="dxa" w:w="1431"/>
                  <w:tcBorders>
                    <w:top w:val="none" w:color="000000" w:sz="4"/>
                    <w:left w:val="none" w:color="000000" w:sz="4"/>
                    <w:bottom w:val="single" w:color="000000" w:sz="4"/>
                    <w:right w:val="single" w:color="000000" w:sz="4"/>
                  </w:tcBorders>
                  <w:vAlign w:val="top"/>
                </w:tcPr>
                <w:p>
                  <w:pPr>
                    <w:jc w:val="center"/>
                  </w:pPr>
                  <w:r>
                    <w:rPr>
                      <w:sz w:val="21"/>
                    </w:rPr>
                    <w:t>交石排升级</w:t>
                  </w:r>
                </w:p>
              </w:tc>
            </w:tr>
          </w:tbl>
          <w:p>
            <w:pPr>
              <w:ind w:firstLine="422"/>
            </w:pPr>
            <w:r>
              <w:rPr/>
              <w:t xml:space="preserve"> </w:t>
            </w:r>
          </w:p>
          <w:p>
            <w:pPr>
              <w:ind w:firstLine="422"/>
            </w:pPr>
            <w:r>
              <w:rPr>
                <w:b/>
                <w:sz w:val="21"/>
              </w:rPr>
              <w:t>二、维修保养需求细则</w:t>
            </w:r>
          </w:p>
          <w:p>
            <w:pPr>
              <w:ind w:firstLine="420"/>
            </w:pPr>
            <w:r>
              <w:rPr>
                <w:sz w:val="21"/>
              </w:rPr>
              <w:t>1、设备故障修复要求</w:t>
            </w:r>
          </w:p>
          <w:p>
            <w:pPr>
              <w:ind w:firstLine="420"/>
            </w:pPr>
            <w:r>
              <w:rPr>
                <w:sz w:val="21"/>
              </w:rPr>
              <w:t>在合同规定的服务期内，中标人负责对所承包范围内的交通信号灯设备进行维护保养，保证每个路口设备完好无损，正常运行。服务期间涉及到本系统维护交通信号灯系统数量增加及智能化改造的，需要积极配合管理部门工作</w:t>
            </w:r>
            <w:r>
              <w:rPr>
                <w:sz w:val="21"/>
              </w:rPr>
              <w:t>,并提供免费的人工服务支持。为此采购人不再支付费用。</w:t>
            </w:r>
          </w:p>
          <w:p>
            <w:pPr>
              <w:ind w:firstLine="420"/>
            </w:pPr>
            <w:r>
              <w:rPr>
                <w:sz w:val="21"/>
              </w:rPr>
              <w:t>（</w:t>
            </w:r>
            <w:r>
              <w:rPr>
                <w:sz w:val="21"/>
              </w:rPr>
              <w:t>1）★投标人须承诺：中标后30天内，按照用户需求做好本项目备件库存工作，包括SCATS系统整机（串口服务器digicom、信号区域服务器HPworkstation）及相关配套配件等，库存配件种类及数量须达到用户要求（SCATS、普通信号控制机各不少于2套，灯组（一组为红黄绿三个灯）不少于6组，发电机（额定功率不低于5KW）不少于5台，移动交通信号灯不少于5台）。</w:t>
            </w:r>
            <w:r>
              <w:rPr>
                <w:b/>
                <w:sz w:val="21"/>
              </w:rPr>
              <w:t>（须提供承诺函，格式自拟）</w:t>
            </w:r>
          </w:p>
          <w:p>
            <w:pPr>
              <w:ind w:firstLine="420"/>
            </w:pPr>
            <w:r>
              <w:rPr>
                <w:sz w:val="21"/>
              </w:rPr>
              <w:t>（</w:t>
            </w:r>
            <w:r>
              <w:rPr>
                <w:sz w:val="21"/>
              </w:rPr>
              <w:t>2）★投标人须承诺：为确保售后维护专业性，承诺在中标结果公示结束后10个工作日内获得具有SCATS系统厂家（或国内原厂家代理）开具的针对本项目的售后服务承诺加盖原厂（或国内原厂代理）公章。</w:t>
            </w:r>
            <w:r>
              <w:rPr>
                <w:b/>
                <w:sz w:val="21"/>
              </w:rPr>
              <w:t>（须提供承诺函，格式自拟）</w:t>
            </w:r>
          </w:p>
          <w:p>
            <w:pPr>
              <w:ind w:firstLine="420"/>
            </w:pPr>
            <w:r>
              <w:rPr>
                <w:sz w:val="21"/>
              </w:rPr>
              <w:t>（</w:t>
            </w:r>
            <w:r>
              <w:rPr>
                <w:sz w:val="21"/>
              </w:rPr>
              <w:t>3）中标人须负责SCATS 智能控制机路口所有设备维护信号灯灯组、灯杆、地下管道、线路、沙井、防雷、SCATS控制机、光端机，借道左转、倒计时等设备的的维护保养、清洁、除锈、翻新等所涉及维护设备，中标人须对采购人工作人员进行红绿灯控制系统培训并在服务期内提供红绿灯控制系统培训教材。</w:t>
            </w:r>
          </w:p>
          <w:p>
            <w:pPr>
              <w:ind w:firstLine="420"/>
            </w:pPr>
            <w:r>
              <w:rPr>
                <w:sz w:val="21"/>
              </w:rPr>
              <w:t>（</w:t>
            </w:r>
            <w:r>
              <w:rPr>
                <w:sz w:val="21"/>
              </w:rPr>
              <w:t>4）信号区域服务器</w:t>
            </w:r>
          </w:p>
          <w:p>
            <w:pPr>
              <w:ind w:firstLine="420"/>
            </w:pPr>
            <w:r>
              <w:rPr>
                <w:sz w:val="21"/>
              </w:rPr>
              <w:t>HP workstation完成对 SCATS 信号系统服务器及系统的实时维护，达到系统中各编号路口示图的道路名、方向车道数等都与对应的路口现场状况实时同步台 25 串口服务器 digicom 设备维护7台路口交通信号灯放行方式改善按采购人指定路口改善交通信号灯放行方式，主要工作：</w:t>
            </w:r>
          </w:p>
          <w:p>
            <w:pPr>
              <w:ind w:firstLine="420"/>
            </w:pPr>
            <w:r>
              <w:rPr>
                <w:sz w:val="21"/>
              </w:rPr>
              <w:t>1）完善管线配套，满足每个灯组独立控制；</w:t>
            </w:r>
          </w:p>
          <w:p>
            <w:pPr>
              <w:ind w:firstLine="420"/>
            </w:pPr>
            <w:r>
              <w:rPr>
                <w:sz w:val="21"/>
              </w:rPr>
              <w:t>2）完善交通信号控制机功能，能满足单放、对放等多种放行方式的运行。重点路口设备管道和线路的改造与翻新按采购人指定的路口，对涉及路口设备的全部管道、线路重做（须采用顶管方式埋没，管道深度不低于 2 米），达到管道畅通、防鼠、防漏电、防积水、防沙土淤积和整洁美观的，并更换机箱，美化机箱外观。路口信号灯配时优化改造及管线微整改按采购人指定的路口，根据《路口改造需求表》的要求，对涉及路口信号灯进行配时优化，对涉及路口的部分管道、线路进行翻新整改，以及机箱内部线路整改。非设备维保的交通信号控制机路口的运行保障巡检、应急保障、配时服务等非设备维保工作，数量不超过20个。信号灯机箱美化，根据《东莞市城市道路市政箱体及环卫设施美化工作指引》的要求做好箱体美化。铝合金材质艺机箱。</w:t>
            </w:r>
          </w:p>
          <w:p>
            <w:pPr>
              <w:ind w:firstLine="420"/>
            </w:pPr>
            <w:r>
              <w:rPr>
                <w:sz w:val="21"/>
              </w:rPr>
              <w:t>2、巡检内容包括：</w:t>
            </w:r>
          </w:p>
          <w:p>
            <w:pPr>
              <w:ind w:firstLine="420"/>
            </w:pPr>
            <w:r>
              <w:rPr>
                <w:sz w:val="21"/>
              </w:rPr>
              <w:t>（</w:t>
            </w:r>
            <w:r>
              <w:rPr>
                <w:sz w:val="21"/>
              </w:rPr>
              <w:t>1）对维护清单上的红绿灯设备进行巡检，包括信号灯灯组、线圈、杆件、控制机板卡、沙井盖、线路、机箱门、机箱基础等，在机箱上喷涂标识，登记造册。</w:t>
            </w:r>
          </w:p>
          <w:p>
            <w:pPr>
              <w:ind w:firstLine="420"/>
            </w:pPr>
            <w:r>
              <w:rPr>
                <w:sz w:val="21"/>
              </w:rPr>
              <w:t>（</w:t>
            </w:r>
            <w:r>
              <w:rPr>
                <w:sz w:val="21"/>
              </w:rPr>
              <w:t>2）描述信号灯运行情况，统计分析故障原因，制定下一个维护周期的维护策略。</w:t>
            </w:r>
          </w:p>
          <w:p>
            <w:pPr>
              <w:ind w:firstLine="420"/>
            </w:pPr>
            <w:r>
              <w:rPr>
                <w:sz w:val="21"/>
              </w:rPr>
              <w:t>（</w:t>
            </w:r>
            <w:r>
              <w:rPr>
                <w:sz w:val="21"/>
              </w:rPr>
              <w:t>3）中标人要确保维护清单上所有设备的正常使用，负责设备及其它配件的维修保养、保管，确保资产不受损失。维修保养、保管设备的范围包括设备的自然损坏、道路施工、人为破坏、车辆撞击损坏、被盗损坏。对设备人为损坏的，中标人具有自行追偿的权利。</w:t>
            </w:r>
          </w:p>
          <w:p>
            <w:pPr>
              <w:ind w:firstLine="420"/>
            </w:pPr>
            <w:r>
              <w:rPr>
                <w:sz w:val="21"/>
              </w:rPr>
              <w:t>3、巡检工作要求：</w:t>
            </w:r>
          </w:p>
          <w:p>
            <w:pPr>
              <w:ind w:firstLine="420"/>
            </w:pPr>
            <w:r>
              <w:rPr>
                <w:sz w:val="21"/>
              </w:rPr>
              <w:t>（</w:t>
            </w:r>
            <w:r>
              <w:rPr>
                <w:sz w:val="21"/>
              </w:rPr>
              <w:t>1）开展周期性巡检工作之前，需中标人提交《周巡检计划》。当天巡检工作之前必须报当天、明天的巡检计划（细化到上午、下午各巡检的路口及路线）。路口信号灯、主机的巡检工作须有到场图、设备图、故障或设备正常运行图，巡检时须有检测工具对相关设备运行状态进行检测验证。设备巡检完成后需提交巡检记录以及巡检报告交采购人审核，并作为月度例会汇报材料以及验收会材料。</w:t>
            </w:r>
          </w:p>
          <w:p>
            <w:pPr>
              <w:ind w:firstLine="420"/>
            </w:pPr>
            <w:r>
              <w:rPr>
                <w:sz w:val="21"/>
              </w:rPr>
              <w:t>（</w:t>
            </w:r>
            <w:r>
              <w:rPr>
                <w:sz w:val="21"/>
              </w:rPr>
              <w:t>2）中标人需每周对合同清单中的SCATS主服务器进行巡检，巡检内容包括（但不限于以下指标）：定期检查服务器进程、CPU使用率、内存使用率、网络端口情况，巡检完成后需提交巡检记录以及巡检报告交采购人存档。</w:t>
            </w:r>
          </w:p>
          <w:p>
            <w:pPr>
              <w:ind w:firstLine="420"/>
            </w:pPr>
            <w:r>
              <w:rPr>
                <w:sz w:val="21"/>
              </w:rPr>
              <w:t>（</w:t>
            </w:r>
            <w:r>
              <w:rPr>
                <w:sz w:val="21"/>
              </w:rPr>
              <w:t>3）中标人要配备专业技术人员队伍、维修设备及其他专用工具，根据采购人的要求做好交通信号控制机芯片（芯片由中标人提供）编程、更换和信号调试工作。松山湖区域常驻人员2人，外场巡检抢修2人，生态园区域至少1-2人常驻，外场巡检抢修2人（要求熟悉SCATS系统操作），要求每天早高峰和晚高峰在指挥中心用视频各巡查一次，记录所有信号灯运行情况。常驻人员需常驻采购人指定的办公场所，常驻人员的上班时间要求与采购人保持一致。合同期内中标人须提供每个月巡检不少于60次，并在下一个月的5号前向采购人提供巡检报告。</w:t>
            </w:r>
          </w:p>
          <w:p>
            <w:pPr>
              <w:ind w:firstLine="420"/>
            </w:pPr>
            <w:r>
              <w:rPr>
                <w:sz w:val="21"/>
              </w:rPr>
              <w:t>4、故障修复要求：</w:t>
            </w:r>
          </w:p>
          <w:p>
            <w:pPr>
              <w:ind w:firstLine="420"/>
            </w:pPr>
            <w:r>
              <w:rPr>
                <w:sz w:val="21"/>
              </w:rPr>
              <w:t>（</w:t>
            </w:r>
            <w:r>
              <w:rPr>
                <w:sz w:val="21"/>
              </w:rPr>
              <w:t>1）要求提供固定报障电话，提供7×24小时系统任何故障响应服务，收到报障后范围内，30分钟内赶到现场，如遇不可抗拒的原因无法按时到达现场的，需提供书面祥细情况说明原因。发布故障后，须在报障1小时内反馈故障现场情况。故障修复时间要求如下：</w:t>
            </w:r>
          </w:p>
          <w:p>
            <w:pPr>
              <w:ind w:firstLine="420"/>
            </w:pPr>
            <w:r>
              <w:rPr>
                <w:sz w:val="21"/>
              </w:rPr>
              <w:t>第一级：常规故障。采用更换零配件的方式维修后可保证现场设备正常运行的，</w:t>
            </w:r>
            <w:r>
              <w:rPr>
                <w:sz w:val="21"/>
              </w:rPr>
              <w:t>2小时内修复故障；</w:t>
            </w:r>
          </w:p>
          <w:p>
            <w:pPr>
              <w:ind w:firstLine="420"/>
            </w:pPr>
            <w:r>
              <w:rPr>
                <w:sz w:val="21"/>
              </w:rPr>
              <w:t>第二级：线路、取电等涉及线路故障的。经抢修人员电话或微信与报障人员确认后，需在</w:t>
            </w:r>
            <w:r>
              <w:rPr>
                <w:sz w:val="21"/>
              </w:rPr>
              <w:t>24小时内修复故障；</w:t>
            </w:r>
          </w:p>
          <w:p>
            <w:pPr>
              <w:ind w:firstLine="420"/>
            </w:pPr>
            <w:r>
              <w:rPr>
                <w:sz w:val="21"/>
              </w:rPr>
              <w:t>第三级：基础、地下管道施工等需要报批施工的故障。经抢修人员电话或微信与报障人员确认，具备恢复条件并取得审批许可后，需在</w:t>
            </w:r>
            <w:r>
              <w:rPr>
                <w:sz w:val="21"/>
              </w:rPr>
              <w:t>7个自然日内修复故障，如果修复涉及必须消耗的施工时间（如倒基础必须等水泥干后才能进行下一步的施工等），可以根据具体情况延长修复时间，但中标人必须提供施工的进度报告说明情况。</w:t>
            </w:r>
          </w:p>
          <w:p>
            <w:pPr>
              <w:ind w:firstLine="420"/>
            </w:pPr>
            <w:r>
              <w:rPr>
                <w:sz w:val="21"/>
              </w:rPr>
              <w:t>第四级：</w:t>
            </w:r>
            <w:r>
              <w:rPr>
                <w:sz w:val="21"/>
              </w:rPr>
              <w:t>SCATS信号灯指挥系统瘫痪、SCATS服务器故障、断电供应，失去区域性（同一时间出现5个及以上）的信号灯的有效正常控制。收到报障后15分钟内赶到现场，1小时内修复系统故障并使SCATS系统能正常控制各联网路口信号灯正常运作。如果修复涉及必须消耗的时间（如SCATS系统厂家也未能解决的系统性问题或需获取厂家系统权限等），经抢修人员电话或微信与报障人员确认后，需在3小时内修复故障。</w:t>
            </w:r>
          </w:p>
          <w:p>
            <w:pPr>
              <w:ind w:firstLine="420"/>
            </w:pPr>
            <w:r>
              <w:rPr>
                <w:sz w:val="21"/>
              </w:rPr>
              <w:t>（</w:t>
            </w:r>
            <w:r>
              <w:rPr>
                <w:sz w:val="21"/>
              </w:rPr>
              <w:t>2）更换设备及优化线路要求：</w:t>
            </w:r>
          </w:p>
          <w:p>
            <w:pPr>
              <w:ind w:firstLine="420"/>
            </w:pPr>
            <w:r>
              <w:rPr>
                <w:sz w:val="21"/>
              </w:rPr>
              <w:t>同一设备在</w:t>
            </w:r>
            <w:r>
              <w:rPr>
                <w:sz w:val="21"/>
              </w:rPr>
              <w:t>15天内发生3次或以上的同类设备故障须对其进行更换同等或更高性能的新配件及优化线路，更新设备的须提供新配件的照片、串码等记录，以供查证。第三方协调：涉及第三方施工破坏、管道修复、城市建设需要土建报批施工等的故障，经抢修人员电话或微信与报障人员确认，具备恢复条件并取得审批许可后，需在10天内修复故障并提供专题修复报告说明情况。</w:t>
            </w:r>
          </w:p>
          <w:p>
            <w:pPr>
              <w:ind w:firstLine="420"/>
            </w:pPr>
            <w:r>
              <w:rPr>
                <w:sz w:val="21"/>
              </w:rPr>
              <w:t>5、若中标人接到报障后，未按规定时间到场（即抢修人员到场超时），在综合评价分中扣除5分/单。</w:t>
            </w:r>
          </w:p>
          <w:p>
            <w:pPr>
              <w:ind w:firstLine="420"/>
            </w:pPr>
            <w:r>
              <w:rPr>
                <w:sz w:val="21"/>
              </w:rPr>
              <w:t>6、中标人接收到采购人报障信息后，抢修人员须按照合同约定的到场时限赶往现场处理故障；其中重点路口报故障，维护人员需在接收到报障信息起30分钟内（若遇交通堵车未能及时到场，抢修人员应及时通报交通实时状况）到场抢修并拍摄到场照片给采购人跟进重点路口修复进度及结果。</w:t>
            </w:r>
          </w:p>
          <w:p>
            <w:pPr>
              <w:ind w:firstLine="420"/>
            </w:pPr>
            <w:r>
              <w:rPr>
                <w:sz w:val="21"/>
              </w:rPr>
              <w:t>7、对采购人发报的故障涉及到与其他单位的，中标人应采用优先恢复设备运作再向其他单位追偿的原则，若中标人自身技术力量无法解决需其他单位配合才能完成修复的故障，此类故障须由中标人主动联系配合单位并跟踪修复结果，若故障不属于中标人责任范围，可向采购人申请办结该故障计时。</w:t>
            </w:r>
          </w:p>
          <w:p>
            <w:pPr>
              <w:ind w:firstLine="420"/>
            </w:pPr>
            <w:r>
              <w:rPr>
                <w:sz w:val="21"/>
              </w:rPr>
              <w:t>8、中标人接收报障后，到达路口现场，因客观因素或交通环境不具备抢修施工条件的情况，中标人可通过电话或微信向采购人申请故障计时暂停，并提供现场相关证明材料及图片等。</w:t>
            </w:r>
          </w:p>
          <w:p>
            <w:pPr>
              <w:ind w:firstLine="420"/>
            </w:pPr>
            <w:r>
              <w:rPr>
                <w:sz w:val="21"/>
              </w:rPr>
              <w:t>9、接收报障信息后，抢修人员到达路口若发现路口信号灯、路面交通运行正常，经抢修人员检测主机、设备无故障，在确保抢修人员人身安全的前提下，需拍摄主机以及各方向信号灯正常运行的照片报送采购人登记。</w:t>
            </w:r>
          </w:p>
          <w:p>
            <w:pPr>
              <w:ind w:firstLine="420"/>
            </w:pPr>
            <w:r>
              <w:rPr>
                <w:sz w:val="21"/>
              </w:rPr>
              <w:t>10、应急保障：安保任务、大型活动、重大节假日期间，维护公司须制作预案、安排值班人员确保设备正常运作；保障期间，一般故障，1小时内修复故障，重要故障，根据采购人要求的时间内修复故障。</w:t>
            </w:r>
          </w:p>
          <w:p>
            <w:pPr>
              <w:ind w:firstLine="420"/>
            </w:pPr>
            <w:r>
              <w:rPr>
                <w:sz w:val="21"/>
              </w:rPr>
              <w:t>11、室外设备检查要求：服务期间，中标人须对承包范围内的杆件、机箱、管线、沙井等进行全面检查。</w:t>
            </w:r>
          </w:p>
          <w:p>
            <w:pPr>
              <w:ind w:firstLine="420"/>
            </w:pPr>
            <w:r>
              <w:rPr>
                <w:sz w:val="21"/>
              </w:rPr>
              <w:t>具体内容：</w:t>
            </w:r>
          </w:p>
          <w:p>
            <w:pPr>
              <w:ind w:firstLine="420"/>
            </w:pPr>
            <w:r>
              <w:rPr>
                <w:sz w:val="21"/>
              </w:rPr>
              <w:t>1）杆件安装牢固、垂直，坚固件无松动，垂直安装的倾斜度不得超过杆体长度1%。杆件、机箱清洁干净，无文字广告，无污迹，无生锈变形，机械强度满足要求。</w:t>
            </w:r>
          </w:p>
          <w:p>
            <w:pPr>
              <w:ind w:firstLine="420"/>
            </w:pPr>
            <w:r>
              <w:rPr>
                <w:sz w:val="21"/>
              </w:rPr>
              <w:t>2）对被盗窃、短路、断线、老化、绝缘等不符合要求的电缆，中标人应免费予以更换。</w:t>
            </w:r>
          </w:p>
          <w:p>
            <w:pPr>
              <w:ind w:firstLine="420"/>
            </w:pPr>
            <w:r>
              <w:rPr>
                <w:sz w:val="21"/>
              </w:rPr>
              <w:t>3）有树林或其它障碍物遮挡视线时，应立即上报</w:t>
            </w:r>
            <w:r>
              <w:rPr>
                <w:sz w:val="21"/>
              </w:rPr>
              <w:t>采购人</w:t>
            </w:r>
            <w:r>
              <w:rPr>
                <w:sz w:val="21"/>
              </w:rPr>
              <w:t>管理部门协调处理。</w:t>
            </w:r>
          </w:p>
          <w:p>
            <w:pPr>
              <w:ind w:firstLine="420"/>
            </w:pPr>
            <w:r>
              <w:rPr>
                <w:sz w:val="21"/>
              </w:rPr>
              <w:t>4）按照项目要求定期（半年一次）对主要设备、信号灯具、杆件、机箱进行维护，做到干净无尘，无破损，无老化变形；设备无积水，密封性能好。灯壳内无积水，密封性能好，亮度符合要求，信号灯具在杆上安装牢固，竖式安装时应垂直，横向安装时应平行，机动车信号灯具显示面正对所控制的机动车道，人行横道信号灯具显示面应正对人行横道。</w:t>
            </w:r>
          </w:p>
          <w:p>
            <w:pPr>
              <w:ind w:firstLine="420"/>
            </w:pPr>
            <w:r>
              <w:rPr>
                <w:sz w:val="21"/>
              </w:rPr>
              <w:t>5）沙井要求无缺无损坏，密封性能好，新换的井盖需有“公安交警”的标志，自觉遵守市政管理部门的工作要求，对损坏的井盖要及时更换，对被盗、损坏的井盖没有及时维修而引发的安全事故由中标人承担。</w:t>
            </w:r>
          </w:p>
          <w:p>
            <w:pPr>
              <w:ind w:firstLine="420"/>
            </w:pPr>
            <w:r>
              <w:rPr>
                <w:sz w:val="21"/>
              </w:rPr>
              <w:t>12、信号控制服务平台后台共由2台区域服务器和7台16串口扩展设备组成，全市区所有联网信号控制机都集中在信号控制服务平台管理。本次维护需要对2台区域服务器及7台串口扩展设备进行硬件维护，对区域服务器的系统及数据需进行及时维护和备份，当区域服务器发生故障不能及时修复，投标方应提供同等或更高级别并完成系统配置的区域服务器进行临时替代使用（因此区域服务器及串口扩展设备比较重要需提供备件）。</w:t>
            </w:r>
          </w:p>
          <w:p>
            <w:pPr>
              <w:ind w:firstLine="420"/>
            </w:pPr>
            <w:r>
              <w:rPr>
                <w:sz w:val="21"/>
              </w:rPr>
              <w:t>13、设备停用要求：因道路施工、路口改造、设备升级改造、设备迁移等原因造成设备停用的，由中标人负责存放电气类设备，并对设备进行基本防护，保障设备能随时投入使用。对设备停用/启用须经双方确认。设备停用期间扣除其维护费，在最终结算维护费用时合并执行。</w:t>
            </w:r>
          </w:p>
          <w:p>
            <w:pPr>
              <w:ind w:firstLine="420"/>
            </w:pPr>
            <w:r>
              <w:rPr>
                <w:sz w:val="21"/>
              </w:rPr>
              <w:t>14、信号灯的取电电源被停用的，中标人须重新接电，所产生费用由中标人负责；信号灯的取电电源停电的情况下，中标人须按采购人的要求使用备用的发电机进行自行发电。</w:t>
            </w:r>
          </w:p>
          <w:p>
            <w:pPr>
              <w:ind w:firstLine="420"/>
            </w:pPr>
            <w:r>
              <w:rPr>
                <w:sz w:val="21"/>
              </w:rPr>
              <w:t>发电措施具体要求如下：</w:t>
            </w:r>
          </w:p>
          <w:p>
            <w:pPr>
              <w:ind w:firstLine="420"/>
            </w:pPr>
            <w:r>
              <w:rPr>
                <w:sz w:val="21"/>
              </w:rPr>
              <w:t>（</w:t>
            </w:r>
            <w:r>
              <w:rPr>
                <w:sz w:val="21"/>
              </w:rPr>
              <w:t>1）招标文件清单中的重点路口出现停电（路口信号灯熄灭）的情况，中标人必须按照采购人要求全程采用发电机发电，保障路口交通秩序正常运行。</w:t>
            </w:r>
          </w:p>
          <w:p>
            <w:pPr>
              <w:ind w:firstLine="420"/>
            </w:pPr>
            <w:r>
              <w:rPr>
                <w:sz w:val="21"/>
              </w:rPr>
              <w:t>（</w:t>
            </w:r>
            <w:r>
              <w:rPr>
                <w:sz w:val="21"/>
              </w:rPr>
              <w:t>2）非重点路口出现停电（路口信号灯熄灭）的情况，中标人需全程采用发电机发电或放置移动信号灯，两种保障路口运行措施由维护公司根据路口实际情况自行选择。</w:t>
            </w:r>
          </w:p>
          <w:p>
            <w:pPr>
              <w:ind w:firstLine="420"/>
            </w:pPr>
            <w:r>
              <w:rPr>
                <w:sz w:val="21"/>
              </w:rPr>
              <w:t>15、保密要求：中标人需对项目内所有资料进行保密，并签署相关保密协议。</w:t>
            </w:r>
          </w:p>
          <w:p>
            <w:pPr>
              <w:ind w:firstLine="420"/>
            </w:pPr>
            <w:r>
              <w:rPr>
                <w:sz w:val="21"/>
              </w:rPr>
              <w:t>16、建立台账制度，包括巡检台帐、维护项目设备台帐、网络扑拓、资源使用、IP分配等。</w:t>
            </w:r>
          </w:p>
          <w:p>
            <w:pPr>
              <w:ind w:firstLine="420"/>
            </w:pPr>
            <w:r>
              <w:rPr>
                <w:sz w:val="21"/>
              </w:rPr>
              <w:t>17、要求项目终验前对设备情况进行清点汇总并提供设备清单和运行报告。</w:t>
            </w:r>
          </w:p>
          <w:p>
            <w:pPr>
              <w:ind w:firstLine="420"/>
            </w:pPr>
            <w:r>
              <w:rPr>
                <w:sz w:val="21"/>
              </w:rPr>
              <w:t>18、中标人因维护不到位而发生安全事故的，由中标人承担责任。维护过程中的安全问题由中标人承担责任。</w:t>
            </w:r>
          </w:p>
          <w:p>
            <w:pPr>
              <w:ind w:firstLine="422"/>
            </w:pPr>
            <w:r>
              <w:rPr>
                <w:b/>
                <w:sz w:val="21"/>
              </w:rPr>
              <w:t>19、★投标人须承诺：招标文件中信号灯设备清单外包括了其他单位新建信号灯设备由采购人验收合格并质保期满后将要移交新建信号灯设备完成移交后交由中标人须无条件接受及进行维护。（须提供承诺函，格式自拟）</w:t>
            </w:r>
          </w:p>
          <w:p>
            <w:pPr>
              <w:ind w:firstLine="420"/>
            </w:pPr>
            <w:r>
              <w:rPr>
                <w:sz w:val="21"/>
              </w:rPr>
              <w:t>20、移动信号灯的使用。在路口信号灯熄灭（包括单方向信号灯熄灭）且现场无交警指挥的情况下，须由维护公司启用移动信号灯。</w:t>
            </w:r>
          </w:p>
          <w:p>
            <w:pPr>
              <w:ind w:firstLine="420"/>
            </w:pPr>
            <w:r>
              <w:rPr>
                <w:sz w:val="21"/>
              </w:rPr>
              <w:t>21、挂单机制：诊断为第三方原因故障，故障修复时效可启动挂单机制，暂停时效计算；直到第三方故障修复完成，若故障未消除，该故障单继续恢复时效计算。</w:t>
            </w:r>
          </w:p>
          <w:p>
            <w:pPr>
              <w:ind w:firstLine="420"/>
            </w:pPr>
            <w:r>
              <w:rPr>
                <w:sz w:val="21"/>
              </w:rPr>
              <w:t>22、值班要求：项目实施过程中需建立24小时值班制度，所安排的值班人员应该具备一定的技术能力和应急处置能力，能够处理或者协助处理突发的系统事件。值班人员须在每天早上7:00前完成通过视频监控完成设备巡查，并出具日巡查报告表。</w:t>
            </w:r>
          </w:p>
          <w:p>
            <w:pPr>
              <w:ind w:firstLine="422"/>
            </w:pPr>
            <w:r>
              <w:rPr/>
              <w:t xml:space="preserve"> </w:t>
            </w:r>
          </w:p>
          <w:p>
            <w:r>
              <w:rPr>
                <w:b/>
                <w:sz w:val="21"/>
              </w:rPr>
              <w:t>三、</w:t>
            </w:r>
            <w:r>
              <w:rPr>
                <w:b/>
                <w:sz w:val="21"/>
              </w:rPr>
              <w:t>SCATS信号灯智能交通指挥系统维修保养责任</w:t>
            </w:r>
          </w:p>
          <w:p>
            <w:pPr>
              <w:ind w:firstLine="420"/>
            </w:pPr>
            <w:r>
              <w:rPr>
                <w:sz w:val="21"/>
              </w:rPr>
              <w:t>1、SCATS智能化交通控制系统维护。信号灯控制服务平台后台共由2台区域服务器和7台16串口扩展设备组成，所有联网信号控制机都集中在信号控制服务平台管理。本次维护需要对2台区域服务器及7台16串口扩展设备进行硬件维护，对区域服务器的系统及数据需进行及时维护和备份，当区域服务器发生故障不能及时修复，投标方应提供同等或更高级别并完成系统配置的区域服务器进行临时替代使用，同时，需要实时更新SCATS系统管理数据和系统中各联网路口的底图数据，达到系统中各编号路口示图的道路名、方向车道数等都与对应的路口现场状况实时同步。</w:t>
            </w:r>
          </w:p>
          <w:p>
            <w:pPr>
              <w:ind w:firstLine="420"/>
            </w:pPr>
            <w:r>
              <w:rPr>
                <w:sz w:val="21"/>
              </w:rPr>
              <w:t>2、机箱美化</w:t>
            </w:r>
          </w:p>
          <w:p>
            <w:pPr>
              <w:ind w:firstLine="420"/>
            </w:pPr>
            <w:r>
              <w:rPr>
                <w:sz w:val="21"/>
              </w:rPr>
              <w:t>对信号灯机箱进行机箱美化，中标人须在自确定中标之日起</w:t>
            </w:r>
            <w:r>
              <w:rPr>
                <w:sz w:val="21"/>
              </w:rPr>
              <w:t>3个月内实施完毕并达到验收条件，须根据《东莞市城市道路市政箱体及环卫设施美化工作指引》的要求做好箱体美化。机箱做铝合金材质。</w:t>
            </w:r>
          </w:p>
          <w:p>
            <w:pPr>
              <w:ind w:firstLine="420"/>
            </w:pPr>
            <w:r>
              <w:rPr>
                <w:sz w:val="21"/>
              </w:rPr>
              <w:t>3、顶管要求</w:t>
            </w:r>
          </w:p>
          <w:p>
            <w:pPr>
              <w:ind w:firstLine="420"/>
            </w:pPr>
            <w:r>
              <w:rPr>
                <w:sz w:val="21"/>
              </w:rPr>
              <w:t>（</w:t>
            </w:r>
            <w:r>
              <w:rPr>
                <w:sz w:val="21"/>
              </w:rPr>
              <w:t>1）非开挖施工前，施工单位根据现场实际情况进行顶管勘察，形成《顶管勘察记录表》、《顶管平面图》、《顶管剖面图》：</w:t>
            </w:r>
          </w:p>
          <w:p>
            <w:pPr>
              <w:ind w:firstLine="420"/>
            </w:pPr>
            <w:r>
              <w:rPr>
                <w:sz w:val="21"/>
              </w:rPr>
              <w:t>1)顶管剖面图需标注顶管的弯曲度；</w:t>
            </w:r>
          </w:p>
          <w:p>
            <w:pPr>
              <w:ind w:firstLine="420"/>
            </w:pPr>
            <w:r>
              <w:rPr>
                <w:sz w:val="21"/>
              </w:rPr>
              <w:t>2)顶管剖面图需标注顶管的深度（每隔20米标注一处）；</w:t>
            </w:r>
          </w:p>
          <w:p>
            <w:pPr>
              <w:ind w:firstLine="420"/>
            </w:pPr>
            <w:r>
              <w:rPr>
                <w:sz w:val="21"/>
              </w:rPr>
              <w:t>3)顶管平面图需标注工作坑的具体位置和大小规格；</w:t>
            </w:r>
          </w:p>
          <w:p>
            <w:pPr>
              <w:ind w:firstLine="420"/>
            </w:pPr>
            <w:r>
              <w:rPr>
                <w:sz w:val="21"/>
              </w:rPr>
              <w:t>4)顶管平面图、标顶管附近其它管网的交越情况。</w:t>
            </w:r>
          </w:p>
          <w:p>
            <w:pPr>
              <w:ind w:firstLine="420"/>
            </w:pPr>
          </w:p>
          <w:p>
            <w:r>
              <w:rPr>
                <w:b/>
                <w:sz w:val="21"/>
              </w:rPr>
              <w:t>四、服务需求明细</w:t>
            </w:r>
          </w:p>
          <w:p>
            <w:pPr>
              <w:ind w:firstLine="420"/>
            </w:pPr>
            <w:r>
              <w:rPr>
                <w:sz w:val="21"/>
              </w:rPr>
              <w:t>1、中标人承包及负责招标文件服务及要求的一切事宜及责任。包括维护清单上所有设备维护保养、清洁、除锈、翻新、运输、保管等相关服务以及中标人认为必要的其他服务，并提供一定数量的必要的备品备件；中标人应自行增加设备正常、合法、安全运行及使用所必需但招标文件没有包含的所有部件、版权、专利等一切费用，如果中标人在中标并签署合同后，在工作中出现的任何遗漏，均由中标中标人免费提供，采购人将不再支付任何费用。</w:t>
            </w:r>
          </w:p>
          <w:p>
            <w:pPr>
              <w:ind w:firstLine="420"/>
            </w:pPr>
            <w:r>
              <w:rPr>
                <w:sz w:val="21"/>
              </w:rPr>
              <w:t>2、中标人需提供必要的技术文件及相关的培训计划。中标人应负责对采购人使用、操作等人员免费进行培训；投标方应将所有培训费用（含培训教材费）及各项支出分别报价，并计入投标总价；中标人应指派具有Scats信号系统丰富理论知识和操作维修经验的资深技术人员担任培训讲师，对于采购人认为不合格的培训讲师，采购人有权要求更换；培训工作需在第一季度维护工作完毕之前完成；操作培训时间安排2-5天。</w:t>
            </w:r>
          </w:p>
          <w:p>
            <w:pPr>
              <w:ind w:firstLine="420"/>
            </w:pPr>
            <w:r>
              <w:rPr>
                <w:sz w:val="21"/>
              </w:rPr>
              <w:t>3、中标人不得以任何方式转包或分包本项目。</w:t>
            </w:r>
          </w:p>
          <w:p>
            <w:pPr>
              <w:ind w:firstLine="420"/>
            </w:pPr>
            <w:r>
              <w:rPr>
                <w:sz w:val="21"/>
              </w:rPr>
              <w:t>4、中标人所投设备需是厂商原装的、全新的，型号、性能及指标符合国家及招标文件提出的有关技术、质量、安全标准。</w:t>
            </w:r>
          </w:p>
          <w:p>
            <w:pPr>
              <w:ind w:firstLine="420"/>
            </w:pPr>
            <w:r>
              <w:rPr>
                <w:sz w:val="21"/>
              </w:rPr>
              <w:t>5、对于影响设备正常工作的必要组成部分，无论在技术规范及用户的技术要求中指出与否，中标人都应提供并在投标文件中明确列出。</w:t>
            </w:r>
          </w:p>
          <w:p>
            <w:pPr>
              <w:ind w:firstLine="420"/>
            </w:pPr>
            <w:r>
              <w:rPr>
                <w:sz w:val="21"/>
              </w:rPr>
              <w:t>6、中标人应设项目负责人，负责合同执行全过程，投标书中需应介绍项目负责人的姓名、性别、联系方式。</w:t>
            </w:r>
          </w:p>
          <w:p>
            <w:pPr>
              <w:ind w:firstLine="420"/>
            </w:pPr>
            <w:r>
              <w:rPr>
                <w:sz w:val="21"/>
              </w:rPr>
              <w:t>7、中标人须无偿提供采购人维护所需的有关材料。</w:t>
            </w:r>
          </w:p>
          <w:p>
            <w:pPr>
              <w:ind w:firstLine="420"/>
            </w:pPr>
            <w:r>
              <w:rPr>
                <w:sz w:val="21"/>
              </w:rPr>
              <w:t>8、中标人需提供详细的维护计划，中标人应当确认并记录每个维护路口位置、取电点、供电部门联系负责人，管道，电源线规格，固定配时计划，路口车道信息和交通设备拍照等，并制作电子档案登记作为归档资料。</w:t>
            </w:r>
          </w:p>
          <w:p>
            <w:pPr>
              <w:ind w:firstLine="420"/>
            </w:pPr>
            <w:r>
              <w:rPr>
                <w:sz w:val="21"/>
              </w:rPr>
              <w:t>9、中标人须每周将故障记录装订成册并提交给采购人或其委托的监理方审核。</w:t>
            </w:r>
          </w:p>
          <w:p>
            <w:pPr>
              <w:ind w:firstLine="420"/>
            </w:pPr>
            <w:r>
              <w:rPr>
                <w:sz w:val="21"/>
              </w:rPr>
              <w:t>10、中标人须根据采购人的要求，在交通信号灯发生故障的路口，使用发电机或者移动交通信号灯。</w:t>
            </w:r>
          </w:p>
          <w:p>
            <w:pPr>
              <w:ind w:firstLine="420"/>
            </w:pPr>
            <w:r>
              <w:rPr>
                <w:sz w:val="21"/>
              </w:rPr>
              <w:t>11、中标人配合</w:t>
            </w:r>
            <w:r>
              <w:rPr>
                <w:sz w:val="21"/>
              </w:rPr>
              <w:t>采购人</w:t>
            </w:r>
            <w:r>
              <w:rPr>
                <w:sz w:val="21"/>
              </w:rPr>
              <w:t>完成一年两次的维护范围内的固定资产清点工作。</w:t>
            </w:r>
          </w:p>
          <w:p>
            <w:pPr>
              <w:ind w:firstLine="420"/>
            </w:pPr>
            <w:r>
              <w:rPr>
                <w:sz w:val="21"/>
              </w:rPr>
              <w:t>12、绩效目标管理：要求维护方结合</w:t>
            </w:r>
            <w:r>
              <w:rPr>
                <w:sz w:val="21"/>
              </w:rPr>
              <w:t>采购人</w:t>
            </w:r>
            <w:r>
              <w:rPr>
                <w:sz w:val="21"/>
              </w:rPr>
              <w:t>的绩效目标申报指引完成项目绩效目标管理。</w:t>
            </w:r>
          </w:p>
          <w:p>
            <w:pPr>
              <w:ind w:firstLine="420"/>
            </w:pPr>
            <w:r>
              <w:rPr>
                <w:sz w:val="21"/>
              </w:rPr>
              <w:t>13、维护期内须完成中标人交办的其他涉及本项目的维护工作。</w:t>
            </w:r>
          </w:p>
          <w:p/>
          <w:p>
            <w:r>
              <w:rPr>
                <w:b/>
                <w:sz w:val="21"/>
              </w:rPr>
              <w:t>五、资源配置</w:t>
            </w:r>
          </w:p>
          <w:p>
            <w:pPr>
              <w:ind w:firstLine="420"/>
            </w:pPr>
            <w:r>
              <w:rPr>
                <w:sz w:val="21"/>
              </w:rPr>
              <w:t>1、中标人须针对本次维护项目专门配备维修专用车辆，完整的维修工具，完备的劳防用品及专业工具配备。</w:t>
            </w:r>
          </w:p>
          <w:p>
            <w:pPr>
              <w:ind w:firstLine="420"/>
            </w:pPr>
            <w:r>
              <w:rPr>
                <w:sz w:val="21"/>
              </w:rPr>
              <w:t>2、中标人配备的维修专用车须统一车身标识，抢修人员按规范要求佩戴工作证，路面抢修/巡检必须穿着好印有“信号灯维护或抢修”字样的反光衣。对维护公司在交警大队驻场办公或者前往支队临时工作、会议，须统一着工作服上班。</w:t>
            </w:r>
          </w:p>
          <w:p>
            <w:pPr>
              <w:ind w:firstLine="420"/>
            </w:pPr>
            <w:r>
              <w:rPr>
                <w:sz w:val="21"/>
              </w:rPr>
              <w:t>3、开展项目维护工作前，中标人必须做好安全生产三级教育及安全技术交底，安全交底人员以及交底资料报送采购人备案。</w:t>
            </w:r>
          </w:p>
          <w:p>
            <w:pPr>
              <w:ind w:firstLine="420"/>
            </w:pPr>
            <w:r>
              <w:rPr>
                <w:sz w:val="21"/>
              </w:rPr>
              <w:t>4、中标人需具备完整的针对本项目的维护作业组织体系。</w:t>
            </w:r>
          </w:p>
          <w:p>
            <w:pPr>
              <w:ind w:firstLine="420"/>
            </w:pPr>
            <w:r>
              <w:rPr>
                <w:sz w:val="21"/>
              </w:rPr>
              <w:t>5、投标人为本项目配备专门负责的项目经理，熟悉项目情况，具有项目管理从业经验及管理能力经验丰富；项目实施中可能因天气等原因出现同时段多处信号灯故障，为了保证项目实施及配备有维护经验的维修专业技术队伍，其中松山湖园区至少安排2名熟悉SCATS系统操作的工作人员进驻交警支队随采购人办公，生态园区至少安排1-2名熟悉SCATS系统操作的工作人员进驻交警支队随采购人办公。</w:t>
            </w:r>
          </w:p>
          <w:p>
            <w:pPr>
              <w:ind w:firstLine="420"/>
            </w:pPr>
            <w:r>
              <w:rPr>
                <w:sz w:val="21"/>
              </w:rPr>
              <w:t>6、配备涉及项目产品完整的备品备件库（SCATS、普通信号控制机及其灯组、串口服务器digicom、信号区域服务器HPworkstation各不少于2套，发电机不少于5台，移动交通信号灯不少于5台，不少于2套SCATS机箱，不少于2套SCATS机箱门，不少于5组信号灯组，5组人行灯杆，备品备件种类及数量在实际维护中仍然不足的须按采购人的要求相应增加。</w:t>
            </w:r>
          </w:p>
          <w:p/>
          <w:p>
            <w:r>
              <w:rPr>
                <w:b/>
                <w:sz w:val="21"/>
              </w:rPr>
              <w:t>六、备品备件技术指标</w:t>
            </w:r>
          </w:p>
          <w:p>
            <w:pPr>
              <w:ind w:firstLine="420"/>
            </w:pPr>
            <w:r>
              <w:rPr>
                <w:sz w:val="21"/>
              </w:rPr>
              <w:t>1、★投标人投标时必须提供书面承诺在中标后五个工作日内提供设备生产厂商（移动交通信号灯、交通信号控制机）的售后服务承诺函。</w:t>
            </w:r>
            <w:r>
              <w:rPr>
                <w:b/>
                <w:sz w:val="21"/>
              </w:rPr>
              <w:t>（须提供承诺函，格式自拟）</w:t>
            </w:r>
          </w:p>
          <w:p>
            <w:pPr>
              <w:ind w:firstLine="420"/>
            </w:pPr>
            <w:r>
              <w:rPr>
                <w:sz w:val="21"/>
              </w:rPr>
              <w:t>2、移动交通信号灯、交通信号控制机参数要求如下：</w:t>
            </w:r>
          </w:p>
          <w:p>
            <w:pPr>
              <w:ind w:firstLine="420"/>
            </w:pPr>
            <w:r>
              <w:rPr>
                <w:sz w:val="21"/>
              </w:rPr>
              <w:t>(1)移动交通信号灯参数要求</w:t>
            </w:r>
          </w:p>
          <w:p>
            <w:pPr>
              <w:ind w:firstLine="420"/>
            </w:pPr>
            <w:r>
              <w:rPr>
                <w:sz w:val="21"/>
              </w:rPr>
              <w:t>1）▲使用市电和太阳能兼容供电；</w:t>
            </w:r>
          </w:p>
          <w:p>
            <w:pPr>
              <w:ind w:firstLine="420"/>
            </w:pPr>
            <w:r>
              <w:rPr>
                <w:sz w:val="21"/>
              </w:rPr>
              <w:t>2）采用密封胶体电池，免维护；</w:t>
            </w:r>
          </w:p>
          <w:p>
            <w:pPr>
              <w:ind w:firstLine="420"/>
            </w:pPr>
            <w:r>
              <w:rPr>
                <w:sz w:val="21"/>
              </w:rPr>
              <w:t>3）具有电池过充过放保护功能；</w:t>
            </w:r>
          </w:p>
          <w:p>
            <w:pPr>
              <w:ind w:firstLine="420"/>
            </w:pPr>
            <w:r>
              <w:rPr>
                <w:sz w:val="21"/>
              </w:rPr>
              <w:t>4）恒流驱动，光源亮度白天晚上恒定；</w:t>
            </w:r>
          </w:p>
          <w:p>
            <w:pPr>
              <w:ind w:firstLine="420"/>
            </w:pPr>
            <w:r>
              <w:rPr>
                <w:sz w:val="21"/>
              </w:rPr>
              <w:t>5）可使用特勤摇控功能控制，方便快捷，也可手动本地操作；</w:t>
            </w:r>
          </w:p>
          <w:p>
            <w:pPr>
              <w:ind w:firstLine="420"/>
            </w:pPr>
            <w:r>
              <w:rPr>
                <w:sz w:val="21"/>
              </w:rPr>
              <w:t>6）▲采用高亮LED；可视距离远：≥300m，LED寿命：≥100000小时；</w:t>
            </w:r>
          </w:p>
          <w:p>
            <w:pPr>
              <w:ind w:firstLine="420"/>
            </w:pPr>
            <w:r>
              <w:rPr>
                <w:sz w:val="21"/>
              </w:rPr>
              <w:t>7）移动、使用方便；</w:t>
            </w:r>
          </w:p>
          <w:p>
            <w:pPr>
              <w:ind w:firstLine="420"/>
            </w:pPr>
            <w:r>
              <w:rPr>
                <w:sz w:val="21"/>
              </w:rPr>
              <w:t>8）多重密封、防水；</w:t>
            </w:r>
          </w:p>
          <w:p>
            <w:pPr>
              <w:ind w:firstLine="420"/>
            </w:pPr>
            <w:r>
              <w:rPr>
                <w:sz w:val="21"/>
              </w:rPr>
              <w:t>9）内置智能信号控制系统，操作简单；</w:t>
            </w:r>
          </w:p>
          <w:p>
            <w:pPr>
              <w:ind w:firstLine="420"/>
            </w:pPr>
            <w:r>
              <w:rPr>
                <w:sz w:val="21"/>
              </w:rPr>
              <w:t>10）具有多时段方案设置；</w:t>
            </w:r>
          </w:p>
          <w:p>
            <w:pPr>
              <w:ind w:firstLine="420"/>
            </w:pPr>
            <w:r>
              <w:rPr>
                <w:sz w:val="21"/>
              </w:rPr>
              <w:t>11）符合GB/14887-2011和国际有关标准。</w:t>
            </w:r>
          </w:p>
          <w:p>
            <w:pPr>
              <w:ind w:firstLine="420"/>
            </w:pPr>
            <w:r>
              <w:rPr>
                <w:sz w:val="21"/>
              </w:rPr>
              <w:t>(2)交通信号控制机参数要求</w:t>
            </w:r>
          </w:p>
          <w:p>
            <w:pPr>
              <w:ind w:firstLine="420"/>
            </w:pPr>
            <w:r>
              <w:rPr>
                <w:sz w:val="21"/>
              </w:rPr>
              <w:t>1）嵌入式中央控制系统，工作更加稳定可靠；</w:t>
            </w:r>
          </w:p>
          <w:p>
            <w:pPr>
              <w:ind w:firstLine="420"/>
            </w:pPr>
            <w:r>
              <w:rPr>
                <w:sz w:val="21"/>
              </w:rPr>
              <w:t>2）整机采用模块化设计，便于维护；</w:t>
            </w:r>
          </w:p>
          <w:p>
            <w:pPr>
              <w:ind w:firstLine="420"/>
            </w:pPr>
            <w:r>
              <w:rPr>
                <w:sz w:val="21"/>
              </w:rPr>
              <w:t>3）输入电压AC110V和AC220V可通过开关切换来兼容；</w:t>
            </w:r>
          </w:p>
          <w:p>
            <w:pPr>
              <w:ind w:firstLine="420"/>
            </w:pPr>
            <w:r>
              <w:rPr>
                <w:sz w:val="21"/>
              </w:rPr>
              <w:t>4）采用RS-232或LAN接口与上位机通讯；</w:t>
            </w:r>
          </w:p>
          <w:p>
            <w:pPr>
              <w:ind w:firstLine="420"/>
            </w:pPr>
            <w:r>
              <w:rPr>
                <w:sz w:val="21"/>
              </w:rPr>
              <w:t>5）▲可设置平常日和节假日运行方案，每种运行方案可设置24个工作时段；</w:t>
            </w:r>
          </w:p>
          <w:p>
            <w:pPr>
              <w:ind w:firstLine="420"/>
            </w:pPr>
            <w:r>
              <w:rPr>
                <w:sz w:val="21"/>
              </w:rPr>
              <w:t>6）32个工作菜单（其中1～30号客户可以自行设置），可在任意时段多次调用；</w:t>
            </w:r>
          </w:p>
          <w:p>
            <w:pPr>
              <w:ind w:firstLine="420"/>
            </w:pPr>
            <w:r>
              <w:rPr>
                <w:sz w:val="21"/>
              </w:rPr>
              <w:t>7）每个绿色信号灯的闪烁开与关的状态可设置，闪烁时间可调；</w:t>
            </w:r>
          </w:p>
          <w:p>
            <w:pPr>
              <w:ind w:firstLine="420"/>
            </w:pPr>
            <w:r>
              <w:rPr>
                <w:sz w:val="21"/>
              </w:rPr>
              <w:t>8）可设置夜间黄闪或关灯；</w:t>
            </w:r>
          </w:p>
          <w:p>
            <w:pPr>
              <w:ind w:firstLine="420"/>
            </w:pPr>
            <w:r>
              <w:rPr>
                <w:sz w:val="21"/>
              </w:rPr>
              <w:t>9）▲在运行状态下可立即修改当前步伐运行时间；</w:t>
            </w:r>
          </w:p>
          <w:p>
            <w:pPr>
              <w:ind w:firstLine="420"/>
            </w:pPr>
            <w:r>
              <w:rPr>
                <w:sz w:val="21"/>
              </w:rPr>
              <w:t>10）▲有手动全红、黄闪、步进，跳相，遥控（可选）的控制功能；</w:t>
            </w:r>
          </w:p>
          <w:p>
            <w:pPr>
              <w:ind w:firstLine="420"/>
            </w:pPr>
            <w:r>
              <w:rPr>
                <w:sz w:val="21"/>
              </w:rPr>
              <w:t>11）硬件故障检测（红灯失效，绿灯亮检测）功能，故障时降级到黄闪状态并且切断红灯和绿灯的</w:t>
            </w:r>
          </w:p>
          <w:p>
            <w:pPr>
              <w:ind w:firstLine="420"/>
            </w:pPr>
            <w:r>
              <w:rPr>
                <w:sz w:val="21"/>
              </w:rPr>
              <w:t>供电；</w:t>
            </w:r>
          </w:p>
          <w:p>
            <w:pPr>
              <w:ind w:firstLine="420"/>
            </w:pPr>
            <w:r>
              <w:rPr>
                <w:sz w:val="21"/>
              </w:rPr>
              <w:t>12）输出部分采用过零检测技术，状态变化是在交流过零点状态下切换，使驱动更加安全可靠；</w:t>
            </w:r>
          </w:p>
          <w:p>
            <w:pPr>
              <w:ind w:firstLine="420"/>
            </w:pPr>
            <w:r>
              <w:rPr>
                <w:sz w:val="21"/>
              </w:rPr>
              <w:t>13）每一路输出有独立的防雷电路；</w:t>
            </w:r>
          </w:p>
          <w:p>
            <w:pPr>
              <w:ind w:firstLine="420"/>
            </w:pPr>
            <w:r>
              <w:rPr>
                <w:sz w:val="21"/>
              </w:rPr>
              <w:t>14）有安装测试功能，在路口信号灯安装时可以对每一个灯的安装正确性进行测试确认；</w:t>
            </w:r>
          </w:p>
          <w:p>
            <w:pPr>
              <w:ind w:firstLine="420"/>
            </w:pPr>
            <w:r>
              <w:rPr>
                <w:sz w:val="21"/>
              </w:rPr>
              <w:t>15）客户可对默认的30号菜单进行设置备份和恢复；</w:t>
            </w:r>
          </w:p>
          <w:p>
            <w:pPr>
              <w:ind w:firstLine="420"/>
            </w:pPr>
            <w:r>
              <w:rPr>
                <w:sz w:val="21"/>
              </w:rPr>
              <w:t>16）电脑端的设置软件可以离线操作，方案数据可以保存在电脑上并且可以拷贝。</w:t>
            </w:r>
          </w:p>
          <w:p/>
          <w:p>
            <w:r>
              <w:rPr>
                <w:b/>
                <w:sz w:val="21"/>
              </w:rPr>
              <w:t>七、路口设备管道和线路的改造与翻新</w:t>
            </w:r>
          </w:p>
          <w:p>
            <w:pPr>
              <w:ind w:firstLine="420"/>
            </w:pPr>
            <w:r>
              <w:rPr>
                <w:sz w:val="21"/>
              </w:rPr>
              <w:t>1、中标人按采购人指定的路口，对涉及路口设备的全部管道、线路重做（须采用顶管方式埋没，管道深度不低于2米），达到管道畅通、防鼠、防漏电、防积水、防沙土淤积，并更换机箱，美化机箱外观以及整理机箱内部线路，达到整洁美观。</w:t>
            </w:r>
          </w:p>
          <w:p>
            <w:pPr>
              <w:ind w:firstLine="420"/>
            </w:pPr>
            <w:r>
              <w:rPr>
                <w:sz w:val="21"/>
              </w:rPr>
              <w:t>2、路口改造所需材料和施工流程按照中管道、线路改造数量清单和信号机电源线改造清单中的规格要求。</w:t>
            </w:r>
          </w:p>
          <w:p>
            <w:pPr>
              <w:ind w:firstLine="420"/>
            </w:pPr>
            <w:r>
              <w:rPr>
                <w:sz w:val="21"/>
              </w:rPr>
              <w:t>3、中标人按采购人指定的路口，更换原路口老旧信号控制机；对涉及路口信号灯进行配时优化，对涉及路口的部分管道、线路进行翻新整改，以及机箱内部线路整改。</w:t>
            </w:r>
          </w:p>
          <w:p>
            <w:pPr>
              <w:ind w:firstLine="420"/>
            </w:pPr>
            <w:r>
              <w:rPr>
                <w:sz w:val="21"/>
              </w:rPr>
              <w:t>4、对涉及的路口管道、线路、电源线路以实际工程量结算。</w:t>
            </w:r>
          </w:p>
          <w:p>
            <w:pPr>
              <w:ind w:firstLine="420"/>
            </w:pPr>
            <w:r>
              <w:rPr>
                <w:sz w:val="21"/>
              </w:rPr>
              <w:t>5、对新购置的信号机不低于原本技术参数：</w:t>
            </w:r>
          </w:p>
          <w:p/>
          <w:p>
            <w:r>
              <w:rPr>
                <w:b/>
                <w:sz w:val="21"/>
              </w:rPr>
              <w:t>八、绩效管理</w:t>
            </w:r>
          </w:p>
          <w:p>
            <w:pPr>
              <w:ind w:firstLine="420"/>
            </w:pPr>
            <w:r>
              <w:rPr>
                <w:sz w:val="21"/>
              </w:rPr>
              <w:t>(1)服务评价的指标</w:t>
            </w:r>
          </w:p>
          <w:p>
            <w:pPr>
              <w:ind w:firstLine="420"/>
            </w:pPr>
            <w:r>
              <w:rPr>
                <w:sz w:val="21"/>
              </w:rPr>
              <w:t>1）有效故障的定义：除不可抗力、取电点停电、不属于合同维护范围的设备/设施、通讯链路不通（含端设备故障）外的所有涉及交通信号灯的故障。另外说明：经双方核实取电点停电，中标人按采购人要求采取发电措施保障路口交通正常运行的故障归类为有效故障。</w:t>
            </w:r>
          </w:p>
          <w:p>
            <w:pPr>
              <w:ind w:firstLine="420"/>
            </w:pPr>
            <w:r>
              <w:rPr>
                <w:sz w:val="21"/>
              </w:rPr>
              <w:t>①故障管理指标</w:t>
            </w:r>
          </w:p>
          <w:p>
            <w:pPr>
              <w:ind w:firstLine="420"/>
            </w:pPr>
            <w:r>
              <w:rPr>
                <w:sz w:val="21"/>
              </w:rPr>
              <w:t>申请故障延时修复率</w:t>
            </w:r>
            <w:r>
              <w:rPr>
                <w:sz w:val="21"/>
              </w:rPr>
              <w:t>AR=申请延时修复的故障数量/故障总数</w:t>
            </w:r>
          </w:p>
          <w:p>
            <w:pPr>
              <w:ind w:firstLine="420"/>
            </w:pPr>
            <w:r>
              <w:rPr>
                <w:sz w:val="21"/>
              </w:rPr>
              <w:t>故障按时解决率</w:t>
            </w:r>
            <w:r>
              <w:rPr>
                <w:sz w:val="21"/>
              </w:rPr>
              <w:t>FV=按时解决的故障数量/有效故障总数</w:t>
            </w:r>
          </w:p>
          <w:p>
            <w:pPr>
              <w:ind w:firstLine="420"/>
            </w:pPr>
            <w:r>
              <w:rPr>
                <w:sz w:val="21"/>
              </w:rPr>
              <w:t>故障超期解决数</w:t>
            </w:r>
            <w:r>
              <w:rPr>
                <w:sz w:val="21"/>
              </w:rPr>
              <w:t>FN=未按时解决的故障数量</w:t>
            </w:r>
          </w:p>
          <w:p>
            <w:pPr>
              <w:ind w:firstLine="420"/>
            </w:pPr>
            <w:r>
              <w:rPr>
                <w:sz w:val="21"/>
              </w:rPr>
              <w:t>故障严重超期解决数</w:t>
            </w:r>
            <w:r>
              <w:rPr>
                <w:sz w:val="21"/>
              </w:rPr>
              <w:t>FNN=修复时间超出两倍于规定修复时间的故障数重点保障路口故障数SR=重点保障路口有效故障数量</w:t>
            </w:r>
          </w:p>
          <w:p>
            <w:pPr>
              <w:ind w:firstLine="420"/>
            </w:pPr>
            <w:r>
              <w:rPr>
                <w:sz w:val="21"/>
              </w:rPr>
              <w:t>灾难级故障超期解决数</w:t>
            </w:r>
            <w:r>
              <w:rPr>
                <w:sz w:val="21"/>
              </w:rPr>
              <w:t>S=第四级故障未按时解决的故障数量</w:t>
            </w:r>
          </w:p>
          <w:p>
            <w:pPr>
              <w:ind w:firstLine="420"/>
            </w:pPr>
            <w:r>
              <w:rPr>
                <w:sz w:val="21"/>
              </w:rPr>
              <w:t>其中，</w:t>
            </w:r>
            <w:r>
              <w:rPr>
                <w:sz w:val="21"/>
              </w:rPr>
              <w:t>AR、FV是比率，FN、FNN、S、SR是数量。</w:t>
            </w:r>
          </w:p>
          <w:p>
            <w:pPr>
              <w:ind w:firstLine="420"/>
            </w:pPr>
            <w:r>
              <w:rPr>
                <w:sz w:val="21"/>
              </w:rPr>
              <w:t>上述指标分为月度指标和整个合同期内的总指标。</w:t>
            </w:r>
          </w:p>
          <w:p>
            <w:pPr>
              <w:ind w:firstLine="420"/>
            </w:pPr>
            <w:r>
              <w:rPr>
                <w:sz w:val="21"/>
              </w:rPr>
              <w:t>在本项目中，</w:t>
            </w:r>
            <w:r>
              <w:rPr>
                <w:sz w:val="21"/>
              </w:rPr>
              <w:t>AR的月度基本指标是20%，也就是月度申请故障延时修复率都应在20%以下；FV的月度基本指标是90%，也就是月度故障按时解决率都应在90%以上。而FN+FNN+S和SR的月度基本指标是0，也即是说不允许出现超期解决故障和重点保障路口发生有效故障的情形，除非有不可抗力因素或者采购人无法配合的情况发生。</w:t>
            </w:r>
          </w:p>
          <w:p>
            <w:pPr>
              <w:ind w:firstLine="420"/>
            </w:pPr>
            <w:r>
              <w:rPr>
                <w:sz w:val="21"/>
              </w:rPr>
              <w:t>②综合评价指标</w:t>
            </w:r>
          </w:p>
          <w:p>
            <w:pPr>
              <w:ind w:firstLine="420"/>
            </w:pPr>
            <w:r>
              <w:rPr>
                <w:sz w:val="21"/>
              </w:rPr>
              <w:t>综合评价指标分为月度综合评价指标和整个项目的综合评价总指标，综合评价指标是主观评价，评价时对于每一项评价都应该给出理由解释。综合评价指标分别从项目管理整体水平、文档质量、服务质量、资源投入情况等方面进行考核：项目管理整体水平体现为对故障分析思路清晰、问题定位准确、可以一次性完全解决问题，具有较好的管理规范性。文档质量可参考文档文字表述准确、简练，能够准确、有条理地分析问题的原因、处理方法、处理过程，并有最后的结论。还要求有相关参考文档，内容包括但不限于：故障分类和路口故障分析、故障分类和路口故障趋势、路口状况改善指引。形成故障分析报告和系统健康报告。</w:t>
            </w:r>
          </w:p>
          <w:p>
            <w:pPr>
              <w:ind w:firstLine="420"/>
            </w:pPr>
            <w:r>
              <w:rPr>
                <w:sz w:val="21"/>
              </w:rPr>
              <w:t>服务质量可参考处理故障所需的时间，解决问题不遗留其他问题，处理后恢复原来系统状态或者提升了系统的整体性能。资源投入情况主要体现为维护人员到位情况、维护工具、维护车辆、备品备件的投入情况。</w:t>
            </w:r>
          </w:p>
          <w:p>
            <w:pPr>
              <w:ind w:firstLine="420"/>
            </w:pPr>
            <w:r>
              <w:rPr>
                <w:sz w:val="21"/>
              </w:rPr>
              <w:t>特别说明：采购人及其委托的监理方可以根据需要调整或者补充绩效考核指标，但应经过三方协商，尽量取得一致。</w:t>
            </w:r>
          </w:p>
          <w:p>
            <w:pPr>
              <w:ind w:firstLine="420"/>
            </w:pPr>
            <w:r>
              <w:rPr>
                <w:sz w:val="21"/>
              </w:rPr>
              <w:t>(2)评分方法</w:t>
            </w:r>
          </w:p>
          <w:p>
            <w:pPr>
              <w:ind w:firstLine="420"/>
            </w:pPr>
            <w:r>
              <w:rPr>
                <w:sz w:val="21"/>
              </w:rPr>
              <w:t>1）月度维护工作例会：为了管理好维护项目，每月定期召集维护例会，时间一般安排在每月第一周的星期五，具体以监理方的通知为准。采购人、服务方、监理方的主要成员参加。</w:t>
            </w:r>
          </w:p>
          <w:p>
            <w:pPr>
              <w:ind w:firstLine="420"/>
            </w:pPr>
            <w:r>
              <w:rPr>
                <w:sz w:val="21"/>
              </w:rPr>
              <w:t>2）在月度例会上，先由服务方进行月度绩效汇报和自评，然后由监理方进行点评，并汇报月度评价意见，服务方可以进行回应。月度绩效考核报告和月度评价意见书由监理方拟制，由采购人批准。会议最后，由采购人指示。月度例会后的两天内，采购人、监理方正式签发月度评价意见书，送达服务方，服务方如有异议，可以在收到后两天内提出书面意见，并送达监理方和采购人。</w:t>
            </w:r>
          </w:p>
          <w:p>
            <w:pPr>
              <w:ind w:firstLine="420"/>
            </w:pPr>
            <w:r>
              <w:rPr>
                <w:sz w:val="21"/>
              </w:rPr>
              <w:t>(3)评分分值结构：每月满分100分：</w:t>
            </w:r>
          </w:p>
          <w:p>
            <w:pPr>
              <w:ind w:firstLine="420"/>
            </w:pPr>
            <w:r>
              <w:rPr>
                <w:sz w:val="21"/>
              </w:rPr>
              <w:t>1）申请故障延时修复率AR，占20分；</w:t>
            </w:r>
          </w:p>
          <w:p>
            <w:pPr>
              <w:ind w:firstLine="420"/>
            </w:pPr>
            <w:r>
              <w:rPr>
                <w:sz w:val="21"/>
              </w:rPr>
              <w:t>2）故障按时完成率FV，占20分；</w:t>
            </w:r>
          </w:p>
          <w:p>
            <w:pPr>
              <w:ind w:firstLine="420"/>
            </w:pPr>
            <w:r>
              <w:rPr>
                <w:sz w:val="21"/>
              </w:rPr>
              <w:t>3）故障超期解决数FN、故障严重超期指数FNN和灾难级故障超期解决数S，占40分；</w:t>
            </w:r>
          </w:p>
          <w:p>
            <w:pPr>
              <w:ind w:firstLine="420"/>
            </w:pPr>
            <w:r>
              <w:rPr>
                <w:sz w:val="21"/>
              </w:rPr>
              <w:t>4）综合评价20分；</w:t>
            </w:r>
          </w:p>
          <w:p>
            <w:pPr>
              <w:ind w:firstLine="420"/>
            </w:pPr>
            <w:r>
              <w:rPr>
                <w:sz w:val="21"/>
              </w:rPr>
              <w:t>其中：</w:t>
            </w:r>
          </w:p>
          <w:p>
            <w:pPr>
              <w:ind w:firstLine="420"/>
            </w:pPr>
            <w:r>
              <w:rPr>
                <w:sz w:val="21"/>
              </w:rPr>
              <w:t>①“申请故障延时修复率AR”指标占20分，如果AR＝20%则得20分，每提高一个百分点则减少1分，相反，每降低一个百分点则增加1分。（由于第三方施工原因导致信号系统故障无法修复需要申请延时的，不计入申请故障延时修复率AR指标）。</w:t>
            </w:r>
          </w:p>
          <w:p>
            <w:pPr>
              <w:ind w:firstLine="420"/>
            </w:pPr>
            <w:r>
              <w:rPr>
                <w:sz w:val="21"/>
              </w:rPr>
              <w:t>②“故障按时完成率FV”指标占20分，如果FV＝90%则得20分，每提高一个百分点则增加1分，相反，每降低一个百分点则减少1分。</w:t>
            </w:r>
          </w:p>
          <w:p>
            <w:pPr>
              <w:ind w:firstLine="420"/>
            </w:pPr>
            <w:r>
              <w:rPr>
                <w:sz w:val="21"/>
              </w:rPr>
              <w:t>③“故障超期解决数FN、故障严重超期指数FNN和灾难级故障超期解决数S”指标占40分，如果FN+FNN+S＝0，也就是没有超期解决的故障，则得40分。否则，每增加一个FN则按故障等级扣减0.3（第一级）/0.6（第二级）/0.9（第三级）分，每增加一个FNN则按故障等级扣减0.5（第一级）/1（第二级）/1.5（第三级）分，每增加一个S扣减2分，扣完40分即止。</w:t>
            </w:r>
          </w:p>
          <w:p>
            <w:pPr>
              <w:ind w:firstLine="420"/>
            </w:pPr>
            <w:r>
              <w:rPr>
                <w:sz w:val="21"/>
              </w:rPr>
              <w:t>重点保障路口故障数</w:t>
            </w:r>
            <w:r>
              <w:rPr>
                <w:sz w:val="21"/>
              </w:rPr>
              <w:t>SR计算：在完成重点保障路口信号控制系统整改前，每新增一次有效故障，扣减0.2分；在完成重点保障路口信号控制系统整改后，每新增一次有效故障，扣减1分；分数扣减不超过20分。</w:t>
            </w:r>
          </w:p>
          <w:p>
            <w:pPr>
              <w:ind w:firstLine="420"/>
            </w:pPr>
            <w:r>
              <w:rPr>
                <w:sz w:val="21"/>
              </w:rPr>
              <w:t>④月度运维服务综合评价占20分。</w:t>
            </w:r>
          </w:p>
          <w:p>
            <w:pPr>
              <w:ind w:firstLine="420"/>
            </w:pPr>
            <w:r>
              <w:rPr>
                <w:sz w:val="21"/>
              </w:rPr>
              <w:t>月度服务评价得分</w:t>
            </w:r>
            <w:r>
              <w:rPr>
                <w:sz w:val="21"/>
              </w:rPr>
              <w:t>=月度故障按时完成率FV得分+月度故障超期解决数FN、故障严重超期指数FNN和灾难级故障超期解决数S得分+月度服务综合评价得分+重点保障路口数SR扣减分每月评分得分如超过100分，按照100分计算；低于100分，按照实际得分计算。</w:t>
            </w:r>
          </w:p>
          <w:p>
            <w:pPr>
              <w:ind w:firstLine="420"/>
            </w:pPr>
            <w:r>
              <w:rPr>
                <w:sz w:val="21"/>
              </w:rPr>
              <w:t>提交月度维护报告的时间为每月最后一天，提交的报告为上月</w:t>
            </w:r>
            <w:r>
              <w:rPr>
                <w:sz w:val="21"/>
              </w:rPr>
              <w:t>25日至本月25日的巡检内容；</w:t>
            </w:r>
          </w:p>
          <w:p>
            <w:pPr>
              <w:ind w:firstLine="420"/>
            </w:pPr>
            <w:r>
              <w:rPr>
                <w:sz w:val="21"/>
              </w:rPr>
              <w:t>如未能在规定时间内完成，则在月度运维综合评价分中扣</w:t>
            </w:r>
            <w:r>
              <w:rPr>
                <w:sz w:val="21"/>
              </w:rPr>
              <w:t>0.5分。</w:t>
            </w:r>
          </w:p>
          <w:p>
            <w:pPr>
              <w:ind w:firstLine="420"/>
            </w:pPr>
            <w:r>
              <w:rPr>
                <w:sz w:val="21"/>
              </w:rPr>
              <w:t>如月度维护报告中提出的故障趋势、改善指引等建议能有效提升次月的维护工作，有效降低故障率，则在次月考核月度运维综合评价分中加</w:t>
            </w:r>
            <w:r>
              <w:rPr>
                <w:sz w:val="21"/>
              </w:rPr>
              <w:t>0.5分。年度服务评价得分=12份《月度维护考核得分》的累计总分/12</w:t>
            </w:r>
          </w:p>
          <w:p>
            <w:pPr>
              <w:ind w:firstLine="420"/>
            </w:pPr>
            <w:r>
              <w:rPr>
                <w:sz w:val="21"/>
              </w:rPr>
              <w:t>（</w:t>
            </w:r>
            <w:r>
              <w:rPr>
                <w:sz w:val="21"/>
              </w:rPr>
              <w:t>4）绩效与支付挂钩</w:t>
            </w:r>
          </w:p>
          <w:p>
            <w:pPr>
              <w:ind w:firstLine="420"/>
            </w:pPr>
            <w:r>
              <w:rPr>
                <w:sz w:val="21"/>
              </w:rPr>
              <w:t>年度维护考核得分结果与第二笔合同款进行绩效结算挂钩，第二笔合同款的计算公式为：第二笔合同款实得款</w:t>
            </w:r>
            <w:r>
              <w:rPr>
                <w:sz w:val="21"/>
              </w:rPr>
              <w:t>=（合同金额×60％-对服务期间的相关扣减费用）×（年度服务评价得分÷100）。</w:t>
            </w:r>
          </w:p>
          <w:p>
            <w:pPr>
              <w:ind w:firstLine="420"/>
            </w:pPr>
            <w:r>
              <w:rPr>
                <w:sz w:val="21"/>
              </w:rPr>
              <w:t>5、考核依据：经双方确认的巡检记录、性能测试记录、报障记录、验收报告等相关记录将作为维护期内评估中标方工作质量、工作效率等的考核依据。</w:t>
            </w:r>
          </w:p>
          <w:p>
            <w:pPr>
              <w:ind w:firstLine="420"/>
            </w:pPr>
            <w:r>
              <w:rPr>
                <w:sz w:val="21"/>
              </w:rPr>
              <w:t>特别说明：采购人及其委托的监理方可以根据需要调整或者补充绩效考核指标，但应经过三方协商，尽量取得一致。</w:t>
            </w:r>
          </w:p>
          <w:p>
            <w:pPr>
              <w:ind w:firstLine="420"/>
            </w:pPr>
            <w:r>
              <w:rPr>
                <w:sz w:val="21"/>
              </w:rPr>
              <w:t>6、服务单。采购人向中标人提出的与项目有关的服务需求，中标人需按双方约定时效完成，若服务未按时完成的，按上述故障超时标准处罚。</w:t>
            </w:r>
          </w:p>
          <w:p>
            <w:pPr>
              <w:ind w:firstLine="420"/>
            </w:pPr>
            <w:r>
              <w:rPr>
                <w:sz w:val="21"/>
              </w:rPr>
              <w:t>7、维护项目服务期内，因维护人员操作原因造成违反公安网“一机两用”规定、违规修改下载对外提供数据以及其他信息安全规定被上级部门通报的，或其他事项视为严重违反维护工作规定，事件造成较大影响的，第一次发生采购人将一次性扣减违约金2万元，第二次发生采购人将在当期支付款项一次性扣减中标人违约金3万元；事件造成重大影响的，第一次发生采购人将在当期支付款项一次性扣减中标人违约金3万元，第二次发生采购人将在当期支付款项一次性扣减中标人违约金5万元。若中标人连续发生2宗影响较大以上的事件，采购有权终止合同，不再支付余下款项。</w:t>
            </w:r>
          </w:p>
          <w:p>
            <w:pPr>
              <w:ind w:firstLine="420"/>
            </w:pPr>
            <w:r>
              <w:rPr>
                <w:sz w:val="21"/>
              </w:rPr>
              <w:t>8、中标人当季度故障及服务超时率超过30%时，采购人有权终止合同，所产生的一切费用由中标人承担。</w:t>
            </w:r>
          </w:p>
          <w:p>
            <w:pPr>
              <w:ind w:firstLine="420"/>
            </w:pPr>
            <w:r>
              <w:rPr/>
              <w:t xml:space="preserve"> </w:t>
            </w:r>
          </w:p>
          <w:p>
            <w:r>
              <w:rPr>
                <w:b/>
                <w:sz w:val="21"/>
              </w:rPr>
              <w:t>九、项目监督与管理要求</w:t>
            </w:r>
          </w:p>
          <w:p>
            <w:pPr>
              <w:ind w:firstLine="420"/>
            </w:pPr>
            <w:r>
              <w:rPr>
                <w:sz w:val="21"/>
              </w:rPr>
              <w:t>鉴于项目的重要性，中标人需承诺完全同意并严格遵守以下条款：</w:t>
            </w:r>
          </w:p>
          <w:p>
            <w:pPr>
              <w:ind w:firstLine="420"/>
            </w:pPr>
            <w:r>
              <w:rPr>
                <w:sz w:val="21"/>
              </w:rPr>
              <w:t>1、监理机构将在采购人的委托下，对项目的质量、进度、计划、验收等进行全方位的管理；</w:t>
            </w:r>
          </w:p>
          <w:p>
            <w:pPr>
              <w:ind w:firstLine="420"/>
            </w:pPr>
            <w:r>
              <w:rPr>
                <w:sz w:val="21"/>
              </w:rPr>
              <w:t>2、中标人需接受采购人、监理对于项目的管理和监督，及时向采购人和监理同时提交各种实施方案、计划、报告等项目文档。对于监理对项目实施过程中指出的问题，应该积极给予答复并解决。对于监理提出的合理的整改要求，应服从并实施整改措施。</w:t>
            </w:r>
          </w:p>
          <w:p>
            <w:pPr>
              <w:ind w:firstLine="420"/>
            </w:pPr>
            <w:r>
              <w:rPr>
                <w:sz w:val="21"/>
              </w:rPr>
              <w:t>3、项目维护方案和进度计划应提交监理共同审核，重要的维护施工应取得监理的同意后才能施工，施工质量应接受监理的随时检查。</w:t>
            </w:r>
          </w:p>
          <w:p>
            <w:pPr>
              <w:ind w:firstLine="420"/>
            </w:pPr>
          </w:p>
          <w:p>
            <w:r>
              <w:rPr>
                <w:b/>
                <w:sz w:val="21"/>
              </w:rPr>
              <w:t>十、其他</w:t>
            </w:r>
          </w:p>
          <w:p>
            <w:pPr>
              <w:ind w:firstLine="420"/>
            </w:pPr>
            <w:r>
              <w:rPr>
                <w:sz w:val="21"/>
              </w:rPr>
              <w:t>1、在合同规定的管养期内，乙方负责对所承包范围内的交通信号灯进行维护保养，保证每个路口信号灯完好无损，正常运行。服务期间，采购人不再支付其它维护服务费用。</w:t>
            </w:r>
          </w:p>
          <w:p>
            <w:pPr>
              <w:ind w:firstLine="420"/>
            </w:pPr>
            <w:r>
              <w:rPr>
                <w:sz w:val="21"/>
              </w:rPr>
              <w:t>2、服务期间，中标人须对承包范围内的信号灯灯杆、控制机、机箱、线路、线材、信号灯灯组、沙井等进行全面检查，具体内容：</w:t>
            </w:r>
          </w:p>
          <w:p>
            <w:pPr>
              <w:ind w:firstLine="420"/>
            </w:pPr>
            <w:r>
              <w:rPr>
                <w:sz w:val="21"/>
              </w:rPr>
              <w:t>（</w:t>
            </w:r>
            <w:r>
              <w:rPr>
                <w:sz w:val="21"/>
              </w:rPr>
              <w:t>1）信号灯杆安装牢固、垂直，坚固件无松动，垂直安装的倾斜度不得超过杆体长度1%。信号灯杆、信号灯机箱清洁干净，无文字广告，无污迹，无生锈变形，机械强度满足要求。</w:t>
            </w:r>
          </w:p>
          <w:p>
            <w:pPr>
              <w:ind w:firstLine="420"/>
            </w:pPr>
            <w:r>
              <w:rPr>
                <w:sz w:val="21"/>
              </w:rPr>
              <w:t>（</w:t>
            </w:r>
            <w:r>
              <w:rPr>
                <w:sz w:val="21"/>
              </w:rPr>
              <w:t>2）对短路、断线、老化、绝缘不符合要求的电缆中标人应免费予以更换。信号灯与信号机之间的电缆颜色要与灯具颜色对应连接，电缆在灯具端和信号机端连接牢固，电缆线在信号机端要根据业主的要求进行编号。</w:t>
            </w:r>
          </w:p>
          <w:p>
            <w:pPr>
              <w:ind w:firstLine="420"/>
            </w:pPr>
            <w:r>
              <w:rPr>
                <w:sz w:val="21"/>
              </w:rPr>
              <w:t>（</w:t>
            </w:r>
            <w:r>
              <w:rPr>
                <w:sz w:val="21"/>
              </w:rPr>
              <w:t>3）路口信号灯有树林或其它障碍物遮挡视线时，应马上进行处理，不能处理的应上报采购人处理。</w:t>
            </w:r>
          </w:p>
          <w:p>
            <w:pPr>
              <w:ind w:firstLine="420"/>
            </w:pPr>
            <w:r>
              <w:rPr>
                <w:sz w:val="21"/>
              </w:rPr>
              <w:t>（</w:t>
            </w:r>
            <w:r>
              <w:rPr>
                <w:sz w:val="21"/>
              </w:rPr>
              <w:t>4）主动配合大队对路口信号灯设施进行定期（每季度一次）或不定期的抽查。对抽查中发现的问题属于维护单位责任的，马上进行返工并追究维护责任人的责任。</w:t>
            </w:r>
          </w:p>
          <w:p>
            <w:pPr>
              <w:ind w:firstLine="420"/>
            </w:pPr>
            <w:r>
              <w:rPr>
                <w:sz w:val="21"/>
              </w:rPr>
              <w:t>（</w:t>
            </w:r>
            <w:r>
              <w:rPr>
                <w:sz w:val="21"/>
              </w:rPr>
              <w:t>5）定期（半年一次）对信号灯具（包括但不限于机动车灯、行人灯、机箱设备）清洁和保养，做到灯具外壳、透光玻璃、背板、遮罩、内部反光杆干净无尘，无破损，无老化变形。灯壳内无积水，密封性能好，亮度符合要求，信号灯具在杆上安装牢固，竖式安装时应垂直，横向安装时应平行，机动车信号灯具显示面正对所控制的机动车道，人行横道信号灯具显示面应正对人行横道。</w:t>
            </w:r>
          </w:p>
          <w:p>
            <w:pPr>
              <w:ind w:firstLine="420"/>
            </w:pPr>
            <w:r>
              <w:rPr>
                <w:sz w:val="21"/>
              </w:rPr>
              <w:t>（</w:t>
            </w:r>
            <w:r>
              <w:rPr>
                <w:sz w:val="21"/>
              </w:rPr>
              <w:t>6）信号灯沙井完成无缺无损坏，密封性能好，新换的井盖必须有“公安交通”的标志，自觉遵守市政管理部门的工作要求，对损坏的井盖要及时更换，对被盗、损坏的井盖没有及时维修而引发的安全事故由中标人承担。</w:t>
            </w:r>
          </w:p>
          <w:p>
            <w:pPr>
              <w:ind w:firstLine="420"/>
            </w:pPr>
            <w:r>
              <w:rPr>
                <w:sz w:val="21"/>
              </w:rPr>
              <w:t>（</w:t>
            </w:r>
            <w:r>
              <w:rPr>
                <w:sz w:val="21"/>
              </w:rPr>
              <w:t>7）主动配合大队信号灯信号配时的调试工作，积极满足信号调试部门的各种调试及检测要求。</w:t>
            </w:r>
          </w:p>
          <w:p>
            <w:pPr>
              <w:ind w:firstLine="420"/>
            </w:pPr>
            <w:r>
              <w:rPr>
                <w:sz w:val="21"/>
              </w:rPr>
              <w:t>（</w:t>
            </w:r>
            <w:r>
              <w:rPr>
                <w:sz w:val="21"/>
              </w:rPr>
              <w:t>8）维护期间涉及到本系统维护信号灯系统数量增加及智能化改造的，需要积极配合管理部门工作，并提供免费的人工服务支持。</w:t>
            </w:r>
          </w:p>
          <w:p>
            <w:pPr>
              <w:ind w:firstLine="420"/>
            </w:pPr>
            <w:r>
              <w:rPr>
                <w:sz w:val="21"/>
              </w:rPr>
              <w:t>3、服务期内中标人对承包范围内的交通信号灯进行安全检查，因维护不到位而发生安全事故的，由中标人承担责任。</w:t>
            </w:r>
          </w:p>
          <w:p>
            <w:pPr>
              <w:ind w:firstLine="420"/>
            </w:pPr>
            <w:r>
              <w:rPr>
                <w:sz w:val="21"/>
              </w:rPr>
              <w:t>4、中标人必须落实安全生产措施，且应按采购人以及有关部门的要求，配备相关安全警示标志及设施，维护作业人员上岗前必须进行安全教育和技术培训，为上岗工人配置统一的工作服和反光袖套，自行解决安全施工问题。在进行施工作业时，现场一定要做好安全维护后才能进场施工，同时中标人必须认真负责，并注意安全操作，如发生任何意外，中标人负责事故处理及一切费用，一概与业主无关。凡因安装、施工造成的路面破坏，中标人需在施工完成后恢复原样，不能恢复的应与道路管养部门协商解决。</w:t>
            </w:r>
          </w:p>
          <w:p>
            <w:pPr>
              <w:ind w:firstLine="420"/>
            </w:pPr>
            <w:r>
              <w:rPr>
                <w:sz w:val="21"/>
              </w:rPr>
              <w:t>5、中标人应设立每日巡查制度和群众投诉电话，发现问题要及时记录和检修。</w:t>
            </w:r>
          </w:p>
          <w:p>
            <w:pPr>
              <w:ind w:firstLine="420"/>
            </w:pPr>
            <w:r>
              <w:rPr>
                <w:sz w:val="21"/>
              </w:rPr>
              <w:t>6、中标人应承担维护内容，及按实际上岗人数自行到有关部门申办有关用工手续、员工劳动保险手续和办理暂住证等手续。安排好下属人员的住宿和教育管理工作。</w:t>
            </w:r>
          </w:p>
          <w:p>
            <w:pPr>
              <w:ind w:firstLine="420"/>
            </w:pPr>
            <w:r>
              <w:rPr>
                <w:sz w:val="21"/>
              </w:rPr>
              <w:t>7、中标人应严格遵守国家法律、法规，做好社会治安综合管理工作和计划生育等工作。中标人员工有违法乱纪的行为，中标人应承担一切经济责任和法律责任。</w:t>
            </w:r>
          </w:p>
          <w:p>
            <w:pPr>
              <w:ind w:firstLine="420"/>
            </w:pPr>
            <w:r>
              <w:rPr>
                <w:sz w:val="21"/>
              </w:rPr>
              <w:t>8、实施过程中中标人必须根据承包合同中的各项条款，履行各项职责。如发现中标人组织措施不当、计划不落实、管理不严、实施方案中所列人员、机械设备（工具）与现场实际不符，导致维护质量达不到标准的，当月考评档次为差，情况严重的，采购人有权单方面终止合同。</w:t>
            </w:r>
          </w:p>
          <w:p>
            <w:pPr>
              <w:ind w:firstLine="420"/>
            </w:pPr>
            <w:r>
              <w:rPr>
                <w:sz w:val="21"/>
              </w:rPr>
              <w:t>9、中标人必须积极响应并接监督检查，若受到投诉批评的，经调查认定情况属实的，视情节轻重予以罚款；造成恶劣影响的，采购人有权单方面终止合同。中标人必须随时、随地接受广大市民的监督，若受到市民的投诉，经调查认定情况属实的，视情节轻重予以罚款；造成恶劣影响的，采购人有权单方面终止合同。</w:t>
            </w:r>
          </w:p>
          <w:p>
            <w:pPr>
              <w:ind w:firstLine="420"/>
            </w:pPr>
            <w:r>
              <w:rPr>
                <w:sz w:val="21"/>
              </w:rPr>
              <w:t>10、中标人在实施维护工程所进行各项工作必须服从采购人现场代表的统一管理。</w:t>
            </w:r>
          </w:p>
          <w:p>
            <w:pPr>
              <w:ind w:firstLine="420"/>
            </w:pPr>
            <w:r>
              <w:rPr>
                <w:sz w:val="21"/>
              </w:rPr>
              <w:t>11、中标人必须做好施工的安全保障措施,服从现场交通及城市管理人员的指挥,确保交通畅顺,做好现场安全警示标志,确保过往行人及车辆的安全。</w:t>
            </w:r>
          </w:p>
          <w:p>
            <w:pPr>
              <w:ind w:firstLine="420"/>
            </w:pPr>
            <w:r>
              <w:rPr>
                <w:sz w:val="21"/>
              </w:rPr>
              <w:t>12、中标人组织安装人员文明施工并保证安装过程的人员安全；并严格遵守市政、环卫、绿化、城管、治安、交通、水、电等部门的规定，办理相关的施工许可证件及承担责任和费用。在施工过程中安装人员产生的纠纷由中标人自行负责解决，涉及相关费用由中标人负责。</w:t>
            </w:r>
          </w:p>
          <w:p>
            <w:pPr>
              <w:ind w:firstLine="420"/>
            </w:pPr>
            <w:r>
              <w:rPr>
                <w:sz w:val="21"/>
              </w:rPr>
              <w:t>13、中标人必须做到文明施工，施工过程中产生的淤泥垃圾等，即时清理，不能污染路面。</w:t>
            </w:r>
          </w:p>
          <w:p>
            <w:pPr>
              <w:ind w:firstLine="420"/>
            </w:pPr>
            <w:r>
              <w:rPr>
                <w:sz w:val="21"/>
              </w:rPr>
              <w:t>14、在合同期内，中标人因各种原因，造成第三方的损失或经济损失，由中标人独自承担其法律和经济责任，与采购人无关。</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东莞市公安局交通警察支队松山湖大队</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公安局交通警察支队松山湖大队关于松山湖交通信号灯维修项目的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采购包1（东莞市公安局交通警察支队松山湖大队关于松山湖交通信号灯维修项目的采购项目）：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 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采购包1（东莞市公安局交通警察支队松山湖大队关于松山湖交通信号灯维修项目的采购项目）：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含其上级或总公司）具备省级或以上公安部门颁发并在有效期内的《安全技术防范系统设计、施工、维修资格证》贰级或以上资质（非广东省公安技防部门颁发的资格证，须同时提供在广东省公安技防部门备案的资料）。</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采购包1（东莞市公安局交通警察支队松山湖大队关于松山湖交通信号灯维修项目的采购项目）：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采购包1东莞市公安局交通警察支队松山湖大队关于松山湖交通信号灯维修项目的采购项目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重要参数条款响应情况 (5.0分)</w:t>
            </w:r>
            <w:r>
              <w:rPr/>
              <w:t>，（等次分值选择：</w:t>
            </w:r>
            <w:r>
              <w:rPr/>
              <w:t>0.0;</w:t>
            </w:r>
            <w:r>
              <w:rPr/>
              <w:t>1.0;</w:t>
            </w:r>
            <w:r>
              <w:rPr/>
              <w:t>2.0;</w:t>
            </w:r>
            <w:r>
              <w:rPr/>
              <w:t>3.0;</w:t>
            </w:r>
            <w:r>
              <w:rPr/>
              <w:t>4.0;</w:t>
            </w:r>
            <w:r>
              <w:rPr/>
              <w:t>5.0;</w:t>
            </w:r>
            <w:r>
              <w:rPr/>
              <w:t>）</w:t>
            </w:r>
          </w:p>
        </w:tc>
        <w:tc>
          <w:tcPr>
            <w:tcW w:type="dxa" w:w="5076"/>
          </w:tcPr>
          <w:p>
            <w:pPr>
              <w:jc w:val="left"/>
            </w:pPr>
            <w:r>
              <w:rPr/>
              <w:t>根据对用户需求书中标注“▲”条款进行评审：对于标注“▲”条款满足或正偏离的每项得1分，最高得5分。 （注：①用户需求书要求提供证明资料的，则响应文件中须提供对应产品参数的证明资料。 ②用户需求书未要求提供证明资料的，则投标人须在响应文件中对“▲”条款进行响应。）</w:t>
            </w:r>
          </w:p>
        </w:tc>
      </w:tr>
      <w:tr>
        <w:tc>
          <w:tcPr>
            <w:tcW w:type="dxa" w:w="922"/>
            <w:gridSpan w:val="2"/>
            <w:vMerge/>
          </w:tcPr>
          <w:p/>
        </w:tc>
        <w:tc>
          <w:tcPr>
            <w:tcW w:type="dxa" w:w="2307"/>
          </w:tcPr>
          <w:p>
            <w:pPr>
              <w:jc w:val="left"/>
            </w:pPr>
            <w:r>
              <w:rPr/>
              <w:t>维护服务方案 (16.0分)</w:t>
            </w:r>
            <w:r>
              <w:rPr/>
              <w:t>，（等次分值选择：</w:t>
            </w:r>
            <w:r>
              <w:rPr/>
              <w:t>0.0;</w:t>
            </w:r>
            <w:r>
              <w:rPr/>
              <w:t>4.0;</w:t>
            </w:r>
            <w:r>
              <w:rPr/>
              <w:t>8.0;</w:t>
            </w:r>
            <w:r>
              <w:rPr/>
              <w:t>12.0;</w:t>
            </w:r>
            <w:r>
              <w:rPr/>
              <w:t>16.0;</w:t>
            </w:r>
            <w:r>
              <w:rPr/>
              <w:t>）</w:t>
            </w:r>
          </w:p>
        </w:tc>
        <w:tc>
          <w:tcPr>
            <w:tcW w:type="dxa" w:w="5076"/>
          </w:tcPr>
          <w:p>
            <w:pPr>
              <w:jc w:val="left"/>
            </w:pPr>
            <w:r>
              <w:rPr/>
              <w:t>根据投标人所提供维护服务方案的详细性、合理性、针对性等进行综合评审： (1)维护服务方案详细完整合理，方案针对性高，切合本项目需求，得16分； (2)维护服务方案较详细，方案针对性和合理性较高，较为满足本项目需求，12分； (3)维护服务方案存在缺漏，方案针对性和合理性一般，基本满足本项目需求，得8分； (4)维护服务方案缺漏较多，方案针对性和合理性较差，得4分。 (5)未提供对应方案不得分。</w:t>
            </w:r>
          </w:p>
        </w:tc>
      </w:tr>
      <w:tr>
        <w:tc>
          <w:tcPr>
            <w:tcW w:type="dxa" w:w="922"/>
            <w:gridSpan w:val="2"/>
            <w:vMerge/>
          </w:tcPr>
          <w:p/>
        </w:tc>
        <w:tc>
          <w:tcPr>
            <w:tcW w:type="dxa" w:w="2307"/>
          </w:tcPr>
          <w:p>
            <w:pPr>
              <w:jc w:val="left"/>
            </w:pPr>
            <w:r>
              <w:rPr/>
              <w:t>拟投入人员情况 (8.0分)</w:t>
            </w:r>
            <w:r>
              <w:rPr/>
              <w:t>，（等次分值选择：</w:t>
            </w:r>
            <w:r>
              <w:rPr/>
              <w:t>0.0;</w:t>
            </w:r>
            <w:r>
              <w:rPr/>
              <w:t>1.0;</w:t>
            </w:r>
            <w:r>
              <w:rPr/>
              <w:t>2.0;</w:t>
            </w:r>
            <w:r>
              <w:rPr/>
              <w:t>3.0;</w:t>
            </w:r>
            <w:r>
              <w:rPr/>
              <w:t>4.0;</w:t>
            </w:r>
            <w:r>
              <w:rPr/>
              <w:t>5.0;</w:t>
            </w:r>
            <w:r>
              <w:rPr/>
              <w:t>6.0;</w:t>
            </w:r>
            <w:r>
              <w:rPr/>
              <w:t>7.0;</w:t>
            </w:r>
            <w:r>
              <w:rPr/>
              <w:t>8.0;</w:t>
            </w:r>
            <w:r>
              <w:rPr/>
              <w:t>）</w:t>
            </w:r>
          </w:p>
        </w:tc>
        <w:tc>
          <w:tcPr>
            <w:tcW w:type="dxa" w:w="5076"/>
          </w:tcPr>
          <w:p>
            <w:pPr>
              <w:jc w:val="left"/>
            </w:pPr>
            <w:r>
              <w:rPr/>
              <w:t>1、投标人拟投入的本项目的项目经理（仅一人）进行评审： ①人力资源和社会保障部门（含原人事部门）颁发的高级系统分析师证书，得1分，本项最高得1分； ②人力资源和社会保障部门（含原人事部门）颁发的高级信息系统项目管理师证书，得2分，本项最高得2分； ③人力资源和社会保障部门（含原人事部门）颁发的正高级工程师职称证书（专业为信息通信技术服务），得1分，本项最高得1分。 注：需提供有效人员证书复印件、距开标时间（不含开标当月）近半年内任意一个月由社会保障部门出具的在投标单位缴纳社会保险的有效凭证的复印件并加盖投标人公章。 2、投标人拟投入的本项目服务人员（项目经理除外）（一人多证不重复计分）： 具有人力资源和社会保障部门（含原人事部门）颁发的高级信息系统项目管理师的，或工业和信息化部门（含原信息产业部门）颁发的一级/高级技师证书（通信或网络或电子类）的，每提供1名得1分，最高得4分。 注：需提供有效人员证书复印件、距开标时间（不含开标当月）近半年内任意一个月由社会保障部门出具的在投标单位缴纳社会保险的有效凭证的复印件并加盖投标人公章。</w:t>
            </w:r>
          </w:p>
        </w:tc>
      </w:tr>
      <w:tr>
        <w:tc>
          <w:tcPr>
            <w:tcW w:type="dxa" w:w="922"/>
            <w:gridSpan w:val="2"/>
            <w:vMerge/>
          </w:tcPr>
          <w:p/>
        </w:tc>
        <w:tc>
          <w:tcPr>
            <w:tcW w:type="dxa" w:w="2307"/>
          </w:tcPr>
          <w:p>
            <w:pPr>
              <w:jc w:val="left"/>
            </w:pPr>
            <w:r>
              <w:rPr/>
              <w:t>项目管理制度 (12.0分)</w:t>
            </w:r>
            <w:r>
              <w:rPr/>
              <w:t>，（等次分值选择：</w:t>
            </w:r>
            <w:r>
              <w:rPr/>
              <w:t>0.0;</w:t>
            </w:r>
            <w:r>
              <w:rPr/>
              <w:t>4.0;</w:t>
            </w:r>
            <w:r>
              <w:rPr/>
              <w:t>8.0;</w:t>
            </w:r>
            <w:r>
              <w:rPr/>
              <w:t>12.0;</w:t>
            </w:r>
            <w:r>
              <w:rPr/>
              <w:t>）</w:t>
            </w:r>
          </w:p>
        </w:tc>
        <w:tc>
          <w:tcPr>
            <w:tcW w:type="dxa" w:w="5076"/>
          </w:tcPr>
          <w:p>
            <w:pPr>
              <w:jc w:val="left"/>
            </w:pPr>
            <w:r>
              <w:rPr/>
              <w:t>根据投标人提供的项目管理制度、进度安排、项目管理架构等方案进行综合评审： (1)方案详细完整、合理、可行性强，得12分； (2)方案较详细完整、较合理、可行性较强，得8分； (3)方案简单、可行性差，得4分； (4)未提供对应方案不得分。</w:t>
            </w:r>
          </w:p>
        </w:tc>
      </w:tr>
      <w:tr>
        <w:tc>
          <w:tcPr>
            <w:tcW w:type="dxa" w:w="922"/>
            <w:gridSpan w:val="2"/>
            <w:vMerge/>
          </w:tcPr>
          <w:p/>
        </w:tc>
        <w:tc>
          <w:tcPr>
            <w:tcW w:type="dxa" w:w="2307"/>
          </w:tcPr>
          <w:p>
            <w:pPr>
              <w:jc w:val="left"/>
            </w:pPr>
            <w:r>
              <w:rPr/>
              <w:t>维护服务保障和承诺 (12.0分)</w:t>
            </w:r>
            <w:r>
              <w:rPr/>
              <w:t>，（等次分值选择：</w:t>
            </w:r>
            <w:r>
              <w:rPr/>
              <w:t>0.0;</w:t>
            </w:r>
            <w:r>
              <w:rPr/>
              <w:t>4.0;</w:t>
            </w:r>
            <w:r>
              <w:rPr/>
              <w:t>8.0;</w:t>
            </w:r>
            <w:r>
              <w:rPr/>
              <w:t>12.0;</w:t>
            </w:r>
            <w:r>
              <w:rPr/>
              <w:t>）</w:t>
            </w:r>
          </w:p>
        </w:tc>
        <w:tc>
          <w:tcPr>
            <w:tcW w:type="dxa" w:w="5076"/>
          </w:tcPr>
          <w:p>
            <w:pPr>
              <w:jc w:val="left"/>
            </w:pPr>
            <w:r>
              <w:rPr/>
              <w:t>根据投标人提供的维护服务保障和承诺的服务措施、承诺进行综合评审： (1)服务方案、服务响应时限方案详细完整、可行性强，得12分； (2)服务方案、服务响应时限方案较详细完整、可行性较强，得8分； (3)服务方案、服务响应时限方案简单、可行性差，得4分； (4)未提供对应方案不得分。</w:t>
            </w:r>
          </w:p>
        </w:tc>
      </w:tr>
      <w:tr>
        <w:tc>
          <w:tcPr>
            <w:tcW w:type="dxa" w:w="922"/>
            <w:gridSpan w:val="2"/>
            <w:vMerge/>
          </w:tcPr>
          <w:p/>
        </w:tc>
        <w:tc>
          <w:tcPr>
            <w:tcW w:type="dxa" w:w="2307"/>
          </w:tcPr>
          <w:p>
            <w:pPr>
              <w:jc w:val="left"/>
            </w:pPr>
            <w:r>
              <w:rPr/>
              <w:t>应急预案 (12.0分)</w:t>
            </w:r>
            <w:r>
              <w:rPr/>
              <w:t>，（等次分值选择：</w:t>
            </w:r>
            <w:r>
              <w:rPr/>
              <w:t>0.0;</w:t>
            </w:r>
            <w:r>
              <w:rPr/>
              <w:t>4.0;</w:t>
            </w:r>
            <w:r>
              <w:rPr/>
              <w:t>8.0;</w:t>
            </w:r>
            <w:r>
              <w:rPr/>
              <w:t>12.0;</w:t>
            </w:r>
            <w:r>
              <w:rPr/>
              <w:t>）</w:t>
            </w:r>
          </w:p>
        </w:tc>
        <w:tc>
          <w:tcPr>
            <w:tcW w:type="dxa" w:w="5076"/>
          </w:tcPr>
          <w:p>
            <w:pPr>
              <w:jc w:val="left"/>
            </w:pPr>
            <w:r>
              <w:rPr/>
              <w:t>根据投标人提供的应急预案进行综合评审： (1)应急预案符合本项目，全面、具体、合理，得12分； (2)应急预案基本符合本项目，较全面、较具体、较合理，得8分； (3)应急预案不符合本项目，且不全面、不充分合理，得4分； (4)未提供对应方案不得分。</w:t>
            </w:r>
          </w:p>
        </w:tc>
      </w:tr>
      <w:tr>
        <w:tc>
          <w:tcPr>
            <w:tcW w:type="dxa" w:w="922"/>
            <w:gridSpan w:val="2"/>
            <w:vMerge w:val="restart"/>
          </w:tcPr>
          <w:p>
            <w:pPr>
              <w:jc w:val="center"/>
            </w:pPr>
            <w:r>
              <w:rPr/>
              <w:t>商务部分</w:t>
            </w:r>
          </w:p>
        </w:tc>
        <w:tc>
          <w:tcPr>
            <w:tcW w:type="dxa" w:w="2307"/>
          </w:tcPr>
          <w:p>
            <w:pPr>
              <w:jc w:val="left"/>
            </w:pPr>
            <w:r>
              <w:rPr/>
              <w:t>企业认证 (10.0分)</w:t>
            </w:r>
            <w:r>
              <w:rPr/>
              <w:t>，（等次分值选择：</w:t>
            </w:r>
            <w:r>
              <w:rPr/>
              <w:t>0.0;</w:t>
            </w:r>
            <w:r>
              <w:rPr/>
              <w:t>2.0;</w:t>
            </w:r>
            <w:r>
              <w:rPr/>
              <w:t>4.0;</w:t>
            </w:r>
            <w:r>
              <w:rPr/>
              <w:t>6.0;</w:t>
            </w:r>
            <w:r>
              <w:rPr/>
              <w:t>8.0;</w:t>
            </w:r>
            <w:r>
              <w:rPr/>
              <w:t>10.0;</w:t>
            </w:r>
            <w:r>
              <w:rPr/>
              <w:t>）</w:t>
            </w:r>
          </w:p>
        </w:tc>
        <w:tc>
          <w:tcPr>
            <w:tcW w:type="dxa" w:w="5076"/>
          </w:tcPr>
          <w:p>
            <w:pPr>
              <w:jc w:val="left"/>
            </w:pPr>
            <w:r>
              <w:rPr/>
              <w:t>投标人具有由国家认证认可监督管理部门批准设立的认证机构颁发并在有效期内的： ①业务连续性管理体系认证证书； ②商品售后服务评价体系认证证书； ③知识产权管理体系认证证书； ④隐私信息安全管理体系认证证书； ⑤社会责任评价报告。 每提供一个得2分，最高得10分。 注：需提供有效证明材料复印件加盖投标人公章。</w:t>
            </w:r>
          </w:p>
        </w:tc>
      </w:tr>
      <w:tr>
        <w:tc>
          <w:tcPr>
            <w:tcW w:type="dxa" w:w="922"/>
            <w:gridSpan w:val="2"/>
            <w:vMerge/>
          </w:tcPr>
          <w:p/>
        </w:tc>
        <w:tc>
          <w:tcPr>
            <w:tcW w:type="dxa" w:w="2307"/>
          </w:tcPr>
          <w:p>
            <w:pPr>
              <w:jc w:val="left"/>
            </w:pPr>
            <w:r>
              <w:rPr/>
              <w:t>企业实力 (7.0分)</w:t>
            </w:r>
            <w:r>
              <w:rPr/>
              <w:t>，（等次分值选择：</w:t>
            </w:r>
            <w:r>
              <w:rPr/>
              <w:t>0.0;</w:t>
            </w:r>
            <w:r>
              <w:rPr/>
              <w:t>1.0;</w:t>
            </w:r>
            <w:r>
              <w:rPr/>
              <w:t>2.0;</w:t>
            </w:r>
            <w:r>
              <w:rPr/>
              <w:t>3.0;</w:t>
            </w:r>
            <w:r>
              <w:rPr/>
              <w:t>4.0;</w:t>
            </w:r>
            <w:r>
              <w:rPr/>
              <w:t>5.0;</w:t>
            </w:r>
            <w:r>
              <w:rPr/>
              <w:t>6.0;</w:t>
            </w:r>
            <w:r>
              <w:rPr/>
              <w:t>7.0;</w:t>
            </w:r>
            <w:r>
              <w:rPr/>
              <w:t>）</w:t>
            </w:r>
          </w:p>
        </w:tc>
        <w:tc>
          <w:tcPr>
            <w:tcW w:type="dxa" w:w="5076"/>
          </w:tcPr>
          <w:p>
            <w:pPr>
              <w:jc w:val="left"/>
            </w:pPr>
            <w:r>
              <w:rPr/>
              <w:t>（1）投标人具有软件产业或软件产品评估方面的软件产品证书，得2分，未提供不得分； （2）投标人具有由中国电子工业标准化技术协会信息技术服务分会颁发的信息技术服务标准符合性证书（业务领域为运行维护）的，得2分；未提供不得分； （3）投标人具有信息系统业务安全服务资质证书，证书服务能力等级为一级的得3分，二级的得2分，三级的得1分，未提供不得分； 注：需提供在有效期内的相关证明材料复印件加盖投标人公章。</w:t>
            </w:r>
          </w:p>
        </w:tc>
      </w:tr>
      <w:tr>
        <w:tc>
          <w:tcPr>
            <w:tcW w:type="dxa" w:w="922"/>
            <w:gridSpan w:val="2"/>
            <w:vMerge/>
          </w:tcPr>
          <w:p/>
        </w:tc>
        <w:tc>
          <w:tcPr>
            <w:tcW w:type="dxa" w:w="2307"/>
          </w:tcPr>
          <w:p>
            <w:pPr>
              <w:jc w:val="left"/>
            </w:pPr>
            <w:r>
              <w:rPr/>
              <w:t>业绩 (8.0分)</w:t>
            </w:r>
            <w:r>
              <w:rPr/>
              <w:t>，（等次分值选择：</w:t>
            </w:r>
            <w:r>
              <w:rPr/>
              <w:t>0.0;</w:t>
            </w:r>
            <w:r>
              <w:rPr/>
              <w:t>2.0;</w:t>
            </w:r>
            <w:r>
              <w:rPr/>
              <w:t>4.0;</w:t>
            </w:r>
            <w:r>
              <w:rPr/>
              <w:t>6.0;</w:t>
            </w:r>
            <w:r>
              <w:rPr/>
              <w:t>8.0;</w:t>
            </w:r>
            <w:r>
              <w:rPr/>
              <w:t>）</w:t>
            </w:r>
          </w:p>
        </w:tc>
        <w:tc>
          <w:tcPr>
            <w:tcW w:type="dxa" w:w="5076"/>
          </w:tcPr>
          <w:p>
            <w:pPr>
              <w:jc w:val="left"/>
            </w:pPr>
            <w:r>
              <w:rPr/>
              <w:t>投标人自2019年1月1日以来承接的维护类项目业绩，每提供一个有效业绩得2分，本项最高得8分。 注：需提供中标（成交）通知书及合同关键页复印件并加盖投标人公章。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441900009-2022-00548</w:t>
      </w:r>
    </w:p>
    <w:p>
      <w:pPr>
        <w:jc w:val="center"/>
      </w:pPr>
      <w:r>
        <w:rPr>
          <w:b/>
          <w:sz w:val="24"/>
        </w:rPr>
        <w:t>采购项目编号：</w:t>
      </w:r>
      <w:r>
        <w:rPr>
          <w:b/>
          <w:sz w:val="24"/>
        </w:rPr>
        <w:t>441900009-2022-00548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松山湖交通信号灯维修项目</w:t>
      </w:r>
      <w:r>
        <w:rPr/>
        <w:t>项目的招标[采购项目编号为：</w:t>
      </w:r>
      <w:r>
        <w:rPr>
          <w:u w:val="single"/>
        </w:rPr>
        <w:t>441900009-2022-00548</w:t>
      </w:r>
      <w:r>
        <w:rPr/>
        <w:t>]，我方愿参与投标。</w:t>
      </w:r>
    </w:p>
    <w:p>
      <w:pPr>
        <w:ind w:firstLine="480"/>
      </w:pPr>
      <w:r>
        <w:rPr/>
        <w:t>我方确认收到贵方提供的</w:t>
      </w:r>
      <w:r>
        <w:rPr>
          <w:u w:val="single"/>
        </w:rPr>
        <w:t>松山湖交通信号灯维修项目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松山湖交通信号灯维修项目</w:t>
      </w:r>
      <w:r>
        <w:rPr/>
        <w:t>项目采购[采购项目编号为</w:t>
      </w:r>
      <w:r>
        <w:rPr/>
        <w:t>441900009-2022-00548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东莞市公安局交通警察支队松山湖大队</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松山湖交通信号灯维修项目</w:t>
      </w:r>
      <w:r>
        <w:rPr/>
        <w:t>招标中获中标（采购项目编号：</w:t>
      </w:r>
      <w:r>
        <w:rPr/>
        <w:t>441900009-2022-00548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松山湖交通信号灯维修项目</w:t>
      </w:r>
      <w:r>
        <w:rPr/>
        <w:t>项目（采购项目编号：</w:t>
      </w:r>
      <w:r>
        <w:rPr/>
        <w:t>441900009-2022-00548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