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rPr>
        <w:t>竞争性磋商文件</w:t>
      </w:r>
    </w:p>
    <w:p>
      <w:pPr>
        <w:jc w:val="center"/>
        <w:rPr>
          <w:rFonts w:hint="eastAsia"/>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7"/>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1"/>
        <w:rPr>
          <w:rFonts w:hint="eastAsia" w:ascii="黑体" w:eastAsia="黑体"/>
          <w:color w:val="auto"/>
          <w:szCs w:val="21"/>
          <w:highlight w:val="none"/>
          <w:lang w:eastAsia="zh-CN"/>
        </w:rPr>
      </w:pPr>
    </w:p>
    <w:p>
      <w:pPr>
        <w:pStyle w:val="21"/>
        <w:ind w:left="0" w:leftChars="0" w:firstLine="0" w:firstLineChars="0"/>
        <w:rPr>
          <w:rFonts w:hint="eastAsia" w:ascii="黑体" w:eastAsia="黑体"/>
          <w:color w:val="auto"/>
          <w:szCs w:val="21"/>
          <w:highlight w:val="none"/>
          <w:lang w:eastAsia="zh-CN"/>
        </w:rPr>
      </w:pPr>
    </w:p>
    <w:p>
      <w:pPr>
        <w:pStyle w:val="21"/>
        <w:ind w:left="0" w:leftChars="0" w:firstLine="0" w:firstLineChars="0"/>
        <w:rPr>
          <w:rFonts w:hint="eastAsia" w:ascii="黑体" w:eastAsia="黑体"/>
          <w:color w:val="auto"/>
          <w:szCs w:val="21"/>
          <w:highlight w:val="none"/>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GDZT2022141C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东莞市横沥镇敬老院</w:t>
            </w:r>
            <w:r>
              <w:rPr>
                <w:rFonts w:hint="eastAsia" w:ascii="黑体" w:hAnsi="黑体" w:eastAsia="黑体" w:cs="黑体"/>
                <w:bCs/>
                <w:color w:val="auto"/>
                <w:sz w:val="32"/>
                <w:szCs w:val="24"/>
                <w:highlight w:val="none"/>
              </w:rPr>
              <w:t>食材配送服务</w:t>
            </w:r>
            <w:r>
              <w:rPr>
                <w:rFonts w:hint="eastAsia" w:ascii="黑体" w:hAnsi="黑体" w:eastAsia="黑体" w:cs="黑体"/>
                <w:bCs/>
                <w:color w:val="auto"/>
                <w:sz w:val="32"/>
                <w:szCs w:val="24"/>
                <w:highlight w:val="none"/>
                <w:lang w:val="en-US" w:eastAsia="zh-CN"/>
              </w:rPr>
              <w:t>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东莞市横沥镇敬老院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19"/>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请各供应商在制作</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时认真阅读本</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建议供应商将</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正本、副本、</w:t>
      </w:r>
      <w:r>
        <w:rPr>
          <w:rFonts w:hint="eastAsia" w:ascii="宋体" w:hAnsi="宋体" w:cs="宋体"/>
          <w:b/>
          <w:bCs w:val="0"/>
          <w:color w:val="auto"/>
          <w:sz w:val="21"/>
          <w:szCs w:val="21"/>
          <w:highlight w:val="none"/>
          <w:u w:val="none"/>
          <w:lang w:eastAsia="zh-CN"/>
        </w:rPr>
        <w:t>报价</w:t>
      </w:r>
      <w:r>
        <w:rPr>
          <w:rFonts w:hint="eastAsia" w:ascii="宋体" w:hAnsi="宋体" w:eastAsia="宋体" w:cs="宋体"/>
          <w:b/>
          <w:bCs w:val="0"/>
          <w:color w:val="auto"/>
          <w:sz w:val="21"/>
          <w:szCs w:val="21"/>
          <w:highlight w:val="none"/>
          <w:u w:val="none"/>
        </w:rPr>
        <w:t>信封分别密封包装，并按照</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w:t>
      </w:r>
      <w:r>
        <w:rPr>
          <w:rFonts w:hint="eastAsia" w:ascii="宋体" w:hAnsi="宋体" w:cs="宋体"/>
          <w:b/>
          <w:bCs w:val="0"/>
          <w:color w:val="auto"/>
          <w:sz w:val="21"/>
          <w:szCs w:val="21"/>
          <w:highlight w:val="none"/>
          <w:u w:val="none"/>
          <w:lang w:eastAsia="zh-CN"/>
        </w:rPr>
        <w:t>供应商</w:t>
      </w:r>
      <w:r>
        <w:rPr>
          <w:rFonts w:hint="eastAsia" w:ascii="宋体" w:hAnsi="宋体" w:eastAsia="宋体" w:cs="宋体"/>
          <w:b/>
          <w:bCs w:val="0"/>
          <w:color w:val="auto"/>
          <w:sz w:val="21"/>
          <w:szCs w:val="21"/>
          <w:highlight w:val="none"/>
          <w:u w:val="none"/>
        </w:rPr>
        <w:t xml:space="preserve">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的递交”中相关要求进行提交，避免因密封包装不符合要求而导致</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cs="宋体"/>
          <w:b/>
          <w:bCs w:val="0"/>
          <w:color w:val="auto"/>
          <w:sz w:val="21"/>
          <w:szCs w:val="21"/>
          <w:highlight w:val="none"/>
          <w:u w:val="none"/>
          <w:lang w:val="en-US" w:eastAsia="zh-CN"/>
        </w:rPr>
        <w:t>报价</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是否已按</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w:t>
      </w:r>
      <w:r>
        <w:rPr>
          <w:rFonts w:hint="eastAsia" w:ascii="宋体" w:hAnsi="宋体" w:cs="宋体"/>
          <w:b/>
          <w:bCs w:val="0"/>
          <w:color w:val="auto"/>
          <w:sz w:val="21"/>
          <w:szCs w:val="21"/>
          <w:highlight w:val="none"/>
          <w:u w:val="none"/>
          <w:lang w:val="en-US" w:eastAsia="zh-CN"/>
        </w:rPr>
        <w:t>响应文件</w:t>
      </w:r>
      <w:r>
        <w:rPr>
          <w:rFonts w:hint="eastAsia" w:ascii="宋体" w:hAnsi="宋体" w:eastAsia="宋体" w:cs="宋体"/>
          <w:b/>
          <w:bCs w:val="0"/>
          <w:color w:val="auto"/>
          <w:sz w:val="21"/>
          <w:szCs w:val="21"/>
          <w:highlight w:val="none"/>
          <w:u w:val="none"/>
        </w:rPr>
        <w:t>无效</w:t>
      </w:r>
      <w:r>
        <w:rPr>
          <w:rFonts w:hint="eastAsia" w:ascii="宋体" w:hAnsi="宋体" w:eastAsia="宋体" w:cs="宋体"/>
          <w:b/>
          <w:bCs w:val="0"/>
          <w:color w:val="auto"/>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递交截止时间之前30分钟内到达开标地点</w:t>
      </w:r>
      <w:r>
        <w:rPr>
          <w:rFonts w:hint="eastAsia" w:ascii="宋体" w:hAnsi="宋体" w:eastAsia="宋体" w:cs="宋体"/>
          <w:b/>
          <w:bCs w:val="0"/>
          <w:color w:val="auto"/>
          <w:sz w:val="21"/>
          <w:szCs w:val="21"/>
          <w:highlight w:val="none"/>
          <w:u w:val="none"/>
          <w:lang w:eastAsia="zh-CN"/>
        </w:rPr>
        <w:t>，</w:t>
      </w:r>
      <w:r>
        <w:rPr>
          <w:rFonts w:hint="eastAsia" w:ascii="宋体" w:hAnsi="宋体" w:cs="宋体"/>
          <w:b/>
          <w:bCs w:val="0"/>
          <w:color w:val="auto"/>
          <w:sz w:val="21"/>
          <w:szCs w:val="21"/>
          <w:highlight w:val="none"/>
          <w:u w:val="none"/>
          <w:lang w:val="en-US" w:eastAsia="zh-CN"/>
        </w:rPr>
        <w:t>响应</w:t>
      </w:r>
      <w:r>
        <w:rPr>
          <w:rFonts w:hint="eastAsia" w:ascii="宋体" w:hAnsi="宋体" w:eastAsia="宋体" w:cs="宋体"/>
          <w:b/>
          <w:bCs w:val="0"/>
          <w:color w:val="auto"/>
          <w:sz w:val="21"/>
          <w:szCs w:val="21"/>
          <w:highlight w:val="none"/>
          <w:u w:val="none"/>
          <w:lang w:eastAsia="zh-CN"/>
        </w:rPr>
        <w:t>截止时间一到，本公司不接收任何</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而决定不参加本项目的供应商，在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邀请函》中的联系方式，以书面形式告知采购代理机构。对您的支持与配合，谨此致谢。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73655"/>
                    </a:xfrm>
                    <a:prstGeom prst="rect">
                      <a:avLst/>
                    </a:prstGeom>
                  </pic:spPr>
                </pic:pic>
              </a:graphicData>
            </a:graphic>
          </wp:inline>
        </w:drawing>
      </w:r>
    </w:p>
    <w:p>
      <w:pPr>
        <w:rPr>
          <w:rFonts w:hint="eastAsia"/>
          <w:color w:val="auto"/>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_Toc14033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 xml:space="preserve">第一部分 </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_Toc14033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_Toc31060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磋商资料表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_Toc31060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_Toc4043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  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_Toc17291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 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_Toc17291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 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 适用法律</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 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_Toc5242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 关于联合体报价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_Toc5242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 关于分支机构报价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_Toc18108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 保密及其它注意事项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_Toc18108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_Toc25468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磋商文件说明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_Toc25468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_Toc21439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 采购文件构成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_Toc21439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响应文件的编制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 响应文件的语言及度量衡单位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_Toc18228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 响应文件编制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_Toc18228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 响应文件的内容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 响应文件格式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 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本项目不需提供</w:t>
      </w:r>
      <w:r>
        <w:rPr>
          <w:rFonts w:hint="eastAsia" w:ascii="宋体" w:hAnsi="宋体" w:eastAsia="宋体" w:cs="宋体"/>
          <w:color w:val="auto"/>
          <w:sz w:val="21"/>
          <w:szCs w:val="21"/>
          <w:highlight w:val="none"/>
        </w:rPr>
        <w:t>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 ★报价（响应文件）有效期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_Toc10456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_Toc7006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_Toc7006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_Toc13611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 响应文件的密封和标记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_Toc13611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 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 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_Toc3401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磋商、评审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_Toc3401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_Toc8137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 签到及评审方法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_Toc8137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_Toc10080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 磋商小组</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_Toc10080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 对响应文件的初审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_Toc18895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 技术商务磋商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_Toc5492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 最终报价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_Toc5492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 综合评分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_Toc30725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 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_Toc30725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_Toc1066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确定成交供应商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_Toc1066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 确定成交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_Toc3941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 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_Toc3941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 原件核查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_Toc18000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 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_Toc18000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_Toc18663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 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_Toc18663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_Toc20114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 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_Toc20114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第九章</w:t>
      </w:r>
      <w:r>
        <w:rPr>
          <w:rFonts w:hint="eastAsia" w:ascii="宋体" w:hAnsi="宋体" w:eastAsia="宋体" w:cs="宋体"/>
          <w:color w:val="auto"/>
          <w:sz w:val="21"/>
          <w:szCs w:val="21"/>
          <w:highlight w:val="none"/>
        </w:rPr>
        <w:t>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 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第十章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_Toc10953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 磋商文件的解释权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_Toc19981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_Toc19981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_Toc29470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_Toc29470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_Toc28116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_Toc28116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一、报价一览表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_Toc2486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_Toc4151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一、响应函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_Toc4151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_Toc21335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_Toc21335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_Toc11689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_Toc11689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六、供应商基本情况说明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_Toc12706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_Toc12706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_Toc14482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_Toc7350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_Toc7350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_Toc25650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_Toc25650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_Toc13588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_Toc13588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_Toc28702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_Toc28702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_Toc25570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_Toc25570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_Toc16875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_Toc16875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六、响应货物明细一览表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_Toc31841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七</w:t>
      </w:r>
      <w:r>
        <w:rPr>
          <w:rFonts w:hint="eastAsia" w:ascii="宋体" w:hAnsi="宋体" w:eastAsia="宋体" w:cs="宋体"/>
          <w:color w:val="auto"/>
          <w:sz w:val="21"/>
          <w:szCs w:val="21"/>
          <w:highlight w:val="none"/>
          <w:lang w:val="en-US" w:eastAsia="zh-CN"/>
        </w:rPr>
        <w:t>、政府采购履约担保函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_Toc17348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第四章报价信封（单独封装）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_Toc17348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第五章联合体共同报价协议书（如有需要）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2"/>
        <w:spacing w:before="0" w:after="0" w:line="240" w:lineRule="auto"/>
        <w:rPr>
          <w:color w:val="auto"/>
          <w:sz w:val="28"/>
          <w:szCs w:val="28"/>
          <w:highlight w:val="none"/>
        </w:rPr>
      </w:pPr>
      <w:bookmarkStart w:id="0" w:name="_Toc14033"/>
      <w:bookmarkStart w:id="1" w:name="_Toc17306"/>
      <w:r>
        <w:rPr>
          <w:rFonts w:hint="eastAsia"/>
          <w:color w:val="auto"/>
          <w:sz w:val="28"/>
          <w:szCs w:val="28"/>
          <w:highlight w:val="none"/>
        </w:rPr>
        <w:t xml:space="preserve">第一部分 </w:t>
      </w:r>
      <w:r>
        <w:rPr>
          <w:rFonts w:hint="eastAsia"/>
          <w:color w:val="auto"/>
          <w:sz w:val="28"/>
          <w:szCs w:val="28"/>
          <w:highlight w:val="none"/>
          <w:lang w:eastAsia="zh-CN"/>
        </w:rPr>
        <w:t>磋商</w:t>
      </w:r>
      <w:r>
        <w:rPr>
          <w:rFonts w:hint="eastAsia"/>
          <w:color w:val="auto"/>
          <w:sz w:val="28"/>
          <w:szCs w:val="28"/>
          <w:highlight w:val="none"/>
        </w:rPr>
        <w:t>邀请</w:t>
      </w:r>
      <w:bookmarkEnd w:id="0"/>
      <w:bookmarkEnd w:id="1"/>
    </w:p>
    <w:p>
      <w:pPr>
        <w:pStyle w:val="4"/>
        <w:spacing w:before="0" w:after="0" w:line="360" w:lineRule="auto"/>
        <w:jc w:val="center"/>
        <w:rPr>
          <w:rFonts w:ascii="宋体" w:hAnsi="宋体" w:eastAsia="宋体" w:cs="宋体"/>
          <w:color w:val="auto"/>
          <w:highlight w:val="none"/>
        </w:rPr>
      </w:pPr>
      <w:bookmarkStart w:id="2" w:name="_Toc7988"/>
      <w:bookmarkStart w:id="3" w:name="_Toc8850"/>
      <w:bookmarkStart w:id="4" w:name="_Toc1420"/>
      <w:r>
        <w:rPr>
          <w:rFonts w:hint="eastAsia" w:ascii="宋体" w:hAnsi="宋体" w:cs="宋体"/>
          <w:color w:val="auto"/>
          <w:highlight w:val="none"/>
          <w:lang w:eastAsia="zh-CN"/>
        </w:rPr>
        <w:t>磋商</w:t>
      </w:r>
      <w:r>
        <w:rPr>
          <w:rFonts w:hint="eastAsia" w:ascii="宋体" w:hAnsi="宋体" w:eastAsia="宋体" w:cs="宋体"/>
          <w:color w:val="auto"/>
          <w:highlight w:val="none"/>
        </w:rPr>
        <w:t>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eastAsia="宋体"/>
          <w:b/>
          <w:color w:val="auto"/>
          <w:sz w:val="21"/>
          <w:szCs w:val="21"/>
          <w:highlight w:val="none"/>
          <w:u w:val="single"/>
        </w:rPr>
        <w:t>东莞市横沥镇敬老院</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eastAsia="宋体"/>
          <w:b/>
          <w:color w:val="auto"/>
          <w:sz w:val="21"/>
          <w:szCs w:val="21"/>
          <w:highlight w:val="none"/>
          <w:u w:val="single"/>
          <w:lang w:val="en-US" w:eastAsia="zh-CN"/>
        </w:rPr>
        <w:t>东莞市横沥镇敬老院食材配送服务项目</w:t>
      </w:r>
      <w:r>
        <w:rPr>
          <w:rFonts w:hint="eastAsia" w:ascii="宋体" w:hAnsi="宋体" w:eastAsia="宋体" w:cs="Times New Roman"/>
          <w:color w:val="auto"/>
          <w:sz w:val="21"/>
          <w:szCs w:val="21"/>
          <w:highlight w:val="none"/>
        </w:rPr>
        <w:t>进行国内</w:t>
      </w:r>
      <w:r>
        <w:rPr>
          <w:rFonts w:hint="eastAsia" w:ascii="宋体" w:hAnsi="宋体" w:cs="Times New Roman"/>
          <w:color w:val="auto"/>
          <w:sz w:val="21"/>
          <w:szCs w:val="21"/>
          <w:highlight w:val="none"/>
          <w:lang w:eastAsia="zh-CN"/>
        </w:rPr>
        <w:t>竞争性磋商</w:t>
      </w:r>
      <w:r>
        <w:rPr>
          <w:rFonts w:hint="eastAsia" w:ascii="宋体" w:hAnsi="宋体" w:eastAsia="宋体" w:cs="Times New Roman"/>
          <w:color w:val="auto"/>
          <w:sz w:val="21"/>
          <w:szCs w:val="21"/>
          <w:highlight w:val="none"/>
        </w:rPr>
        <w:t>采购</w:t>
      </w:r>
      <w:r>
        <w:rPr>
          <w:rFonts w:hint="eastAsia" w:ascii="宋体" w:hAnsi="宋体" w:eastAsia="宋体"/>
          <w:color w:val="auto"/>
          <w:sz w:val="21"/>
          <w:szCs w:val="21"/>
          <w:highlight w:val="none"/>
        </w:rPr>
        <w:t>，欢迎符合</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要求的国内</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参加</w:t>
      </w:r>
      <w:r>
        <w:rPr>
          <w:rFonts w:hint="eastAsia" w:hAnsi="宋体"/>
          <w:color w:val="auto"/>
          <w:szCs w:val="21"/>
          <w:highlight w:val="none"/>
        </w:rPr>
        <w:t>参与本次政府采购活动</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eastAsia="宋体"/>
          <w:color w:val="auto"/>
          <w:sz w:val="21"/>
          <w:szCs w:val="21"/>
          <w:highlight w:val="none"/>
          <w:lang w:val="en-US" w:eastAsia="zh-CN"/>
        </w:rPr>
        <w:t>GDZT2022141C</w:t>
      </w:r>
      <w:r>
        <w:rPr>
          <w:rFonts w:hint="eastAsia" w:ascii="宋体" w:hAnsi="宋体" w:eastAsia="宋体"/>
          <w:color w:val="auto"/>
          <w:sz w:val="21"/>
          <w:szCs w:val="21"/>
          <w:highlight w:val="none"/>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eastAsia="宋体"/>
          <w:b/>
          <w:color w:val="auto"/>
          <w:sz w:val="21"/>
          <w:szCs w:val="21"/>
          <w:highlight w:val="none"/>
          <w:u w:val="single"/>
          <w:lang w:val="en-US" w:eastAsia="zh-CN"/>
        </w:rPr>
        <w:t>东莞市横沥镇敬老院食材配送服务项目</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2"/>
        <w:tblW w:w="44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5"/>
        <w:gridCol w:w="3828"/>
        <w:gridCol w:w="749"/>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5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5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3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1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5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eastAsia="宋体"/>
                <w:b/>
                <w:color w:val="auto"/>
                <w:sz w:val="21"/>
                <w:szCs w:val="21"/>
                <w:highlight w:val="none"/>
                <w:u w:val="single"/>
                <w:lang w:val="en-US" w:eastAsia="zh-CN"/>
              </w:rPr>
              <w:t>东莞市横沥镇敬老院食材配送服务项目</w:t>
            </w:r>
          </w:p>
        </w:tc>
        <w:tc>
          <w:tcPr>
            <w:tcW w:w="5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3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u w:val="single"/>
                <w:lang w:val="en-US" w:eastAsia="zh-CN"/>
              </w:rPr>
              <w:t>600,000.00</w:t>
            </w:r>
            <w:r>
              <w:rPr>
                <w:rFonts w:hint="eastAsia" w:ascii="宋体" w:hAnsi="宋体" w:eastAsia="宋体"/>
                <w:color w:val="auto"/>
                <w:sz w:val="21"/>
                <w:szCs w:val="21"/>
                <w:highlight w:val="none"/>
              </w:rPr>
              <w:t>元</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w:t>
      </w:r>
      <w:r>
        <w:rPr>
          <w:rFonts w:hint="eastAsia" w:ascii="宋体" w:hAnsi="宋体" w:eastAsia="宋体"/>
          <w:color w:val="auto"/>
          <w:sz w:val="21"/>
          <w:szCs w:val="21"/>
          <w:highlight w:val="none"/>
        </w:rPr>
        <w:t>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的单位负责人为同一人或者存在直接控股、管理关系的不同</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，不得参加同一合同项下的政府采购活动。为本项目提供整体设计、规范编制或者项目管理、监理、检测等服务的</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w:t>
      </w:r>
      <w:r>
        <w:rPr>
          <w:rFonts w:hint="eastAsia" w:ascii="宋体" w:hAnsi="宋体"/>
          <w:color w:val="auto"/>
          <w:sz w:val="21"/>
          <w:szCs w:val="21"/>
          <w:highlight w:val="none"/>
          <w:lang w:eastAsia="zh-CN"/>
        </w:rPr>
        <w:t>税收违法黑名单</w:t>
      </w:r>
      <w:r>
        <w:rPr>
          <w:rFonts w:hint="eastAsia" w:ascii="宋体" w:hAnsi="宋体" w:eastAsia="宋体"/>
          <w:color w:val="auto"/>
          <w:sz w:val="21"/>
          <w:szCs w:val="21"/>
          <w:highlight w:val="none"/>
        </w:rPr>
        <w:t>或政府采购严重违法失信行为”记录名单；不处于中国政府采购网(www.ccgp.gov.cn )“政府采购严重违法失信行为信息记录”中的禁止参加政府采购活动期间。以代理机构于</w:t>
      </w:r>
      <w:r>
        <w:rPr>
          <w:rFonts w:hint="eastAsia" w:ascii="宋体" w:hAnsi="宋体"/>
          <w:color w:val="auto"/>
          <w:sz w:val="21"/>
          <w:szCs w:val="21"/>
          <w:highlight w:val="none"/>
          <w:lang w:val="en-US" w:eastAsia="zh-CN"/>
        </w:rPr>
        <w:t>响应</w:t>
      </w:r>
      <w:r>
        <w:rPr>
          <w:rFonts w:hint="eastAsia" w:ascii="宋体" w:hAnsi="宋体" w:eastAsia="宋体"/>
          <w:color w:val="auto"/>
          <w:sz w:val="21"/>
          <w:szCs w:val="21"/>
          <w:highlight w:val="none"/>
        </w:rPr>
        <w:t>截止日当天在“信用中国”网站及中国政府采购网查询结果为准，如相关失信记录已失效，</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2、特殊要求：</w:t>
      </w:r>
    </w:p>
    <w:p>
      <w:pPr>
        <w:spacing w:after="0" w:line="360" w:lineRule="auto"/>
        <w:ind w:firstLine="411" w:firstLineChars="196"/>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供应商</w:t>
      </w:r>
      <w:r>
        <w:rPr>
          <w:rFonts w:hint="eastAsia" w:ascii="宋体" w:hAnsi="宋体"/>
          <w:color w:val="auto"/>
          <w:sz w:val="21"/>
          <w:szCs w:val="21"/>
          <w:highlight w:val="none"/>
          <w:lang w:val="en-US" w:eastAsia="zh-CN"/>
        </w:rPr>
        <w:t>须</w:t>
      </w:r>
      <w:r>
        <w:rPr>
          <w:rFonts w:hint="eastAsia" w:ascii="宋体" w:hAnsi="宋体" w:eastAsia="宋体"/>
          <w:color w:val="auto"/>
          <w:sz w:val="21"/>
          <w:szCs w:val="21"/>
          <w:highlight w:val="none"/>
        </w:rPr>
        <w:t>具有行政主管部门颁发有效期内的《食品流通许可证》或《食品经营许可证》。</w:t>
      </w:r>
    </w:p>
    <w:p>
      <w:pPr>
        <w:bidi w:val="0"/>
        <w:rPr>
          <w:rFonts w:hint="eastAsia"/>
          <w:color w:val="auto"/>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w:t>
      </w:r>
      <w:r>
        <w:rPr>
          <w:rFonts w:hint="eastAsia" w:ascii="宋体" w:hAnsi="宋体"/>
          <w:b/>
          <w:color w:val="auto"/>
          <w:sz w:val="21"/>
          <w:szCs w:val="21"/>
          <w:highlight w:val="none"/>
          <w:lang w:eastAsia="zh-CN"/>
        </w:rPr>
        <w:t>磋商文件</w:t>
      </w:r>
      <w:r>
        <w:rPr>
          <w:rFonts w:hint="eastAsia" w:ascii="宋体" w:hAnsi="宋体" w:eastAsia="宋体"/>
          <w:b/>
          <w:color w:val="auto"/>
          <w:sz w:val="21"/>
          <w:szCs w:val="21"/>
          <w:highlight w:val="none"/>
        </w:rPr>
        <w:t>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24</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31</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w:t>
      </w:r>
      <w:r>
        <w:rPr>
          <w:rFonts w:ascii="宋体" w:hAnsi="宋体" w:eastAsia="宋体"/>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24</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31</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可自行打印</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登记表”进行填写并带到现场进行领购，并现场领取发票。（</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领购价：人民币</w:t>
      </w:r>
      <w:r>
        <w:rPr>
          <w:rFonts w:hint="eastAsia" w:ascii="宋体" w:hAnsi="宋体"/>
          <w:color w:val="auto"/>
          <w:sz w:val="21"/>
          <w:szCs w:val="21"/>
          <w:highlight w:val="none"/>
          <w:lang w:val="en-US" w:eastAsia="zh-CN"/>
        </w:rPr>
        <w:t>300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电子版可在</w:t>
      </w:r>
      <w:r>
        <w:rPr>
          <w:rFonts w:hint="eastAsia" w:ascii="宋体" w:hAnsi="宋体" w:eastAsia="宋体"/>
          <w:color w:val="auto"/>
          <w:sz w:val="21"/>
          <w:szCs w:val="21"/>
          <w:highlight w:val="none"/>
        </w:rPr>
        <w:t>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eastAsia="宋体"/>
          <w:color w:val="auto"/>
          <w:sz w:val="21"/>
          <w:szCs w:val="21"/>
          <w:highlight w:val="none"/>
          <w:lang w:eastAsia="zh-CN"/>
        </w:rPr>
        <w:t>简海欣</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在领购</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时须提供如下证明材料：《营业执照》复印件（加盖公章）或《事业单位法人证书》复印件（加盖公章）或其他主体证书复印件（加盖公章），自然人参加</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须提供自然人的身份证明材料</w:t>
      </w:r>
      <w:r>
        <w:rPr>
          <w:rFonts w:hint="eastAsia" w:ascii="宋体" w:hAnsi="宋体" w:eastAsia="宋体"/>
          <w:color w:val="auto"/>
          <w:sz w:val="21"/>
          <w:szCs w:val="21"/>
          <w:highlight w:val="none"/>
          <w:lang w:eastAsia="zh-CN"/>
        </w:rPr>
        <w:t>。</w:t>
      </w:r>
    </w:p>
    <w:p>
      <w:pPr>
        <w:bidi w:val="0"/>
        <w:rPr>
          <w:rFonts w:hint="eastAsia"/>
          <w:color w:val="auto"/>
          <w:highlight w:val="none"/>
          <w:lang w:eastAsia="zh-CN"/>
        </w:rPr>
      </w:pPr>
    </w:p>
    <w:p>
      <w:pPr>
        <w:spacing w:after="0" w:line="360" w:lineRule="auto"/>
        <w:ind w:firstLine="413" w:firstLineChars="196"/>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lang w:val="en-US" w:eastAsia="zh-CN"/>
        </w:rPr>
        <w:t>五</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w:t>
      </w:r>
      <w:r>
        <w:rPr>
          <w:rFonts w:hint="eastAsia" w:ascii="宋体" w:hAnsi="宋体"/>
          <w:bCs/>
          <w:color w:val="auto"/>
          <w:sz w:val="21"/>
          <w:szCs w:val="21"/>
          <w:highlight w:val="none"/>
          <w:lang w:eastAsia="zh-CN"/>
        </w:rPr>
        <w:t>响应文件</w:t>
      </w:r>
      <w:r>
        <w:rPr>
          <w:rFonts w:hint="eastAsia" w:ascii="宋体" w:hAnsi="宋体" w:eastAsia="宋体"/>
          <w:bCs/>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bCs/>
          <w:color w:val="auto"/>
          <w:sz w:val="21"/>
          <w:szCs w:val="21"/>
          <w:highlight w:val="none"/>
          <w:lang w:val="en-US" w:eastAsia="zh-CN"/>
        </w:rPr>
        <w:t>9</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6</w:t>
      </w:r>
      <w:r>
        <w:rPr>
          <w:rFonts w:hint="eastAsia" w:ascii="宋体" w:hAnsi="宋体" w:eastAsia="宋体"/>
          <w:bCs/>
          <w:color w:val="auto"/>
          <w:sz w:val="21"/>
          <w:szCs w:val="21"/>
          <w:highlight w:val="none"/>
        </w:rPr>
        <w:t>日上午9：00～9：30。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hint="eastAsia" w:ascii="宋体" w:hAnsi="宋体"/>
          <w:bCs/>
          <w:color w:val="auto"/>
          <w:sz w:val="21"/>
          <w:szCs w:val="21"/>
          <w:highlight w:val="none"/>
          <w:lang w:val="en-US" w:eastAsia="zh-CN"/>
        </w:rPr>
        <w:t>响应</w:t>
      </w:r>
      <w:r>
        <w:rPr>
          <w:rFonts w:ascii="宋体" w:hAnsi="宋体" w:eastAsia="宋体"/>
          <w:bCs/>
          <w:color w:val="auto"/>
          <w:sz w:val="21"/>
          <w:szCs w:val="21"/>
          <w:highlight w:val="none"/>
        </w:rPr>
        <w:t>截止</w:t>
      </w:r>
      <w:r>
        <w:rPr>
          <w:rFonts w:hint="eastAsia" w:ascii="宋体" w:hAnsi="宋体" w:eastAsia="宋体"/>
          <w:bCs/>
          <w:color w:val="auto"/>
          <w:sz w:val="21"/>
          <w:szCs w:val="21"/>
          <w:highlight w:val="none"/>
        </w:rPr>
        <w:t>及开标时间：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bCs/>
          <w:color w:val="auto"/>
          <w:sz w:val="21"/>
          <w:szCs w:val="21"/>
          <w:highlight w:val="none"/>
          <w:lang w:val="en-US" w:eastAsia="zh-CN"/>
        </w:rPr>
        <w:t>9</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6</w:t>
      </w:r>
      <w:r>
        <w:rPr>
          <w:rFonts w:hint="eastAsia" w:ascii="宋体" w:hAnsi="宋体" w:eastAsia="宋体"/>
          <w:bCs/>
          <w:color w:val="auto"/>
          <w:sz w:val="21"/>
          <w:szCs w:val="21"/>
          <w:highlight w:val="none"/>
        </w:rPr>
        <w:t>日上午9时30分。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hint="eastAsia" w:ascii="宋体" w:hAnsi="宋体" w:eastAsia="宋体"/>
          <w:color w:val="auto"/>
          <w:sz w:val="21"/>
          <w:szCs w:val="21"/>
          <w:highlight w:val="none"/>
        </w:rPr>
        <w:t>接收响应文件地点</w:t>
      </w:r>
      <w:r>
        <w:rPr>
          <w:rFonts w:ascii="宋体" w:hAnsi="宋体" w:eastAsia="宋体"/>
          <w:bCs/>
          <w:color w:val="auto"/>
          <w:sz w:val="21"/>
          <w:szCs w:val="21"/>
          <w:highlight w:val="none"/>
        </w:rPr>
        <w:t>：</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lang w:val="en-US" w:eastAsia="zh-CN"/>
        </w:rPr>
        <w:t>六</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w:t>
      </w:r>
      <w:r>
        <w:rPr>
          <w:rFonts w:hint="eastAsia" w:ascii="宋体" w:hAnsi="宋体"/>
          <w:bCs/>
          <w:color w:val="auto"/>
          <w:sz w:val="21"/>
          <w:szCs w:val="21"/>
          <w:highlight w:val="none"/>
          <w:lang w:val="en-US" w:eastAsia="zh-CN"/>
        </w:rPr>
        <w:t>方工</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地址：东莞市横沥镇</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联系电话：0769-83379933</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rPr>
        <w:t>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月</w:t>
      </w:r>
      <w:bookmarkStart w:id="446" w:name="_GoBack"/>
      <w:bookmarkEnd w:id="446"/>
    </w:p>
    <w:p>
      <w:pPr>
        <w:pStyle w:val="7"/>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rPr>
          <w:rFonts w:hint="eastAsia"/>
          <w:color w:val="auto"/>
          <w:sz w:val="28"/>
          <w:szCs w:val="28"/>
          <w:highlight w:val="none"/>
          <w:lang w:val="en-US" w:eastAsia="zh-CN"/>
        </w:rPr>
      </w:pPr>
      <w:bookmarkStart w:id="5" w:name="_Toc28550"/>
      <w:bookmarkStart w:id="6" w:name="_Toc31060"/>
      <w:r>
        <w:rPr>
          <w:rFonts w:hint="eastAsia"/>
          <w:color w:val="auto"/>
          <w:sz w:val="28"/>
          <w:szCs w:val="28"/>
          <w:highlight w:val="none"/>
          <w:lang w:val="en-US" w:eastAsia="zh-CN"/>
        </w:rPr>
        <w:br w:type="page"/>
      </w:r>
    </w:p>
    <w:p>
      <w:pPr>
        <w:pStyle w:val="2"/>
        <w:spacing w:before="0" w:after="0" w:line="240" w:lineRule="auto"/>
        <w:rPr>
          <w:rFonts w:hint="eastAsia"/>
          <w:color w:val="auto"/>
          <w:sz w:val="28"/>
          <w:szCs w:val="28"/>
          <w:highlight w:val="none"/>
          <w:lang w:val="en-US" w:eastAsia="zh-CN"/>
        </w:rPr>
      </w:pPr>
      <w:r>
        <w:rPr>
          <w:rFonts w:hint="eastAsia"/>
          <w:color w:val="auto"/>
          <w:sz w:val="28"/>
          <w:szCs w:val="28"/>
          <w:highlight w:val="none"/>
          <w:lang w:val="en-US" w:eastAsia="zh-CN"/>
        </w:rPr>
        <w:t>第二部分</w:t>
      </w:r>
      <w:bookmarkStart w:id="7" w:name="_Toc20683"/>
      <w:r>
        <w:rPr>
          <w:rFonts w:hint="eastAsia"/>
          <w:color w:val="auto"/>
          <w:sz w:val="28"/>
          <w:szCs w:val="28"/>
          <w:highlight w:val="none"/>
          <w:lang w:val="en-US" w:eastAsia="zh-CN"/>
        </w:rPr>
        <w:t xml:space="preserve"> 磋商资料表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FE"/>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lang w:val="en-US" w:eastAsia="zh-CN"/>
              </w:rPr>
              <w:t>所属行业：</w:t>
            </w:r>
            <w:r>
              <w:rPr>
                <w:rFonts w:hint="eastAsia" w:ascii="宋体" w:hAnsi="宋体" w:eastAsia="宋体"/>
                <w:bCs/>
                <w:color w:val="auto"/>
                <w:sz w:val="21"/>
                <w:szCs w:val="21"/>
                <w:highlight w:val="none"/>
                <w:lang w:val="en-US" w:eastAsia="zh-CN"/>
              </w:rPr>
              <w:t>餐饮业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
                <w:color w:val="auto"/>
                <w:sz w:val="21"/>
                <w:szCs w:val="21"/>
                <w:highlight w:val="none"/>
                <w:lang w:val="en-US" w:eastAsia="zh-CN"/>
              </w:rPr>
            </w:pPr>
            <w:r>
              <w:rPr>
                <w:rFonts w:hint="eastAsia" w:ascii="宋体" w:hAnsi="宋体" w:eastAsia="宋体"/>
                <w:color w:val="auto"/>
                <w:sz w:val="21"/>
                <w:szCs w:val="21"/>
                <w:highlight w:val="none"/>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color w:val="auto"/>
                <w:sz w:val="21"/>
                <w:szCs w:val="21"/>
                <w:highlight w:val="none"/>
                <w:lang w:val="en-US" w:eastAsia="zh-CN"/>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本项目无核心产品</w:t>
            </w:r>
            <w:r>
              <w:rPr>
                <w:rFonts w:hint="eastAsia" w:ascii="宋体" w:hAnsi="宋体"/>
                <w:b/>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pPr>
              <w:spacing w:after="0"/>
              <w:jc w:val="both"/>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2</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报价（响应文件）有效期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4"/>
            <w:vAlign w:val="center"/>
          </w:tcPr>
          <w:p>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4"/>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应提交以下</w:t>
            </w:r>
            <w:r>
              <w:rPr>
                <w:rFonts w:hint="eastAsia" w:ascii="宋体" w:hAnsi="宋体"/>
                <w:b/>
                <w:color w:val="auto"/>
                <w:sz w:val="21"/>
                <w:szCs w:val="21"/>
                <w:highlight w:val="none"/>
                <w:lang w:eastAsia="zh-CN"/>
              </w:rPr>
              <w:t>响应文件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报价</w:t>
            </w:r>
            <w:r>
              <w:rPr>
                <w:rFonts w:hint="eastAsia" w:ascii="宋体" w:hAnsi="宋体" w:eastAsia="宋体"/>
                <w:b/>
                <w:color w:val="auto"/>
                <w:sz w:val="21"/>
                <w:szCs w:val="21"/>
                <w:highlight w:val="none"/>
                <w:lang w:eastAsia="zh-CN"/>
              </w:rPr>
              <w:t>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s="宋体"/>
                <w:color w:val="auto"/>
                <w:kern w:val="2"/>
                <w:sz w:val="21"/>
                <w:szCs w:val="21"/>
                <w:highlight w:val="none"/>
                <w:lang w:val="en-US" w:eastAsia="zh-CN"/>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符合须知“优惠政策”中联合体规定的</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default" w:ascii="宋体" w:hAnsi="宋体" w:eastAsia="宋体"/>
                <w:b/>
                <w:bCs/>
                <w:color w:val="auto"/>
                <w:sz w:val="21"/>
                <w:szCs w:val="21"/>
                <w:highlight w:val="none"/>
                <w:u w:val="single"/>
              </w:rPr>
              <w:t>2%</w:t>
            </w:r>
            <w:r>
              <w:rPr>
                <w:rFonts w:hint="eastAsia" w:ascii="宋体" w:hAnsi="宋体" w:eastAsia="宋体"/>
                <w:color w:val="auto"/>
                <w:sz w:val="21"/>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所投产品为获得节能产品认证或环境标志产品认证证书的价格折扣标准（相关规定详见</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7</w:t>
            </w: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 w:val="21"/>
                <w:szCs w:val="21"/>
                <w:highlight w:val="none"/>
                <w:lang w:val="en-US" w:eastAsia="zh-CN"/>
              </w:rPr>
              <w:t>陆仟元</w:t>
            </w:r>
            <w:r>
              <w:rPr>
                <w:rFonts w:hint="eastAsia" w:ascii="宋体" w:hAnsi="宋体" w:eastAsia="宋体"/>
                <w:color w:val="auto"/>
                <w:sz w:val="21"/>
                <w:szCs w:val="21"/>
                <w:highlight w:val="none"/>
              </w:rPr>
              <w:t>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须知的具体补充和修改，如有矛盾，应以本资料表为准。</w:t>
            </w:r>
          </w:p>
        </w:tc>
      </w:tr>
    </w:tbl>
    <w:p>
      <w:pPr>
        <w:bidi w:val="0"/>
        <w:rPr>
          <w:rFonts w:hint="eastAsia"/>
          <w:color w:val="auto"/>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pStyle w:val="2"/>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bookmarkStart w:id="8" w:name="_Toc4043"/>
      <w:bookmarkStart w:id="9" w:name="_Toc13473"/>
      <w:bookmarkStart w:id="10" w:name="_Hlk55300595"/>
      <w:bookmarkStart w:id="11" w:name="_Toc9572"/>
      <w:r>
        <w:rPr>
          <w:rFonts w:hint="eastAsia"/>
          <w:color w:val="auto"/>
          <w:sz w:val="28"/>
          <w:szCs w:val="28"/>
          <w:highlight w:val="none"/>
          <w:lang w:val="en-US" w:eastAsia="zh-CN"/>
        </w:rPr>
        <w:t xml:space="preserve">第三部分 </w:t>
      </w:r>
      <w:bookmarkStart w:id="12" w:name="_Hlk55300643"/>
      <w:bookmarkStart w:id="13" w:name="_Toc7113352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4"/>
        <w:spacing w:before="0" w:after="0" w:line="240" w:lineRule="auto"/>
        <w:jc w:val="center"/>
        <w:rPr>
          <w:rFonts w:ascii="宋体" w:hAnsi="宋体" w:eastAsia="宋体" w:cs="宋体"/>
          <w:color w:val="auto"/>
          <w:sz w:val="24"/>
          <w:szCs w:val="24"/>
          <w:highlight w:val="none"/>
        </w:rPr>
      </w:pPr>
      <w:bookmarkStart w:id="15" w:name="_Toc18413"/>
      <w:bookmarkStart w:id="16" w:name="_Toc462"/>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115"/>
        <w:gridCol w:w="660"/>
        <w:gridCol w:w="6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115"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66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6057"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商务评审</w:t>
            </w:r>
            <w:r>
              <w:rPr>
                <w:rFonts w:hint="eastAsia" w:ascii="宋体" w:hAnsi="宋体" w:eastAsia="宋体" w:cs="宋体"/>
                <w:color w:val="auto"/>
                <w:sz w:val="21"/>
                <w:szCs w:val="21"/>
                <w:highlight w:val="none"/>
                <w:lang w:eastAsia="zh-CN"/>
              </w:rPr>
              <w:t>（</w:t>
            </w:r>
            <w:r>
              <w:rPr>
                <w:rFonts w:hint="eastAsia" w:ascii="宋体" w:eastAsia="宋体" w:cs="宋体"/>
                <w:color w:val="auto"/>
                <w:sz w:val="21"/>
                <w:szCs w:val="21"/>
                <w:highlight w:val="none"/>
                <w:lang w:val="en-US" w:eastAsia="zh-CN"/>
              </w:rPr>
              <w:t>40</w:t>
            </w:r>
            <w:r>
              <w:rPr>
                <w:rFonts w:hint="eastAsia" w:ascii="宋体" w:hAnsi="宋体" w:eastAsia="宋体" w:cs="宋体"/>
                <w:color w:val="auto"/>
                <w:sz w:val="21"/>
                <w:szCs w:val="21"/>
                <w:highlight w:val="none"/>
                <w:lang w:val="en-US" w:eastAsia="zh-CN"/>
              </w:rPr>
              <w:t>分</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jc w:val="center"/>
        </w:trPr>
        <w:tc>
          <w:tcPr>
            <w:tcW w:w="690" w:type="dxa"/>
            <w:vMerge w:val="restart"/>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15" w:type="dxa"/>
            <w:vMerge w:val="restart"/>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企业实力</w:t>
            </w:r>
          </w:p>
        </w:tc>
        <w:tc>
          <w:tcPr>
            <w:tcW w:w="66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6057" w:type="dxa"/>
            <w:tcBorders>
              <w:top w:val="single" w:color="auto" w:sz="4" w:space="0"/>
              <w:left w:val="single" w:color="auto" w:sz="4" w:space="0"/>
              <w:bottom w:val="single" w:color="auto" w:sz="4" w:space="0"/>
              <w:right w:val="single" w:color="auto" w:sz="4" w:space="0"/>
            </w:tcBorders>
            <w:vAlign w:val="center"/>
          </w:tcPr>
          <w:p>
            <w:pPr>
              <w:pStyle w:val="54"/>
              <w:keepNext w:val="0"/>
              <w:keepLines w:val="0"/>
              <w:pageBreakBefore w:val="0"/>
              <w:numPr>
                <w:ilvl w:val="0"/>
                <w:numId w:val="0"/>
              </w:numPr>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具有由国家认证认可监督管理部门批准设立的认证机构颁发并在有效期内的</w:t>
            </w:r>
            <w:r>
              <w:rPr>
                <w:rFonts w:hint="eastAsia" w:ascii="宋体" w:hAnsi="宋体" w:eastAsia="宋体" w:cs="宋体"/>
                <w:color w:val="auto"/>
                <w:sz w:val="21"/>
                <w:szCs w:val="21"/>
                <w:highlight w:val="none"/>
                <w:lang w:val="en-US" w:eastAsia="zh-CN"/>
              </w:rPr>
              <w:t>以下</w:t>
            </w:r>
            <w:r>
              <w:rPr>
                <w:rFonts w:hint="eastAsia" w:ascii="宋体" w:hAnsi="宋体" w:eastAsia="宋体" w:cs="宋体"/>
                <w:color w:val="auto"/>
                <w:sz w:val="21"/>
                <w:szCs w:val="21"/>
                <w:highlight w:val="none"/>
              </w:rPr>
              <w:t>证书</w:t>
            </w:r>
            <w:r>
              <w:rPr>
                <w:rFonts w:hint="eastAsia" w:ascii="宋体" w:hAnsi="宋体" w:eastAsia="宋体" w:cs="宋体"/>
                <w:color w:val="auto"/>
                <w:sz w:val="21"/>
                <w:szCs w:val="21"/>
                <w:highlight w:val="none"/>
                <w:lang w:val="en-US" w:eastAsia="zh-CN"/>
              </w:rPr>
              <w:t>进行评审</w:t>
            </w:r>
            <w:r>
              <w:rPr>
                <w:rFonts w:hint="eastAsia" w:ascii="宋体" w:hAnsi="宋体" w:eastAsia="宋体" w:cs="宋体"/>
                <w:color w:val="auto"/>
                <w:sz w:val="21"/>
                <w:szCs w:val="21"/>
                <w:highlight w:val="none"/>
                <w:lang w:eastAsia="zh-CN"/>
              </w:rPr>
              <w:t>：</w:t>
            </w:r>
          </w:p>
          <w:p>
            <w:pPr>
              <w:pStyle w:val="54"/>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（1）质量管理体系认证证书；</w:t>
            </w:r>
          </w:p>
          <w:p>
            <w:pPr>
              <w:pStyle w:val="54"/>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（2）食品安全管理体系认证证书；</w:t>
            </w:r>
          </w:p>
          <w:p>
            <w:pPr>
              <w:pStyle w:val="54"/>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（3）环境管理体系认证证书；</w:t>
            </w:r>
          </w:p>
          <w:p>
            <w:pPr>
              <w:pStyle w:val="54"/>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（4）职业健康安全管理体系认证证书；</w:t>
            </w:r>
          </w:p>
          <w:p>
            <w:pPr>
              <w:pStyle w:val="54"/>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（5）危害分析与关键控制点体系认证证书；</w:t>
            </w:r>
          </w:p>
          <w:p>
            <w:pPr>
              <w:pStyle w:val="54"/>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（6）供应链安全管理体系认证证书；</w:t>
            </w:r>
          </w:p>
          <w:p>
            <w:pPr>
              <w:pStyle w:val="54"/>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（7）社会责任管理体系认证证书；</w:t>
            </w:r>
          </w:p>
          <w:p>
            <w:pPr>
              <w:pStyle w:val="54"/>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以上证书每具有一个得1分，本项最高得7分。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注：</w:t>
            </w:r>
            <w:r>
              <w:rPr>
                <w:rFonts w:hint="eastAsia" w:ascii="宋体" w:hAnsi="宋体" w:eastAsia="宋体" w:cs="宋体"/>
                <w:bCs/>
                <w:color w:val="auto"/>
                <w:sz w:val="21"/>
                <w:szCs w:val="21"/>
                <w:highlight w:val="none"/>
                <w:lang w:val="zh-CN"/>
              </w:rPr>
              <w:t>须提供</w:t>
            </w:r>
            <w:r>
              <w:rPr>
                <w:rFonts w:hint="eastAsia" w:ascii="宋体" w:hAnsi="宋体" w:eastAsia="宋体" w:cs="宋体"/>
                <w:color w:val="auto"/>
                <w:sz w:val="21"/>
                <w:szCs w:val="21"/>
                <w:highlight w:val="none"/>
              </w:rPr>
              <w:t>有效期内</w:t>
            </w:r>
            <w:r>
              <w:rPr>
                <w:rFonts w:hint="eastAsia" w:ascii="宋体" w:hAnsi="宋体" w:eastAsia="宋体" w:cs="宋体"/>
                <w:bCs/>
                <w:color w:val="auto"/>
                <w:sz w:val="21"/>
                <w:szCs w:val="21"/>
                <w:highlight w:val="none"/>
                <w:lang w:val="zh-CN"/>
              </w:rPr>
              <w:t>证书</w:t>
            </w:r>
            <w:r>
              <w:rPr>
                <w:rFonts w:hint="eastAsia" w:ascii="宋体" w:hAnsi="宋体" w:eastAsia="宋体" w:cs="宋体"/>
                <w:bCs/>
                <w:color w:val="auto"/>
                <w:sz w:val="21"/>
                <w:szCs w:val="21"/>
                <w:highlight w:val="none"/>
                <w:lang w:val="en-US" w:eastAsia="zh-CN"/>
              </w:rPr>
              <w:t>复印件并</w:t>
            </w:r>
            <w:r>
              <w:rPr>
                <w:rFonts w:hint="eastAsia" w:ascii="宋体" w:hAnsi="宋体" w:eastAsia="宋体" w:cs="宋体"/>
                <w:bCs/>
                <w:color w:val="auto"/>
                <w:sz w:val="21"/>
                <w:szCs w:val="21"/>
                <w:highlight w:val="none"/>
                <w:lang w:val="zh-CN"/>
              </w:rPr>
              <w:t>加盖供应商公章，</w:t>
            </w:r>
            <w:r>
              <w:rPr>
                <w:rFonts w:hint="eastAsia" w:ascii="宋体" w:hAnsi="宋体" w:eastAsia="宋体" w:cs="宋体"/>
                <w:bCs/>
                <w:color w:val="auto"/>
                <w:sz w:val="21"/>
                <w:szCs w:val="21"/>
                <w:highlight w:val="none"/>
                <w:lang w:val="en-US" w:eastAsia="zh-CN"/>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jc w:val="center"/>
        </w:trPr>
        <w:tc>
          <w:tcPr>
            <w:tcW w:w="690" w:type="dxa"/>
            <w:vMerge w:val="continue"/>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p>
        </w:tc>
        <w:tc>
          <w:tcPr>
            <w:tcW w:w="1115" w:type="dxa"/>
            <w:vMerge w:val="continue"/>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66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6057" w:type="dxa"/>
            <w:tcBorders>
              <w:top w:val="single" w:color="auto" w:sz="4" w:space="0"/>
              <w:left w:val="single" w:color="auto" w:sz="4" w:space="0"/>
              <w:bottom w:val="single" w:color="auto" w:sz="4" w:space="0"/>
              <w:right w:val="single" w:color="auto" w:sz="4" w:space="0"/>
            </w:tcBorders>
            <w:vAlign w:val="center"/>
          </w:tcPr>
          <w:p>
            <w:pPr>
              <w:pStyle w:val="54"/>
              <w:keepNext w:val="0"/>
              <w:keepLines w:val="0"/>
              <w:pageBreakBefore w:val="0"/>
              <w:numPr>
                <w:ilvl w:val="0"/>
                <w:numId w:val="0"/>
              </w:numPr>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具有</w:t>
            </w:r>
            <w:r>
              <w:rPr>
                <w:rFonts w:hint="eastAsia" w:ascii="宋体" w:hAnsi="宋体" w:eastAsia="宋体" w:cs="宋体"/>
                <w:color w:val="auto"/>
                <w:sz w:val="21"/>
                <w:szCs w:val="21"/>
                <w:highlight w:val="none"/>
                <w:lang w:val="en-US" w:eastAsia="zh-CN"/>
              </w:rPr>
              <w:t>售后服务认证证书进行评审：为五星级（或以上）的，得3分；为四星级的，得2分；为三星级的，得1分；其他不得分。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注：</w:t>
            </w:r>
            <w:r>
              <w:rPr>
                <w:rFonts w:hint="eastAsia" w:ascii="宋体" w:hAnsi="宋体" w:eastAsia="宋体" w:cs="宋体"/>
                <w:bCs/>
                <w:color w:val="auto"/>
                <w:sz w:val="21"/>
                <w:szCs w:val="21"/>
                <w:highlight w:val="none"/>
                <w:lang w:val="zh-CN"/>
              </w:rPr>
              <w:t>须提供</w:t>
            </w:r>
            <w:r>
              <w:rPr>
                <w:rFonts w:hint="eastAsia" w:ascii="宋体" w:hAnsi="宋体" w:eastAsia="宋体" w:cs="宋体"/>
                <w:color w:val="auto"/>
                <w:sz w:val="21"/>
                <w:szCs w:val="21"/>
                <w:highlight w:val="none"/>
              </w:rPr>
              <w:t>有效期内</w:t>
            </w:r>
            <w:r>
              <w:rPr>
                <w:rFonts w:hint="eastAsia" w:ascii="宋体" w:hAnsi="宋体" w:eastAsia="宋体" w:cs="宋体"/>
                <w:bCs/>
                <w:color w:val="auto"/>
                <w:sz w:val="21"/>
                <w:szCs w:val="21"/>
                <w:highlight w:val="none"/>
                <w:lang w:val="zh-CN"/>
              </w:rPr>
              <w:t>证书</w:t>
            </w:r>
            <w:r>
              <w:rPr>
                <w:rFonts w:hint="eastAsia" w:ascii="宋体" w:hAnsi="宋体" w:eastAsia="宋体" w:cs="宋体"/>
                <w:bCs/>
                <w:color w:val="auto"/>
                <w:sz w:val="21"/>
                <w:szCs w:val="21"/>
                <w:highlight w:val="none"/>
                <w:lang w:val="en-US" w:eastAsia="zh-CN"/>
              </w:rPr>
              <w:t>复印件并加盖供应商公章，否则不得分。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115" w:type="dxa"/>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p>
        </w:tc>
        <w:tc>
          <w:tcPr>
            <w:tcW w:w="66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6057"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en-US" w:eastAsia="zh-CN"/>
              </w:rPr>
              <w:t>根据</w:t>
            </w:r>
            <w:r>
              <w:rPr>
                <w:rFonts w:hint="eastAsia" w:ascii="宋体" w:hAnsi="宋体" w:eastAsia="宋体" w:cs="宋体"/>
                <w:bCs/>
                <w:color w:val="auto"/>
                <w:sz w:val="21"/>
                <w:szCs w:val="21"/>
                <w:highlight w:val="none"/>
                <w:lang w:val="pt-BR" w:eastAsia="zh-CN"/>
              </w:rPr>
              <w:t>供应商</w:t>
            </w:r>
            <w:r>
              <w:rPr>
                <w:rFonts w:hint="eastAsia" w:ascii="宋体" w:hAnsi="宋体" w:eastAsia="宋体" w:cs="宋体"/>
                <w:bCs/>
                <w:color w:val="auto"/>
                <w:sz w:val="21"/>
                <w:szCs w:val="21"/>
                <w:highlight w:val="none"/>
                <w:lang w:val="pt-BR"/>
              </w:rPr>
              <w:t>具有食堂（饭堂）食材配送项目业绩</w:t>
            </w:r>
            <w:r>
              <w:rPr>
                <w:rFonts w:hint="eastAsia" w:ascii="宋体" w:hAnsi="宋体" w:eastAsia="宋体" w:cs="宋体"/>
                <w:bCs/>
                <w:color w:val="auto"/>
                <w:sz w:val="21"/>
                <w:szCs w:val="21"/>
                <w:highlight w:val="none"/>
                <w:lang w:val="en-US" w:eastAsia="zh-CN"/>
              </w:rPr>
              <w:t>进行评审</w:t>
            </w:r>
            <w:r>
              <w:rPr>
                <w:rFonts w:hint="eastAsia" w:ascii="宋体" w:hAnsi="宋体" w:eastAsia="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每</w:t>
            </w:r>
            <w:r>
              <w:rPr>
                <w:rFonts w:hint="eastAsia" w:ascii="宋体" w:hAnsi="宋体" w:eastAsia="宋体" w:cs="宋体"/>
                <w:bCs/>
                <w:color w:val="auto"/>
                <w:sz w:val="21"/>
                <w:szCs w:val="21"/>
                <w:highlight w:val="none"/>
                <w:lang w:val="en-US" w:eastAsia="zh-CN"/>
              </w:rPr>
              <w:t>提供一个</w:t>
            </w:r>
            <w:r>
              <w:rPr>
                <w:rFonts w:hint="eastAsia" w:ascii="宋体" w:hAnsi="宋体" w:eastAsia="宋体" w:cs="宋体"/>
                <w:bCs/>
                <w:color w:val="auto"/>
                <w:sz w:val="21"/>
                <w:szCs w:val="21"/>
                <w:highlight w:val="none"/>
                <w:lang w:val="pt-BR"/>
              </w:rPr>
              <w:t>业绩得</w:t>
            </w:r>
            <w:r>
              <w:rPr>
                <w:rFonts w:hint="eastAsia" w:ascii="宋体" w:hAnsi="宋体" w:eastAsia="宋体" w:cs="宋体"/>
                <w:bCs/>
                <w:color w:val="auto"/>
                <w:sz w:val="21"/>
                <w:szCs w:val="21"/>
                <w:highlight w:val="none"/>
                <w:lang w:val="pt-BR" w:eastAsia="zh-CN"/>
              </w:rPr>
              <w:t>1</w:t>
            </w:r>
            <w:r>
              <w:rPr>
                <w:rFonts w:hint="eastAsia" w:ascii="宋体" w:hAnsi="宋体" w:eastAsia="宋体" w:cs="宋体"/>
                <w:bCs/>
                <w:color w:val="auto"/>
                <w:sz w:val="21"/>
                <w:szCs w:val="21"/>
                <w:highlight w:val="none"/>
                <w:lang w:val="pt-BR"/>
              </w:rPr>
              <w:t>分，</w:t>
            </w:r>
            <w:r>
              <w:rPr>
                <w:rFonts w:hint="eastAsia" w:ascii="宋体" w:hAnsi="宋体" w:eastAsia="宋体" w:cs="宋体"/>
                <w:bCs/>
                <w:color w:val="auto"/>
                <w:sz w:val="21"/>
                <w:szCs w:val="21"/>
                <w:highlight w:val="none"/>
                <w:lang w:val="en-US" w:eastAsia="zh-CN"/>
              </w:rPr>
              <w:t>本项最高得</w:t>
            </w:r>
            <w:r>
              <w:rPr>
                <w:rFonts w:hint="eastAsia" w:ascii="宋体" w:hAnsi="宋体" w:eastAsia="宋体" w:cs="宋体"/>
                <w:bCs/>
                <w:color w:val="auto"/>
                <w:sz w:val="21"/>
                <w:szCs w:val="21"/>
                <w:highlight w:val="none"/>
                <w:lang w:val="pt-BR" w:eastAsia="zh-CN"/>
              </w:rPr>
              <w:t>10</w:t>
            </w:r>
            <w:r>
              <w:rPr>
                <w:rFonts w:hint="eastAsia" w:ascii="宋体" w:hAnsi="宋体" w:eastAsia="宋体" w:cs="宋体"/>
                <w:bCs/>
                <w:color w:val="auto"/>
                <w:sz w:val="21"/>
                <w:szCs w:val="21"/>
                <w:highlight w:val="none"/>
                <w:lang w:val="pt-BR"/>
              </w:rPr>
              <w:t>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pt-BR"/>
              </w:rPr>
              <w:t>注：须同时提供以下证明材料：①中标通知书</w:t>
            </w:r>
            <w:r>
              <w:rPr>
                <w:rFonts w:hint="eastAsia" w:ascii="宋体" w:hAnsi="宋体" w:eastAsia="宋体" w:cs="宋体"/>
                <w:bCs/>
                <w:color w:val="auto"/>
                <w:sz w:val="21"/>
                <w:szCs w:val="21"/>
                <w:highlight w:val="none"/>
                <w:lang w:val="en-US" w:eastAsia="zh-CN"/>
              </w:rPr>
              <w:t>复印件</w:t>
            </w:r>
            <w:r>
              <w:rPr>
                <w:rFonts w:hint="eastAsia" w:ascii="宋体" w:hAnsi="宋体" w:eastAsia="宋体" w:cs="宋体"/>
                <w:bCs/>
                <w:color w:val="auto"/>
                <w:sz w:val="21"/>
                <w:szCs w:val="21"/>
                <w:highlight w:val="none"/>
                <w:lang w:val="pt-BR"/>
              </w:rPr>
              <w:t>；②合同</w:t>
            </w:r>
            <w:r>
              <w:rPr>
                <w:rFonts w:hint="eastAsia" w:ascii="宋体" w:hAnsi="宋体" w:eastAsia="宋体" w:cs="宋体"/>
                <w:bCs/>
                <w:color w:val="auto"/>
                <w:sz w:val="21"/>
                <w:szCs w:val="21"/>
                <w:highlight w:val="none"/>
                <w:lang w:val="en-US" w:eastAsia="zh-CN"/>
              </w:rPr>
              <w:t>复印件</w:t>
            </w:r>
            <w:r>
              <w:rPr>
                <w:rFonts w:hint="eastAsia" w:ascii="宋体" w:hAnsi="宋体" w:eastAsia="宋体" w:cs="宋体"/>
                <w:bCs/>
                <w:color w:val="auto"/>
                <w:sz w:val="21"/>
                <w:szCs w:val="21"/>
                <w:highlight w:val="none"/>
                <w:lang w:val="pt-BR"/>
              </w:rPr>
              <w:t>；③合同期内任意1个月发票复印件或税控系统截图，</w:t>
            </w:r>
            <w:r>
              <w:rPr>
                <w:rFonts w:hint="eastAsia" w:ascii="宋体" w:hAnsi="宋体" w:eastAsia="宋体" w:cs="宋体"/>
                <w:bCs/>
                <w:color w:val="auto"/>
                <w:sz w:val="21"/>
                <w:szCs w:val="21"/>
                <w:highlight w:val="none"/>
                <w:lang w:val="en-US" w:eastAsia="zh-CN"/>
              </w:rPr>
              <w:t>并</w:t>
            </w:r>
            <w:r>
              <w:rPr>
                <w:rFonts w:hint="eastAsia" w:ascii="宋体" w:hAnsi="宋体" w:eastAsia="宋体" w:cs="宋体"/>
                <w:bCs/>
                <w:color w:val="auto"/>
                <w:sz w:val="21"/>
                <w:szCs w:val="21"/>
                <w:highlight w:val="none"/>
                <w:lang w:val="pt-BR"/>
              </w:rPr>
              <w:t>加盖</w:t>
            </w:r>
            <w:r>
              <w:rPr>
                <w:rFonts w:hint="eastAsia" w:ascii="宋体" w:hAnsi="宋体" w:eastAsia="宋体" w:cs="宋体"/>
                <w:bCs/>
                <w:color w:val="auto"/>
                <w:sz w:val="21"/>
                <w:szCs w:val="21"/>
                <w:highlight w:val="none"/>
                <w:lang w:val="pt-BR" w:eastAsia="zh-CN"/>
              </w:rPr>
              <w:t>供应商</w:t>
            </w:r>
            <w:r>
              <w:rPr>
                <w:rFonts w:hint="eastAsia" w:ascii="宋体" w:hAnsi="宋体" w:eastAsia="宋体" w:cs="宋体"/>
                <w:bCs/>
                <w:color w:val="auto"/>
                <w:sz w:val="21"/>
                <w:szCs w:val="21"/>
                <w:highlight w:val="none"/>
                <w:lang w:val="pt-BR"/>
              </w:rPr>
              <w:t>公章</w:t>
            </w:r>
            <w:r>
              <w:rPr>
                <w:rFonts w:hint="eastAsia" w:ascii="宋体" w:hAnsi="宋体" w:eastAsia="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en-US" w:eastAsia="zh-CN"/>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1" w:hRule="atLeast"/>
          <w:jc w:val="center"/>
        </w:trPr>
        <w:tc>
          <w:tcPr>
            <w:tcW w:w="690" w:type="dxa"/>
            <w:vMerge w:val="restart"/>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115" w:type="dxa"/>
            <w:vMerge w:val="restart"/>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拟投入本项目的配套设施</w:t>
            </w:r>
          </w:p>
        </w:tc>
        <w:tc>
          <w:tcPr>
            <w:tcW w:w="66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8</w:t>
            </w:r>
          </w:p>
        </w:tc>
        <w:tc>
          <w:tcPr>
            <w:tcW w:w="6057"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eastAsia="zh-CN"/>
              </w:rPr>
              <w:t>供应商</w:t>
            </w:r>
            <w:r>
              <w:rPr>
                <w:rFonts w:hint="eastAsia" w:ascii="宋体" w:hAnsi="宋体" w:eastAsia="宋体" w:cs="宋体"/>
                <w:bCs/>
                <w:color w:val="auto"/>
                <w:sz w:val="21"/>
                <w:szCs w:val="21"/>
                <w:highlight w:val="none"/>
                <w:lang w:val="pt-BR"/>
              </w:rPr>
              <w:t>具有食品</w:t>
            </w:r>
            <w:r>
              <w:rPr>
                <w:rFonts w:hint="eastAsia" w:ascii="宋体" w:hAnsi="宋体" w:eastAsia="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en-US" w:eastAsia="zh-CN"/>
              </w:rPr>
              <w:t>或食材</w:t>
            </w:r>
            <w:r>
              <w:rPr>
                <w:rFonts w:hint="eastAsia" w:ascii="宋体" w:hAnsi="宋体" w:eastAsia="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安全可追溯</w:t>
            </w:r>
            <w:r>
              <w:rPr>
                <w:rFonts w:hint="eastAsia" w:ascii="宋体" w:hAnsi="宋体" w:eastAsia="宋体" w:cs="宋体"/>
                <w:bCs/>
                <w:color w:val="auto"/>
                <w:sz w:val="21"/>
                <w:szCs w:val="21"/>
                <w:highlight w:val="none"/>
                <w:lang w:val="en-US" w:eastAsia="zh-CN"/>
              </w:rPr>
              <w:t>类软件</w:t>
            </w:r>
            <w:r>
              <w:rPr>
                <w:rFonts w:hint="eastAsia" w:ascii="宋体" w:hAnsi="宋体" w:eastAsia="宋体" w:cs="宋体"/>
                <w:bCs/>
                <w:color w:val="auto"/>
                <w:sz w:val="21"/>
                <w:szCs w:val="21"/>
                <w:highlight w:val="none"/>
                <w:lang w:val="pt-BR"/>
              </w:rPr>
              <w:t>系统的，得</w:t>
            </w:r>
            <w:r>
              <w:rPr>
                <w:rFonts w:hint="eastAsia" w:asci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lang w:val="pt-BR"/>
              </w:rPr>
              <w:t>分，无不得分。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注：须提供软件著作版权登记证书复印件加盖</w:t>
            </w:r>
            <w:r>
              <w:rPr>
                <w:rFonts w:hint="eastAsia" w:ascii="宋体" w:hAnsi="宋体" w:eastAsia="宋体" w:cs="宋体"/>
                <w:bCs/>
                <w:color w:val="auto"/>
                <w:sz w:val="21"/>
                <w:szCs w:val="21"/>
                <w:highlight w:val="none"/>
                <w:lang w:val="pt-BR" w:eastAsia="zh-CN"/>
              </w:rPr>
              <w:t>供应商</w:t>
            </w:r>
            <w:r>
              <w:rPr>
                <w:rFonts w:hint="eastAsia" w:ascii="宋体" w:hAnsi="宋体" w:eastAsia="宋体" w:cs="宋体"/>
                <w:bCs/>
                <w:color w:val="auto"/>
                <w:sz w:val="21"/>
                <w:szCs w:val="21"/>
                <w:highlight w:val="none"/>
                <w:lang w:val="pt-BR"/>
              </w:rPr>
              <w:t>公章；若软件为</w:t>
            </w:r>
            <w:r>
              <w:rPr>
                <w:rFonts w:hint="eastAsia" w:ascii="宋体" w:hAnsi="宋体" w:eastAsia="宋体" w:cs="宋体"/>
                <w:bCs/>
                <w:color w:val="auto"/>
                <w:sz w:val="21"/>
                <w:szCs w:val="21"/>
                <w:highlight w:val="none"/>
                <w:lang w:val="pt-BR" w:eastAsia="zh-CN"/>
              </w:rPr>
              <w:t>供应商</w:t>
            </w:r>
            <w:r>
              <w:rPr>
                <w:rFonts w:hint="eastAsia" w:ascii="宋体" w:hAnsi="宋体" w:eastAsia="宋体" w:cs="宋体"/>
                <w:bCs/>
                <w:color w:val="auto"/>
                <w:sz w:val="21"/>
                <w:szCs w:val="21"/>
                <w:highlight w:val="none"/>
                <w:lang w:val="pt-BR"/>
              </w:rPr>
              <w:t>购买的，须同时提供购买合同及发票复印件加盖</w:t>
            </w:r>
            <w:r>
              <w:rPr>
                <w:rFonts w:hint="eastAsia" w:ascii="宋体" w:hAnsi="宋体" w:eastAsia="宋体" w:cs="宋体"/>
                <w:bCs/>
                <w:color w:val="auto"/>
                <w:sz w:val="21"/>
                <w:szCs w:val="21"/>
                <w:highlight w:val="none"/>
                <w:lang w:val="pt-BR" w:eastAsia="zh-CN"/>
              </w:rPr>
              <w:t>供应商</w:t>
            </w:r>
            <w:r>
              <w:rPr>
                <w:rFonts w:hint="eastAsia" w:ascii="宋体" w:hAnsi="宋体" w:eastAsia="宋体" w:cs="宋体"/>
                <w:bCs/>
                <w:color w:val="auto"/>
                <w:sz w:val="21"/>
                <w:szCs w:val="21"/>
                <w:highlight w:val="none"/>
                <w:lang w:val="pt-BR"/>
              </w:rPr>
              <w:t>公章</w:t>
            </w:r>
            <w:r>
              <w:rPr>
                <w:rFonts w:hint="eastAsia" w:ascii="宋体" w:hAnsi="宋体" w:eastAsia="宋体" w:cs="宋体"/>
                <w:bCs/>
                <w:color w:val="auto"/>
                <w:sz w:val="21"/>
                <w:szCs w:val="21"/>
                <w:highlight w:val="none"/>
                <w:lang w:val="pt-BR"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90" w:type="dxa"/>
            <w:vMerge w:val="continue"/>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1115" w:type="dxa"/>
            <w:vMerge w:val="continue"/>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p>
        </w:tc>
        <w:tc>
          <w:tcPr>
            <w:tcW w:w="66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c>
          <w:tcPr>
            <w:tcW w:w="6057"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eastAsia="zh-CN"/>
              </w:rPr>
              <w:t>供应商</w:t>
            </w:r>
            <w:r>
              <w:rPr>
                <w:rFonts w:hint="eastAsia" w:ascii="宋体" w:hAnsi="宋体" w:eastAsia="宋体" w:cs="宋体"/>
                <w:bCs/>
                <w:color w:val="auto"/>
                <w:sz w:val="21"/>
                <w:szCs w:val="21"/>
                <w:highlight w:val="none"/>
                <w:lang w:val="pt-BR"/>
              </w:rPr>
              <w:t>具有拟投入本项目的配送场所</w:t>
            </w:r>
            <w:r>
              <w:rPr>
                <w:rFonts w:hint="eastAsia" w:ascii="宋体" w:hAnsi="宋体" w:eastAsia="宋体" w:cs="宋体"/>
                <w:bCs/>
                <w:color w:val="auto"/>
                <w:sz w:val="21"/>
                <w:szCs w:val="21"/>
                <w:highlight w:val="none"/>
                <w:lang w:val="en-US" w:eastAsia="zh-CN"/>
              </w:rPr>
              <w:t>的，</w:t>
            </w:r>
            <w:r>
              <w:rPr>
                <w:rFonts w:hint="eastAsia" w:ascii="宋体" w:hAnsi="宋体" w:eastAsia="宋体" w:cs="宋体"/>
                <w:bCs/>
                <w:color w:val="auto"/>
                <w:sz w:val="21"/>
                <w:szCs w:val="21"/>
                <w:highlight w:val="none"/>
                <w:lang w:val="pt-BR"/>
              </w:rPr>
              <w:t>得</w:t>
            </w:r>
            <w:r>
              <w:rPr>
                <w:rFonts w:hint="eastAsia" w:asci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pt-BR"/>
              </w:rPr>
              <w:t>分，无不得分。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注：</w:t>
            </w:r>
            <w:r>
              <w:rPr>
                <w:rFonts w:hint="eastAsia" w:ascii="宋体" w:hAnsi="宋体" w:eastAsia="宋体" w:cs="宋体"/>
                <w:bCs/>
                <w:color w:val="auto"/>
                <w:sz w:val="21"/>
                <w:szCs w:val="21"/>
                <w:highlight w:val="none"/>
                <w:lang w:val="pt-BR" w:eastAsia="zh-CN"/>
              </w:rPr>
              <w:t>供应商</w:t>
            </w:r>
            <w:r>
              <w:rPr>
                <w:rFonts w:hint="eastAsia" w:ascii="宋体" w:hAnsi="宋体" w:eastAsia="宋体" w:cs="宋体"/>
                <w:bCs/>
                <w:color w:val="auto"/>
                <w:sz w:val="21"/>
                <w:szCs w:val="21"/>
                <w:highlight w:val="none"/>
                <w:lang w:val="en-US" w:eastAsia="zh-CN"/>
              </w:rPr>
              <w:t>须</w:t>
            </w:r>
            <w:r>
              <w:rPr>
                <w:rFonts w:hint="eastAsia" w:ascii="宋体" w:hAnsi="宋体" w:eastAsia="宋体" w:cs="宋体"/>
                <w:bCs/>
                <w:color w:val="auto"/>
                <w:sz w:val="21"/>
                <w:szCs w:val="21"/>
                <w:highlight w:val="none"/>
                <w:lang w:val="pt-BR"/>
              </w:rPr>
              <w:t>提供其配送场所的使用权证明文件，如产权证明或租赁合同复印件，并加盖</w:t>
            </w:r>
            <w:r>
              <w:rPr>
                <w:rFonts w:hint="eastAsia" w:ascii="宋体" w:hAnsi="宋体" w:eastAsia="宋体" w:cs="宋体"/>
                <w:bCs/>
                <w:color w:val="auto"/>
                <w:sz w:val="21"/>
                <w:szCs w:val="21"/>
                <w:highlight w:val="none"/>
                <w:lang w:val="pt-BR" w:eastAsia="zh-CN"/>
              </w:rPr>
              <w:t>供应商</w:t>
            </w:r>
            <w:r>
              <w:rPr>
                <w:rFonts w:hint="eastAsia" w:ascii="宋体" w:hAnsi="宋体" w:eastAsia="宋体" w:cs="宋体"/>
                <w:bCs/>
                <w:color w:val="auto"/>
                <w:sz w:val="21"/>
                <w:szCs w:val="21"/>
                <w:highlight w:val="none"/>
                <w:lang w:val="pt-BR"/>
              </w:rPr>
              <w:t>公章</w:t>
            </w:r>
            <w:r>
              <w:rPr>
                <w:rFonts w:hint="eastAsia" w:ascii="宋体" w:hAnsi="宋体" w:eastAsia="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en-US" w:eastAsia="zh-CN"/>
              </w:rPr>
              <w:t>否则不得分</w:t>
            </w:r>
            <w:r>
              <w:rPr>
                <w:rFonts w:hint="eastAsia" w:ascii="宋体" w:eastAsia="宋体" w:cs="宋体"/>
                <w:bCs/>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90" w:type="dxa"/>
            <w:vMerge w:val="continue"/>
            <w:tcBorders>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1115" w:type="dxa"/>
            <w:vMerge w:val="continue"/>
            <w:tcBorders>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p>
        </w:tc>
        <w:tc>
          <w:tcPr>
            <w:tcW w:w="66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c>
          <w:tcPr>
            <w:tcW w:w="6057"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eastAsia="zh-CN"/>
              </w:rPr>
              <w:t>供应商</w:t>
            </w:r>
            <w:r>
              <w:rPr>
                <w:rFonts w:hint="eastAsia" w:ascii="宋体" w:hAnsi="宋体" w:eastAsia="宋体" w:cs="宋体"/>
                <w:bCs/>
                <w:color w:val="auto"/>
                <w:sz w:val="21"/>
                <w:szCs w:val="21"/>
                <w:highlight w:val="none"/>
                <w:lang w:val="pt-BR"/>
              </w:rPr>
              <w:t>具有拟投入本项目的配送场所内配置自有食品冷藏库的</w:t>
            </w:r>
            <w:r>
              <w:rPr>
                <w:rFonts w:hint="eastAsia" w:ascii="宋体" w:hAnsi="宋体" w:eastAsia="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en-US" w:eastAsia="zh-CN"/>
              </w:rPr>
              <w:t>得</w:t>
            </w:r>
            <w:r>
              <w:rPr>
                <w:rFonts w:hint="eastAsia" w:asci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pt-BR"/>
              </w:rPr>
              <w:t>分，无不得分。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注：</w:t>
            </w:r>
            <w:r>
              <w:rPr>
                <w:rFonts w:hint="eastAsia" w:ascii="宋体" w:hAnsi="宋体" w:eastAsia="宋体" w:cs="宋体"/>
                <w:bCs/>
                <w:color w:val="auto"/>
                <w:sz w:val="21"/>
                <w:szCs w:val="21"/>
                <w:highlight w:val="none"/>
                <w:lang w:val="pt-BR" w:eastAsia="zh-CN"/>
              </w:rPr>
              <w:t>供应商</w:t>
            </w:r>
            <w:r>
              <w:rPr>
                <w:rFonts w:hint="eastAsia" w:ascii="宋体" w:hAnsi="宋体" w:eastAsia="宋体" w:cs="宋体"/>
                <w:bCs/>
                <w:color w:val="auto"/>
                <w:sz w:val="21"/>
                <w:szCs w:val="21"/>
                <w:highlight w:val="none"/>
                <w:lang w:val="en-US" w:eastAsia="zh-CN"/>
              </w:rPr>
              <w:t>须</w:t>
            </w:r>
            <w:r>
              <w:rPr>
                <w:rFonts w:hint="eastAsia" w:ascii="宋体" w:hAnsi="宋体" w:eastAsia="宋体" w:cs="宋体"/>
                <w:bCs/>
                <w:color w:val="auto"/>
                <w:sz w:val="21"/>
                <w:szCs w:val="21"/>
                <w:highlight w:val="none"/>
                <w:lang w:val="pt-BR"/>
              </w:rPr>
              <w:t>提供其冷藏库的使用权证明文件，如建设冷藏库的合同</w:t>
            </w:r>
            <w:r>
              <w:rPr>
                <w:rFonts w:hint="eastAsia" w:ascii="宋体" w:eastAsia="宋体" w:cs="宋体"/>
                <w:bCs/>
                <w:color w:val="auto"/>
                <w:sz w:val="21"/>
                <w:szCs w:val="21"/>
                <w:highlight w:val="none"/>
                <w:lang w:val="en-US" w:eastAsia="zh-CN"/>
              </w:rPr>
              <w:t>复印件</w:t>
            </w:r>
            <w:r>
              <w:rPr>
                <w:rFonts w:hint="eastAsia" w:ascii="宋体" w:hAnsi="宋体" w:eastAsia="宋体" w:cs="宋体"/>
                <w:bCs/>
                <w:color w:val="auto"/>
                <w:sz w:val="21"/>
                <w:szCs w:val="21"/>
                <w:highlight w:val="none"/>
                <w:lang w:val="pt-BR"/>
              </w:rPr>
              <w:t>，并加盖</w:t>
            </w:r>
            <w:r>
              <w:rPr>
                <w:rFonts w:hint="eastAsia" w:ascii="宋体" w:hAnsi="宋体" w:eastAsia="宋体" w:cs="宋体"/>
                <w:bCs/>
                <w:color w:val="auto"/>
                <w:sz w:val="21"/>
                <w:szCs w:val="21"/>
                <w:highlight w:val="none"/>
                <w:lang w:val="pt-BR" w:eastAsia="zh-CN"/>
              </w:rPr>
              <w:t>供应商</w:t>
            </w:r>
            <w:r>
              <w:rPr>
                <w:rFonts w:hint="eastAsia" w:ascii="宋体" w:hAnsi="宋体" w:eastAsia="宋体" w:cs="宋体"/>
                <w:bCs/>
                <w:color w:val="auto"/>
                <w:sz w:val="21"/>
                <w:szCs w:val="21"/>
                <w:highlight w:val="none"/>
                <w:lang w:val="pt-BR"/>
              </w:rPr>
              <w:t>公章</w:t>
            </w:r>
            <w:r>
              <w:rPr>
                <w:rFonts w:hint="eastAsia" w:ascii="宋体" w:hAnsi="宋体" w:eastAsia="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en-US" w:eastAsia="zh-CN"/>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技术评审</w:t>
            </w:r>
            <w:r>
              <w:rPr>
                <w:rFonts w:hint="eastAsia" w:ascii="宋体" w:hAnsi="宋体" w:eastAsia="宋体" w:cs="宋体"/>
                <w:color w:val="auto"/>
                <w:sz w:val="21"/>
                <w:szCs w:val="21"/>
                <w:highlight w:val="none"/>
                <w:lang w:eastAsia="zh-CN"/>
              </w:rPr>
              <w:t>（</w:t>
            </w:r>
            <w:r>
              <w:rPr>
                <w:rFonts w:hint="eastAsia" w:ascii="宋体" w:eastAsia="宋体" w:cs="宋体"/>
                <w:color w:val="auto"/>
                <w:sz w:val="21"/>
                <w:szCs w:val="21"/>
                <w:highlight w:val="none"/>
                <w:lang w:val="en-US" w:eastAsia="zh-CN"/>
              </w:rPr>
              <w:t>50</w:t>
            </w:r>
            <w:r>
              <w:rPr>
                <w:rFonts w:hint="eastAsia" w:ascii="宋体" w:hAnsi="宋体" w:eastAsia="宋体" w:cs="宋体"/>
                <w:color w:val="auto"/>
                <w:sz w:val="21"/>
                <w:szCs w:val="21"/>
                <w:highlight w:val="none"/>
                <w:lang w:val="en-US" w:eastAsia="zh-CN"/>
              </w:rPr>
              <w:t>分</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115"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配送服务实施方案</w:t>
            </w:r>
          </w:p>
        </w:tc>
        <w:tc>
          <w:tcPr>
            <w:tcW w:w="66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c>
          <w:tcPr>
            <w:tcW w:w="6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rPr>
              <w:t>所有涉及本项目配送服务的各方面方案（包括但不限于货源、采购渠道、物流配送方案及各种规章制度等），进行综合评审：</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（1）配送服务的各方面实施方案完整齐全、科学合理、可行性强</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，得</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（2）配送服务的各方面实施方案完整、科学合理、可行性较强</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（3）配送服务的各方面实施方案基本完整、科学合理、可行性一般</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（4）配送服务的各方面实施方案不完整、不合理、可行性差，得</w:t>
            </w:r>
            <w:r>
              <w:rPr>
                <w:rFonts w:hint="eastAsia" w:ascii="宋体" w:hAnsi="宋体" w:cs="宋体"/>
                <w:color w:val="auto"/>
                <w:sz w:val="21"/>
                <w:szCs w:val="21"/>
                <w:highlight w:val="none"/>
                <w:lang w:val="en-US" w:eastAsia="zh-CN"/>
              </w:rPr>
              <w:t>0.5</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（5）未提供对应方案的不得分。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1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产品的质量及安全保证措施</w:t>
            </w:r>
          </w:p>
        </w:tc>
        <w:tc>
          <w:tcPr>
            <w:tcW w:w="66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c>
          <w:tcPr>
            <w:tcW w:w="6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根据供应商提供产品的质量及安全保证措施（包含但不仅限于：①产品的来源追溯；②企业内部监管机制；③食品生长环境、加工、包装、保存、运输等各环节的质量安全保证措施），与产品质量问题退换货承诺（包含但不限于：①退换货流程；②退换货时间；③退换货对接部门联系方式）</w:t>
            </w:r>
            <w:r>
              <w:rPr>
                <w:rFonts w:hint="eastAsia" w:ascii="宋体" w:hAnsi="宋体" w:eastAsia="宋体" w:cs="宋体"/>
                <w:color w:val="auto"/>
                <w:sz w:val="21"/>
                <w:szCs w:val="21"/>
                <w:highlight w:val="none"/>
              </w:rPr>
              <w:t>进行综合评审：</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（1）来源合法具体，质量及安全保证措施具体、完善，得</w:t>
            </w:r>
            <w:r>
              <w:rPr>
                <w:rFonts w:hint="eastAsia" w:asci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zh-CN"/>
              </w:rPr>
              <w:t>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（2）来源合法较具体，质量及安全保证措施较具体、完善，得</w:t>
            </w:r>
            <w:r>
              <w:rPr>
                <w:rFonts w:hint="eastAsia" w:asci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rPr>
              <w:t>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（3）来源合法较具体，质量及安全保证措施不够具体、完善，得</w:t>
            </w:r>
            <w:r>
              <w:rPr>
                <w:rFonts w:hint="eastAsia" w:asci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zh-CN"/>
              </w:rPr>
              <w:t>）来源不清晰，质量及安全保证措施较差，得</w:t>
            </w:r>
            <w:r>
              <w:rPr>
                <w:rFonts w:hint="eastAsia" w:asci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lang w:val="zh-CN"/>
              </w:rPr>
              <w:t>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未提供对应方案的不得分。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115"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应急保障措施</w:t>
            </w:r>
          </w:p>
        </w:tc>
        <w:tc>
          <w:tcPr>
            <w:tcW w:w="66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c>
          <w:tcPr>
            <w:tcW w:w="6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根据各</w:t>
            </w:r>
            <w:r>
              <w:rPr>
                <w:rFonts w:hint="eastAsia" w:ascii="宋体" w:hAnsi="宋体" w:cs="宋体"/>
                <w:color w:val="auto"/>
                <w:sz w:val="21"/>
                <w:szCs w:val="21"/>
                <w:highlight w:val="none"/>
                <w:lang w:val="zh-CN"/>
              </w:rPr>
              <w:t>供应商</w:t>
            </w:r>
            <w:r>
              <w:rPr>
                <w:rFonts w:hint="eastAsia" w:ascii="宋体" w:hAnsi="宋体" w:eastAsia="宋体" w:cs="宋体"/>
                <w:color w:val="auto"/>
                <w:sz w:val="21"/>
                <w:szCs w:val="21"/>
                <w:highlight w:val="none"/>
                <w:lang w:val="zh-CN"/>
              </w:rPr>
              <w:t>对重大或突发事件应急保障方案措施</w:t>
            </w:r>
            <w:r>
              <w:rPr>
                <w:rFonts w:hint="eastAsia" w:ascii="宋体" w:hAnsi="宋体" w:eastAsia="宋体" w:cs="宋体"/>
                <w:color w:val="auto"/>
                <w:sz w:val="21"/>
                <w:szCs w:val="21"/>
                <w:highlight w:val="none"/>
              </w:rPr>
              <w:t>进行综合评审：</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）针对本项目拟定的突发事件的处理措施和应急预案全面、科学、合理、可行且详细的得</w:t>
            </w:r>
            <w:r>
              <w:rPr>
                <w:rFonts w:hint="eastAsia" w:asci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zh-CN"/>
              </w:rPr>
              <w:t>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）针对本项目拟定的突发事件的处理措施和应急预案不够全面、科学、合理和可行的，有一定欠缺</w:t>
            </w:r>
            <w:r>
              <w:rPr>
                <w:rFonts w:hint="eastAsia" w:ascii="宋体" w:hAnsi="宋体" w:eastAsia="宋体" w:cs="宋体"/>
                <w:color w:val="auto"/>
                <w:sz w:val="21"/>
                <w:szCs w:val="21"/>
                <w:highlight w:val="none"/>
                <w:lang w:val="zh-CN" w:eastAsia="zh-CN"/>
              </w:rPr>
              <w:t>的</w:t>
            </w:r>
            <w:r>
              <w:rPr>
                <w:rFonts w:hint="eastAsia" w:ascii="宋体" w:hAnsi="宋体" w:eastAsia="宋体" w:cs="宋体"/>
                <w:color w:val="auto"/>
                <w:sz w:val="21"/>
                <w:szCs w:val="21"/>
                <w:highlight w:val="none"/>
                <w:lang w:val="zh-CN"/>
              </w:rPr>
              <w:t>得</w:t>
            </w:r>
            <w:r>
              <w:rPr>
                <w:rFonts w:hint="eastAsia" w:asci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rPr>
              <w:t>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rPr>
              <w:t>）针对本项目拟定的突发事件的处理措施和应急预案不全面、科学、合理和可行的，有</w:t>
            </w:r>
            <w:r>
              <w:rPr>
                <w:rFonts w:hint="eastAsia" w:ascii="宋体" w:hAnsi="宋体" w:eastAsia="宋体" w:cs="宋体"/>
                <w:color w:val="auto"/>
                <w:sz w:val="21"/>
                <w:szCs w:val="21"/>
                <w:highlight w:val="none"/>
                <w:lang w:val="zh-CN" w:eastAsia="zh-CN"/>
              </w:rPr>
              <w:t>较大</w:t>
            </w:r>
            <w:r>
              <w:rPr>
                <w:rFonts w:hint="eastAsia" w:ascii="宋体" w:hAnsi="宋体" w:eastAsia="宋体" w:cs="宋体"/>
                <w:color w:val="auto"/>
                <w:sz w:val="21"/>
                <w:szCs w:val="21"/>
                <w:highlight w:val="none"/>
                <w:lang w:val="zh-CN"/>
              </w:rPr>
              <w:t>欠缺</w:t>
            </w:r>
            <w:r>
              <w:rPr>
                <w:rFonts w:hint="eastAsia" w:ascii="宋体" w:hAnsi="宋体" w:eastAsia="宋体" w:cs="宋体"/>
                <w:color w:val="auto"/>
                <w:sz w:val="21"/>
                <w:szCs w:val="21"/>
                <w:highlight w:val="none"/>
                <w:lang w:val="zh-CN" w:eastAsia="zh-CN"/>
              </w:rPr>
              <w:t>的</w:t>
            </w:r>
            <w:r>
              <w:rPr>
                <w:rFonts w:hint="eastAsia" w:ascii="宋体" w:hAnsi="宋体" w:eastAsia="宋体" w:cs="宋体"/>
                <w:color w:val="auto"/>
                <w:sz w:val="21"/>
                <w:szCs w:val="21"/>
                <w:highlight w:val="none"/>
                <w:lang w:val="zh-CN"/>
              </w:rPr>
              <w:t>得</w:t>
            </w:r>
            <w:r>
              <w:rPr>
                <w:rFonts w:hint="eastAsia" w:asci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zh-CN"/>
              </w:rPr>
              <w:t>）针对本项目拟定的突发事件的处理措施和应急预案缺漏较多、可行</w:t>
            </w:r>
            <w:r>
              <w:rPr>
                <w:rFonts w:hint="eastAsia" w:ascii="宋体" w:hAnsi="宋体" w:eastAsia="宋体" w:cs="宋体"/>
                <w:color w:val="auto"/>
                <w:sz w:val="21"/>
                <w:szCs w:val="21"/>
                <w:highlight w:val="none"/>
                <w:lang w:val="zh-CN" w:eastAsia="zh-CN"/>
              </w:rPr>
              <w:t>较差</w:t>
            </w:r>
            <w:r>
              <w:rPr>
                <w:rFonts w:hint="eastAsia" w:ascii="宋体" w:hAnsi="宋体" w:eastAsia="宋体" w:cs="宋体"/>
                <w:color w:val="auto"/>
                <w:sz w:val="21"/>
                <w:szCs w:val="21"/>
                <w:highlight w:val="none"/>
                <w:lang w:val="zh-CN"/>
              </w:rPr>
              <w:t>的，有</w:t>
            </w:r>
            <w:r>
              <w:rPr>
                <w:rFonts w:hint="eastAsia" w:ascii="宋体" w:hAnsi="宋体" w:eastAsia="宋体" w:cs="宋体"/>
                <w:color w:val="auto"/>
                <w:sz w:val="21"/>
                <w:szCs w:val="21"/>
                <w:highlight w:val="none"/>
                <w:lang w:val="zh-CN" w:eastAsia="zh-CN"/>
              </w:rPr>
              <w:t>严重</w:t>
            </w:r>
            <w:r>
              <w:rPr>
                <w:rFonts w:hint="eastAsia" w:ascii="宋体" w:hAnsi="宋体" w:eastAsia="宋体" w:cs="宋体"/>
                <w:color w:val="auto"/>
                <w:sz w:val="21"/>
                <w:szCs w:val="21"/>
                <w:highlight w:val="none"/>
                <w:lang w:val="zh-CN"/>
              </w:rPr>
              <w:t>欠缺</w:t>
            </w:r>
            <w:r>
              <w:rPr>
                <w:rFonts w:hint="eastAsia" w:ascii="宋体" w:hAnsi="宋体" w:eastAsia="宋体" w:cs="宋体"/>
                <w:color w:val="auto"/>
                <w:sz w:val="21"/>
                <w:szCs w:val="21"/>
                <w:highlight w:val="none"/>
                <w:lang w:val="zh-CN" w:eastAsia="zh-CN"/>
              </w:rPr>
              <w:t>的</w:t>
            </w:r>
            <w:r>
              <w:rPr>
                <w:rFonts w:hint="eastAsia" w:ascii="宋体" w:hAnsi="宋体" w:eastAsia="宋体" w:cs="宋体"/>
                <w:color w:val="auto"/>
                <w:sz w:val="21"/>
                <w:szCs w:val="21"/>
                <w:highlight w:val="none"/>
                <w:lang w:val="zh-CN"/>
              </w:rPr>
              <w:t>得</w:t>
            </w:r>
            <w:r>
              <w:rPr>
                <w:rFonts w:hint="eastAsia" w:asci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lang w:val="zh-CN"/>
              </w:rPr>
              <w:t>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未提供对应方案的不得分。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115"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售后服务方案</w:t>
            </w:r>
          </w:p>
        </w:tc>
        <w:tc>
          <w:tcPr>
            <w:tcW w:w="6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6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根据各</w:t>
            </w:r>
            <w:r>
              <w:rPr>
                <w:rFonts w:hint="eastAsia" w:ascii="宋体" w:hAnsi="宋体" w:cs="宋体"/>
                <w:color w:val="auto"/>
                <w:sz w:val="21"/>
                <w:szCs w:val="21"/>
                <w:highlight w:val="none"/>
                <w:lang w:val="zh-CN"/>
              </w:rPr>
              <w:t>供应商</w:t>
            </w:r>
            <w:r>
              <w:rPr>
                <w:rFonts w:hint="eastAsia" w:ascii="宋体" w:hAnsi="宋体" w:eastAsia="宋体" w:cs="宋体"/>
                <w:color w:val="auto"/>
                <w:sz w:val="21"/>
                <w:szCs w:val="21"/>
                <w:highlight w:val="none"/>
                <w:lang w:val="zh-CN"/>
              </w:rPr>
              <w:t>提供的售后服务方案、服务承诺、保质期、售后服务点技术力量等</w:t>
            </w:r>
            <w:r>
              <w:rPr>
                <w:rFonts w:hint="eastAsia" w:ascii="宋体" w:hAnsi="宋体" w:eastAsia="宋体" w:cs="宋体"/>
                <w:color w:val="auto"/>
                <w:sz w:val="21"/>
                <w:szCs w:val="21"/>
                <w:highlight w:val="none"/>
              </w:rPr>
              <w:t>进行综合评审：</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（1）方案完整</w:t>
            </w:r>
            <w:r>
              <w:rPr>
                <w:rFonts w:hint="eastAsia" w:ascii="宋体" w:hAnsi="宋体" w:eastAsia="宋体" w:cs="宋体"/>
                <w:color w:val="auto"/>
                <w:sz w:val="21"/>
                <w:szCs w:val="21"/>
                <w:highlight w:val="none"/>
                <w:lang w:val="zh-CN" w:eastAsia="zh-CN"/>
              </w:rPr>
              <w:t>优异</w:t>
            </w:r>
            <w:r>
              <w:rPr>
                <w:rFonts w:hint="eastAsia" w:ascii="宋体" w:hAnsi="宋体" w:eastAsia="宋体" w:cs="宋体"/>
                <w:color w:val="auto"/>
                <w:sz w:val="21"/>
                <w:szCs w:val="21"/>
                <w:highlight w:val="none"/>
                <w:lang w:val="zh-CN"/>
              </w:rPr>
              <w:t>、可行性强，得</w:t>
            </w:r>
            <w:r>
              <w:rPr>
                <w:rFonts w:hint="eastAsia" w:asci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zh-CN"/>
              </w:rPr>
              <w:t>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（2）方案完整合理、可行性较好，得</w:t>
            </w:r>
            <w:r>
              <w:rPr>
                <w:rFonts w:hint="eastAsia" w:asci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rPr>
              <w:t>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（3）有提供方案，具有可行性的，得</w:t>
            </w:r>
            <w:r>
              <w:rPr>
                <w:rFonts w:hint="eastAsia" w:asci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eastAsia="zh-CN"/>
              </w:rPr>
              <w:t>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lang w:val="zh-CN" w:eastAsia="zh-CN"/>
              </w:rPr>
              <w:t>4</w:t>
            </w:r>
            <w:r>
              <w:rPr>
                <w:rFonts w:hint="eastAsia" w:ascii="宋体" w:hAnsi="宋体" w:eastAsia="宋体" w:cs="宋体"/>
                <w:color w:val="auto"/>
                <w:sz w:val="21"/>
                <w:szCs w:val="21"/>
                <w:highlight w:val="none"/>
                <w:lang w:val="zh-CN"/>
              </w:rPr>
              <w:t>）方案缺漏较多，可行性差，得</w:t>
            </w:r>
            <w:r>
              <w:rPr>
                <w:rFonts w:hint="eastAsia" w:asci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lang w:val="zh-CN"/>
              </w:rPr>
              <w:t>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未提供对应方案的不得分。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1115"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拟投入本项目人员情况</w:t>
            </w:r>
          </w:p>
        </w:tc>
        <w:tc>
          <w:tcPr>
            <w:tcW w:w="66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color w:val="auto"/>
                <w:sz w:val="21"/>
                <w:szCs w:val="21"/>
                <w:highlight w:val="none"/>
                <w:lang w:val="en-US"/>
              </w:rPr>
            </w:pPr>
            <w:r>
              <w:rPr>
                <w:rFonts w:hint="eastAsia" w:ascii="宋体" w:eastAsia="宋体" w:cs="宋体"/>
                <w:color w:val="auto"/>
                <w:sz w:val="21"/>
                <w:szCs w:val="21"/>
                <w:highlight w:val="none"/>
                <w:lang w:val="en-US" w:eastAsia="zh-CN"/>
              </w:rPr>
              <w:t>16</w:t>
            </w:r>
          </w:p>
        </w:tc>
        <w:tc>
          <w:tcPr>
            <w:tcW w:w="6057"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根据供应商</w:t>
            </w:r>
            <w:r>
              <w:rPr>
                <w:rFonts w:hint="eastAsia" w:ascii="宋体" w:hAnsi="宋体" w:eastAsia="宋体" w:cs="宋体"/>
                <w:bCs/>
                <w:color w:val="auto"/>
                <w:sz w:val="21"/>
                <w:szCs w:val="21"/>
                <w:highlight w:val="none"/>
                <w:lang w:val="zh-CN"/>
              </w:rPr>
              <w:t>拟投入本项目的人员</w:t>
            </w:r>
            <w:r>
              <w:rPr>
                <w:rFonts w:hint="eastAsia" w:ascii="宋体" w:hAnsi="宋体" w:eastAsia="宋体" w:cs="宋体"/>
                <w:bCs/>
                <w:color w:val="auto"/>
                <w:sz w:val="21"/>
                <w:szCs w:val="21"/>
                <w:highlight w:val="none"/>
                <w:lang w:val="en-US" w:eastAsia="zh-CN"/>
              </w:rPr>
              <w:t>进行评审：</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具有食品药品监督管理部门颁发的</w:t>
            </w:r>
            <w:r>
              <w:rPr>
                <w:rFonts w:hint="eastAsia" w:ascii="宋体" w:hAnsi="宋体" w:eastAsia="宋体" w:cs="宋体"/>
                <w:bCs/>
                <w:color w:val="auto"/>
                <w:sz w:val="21"/>
                <w:szCs w:val="21"/>
                <w:highlight w:val="none"/>
                <w:lang w:val="zh-CN" w:eastAsia="zh-CN"/>
              </w:rPr>
              <w:t>高级</w:t>
            </w:r>
            <w:r>
              <w:rPr>
                <w:rFonts w:hint="eastAsia" w:ascii="宋体" w:hAnsi="宋体" w:eastAsia="宋体" w:cs="宋体"/>
                <w:bCs/>
                <w:color w:val="auto"/>
                <w:sz w:val="21"/>
                <w:szCs w:val="21"/>
                <w:highlight w:val="none"/>
                <w:lang w:val="zh-CN"/>
              </w:rPr>
              <w:t>食品安全管理员证书的，每</w:t>
            </w:r>
            <w:r>
              <w:rPr>
                <w:rFonts w:hint="eastAsia" w:ascii="宋体" w:hAnsi="宋体" w:eastAsia="宋体" w:cs="宋体"/>
                <w:bCs/>
                <w:color w:val="auto"/>
                <w:sz w:val="21"/>
                <w:szCs w:val="21"/>
                <w:highlight w:val="none"/>
                <w:lang w:val="en-US" w:eastAsia="zh-CN"/>
              </w:rPr>
              <w:t>提供一个</w:t>
            </w:r>
            <w:r>
              <w:rPr>
                <w:rFonts w:hint="eastAsia" w:ascii="宋体" w:hAnsi="宋体" w:eastAsia="宋体" w:cs="宋体"/>
                <w:bCs/>
                <w:color w:val="auto"/>
                <w:sz w:val="21"/>
                <w:szCs w:val="21"/>
                <w:highlight w:val="none"/>
                <w:lang w:val="zh-CN"/>
              </w:rPr>
              <w:t>得</w:t>
            </w:r>
            <w:r>
              <w:rPr>
                <w:rFonts w:hint="eastAsia"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rPr>
              <w:t>分，</w:t>
            </w:r>
            <w:r>
              <w:rPr>
                <w:rFonts w:hint="eastAsia" w:ascii="宋体" w:hAnsi="宋体" w:eastAsia="宋体" w:cs="宋体"/>
                <w:bCs/>
                <w:color w:val="auto"/>
                <w:sz w:val="21"/>
                <w:szCs w:val="21"/>
                <w:highlight w:val="none"/>
                <w:lang w:val="en-US" w:eastAsia="zh-CN"/>
              </w:rPr>
              <w:t>本项</w:t>
            </w:r>
            <w:r>
              <w:rPr>
                <w:rFonts w:hint="eastAsia" w:ascii="宋体" w:hAnsi="宋体" w:eastAsia="宋体" w:cs="宋体"/>
                <w:bCs/>
                <w:color w:val="auto"/>
                <w:sz w:val="21"/>
                <w:szCs w:val="21"/>
                <w:highlight w:val="none"/>
                <w:lang w:val="zh-CN"/>
              </w:rPr>
              <w:t>最高得</w:t>
            </w:r>
            <w:r>
              <w:rPr>
                <w:rFonts w:hint="eastAsia" w:asci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lang w:val="zh-CN"/>
              </w:rPr>
              <w:t>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rPr>
              <w:t>具有人力资源和社会保障部门颁发的</w:t>
            </w:r>
            <w:r>
              <w:rPr>
                <w:rFonts w:hint="eastAsia" w:ascii="宋体" w:hAnsi="宋体" w:eastAsia="宋体" w:cs="宋体"/>
                <w:bCs/>
                <w:color w:val="auto"/>
                <w:sz w:val="21"/>
                <w:szCs w:val="21"/>
                <w:highlight w:val="none"/>
                <w:lang w:val="zh-CN" w:eastAsia="zh-CN"/>
              </w:rPr>
              <w:t>高级</w:t>
            </w:r>
            <w:r>
              <w:rPr>
                <w:rFonts w:hint="eastAsia" w:ascii="宋体" w:hAnsi="宋体" w:eastAsia="宋体" w:cs="宋体"/>
                <w:bCs/>
                <w:color w:val="auto"/>
                <w:sz w:val="21"/>
                <w:szCs w:val="21"/>
                <w:highlight w:val="none"/>
                <w:lang w:val="zh-CN"/>
              </w:rPr>
              <w:t>食品检验工证书的，每</w:t>
            </w:r>
            <w:r>
              <w:rPr>
                <w:rFonts w:hint="eastAsia" w:ascii="宋体" w:hAnsi="宋体" w:eastAsia="宋体" w:cs="宋体"/>
                <w:bCs/>
                <w:color w:val="auto"/>
                <w:sz w:val="21"/>
                <w:szCs w:val="21"/>
                <w:highlight w:val="none"/>
                <w:lang w:val="en-US" w:eastAsia="zh-CN"/>
              </w:rPr>
              <w:t>提供一个</w:t>
            </w:r>
            <w:r>
              <w:rPr>
                <w:rFonts w:hint="eastAsia" w:ascii="宋体" w:hAnsi="宋体" w:eastAsia="宋体" w:cs="宋体"/>
                <w:bCs/>
                <w:color w:val="auto"/>
                <w:sz w:val="21"/>
                <w:szCs w:val="21"/>
                <w:highlight w:val="none"/>
                <w:lang w:val="zh-CN"/>
              </w:rPr>
              <w:t>得</w:t>
            </w:r>
            <w:r>
              <w:rPr>
                <w:rFonts w:hint="eastAsia" w:asci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zh-CN"/>
              </w:rPr>
              <w:t>分，</w:t>
            </w:r>
            <w:r>
              <w:rPr>
                <w:rFonts w:hint="eastAsia" w:ascii="宋体" w:hAnsi="宋体" w:eastAsia="宋体" w:cs="宋体"/>
                <w:bCs/>
                <w:color w:val="auto"/>
                <w:sz w:val="21"/>
                <w:szCs w:val="21"/>
                <w:highlight w:val="none"/>
                <w:lang w:val="en-US" w:eastAsia="zh-CN"/>
              </w:rPr>
              <w:t>本项</w:t>
            </w:r>
            <w:r>
              <w:rPr>
                <w:rFonts w:hint="eastAsia" w:ascii="宋体" w:hAnsi="宋体" w:eastAsia="宋体" w:cs="宋体"/>
                <w:bCs/>
                <w:color w:val="auto"/>
                <w:sz w:val="21"/>
                <w:szCs w:val="21"/>
                <w:highlight w:val="none"/>
                <w:lang w:val="zh-CN"/>
              </w:rPr>
              <w:t>最高得</w:t>
            </w:r>
            <w:r>
              <w:rPr>
                <w:rFonts w:hint="eastAsia" w:asci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lang w:val="zh-CN"/>
              </w:rPr>
              <w:t>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lang w:val="zh-CN"/>
              </w:rPr>
              <w:t>注：须提供以上人员有效证书及</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lang w:val="zh-CN"/>
              </w:rPr>
              <w:t>为其缴纳的</w:t>
            </w:r>
            <w:r>
              <w:rPr>
                <w:rFonts w:hint="eastAsia" w:ascii="宋体" w:eastAsia="宋体" w:cs="宋体"/>
                <w:bCs/>
                <w:color w:val="auto"/>
                <w:sz w:val="21"/>
                <w:szCs w:val="21"/>
                <w:highlight w:val="none"/>
                <w:lang w:val="en-US" w:eastAsia="zh-CN"/>
              </w:rPr>
              <w:t>距开标前</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个月</w:t>
            </w:r>
            <w:r>
              <w:rPr>
                <w:rFonts w:hint="eastAsia" w:ascii="宋体" w:hAnsi="宋体" w:eastAsia="宋体" w:cs="宋体"/>
                <w:bCs/>
                <w:color w:val="auto"/>
                <w:sz w:val="21"/>
                <w:szCs w:val="21"/>
                <w:highlight w:val="none"/>
                <w:lang w:val="en-US" w:eastAsia="zh-CN"/>
              </w:rPr>
              <w:t>内</w:t>
            </w:r>
            <w:r>
              <w:rPr>
                <w:rFonts w:hint="eastAsia" w:ascii="宋体" w:hAnsi="宋体" w:eastAsia="宋体" w:cs="宋体"/>
                <w:bCs/>
                <w:color w:val="auto"/>
                <w:sz w:val="21"/>
                <w:szCs w:val="21"/>
                <w:highlight w:val="none"/>
                <w:lang w:val="zh-CN"/>
              </w:rPr>
              <w:t>（</w:t>
            </w:r>
            <w:r>
              <w:rPr>
                <w:rFonts w:hint="eastAsia" w:ascii="宋体" w:hAnsi="宋体" w:eastAsia="宋体" w:cs="宋体"/>
                <w:bCs/>
                <w:color w:val="auto"/>
                <w:sz w:val="21"/>
                <w:szCs w:val="21"/>
                <w:highlight w:val="none"/>
              </w:rPr>
              <w:t>不含开标当月</w:t>
            </w:r>
            <w:r>
              <w:rPr>
                <w:rFonts w:hint="eastAsia" w:ascii="宋体" w:hAnsi="宋体" w:eastAsia="宋体" w:cs="宋体"/>
                <w:bCs/>
                <w:color w:val="auto"/>
                <w:sz w:val="21"/>
                <w:szCs w:val="21"/>
                <w:highlight w:val="none"/>
                <w:lang w:val="zh-CN"/>
              </w:rPr>
              <w:t>）</w:t>
            </w:r>
            <w:r>
              <w:rPr>
                <w:rFonts w:hint="eastAsia" w:ascii="宋体" w:hAnsi="宋体" w:eastAsia="宋体" w:cs="宋体"/>
                <w:bCs/>
                <w:color w:val="auto"/>
                <w:sz w:val="21"/>
                <w:szCs w:val="21"/>
                <w:highlight w:val="none"/>
                <w:lang w:val="en-US" w:eastAsia="zh-CN"/>
              </w:rPr>
              <w:t>任意</w:t>
            </w:r>
            <w:r>
              <w:rPr>
                <w:rFonts w:hint="eastAsia" w:asci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en-US" w:eastAsia="zh-CN"/>
              </w:rPr>
              <w:t>个月的</w:t>
            </w:r>
            <w:r>
              <w:rPr>
                <w:rFonts w:hint="eastAsia" w:ascii="宋体" w:hAnsi="宋体" w:eastAsia="宋体" w:cs="宋体"/>
                <w:bCs/>
                <w:color w:val="auto"/>
                <w:sz w:val="21"/>
                <w:szCs w:val="21"/>
                <w:highlight w:val="none"/>
                <w:lang w:val="zh-CN"/>
              </w:rPr>
              <w:t>社保证明复印件加盖</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lang w:val="zh-CN"/>
              </w:rPr>
              <w:t>公章，</w:t>
            </w:r>
            <w:r>
              <w:rPr>
                <w:rFonts w:hint="eastAsia" w:ascii="宋体" w:hAnsi="宋体" w:eastAsia="宋体" w:cs="宋体"/>
                <w:bCs/>
                <w:color w:val="auto"/>
                <w:sz w:val="21"/>
                <w:szCs w:val="21"/>
                <w:highlight w:val="none"/>
                <w:lang w:val="en-US" w:eastAsia="zh-CN"/>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c>
          <w:tcPr>
            <w:tcW w:w="1115"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拟投入本项目车辆情况</w:t>
            </w:r>
          </w:p>
        </w:tc>
        <w:tc>
          <w:tcPr>
            <w:tcW w:w="66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color w:val="auto"/>
                <w:sz w:val="21"/>
                <w:szCs w:val="21"/>
                <w:highlight w:val="none"/>
                <w:lang w:val="en-US"/>
              </w:rPr>
            </w:pPr>
            <w:r>
              <w:rPr>
                <w:rFonts w:hint="eastAsia" w:ascii="宋体" w:eastAsia="宋体" w:cs="宋体"/>
                <w:color w:val="auto"/>
                <w:sz w:val="21"/>
                <w:szCs w:val="21"/>
                <w:highlight w:val="none"/>
                <w:lang w:val="en-US" w:eastAsia="zh-CN"/>
              </w:rPr>
              <w:t>10</w:t>
            </w:r>
          </w:p>
        </w:tc>
        <w:tc>
          <w:tcPr>
            <w:tcW w:w="6057"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根据供应商拟投入本项目的冷链（或冷藏或冷冻）车辆情况进行评审</w:t>
            </w: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lang w:val="zh-CN" w:eastAsia="zh-CN"/>
              </w:rPr>
              <w:t>自有车每台车计</w:t>
            </w:r>
            <w:r>
              <w:rPr>
                <w:rFonts w:hint="eastAsia" w:asci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eastAsia="zh-CN"/>
              </w:rPr>
              <w:t>分，租赁车每台车计</w:t>
            </w:r>
            <w:r>
              <w:rPr>
                <w:rFonts w:hint="eastAsia" w:asci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eastAsia="zh-CN"/>
              </w:rPr>
              <w:t>分，</w:t>
            </w:r>
            <w:r>
              <w:rPr>
                <w:rFonts w:hint="eastAsia" w:ascii="宋体" w:hAnsi="宋体" w:eastAsia="宋体" w:cs="宋体"/>
                <w:color w:val="auto"/>
                <w:sz w:val="21"/>
                <w:szCs w:val="21"/>
                <w:highlight w:val="none"/>
                <w:lang w:val="en-US" w:eastAsia="zh-CN"/>
              </w:rPr>
              <w:t>本项</w:t>
            </w:r>
            <w:r>
              <w:rPr>
                <w:rFonts w:hint="eastAsia" w:ascii="宋体" w:hAnsi="宋体" w:eastAsia="宋体" w:cs="宋体"/>
                <w:color w:val="auto"/>
                <w:sz w:val="21"/>
                <w:szCs w:val="21"/>
                <w:highlight w:val="none"/>
                <w:lang w:val="zh-CN"/>
              </w:rPr>
              <w:t>最高</w:t>
            </w:r>
            <w:r>
              <w:rPr>
                <w:rFonts w:hint="eastAsia" w:ascii="宋体" w:hAnsi="宋体" w:eastAsia="宋体" w:cs="宋体"/>
                <w:color w:val="auto"/>
                <w:sz w:val="21"/>
                <w:szCs w:val="21"/>
                <w:highlight w:val="none"/>
                <w:lang w:val="en-US" w:eastAsia="zh-CN"/>
              </w:rPr>
              <w:t>得</w:t>
            </w:r>
            <w:r>
              <w:rPr>
                <w:rFonts w:hint="eastAsia" w:asci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val="zh-CN"/>
              </w:rPr>
              <w:t>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注：</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自有车辆须</w:t>
            </w:r>
            <w:r>
              <w:rPr>
                <w:rFonts w:hint="eastAsia" w:ascii="宋体" w:hAnsi="宋体" w:eastAsia="宋体" w:cs="宋体"/>
                <w:bCs/>
                <w:color w:val="auto"/>
                <w:sz w:val="21"/>
                <w:szCs w:val="21"/>
                <w:highlight w:val="none"/>
                <w:lang w:val="pt-BR"/>
              </w:rPr>
              <w:t>同时</w:t>
            </w:r>
            <w:r>
              <w:rPr>
                <w:rFonts w:hint="eastAsia" w:ascii="宋体" w:hAnsi="宋体" w:eastAsia="宋体" w:cs="宋体"/>
                <w:color w:val="auto"/>
                <w:sz w:val="21"/>
                <w:szCs w:val="21"/>
                <w:highlight w:val="none"/>
                <w:lang w:val="zh-CN"/>
              </w:rPr>
              <w:t>提供以下证明材料：①</w:t>
            </w:r>
            <w:r>
              <w:rPr>
                <w:rFonts w:hint="eastAsia" w:ascii="宋体" w:hAnsi="宋体" w:eastAsia="宋体" w:cs="宋体"/>
                <w:color w:val="auto"/>
                <w:sz w:val="21"/>
                <w:szCs w:val="21"/>
                <w:highlight w:val="none"/>
                <w:lang w:val="en-US" w:eastAsia="zh-CN"/>
              </w:rPr>
              <w:t>有效期内</w:t>
            </w:r>
            <w:r>
              <w:rPr>
                <w:rFonts w:hint="eastAsia" w:ascii="宋体" w:hAnsi="宋体" w:eastAsia="宋体" w:cs="宋体"/>
                <w:color w:val="auto"/>
                <w:sz w:val="21"/>
                <w:szCs w:val="21"/>
                <w:highlight w:val="none"/>
                <w:lang w:val="zh-CN"/>
              </w:rPr>
              <w:t>车辆行驶证；②购车发票；③车辆照片，复印件加盖供应商公章，</w:t>
            </w:r>
            <w:r>
              <w:rPr>
                <w:rFonts w:hint="eastAsia" w:ascii="宋体" w:hAnsi="宋体" w:eastAsia="宋体" w:cs="宋体"/>
                <w:color w:val="auto"/>
                <w:sz w:val="21"/>
                <w:szCs w:val="21"/>
                <w:highlight w:val="none"/>
                <w:lang w:val="en-US" w:eastAsia="zh-CN"/>
              </w:rPr>
              <w:t>否则不得分。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租赁车辆须</w:t>
            </w:r>
            <w:r>
              <w:rPr>
                <w:rFonts w:hint="eastAsia" w:ascii="宋体" w:hAnsi="宋体" w:eastAsia="宋体" w:cs="宋体"/>
                <w:bCs/>
                <w:color w:val="auto"/>
                <w:sz w:val="21"/>
                <w:szCs w:val="21"/>
                <w:highlight w:val="none"/>
                <w:lang w:val="pt-BR"/>
              </w:rPr>
              <w:t>同时</w:t>
            </w:r>
            <w:r>
              <w:rPr>
                <w:rFonts w:hint="eastAsia" w:ascii="宋体" w:hAnsi="宋体" w:eastAsia="宋体" w:cs="宋体"/>
                <w:color w:val="auto"/>
                <w:sz w:val="21"/>
                <w:szCs w:val="21"/>
                <w:highlight w:val="none"/>
                <w:lang w:val="zh-CN"/>
              </w:rPr>
              <w:t>提供以下证明材料：①</w:t>
            </w:r>
            <w:r>
              <w:rPr>
                <w:rFonts w:hint="eastAsia" w:ascii="宋体" w:hAnsi="宋体" w:eastAsia="宋体" w:cs="宋体"/>
                <w:color w:val="auto"/>
                <w:sz w:val="21"/>
                <w:szCs w:val="21"/>
                <w:highlight w:val="none"/>
                <w:lang w:val="en-US" w:eastAsia="zh-CN"/>
              </w:rPr>
              <w:t>有效期内</w:t>
            </w:r>
            <w:r>
              <w:rPr>
                <w:rFonts w:hint="eastAsia" w:ascii="宋体" w:hAnsi="宋体" w:eastAsia="宋体" w:cs="宋体"/>
                <w:color w:val="auto"/>
                <w:sz w:val="21"/>
                <w:szCs w:val="21"/>
                <w:highlight w:val="none"/>
                <w:lang w:val="zh-CN"/>
              </w:rPr>
              <w:t>车辆行驶证；②租赁合同；③车辆照片，复印件加盖供应商公章，</w:t>
            </w:r>
            <w:r>
              <w:rPr>
                <w:rFonts w:hint="eastAsia" w:ascii="宋体" w:hAnsi="宋体" w:eastAsia="宋体" w:cs="宋体"/>
                <w:color w:val="auto"/>
                <w:sz w:val="21"/>
                <w:szCs w:val="21"/>
                <w:highlight w:val="none"/>
                <w:lang w:val="en-US" w:eastAsia="zh-CN"/>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9"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widowControl w:val="0"/>
              <w:tabs>
                <w:tab w:val="left" w:pos="907"/>
              </w:tabs>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widowControl w:val="0"/>
              <w:tabs>
                <w:tab w:val="left" w:pos="907"/>
              </w:tabs>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供应商</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keepNext w:val="0"/>
              <w:keepLines w:val="0"/>
              <w:pageBreakBefore w:val="0"/>
              <w:widowControl w:val="0"/>
              <w:tabs>
                <w:tab w:val="left" w:pos="907"/>
              </w:tabs>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w:t>
            </w:r>
            <w:r>
              <w:rPr>
                <w:rFonts w:hint="eastAsia" w:ascii="宋体" w:hAnsi="宋体" w:eastAsia="宋体" w:cs="宋体"/>
                <w:b/>
                <w:color w:val="auto"/>
                <w:sz w:val="21"/>
                <w:szCs w:val="21"/>
                <w:highlight w:val="none"/>
                <w:lang w:eastAsia="zh-CN"/>
              </w:rPr>
              <w:t>供应商</w:t>
            </w:r>
            <w:r>
              <w:rPr>
                <w:rFonts w:hint="eastAsia" w:ascii="宋体" w:hAnsi="宋体" w:eastAsia="宋体" w:cs="宋体"/>
                <w:b/>
                <w:color w:val="auto"/>
                <w:sz w:val="21"/>
                <w:szCs w:val="21"/>
                <w:highlight w:val="none"/>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rPr>
              <w:t>价格评审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10分</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783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价格分计算方法：满足招标文件要求且投标报价最低（即最大下浮率）的投标报价为评标基准价，其价格分为满分。其他</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的价格分统一按照下列公式计算：投标报价得分=[(1-最大下浮率)／(1-投标下浮率)] ×价格权重</w:t>
            </w:r>
          </w:p>
        </w:tc>
      </w:tr>
    </w:tbl>
    <w:p>
      <w:pPr>
        <w:bidi w:val="0"/>
        <w:rPr>
          <w:rFonts w:hint="eastAsia"/>
          <w:color w:val="auto"/>
          <w:highlight w:val="none"/>
        </w:rPr>
      </w:pPr>
      <w:r>
        <w:rPr>
          <w:rFonts w:hint="eastAsia"/>
          <w:color w:val="auto"/>
          <w:highlight w:val="none"/>
        </w:rPr>
        <w:br w:type="page"/>
      </w:r>
    </w:p>
    <w:p>
      <w:pPr>
        <w:pStyle w:val="2"/>
        <w:spacing w:before="0" w:after="0" w:line="240" w:lineRule="auto"/>
        <w:rPr>
          <w:color w:val="auto"/>
          <w:sz w:val="24"/>
          <w:szCs w:val="24"/>
          <w:highlight w:val="none"/>
        </w:rPr>
      </w:pPr>
      <w:bookmarkStart w:id="17" w:name="_Toc24511"/>
      <w:bookmarkStart w:id="18" w:name="_Toc29685"/>
      <w:bookmarkStart w:id="19" w:name="_Toc2479"/>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 xml:space="preserve">部分 </w:t>
      </w:r>
      <w:r>
        <w:rPr>
          <w:rFonts w:hint="eastAsia"/>
          <w:color w:val="auto"/>
          <w:sz w:val="28"/>
          <w:szCs w:val="28"/>
          <w:highlight w:val="none"/>
          <w:lang w:eastAsia="zh-CN"/>
        </w:rPr>
        <w:t>供应商</w:t>
      </w:r>
      <w:r>
        <w:rPr>
          <w:rFonts w:hint="eastAsia"/>
          <w:color w:val="auto"/>
          <w:sz w:val="28"/>
          <w:szCs w:val="28"/>
          <w:highlight w:val="none"/>
        </w:rPr>
        <w:t>须知</w:t>
      </w:r>
      <w:bookmarkEnd w:id="17"/>
      <w:bookmarkEnd w:id="18"/>
      <w:bookmarkEnd w:id="19"/>
    </w:p>
    <w:p>
      <w:pPr>
        <w:pStyle w:val="2"/>
        <w:keepNext w:val="0"/>
        <w:keepLines w:val="0"/>
        <w:spacing w:before="0" w:after="0" w:line="360" w:lineRule="auto"/>
        <w:jc w:val="center"/>
        <w:rPr>
          <w:rFonts w:ascii="宋体" w:hAnsi="宋体" w:eastAsia="宋体"/>
          <w:color w:val="auto"/>
          <w:sz w:val="24"/>
          <w:szCs w:val="21"/>
          <w:highlight w:val="none"/>
        </w:rPr>
      </w:pPr>
      <w:bookmarkStart w:id="21" w:name="_Toc28014"/>
      <w:bookmarkStart w:id="22" w:name="_Toc6882675"/>
      <w:bookmarkStart w:id="23" w:name="_Toc24057"/>
      <w:bookmarkStart w:id="24" w:name="_Toc466786434"/>
      <w:bookmarkStart w:id="25" w:name="_Toc6968687"/>
      <w:bookmarkStart w:id="26" w:name="_Toc102277756"/>
      <w:bookmarkStart w:id="27" w:name="_Toc507407359"/>
      <w:bookmarkStart w:id="28" w:name="_Toc467236724"/>
      <w:bookmarkStart w:id="29" w:name="_Toc480020241"/>
      <w:bookmarkStart w:id="30" w:name="_Toc479991566"/>
      <w:bookmarkStart w:id="31" w:name="_Toc480171863"/>
      <w:bookmarkStart w:id="32" w:name="_Toc467987807"/>
      <w:bookmarkStart w:id="33" w:name="_Toc48207756"/>
      <w:bookmarkStart w:id="34" w:name="_Toc480021037"/>
      <w:bookmarkStart w:id="35" w:name="_Toc458262599"/>
      <w:bookmarkStart w:id="36" w:name="_Toc480010692"/>
      <w:bookmarkStart w:id="37" w:name="_Toc468157520"/>
      <w:bookmarkStart w:id="38" w:name="_Toc468606013"/>
      <w:r>
        <w:rPr>
          <w:rFonts w:hint="eastAsia" w:ascii="宋体" w:hAnsi="宋体" w:eastAsia="宋体"/>
          <w:color w:val="auto"/>
          <w:sz w:val="24"/>
          <w:szCs w:val="21"/>
          <w:highlight w:val="none"/>
          <w:lang w:val="en-US" w:eastAsia="zh-CN"/>
        </w:rPr>
        <w:t>第一章</w:t>
      </w:r>
      <w:r>
        <w:rPr>
          <w:rFonts w:hint="eastAsia" w:ascii="宋体" w:hAnsi="宋体" w:eastAsia="宋体"/>
          <w:color w:val="auto"/>
          <w:sz w:val="24"/>
          <w:szCs w:val="21"/>
          <w:highlight w:val="none"/>
        </w:rPr>
        <w:t>说  明</w:t>
      </w:r>
      <w:bookmarkEnd w:id="21"/>
      <w:bookmarkEnd w:id="22"/>
      <w:bookmarkEnd w:id="23"/>
      <w:bookmarkEnd w:id="24"/>
      <w:bookmarkEnd w:id="25"/>
      <w:bookmarkEnd w:id="26"/>
      <w:bookmarkEnd w:id="27"/>
    </w:p>
    <w:p>
      <w:pPr>
        <w:pStyle w:val="4"/>
        <w:keepNext w:val="0"/>
        <w:keepLines w:val="0"/>
        <w:numPr>
          <w:ilvl w:val="0"/>
          <w:numId w:val="3"/>
        </w:numPr>
        <w:adjustRightInd/>
        <w:spacing w:before="0" w:after="0" w:line="360" w:lineRule="auto"/>
        <w:rPr>
          <w:rFonts w:hAnsi="宋体"/>
          <w:color w:val="auto"/>
          <w:sz w:val="21"/>
          <w:szCs w:val="21"/>
          <w:highlight w:val="none"/>
        </w:rPr>
      </w:pPr>
      <w:bookmarkStart w:id="39" w:name="_Toc17291"/>
      <w:bookmarkStart w:id="40" w:name="_Toc475249114"/>
      <w:bookmarkStart w:id="41" w:name="_Toc10228"/>
      <w:r>
        <w:rPr>
          <w:rFonts w:hint="eastAsia" w:hAnsi="宋体"/>
          <w:color w:val="auto"/>
          <w:sz w:val="21"/>
          <w:szCs w:val="21"/>
          <w:highlight w:val="none"/>
        </w:rPr>
        <w:t>适用范围</w:t>
      </w:r>
      <w:bookmarkEnd w:id="39"/>
      <w:bookmarkEnd w:id="40"/>
      <w:bookmarkEnd w:id="41"/>
    </w:p>
    <w:p>
      <w:pPr>
        <w:numPr>
          <w:ilvl w:val="1"/>
          <w:numId w:val="4"/>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本磋商文件仅适用于本次采购邀请中所叙述的项目。</w:t>
      </w:r>
    </w:p>
    <w:p>
      <w:pPr>
        <w:jc w:val="left"/>
        <w:rPr>
          <w:rFonts w:ascii="宋体" w:hAnsi="宋体" w:eastAsia="宋体" w:cs="宋体"/>
          <w:color w:val="auto"/>
          <w:sz w:val="21"/>
          <w:szCs w:val="21"/>
          <w:highlight w:val="none"/>
        </w:rPr>
      </w:pPr>
      <w:bookmarkStart w:id="42" w:name="_Toc475249115"/>
    </w:p>
    <w:p>
      <w:pPr>
        <w:pStyle w:val="4"/>
        <w:keepNext w:val="0"/>
        <w:keepLines w:val="0"/>
        <w:numPr>
          <w:ilvl w:val="0"/>
          <w:numId w:val="3"/>
        </w:numPr>
        <w:adjustRightInd/>
        <w:spacing w:before="0" w:after="0" w:line="360" w:lineRule="auto"/>
        <w:rPr>
          <w:rFonts w:hAnsi="宋体"/>
          <w:color w:val="auto"/>
          <w:sz w:val="21"/>
          <w:szCs w:val="21"/>
          <w:highlight w:val="none"/>
        </w:rPr>
      </w:pPr>
      <w:bookmarkStart w:id="43" w:name="_Toc22176"/>
      <w:bookmarkStart w:id="44" w:name="_Toc8868"/>
      <w:r>
        <w:rPr>
          <w:rFonts w:hint="eastAsia" w:hAnsi="宋体"/>
          <w:color w:val="auto"/>
          <w:sz w:val="21"/>
          <w:szCs w:val="21"/>
          <w:highlight w:val="none"/>
        </w:rPr>
        <w:t>定义</w:t>
      </w:r>
      <w:bookmarkEnd w:id="42"/>
      <w:bookmarkEnd w:id="43"/>
      <w:bookmarkEnd w:id="44"/>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“采购代理机构”是指广东政通招标有限公司。</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“供应商”指根据磋商文件要求进行文件领购并向采购代理机构提交响应文件参与本项目的法人。</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“法人”是依法在国内进行注册并具有民事权利能力和民事行为能力，依法独立享有民事权利和承担民事义务的组织。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“货物”是指</w:t>
      </w:r>
      <w:r>
        <w:rPr>
          <w:rFonts w:ascii="宋体" w:hAnsi="宋体" w:eastAsia="宋体"/>
          <w:color w:val="auto"/>
          <w:sz w:val="21"/>
          <w:szCs w:val="21"/>
          <w:highlight w:val="none"/>
        </w:rPr>
        <w:t>各种形态和种类的物品，包括原材料、燃料、设备、产品等</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“工程”是指建设工程，包括建筑物和构筑物的新建、改建、扩建及其相关的装修、拆除、修缮等。</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“语言”是指采购文件的语言为简体中文。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“日期”是指公历日。</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“时间”是指北京时间。</w:t>
      </w:r>
    </w:p>
    <w:p>
      <w:pPr>
        <w:rPr>
          <w:rFonts w:ascii="宋体" w:hAnsi="宋体" w:eastAsia="宋体" w:cs="宋体"/>
          <w:color w:val="auto"/>
          <w:sz w:val="21"/>
          <w:szCs w:val="21"/>
          <w:highlight w:val="none"/>
        </w:rPr>
      </w:pPr>
      <w:bookmarkStart w:id="45" w:name="_Toc110953831"/>
      <w:bookmarkStart w:id="46" w:name="_Toc6968688"/>
      <w:bookmarkStart w:id="47" w:name="_Toc466786435"/>
      <w:bookmarkStart w:id="48" w:name="_Toc507407360"/>
      <w:bookmarkStart w:id="49" w:name="_Toc6882676"/>
      <w:bookmarkStart w:id="50" w:name="_Toc102277757"/>
    </w:p>
    <w:p>
      <w:pPr>
        <w:pStyle w:val="4"/>
        <w:keepNext w:val="0"/>
        <w:keepLines w:val="0"/>
        <w:numPr>
          <w:ilvl w:val="0"/>
          <w:numId w:val="3"/>
        </w:numPr>
        <w:adjustRightInd/>
        <w:spacing w:before="0" w:after="0" w:line="360" w:lineRule="auto"/>
        <w:rPr>
          <w:rFonts w:hAnsi="宋体"/>
          <w:color w:val="auto"/>
          <w:sz w:val="21"/>
          <w:szCs w:val="21"/>
          <w:highlight w:val="none"/>
        </w:rPr>
      </w:pPr>
      <w:bookmarkStart w:id="51" w:name="_Toc31412"/>
      <w:bookmarkStart w:id="52" w:name="_Toc1083"/>
      <w:r>
        <w:rPr>
          <w:rFonts w:hint="eastAsia" w:hAnsi="宋体"/>
          <w:color w:val="auto"/>
          <w:sz w:val="21"/>
          <w:szCs w:val="21"/>
          <w:highlight w:val="none"/>
        </w:rPr>
        <w:t>适用法律</w:t>
      </w:r>
      <w:bookmarkEnd w:id="45"/>
      <w:bookmarkEnd w:id="51"/>
      <w:bookmarkEnd w:id="5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供应商和采购代理机构均应当遵守《中华人民共和国政府采购法》、《中华人民共和国政府采购法实施条例》、《财政部关于印发&lt;政府采购竞争性磋商采购方式管理暂行办法&gt;的通知》（财库[2014]214号）及相关法律法规。</w:t>
      </w:r>
    </w:p>
    <w:p>
      <w:pPr>
        <w:rPr>
          <w:color w:val="auto"/>
          <w:highlight w:val="none"/>
        </w:rPr>
      </w:pPr>
      <w:bookmarkStart w:id="53" w:name="_Toc110953832"/>
    </w:p>
    <w:p>
      <w:pPr>
        <w:pStyle w:val="4"/>
        <w:keepNext w:val="0"/>
        <w:keepLines w:val="0"/>
        <w:numPr>
          <w:ilvl w:val="0"/>
          <w:numId w:val="3"/>
        </w:numPr>
        <w:adjustRightInd/>
        <w:spacing w:before="0" w:after="0" w:line="360" w:lineRule="auto"/>
        <w:rPr>
          <w:rFonts w:hAnsi="宋体"/>
          <w:color w:val="auto"/>
          <w:sz w:val="21"/>
          <w:szCs w:val="21"/>
          <w:highlight w:val="none"/>
        </w:rPr>
      </w:pPr>
      <w:bookmarkStart w:id="54" w:name="_Toc18833"/>
      <w:bookmarkStart w:id="55" w:name="_Toc15452"/>
      <w:r>
        <w:rPr>
          <w:rFonts w:hint="eastAsia" w:hAnsi="宋体"/>
          <w:color w:val="auto"/>
          <w:sz w:val="21"/>
          <w:szCs w:val="21"/>
          <w:highlight w:val="none"/>
        </w:rPr>
        <w:t>知识产权</w:t>
      </w:r>
      <w:bookmarkEnd w:id="53"/>
      <w:bookmarkEnd w:id="54"/>
      <w:bookmarkEnd w:id="55"/>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采购人享有本项目实施过程中产生的知识成果及知识产权。</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供应商如欲在项目实施过程中采用自有知识成果，需在响应文件中声明，并提供相关知识产权证明文件。使用该知识成果后，供应商需提供开发接口和开发手册等技术文档。</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采购货物为计算机办公设备或含有计算机办公设备时，供应商提供的产品必须是预装正版操作系统软件的计算机产品。</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供应商提供的服务、货物经认定存在侵权行为的，其响应文件无效，并上报相关监管部门。</w:t>
      </w:r>
    </w:p>
    <w:p>
      <w:pPr>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56" w:name="_Toc5242"/>
      <w:bookmarkStart w:id="57" w:name="_Toc29484"/>
      <w:bookmarkStart w:id="58" w:name="_Toc110953833"/>
      <w:r>
        <w:rPr>
          <w:rFonts w:hint="eastAsia" w:hAnsi="宋体"/>
          <w:color w:val="auto"/>
          <w:sz w:val="21"/>
          <w:szCs w:val="21"/>
          <w:highlight w:val="none"/>
        </w:rPr>
        <w:t>关于联合体报价</w:t>
      </w:r>
      <w:bookmarkEnd w:id="56"/>
      <w:bookmarkEnd w:id="5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对接受联合体报价的项目：两个以上的自然人、法人或者其他组织可以组成一个联合体，以一个供应商的身份共同参加政府采购。</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以联合体形式参与项目的供应商在领购磋商文件时，应提供所有联合体组成成员的营业执照复印件，并加盖各联合体组成成员的公章。</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联合体各方均应当符合《政府采购法》第二十二条规定的条件。</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采购人根据采购项目的特殊要求规定供应商特定条件的，联合体各方中至少应当有一方符合采购人规定的特定条件。</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供应商为联合体的，可以由联合体中的任意一方交纳保证金，其交纳的保证金对联合体各方均具有约束力。</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联合体中有同类资质的供应商按照联合体分工承担相同工作的，应当按照资质等级较低的联合体成员确定资质等级。</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以联合体形式参加政府采购活动，联合体各方均为中小企业的，联合体视同中小企业。其中，联合体各方均为小微企业的，联合体视同小微企业。双方均应提供《中小企业声明函》。</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除联合体协议明确授权盖章单位外，联合体报价时响应文件中所有要求盖章的地方均须加盖联合体所有组成成员的公章，否则该处盖章无效。</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pPr>
        <w:bidi w:val="0"/>
        <w:rPr>
          <w:color w:val="auto"/>
          <w:highlight w:val="none"/>
        </w:rPr>
      </w:pPr>
    </w:p>
    <w:bookmarkEnd w:id="58"/>
    <w:p>
      <w:pPr>
        <w:pStyle w:val="4"/>
        <w:keepNext w:val="0"/>
        <w:keepLines w:val="0"/>
        <w:numPr>
          <w:ilvl w:val="0"/>
          <w:numId w:val="3"/>
        </w:numPr>
        <w:adjustRightInd/>
        <w:spacing w:before="0" w:after="0" w:line="360" w:lineRule="auto"/>
        <w:rPr>
          <w:rFonts w:hAnsi="宋体"/>
          <w:color w:val="auto"/>
          <w:sz w:val="21"/>
          <w:szCs w:val="21"/>
          <w:highlight w:val="none"/>
        </w:rPr>
      </w:pPr>
      <w:bookmarkStart w:id="59" w:name="_Toc25157"/>
      <w:bookmarkStart w:id="60" w:name="_Toc2836"/>
      <w:r>
        <w:rPr>
          <w:rFonts w:hint="eastAsia" w:hAnsi="宋体"/>
          <w:color w:val="auto"/>
          <w:sz w:val="21"/>
          <w:szCs w:val="21"/>
          <w:highlight w:val="none"/>
        </w:rPr>
        <w:t>关于分支机构报价</w:t>
      </w:r>
      <w:bookmarkEnd w:id="59"/>
      <w:bookmarkEnd w:id="60"/>
    </w:p>
    <w:p>
      <w:pPr>
        <w:numPr>
          <w:ilvl w:val="1"/>
          <w:numId w:val="3"/>
        </w:numPr>
        <w:spacing w:line="360" w:lineRule="auto"/>
        <w:rPr>
          <w:rFonts w:ascii="宋体" w:hAnsi="宋体" w:eastAsia="宋体" w:cs="宋体"/>
          <w:color w:val="auto"/>
          <w:sz w:val="21"/>
          <w:szCs w:val="21"/>
          <w:highlight w:val="none"/>
        </w:rPr>
      </w:pPr>
      <w:bookmarkStart w:id="61" w:name="_Toc98126295"/>
      <w:bookmarkStart w:id="62" w:name="_Toc98126220"/>
      <w:r>
        <w:rPr>
          <w:rFonts w:hint="eastAsia" w:ascii="宋体" w:hAnsi="宋体" w:eastAsia="宋体" w:cs="宋体"/>
          <w:color w:val="auto"/>
          <w:sz w:val="21"/>
          <w:szCs w:val="21"/>
          <w:highlight w:val="none"/>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63" w:name="_Toc18108"/>
      <w:bookmarkStart w:id="64" w:name="_Toc110953834"/>
      <w:bookmarkStart w:id="65" w:name="_Toc16198"/>
      <w:r>
        <w:rPr>
          <w:rFonts w:hint="eastAsia" w:hAnsi="宋体"/>
          <w:color w:val="auto"/>
          <w:sz w:val="21"/>
          <w:szCs w:val="21"/>
          <w:highlight w:val="none"/>
        </w:rPr>
        <w:t>保密及其它注意事项</w:t>
      </w:r>
      <w:bookmarkEnd w:id="63"/>
      <w:bookmarkEnd w:id="64"/>
      <w:bookmarkEnd w:id="65"/>
    </w:p>
    <w:p>
      <w:pPr>
        <w:numPr>
          <w:ilvl w:val="1"/>
          <w:numId w:val="3"/>
        </w:numPr>
        <w:spacing w:line="360" w:lineRule="auto"/>
        <w:rPr>
          <w:rFonts w:ascii="宋体" w:hAnsi="宋体" w:eastAsia="宋体" w:cs="宋体"/>
          <w:color w:val="auto"/>
          <w:sz w:val="21"/>
          <w:szCs w:val="21"/>
          <w:highlight w:val="none"/>
        </w:rPr>
      </w:pPr>
      <w:bookmarkStart w:id="66" w:name="_Toc98126297"/>
      <w:bookmarkStart w:id="67" w:name="_Toc98126222"/>
      <w:r>
        <w:rPr>
          <w:rFonts w:hint="eastAsia" w:ascii="宋体" w:hAnsi="宋体" w:eastAsia="宋体" w:cs="宋体"/>
          <w:color w:val="auto"/>
          <w:sz w:val="21"/>
          <w:szCs w:val="21"/>
          <w:highlight w:val="none"/>
        </w:rPr>
        <w:t>凡参与采购工作的有关人员均应自觉接受有关主管部门的监督，不得向他人透露可能影响公平竞争的有关情况。</w:t>
      </w:r>
      <w:bookmarkEnd w:id="66"/>
      <w:bookmarkEnd w:id="6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开启响应文件后，凡与审查、澄清、评估和比较有关资料以及评审意见等，均不得向供应商及与评审无关的其他人透露。在采购工作结束后，与评审情况有接触的任何人，不得将评审情况扩散出磋商小组人员之外。</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在评审期间，供应商不得向磋商小组成员询问评审情况，不得进行旨在影响评审结果的活动。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供应商应承担所有与准备和参加报价有关的费用。不论报价的结果如何，采购代理机构和采购人均无义务和责任承担这些费用。</w:t>
      </w:r>
    </w:p>
    <w:p>
      <w:pPr>
        <w:spacing w:line="360" w:lineRule="auto"/>
        <w:ind w:firstLine="420" w:firstLineChars="200"/>
        <w:rPr>
          <w:rFonts w:ascii="宋体" w:hAnsi="宋体" w:eastAsia="宋体" w:cs="宋体"/>
          <w:color w:val="auto"/>
          <w:sz w:val="21"/>
          <w:szCs w:val="21"/>
          <w:highlight w:val="none"/>
        </w:rPr>
      </w:pPr>
    </w:p>
    <w:p>
      <w:pPr>
        <w:pStyle w:val="2"/>
        <w:keepNext w:val="0"/>
        <w:keepLines w:val="0"/>
        <w:spacing w:before="0" w:after="0" w:line="360" w:lineRule="auto"/>
        <w:jc w:val="center"/>
        <w:rPr>
          <w:rFonts w:ascii="宋体" w:hAnsi="宋体" w:eastAsia="宋体"/>
          <w:color w:val="auto"/>
          <w:sz w:val="24"/>
          <w:szCs w:val="21"/>
          <w:highlight w:val="none"/>
        </w:rPr>
      </w:pPr>
      <w:bookmarkStart w:id="68" w:name="_Toc23588"/>
      <w:bookmarkStart w:id="69" w:name="_Toc25468"/>
      <w:r>
        <w:rPr>
          <w:rFonts w:hint="eastAsia" w:ascii="宋体" w:hAnsi="宋体" w:eastAsia="宋体"/>
          <w:color w:val="auto"/>
          <w:sz w:val="24"/>
          <w:szCs w:val="21"/>
          <w:highlight w:val="none"/>
          <w:lang w:val="en-US" w:eastAsia="zh-CN"/>
        </w:rPr>
        <w:t>第二章</w:t>
      </w:r>
      <w:r>
        <w:rPr>
          <w:rFonts w:hint="eastAsia" w:ascii="宋体" w:hAnsi="宋体" w:eastAsia="宋体"/>
          <w:color w:val="auto"/>
          <w:sz w:val="24"/>
          <w:szCs w:val="21"/>
          <w:highlight w:val="none"/>
        </w:rPr>
        <w:t>磋商文件说明</w:t>
      </w:r>
      <w:bookmarkEnd w:id="46"/>
      <w:bookmarkEnd w:id="47"/>
      <w:bookmarkEnd w:id="48"/>
      <w:bookmarkEnd w:id="49"/>
      <w:bookmarkEnd w:id="50"/>
      <w:bookmarkEnd w:id="68"/>
      <w:bookmarkEnd w:id="69"/>
    </w:p>
    <w:p>
      <w:pPr>
        <w:pStyle w:val="4"/>
        <w:keepNext w:val="0"/>
        <w:keepLines w:val="0"/>
        <w:numPr>
          <w:ilvl w:val="0"/>
          <w:numId w:val="3"/>
        </w:numPr>
        <w:adjustRightInd/>
        <w:spacing w:before="0" w:after="0" w:line="360" w:lineRule="auto"/>
        <w:rPr>
          <w:rFonts w:hAnsi="宋体"/>
          <w:color w:val="auto"/>
          <w:sz w:val="21"/>
          <w:szCs w:val="21"/>
          <w:highlight w:val="none"/>
        </w:rPr>
      </w:pPr>
      <w:bookmarkStart w:id="70" w:name="_Toc4511"/>
      <w:bookmarkStart w:id="71" w:name="_Toc110953836"/>
      <w:bookmarkStart w:id="72" w:name="_Toc21439"/>
      <w:bookmarkStart w:id="73" w:name="_Toc6882677"/>
      <w:bookmarkStart w:id="74" w:name="_Toc6968689"/>
      <w:bookmarkStart w:id="75" w:name="_Toc102277758"/>
      <w:bookmarkStart w:id="76" w:name="_Toc507407361"/>
      <w:bookmarkStart w:id="77" w:name="_Toc466786436"/>
      <w:r>
        <w:rPr>
          <w:rFonts w:hint="eastAsia" w:hAnsi="宋体"/>
          <w:color w:val="auto"/>
          <w:sz w:val="21"/>
          <w:szCs w:val="21"/>
          <w:highlight w:val="none"/>
        </w:rPr>
        <w:t>采购文件构成</w:t>
      </w:r>
      <w:bookmarkEnd w:id="70"/>
      <w:bookmarkEnd w:id="71"/>
      <w:bookmarkEnd w:id="7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采购文件由下列文件以及在采购过程中发出的澄清更正文件组成：</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磋商邀请函；</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磋商资料表；</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供应商须知；</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用户需求；</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合同书格式；</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响应文件格式；</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在采购过程中由集中采购机构发出的澄清更正文件等。</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采购文件的澄清更正：</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采购期间，供应商有义务上网查看，公告一经上网发布，即视为送达。因供应商未及时上网查看而造成的所有后果，由供应商自行承担。</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根据采购的具体情况，采购代理机构可延长响应文件递交截止时间和磋商时间，并将变更时间在指定媒体上发布公告及通知所有报名及购买采购文件的供应商。</w:t>
      </w:r>
    </w:p>
    <w:p>
      <w:pPr>
        <w:pStyle w:val="7"/>
        <w:rPr>
          <w:rFonts w:ascii="宋体" w:hAnsi="宋体" w:eastAsia="宋体" w:cs="宋体"/>
          <w:color w:val="auto"/>
          <w:sz w:val="21"/>
          <w:szCs w:val="21"/>
          <w:highlight w:val="none"/>
        </w:rPr>
      </w:pPr>
    </w:p>
    <w:bookmarkEnd w:id="73"/>
    <w:bookmarkEnd w:id="74"/>
    <w:bookmarkEnd w:id="75"/>
    <w:bookmarkEnd w:id="76"/>
    <w:bookmarkEnd w:id="77"/>
    <w:p>
      <w:pPr>
        <w:pStyle w:val="2"/>
        <w:keepNext w:val="0"/>
        <w:keepLines w:val="0"/>
        <w:spacing w:before="0" w:after="0" w:line="360" w:lineRule="auto"/>
        <w:jc w:val="center"/>
        <w:rPr>
          <w:rFonts w:ascii="宋体" w:hAnsi="宋体" w:eastAsia="宋体"/>
          <w:color w:val="auto"/>
          <w:sz w:val="24"/>
          <w:szCs w:val="21"/>
          <w:highlight w:val="none"/>
        </w:rPr>
      </w:pPr>
      <w:bookmarkStart w:id="78" w:name="_Toc110953838"/>
      <w:bookmarkStart w:id="79" w:name="_Toc25500"/>
      <w:bookmarkStart w:id="80" w:name="_Toc158"/>
      <w:bookmarkStart w:id="81" w:name="_Toc466786437"/>
      <w:bookmarkStart w:id="82" w:name="_Toc6968690"/>
      <w:bookmarkStart w:id="83" w:name="_Toc102277759"/>
      <w:bookmarkStart w:id="84" w:name="_Toc6882678"/>
      <w:bookmarkStart w:id="85" w:name="_Toc507407362"/>
      <w:r>
        <w:rPr>
          <w:rFonts w:hint="eastAsia" w:ascii="宋体" w:hAnsi="宋体" w:eastAsia="宋体"/>
          <w:color w:val="auto"/>
          <w:sz w:val="24"/>
          <w:szCs w:val="21"/>
          <w:highlight w:val="none"/>
          <w:lang w:val="en-US" w:eastAsia="zh-CN"/>
        </w:rPr>
        <w:t>第三章</w:t>
      </w:r>
      <w:r>
        <w:rPr>
          <w:rFonts w:hint="eastAsia" w:ascii="宋体" w:hAnsi="宋体" w:eastAsia="宋体"/>
          <w:color w:val="auto"/>
          <w:sz w:val="24"/>
          <w:szCs w:val="21"/>
          <w:highlight w:val="none"/>
        </w:rPr>
        <w:t>响应文件的</w:t>
      </w:r>
      <w:bookmarkEnd w:id="78"/>
      <w:r>
        <w:rPr>
          <w:rFonts w:hint="eastAsia" w:ascii="宋体" w:hAnsi="宋体" w:eastAsia="宋体"/>
          <w:color w:val="auto"/>
          <w:sz w:val="24"/>
          <w:szCs w:val="21"/>
          <w:highlight w:val="none"/>
        </w:rPr>
        <w:t>编制</w:t>
      </w:r>
      <w:bookmarkEnd w:id="79"/>
      <w:bookmarkEnd w:id="80"/>
    </w:p>
    <w:p>
      <w:pPr>
        <w:pStyle w:val="4"/>
        <w:keepNext w:val="0"/>
        <w:keepLines w:val="0"/>
        <w:numPr>
          <w:ilvl w:val="0"/>
          <w:numId w:val="3"/>
        </w:numPr>
        <w:adjustRightInd/>
        <w:spacing w:before="0" w:after="0" w:line="360" w:lineRule="auto"/>
        <w:rPr>
          <w:rFonts w:hAnsi="宋体"/>
          <w:color w:val="auto"/>
          <w:sz w:val="21"/>
          <w:szCs w:val="21"/>
          <w:highlight w:val="none"/>
        </w:rPr>
      </w:pPr>
      <w:bookmarkStart w:id="86" w:name="_Toc4681"/>
      <w:bookmarkStart w:id="87" w:name="_Toc19833"/>
      <w:bookmarkStart w:id="88" w:name="_Toc110953839"/>
      <w:r>
        <w:rPr>
          <w:rFonts w:hint="eastAsia" w:hAnsi="宋体"/>
          <w:color w:val="auto"/>
          <w:sz w:val="21"/>
          <w:szCs w:val="21"/>
          <w:highlight w:val="none"/>
        </w:rPr>
        <w:t>响应文件的语言及度量衡单位</w:t>
      </w:r>
      <w:bookmarkEnd w:id="86"/>
      <w:bookmarkEnd w:id="87"/>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eastAsia="宋体"/>
          <w:color w:val="auto"/>
          <w:sz w:val="21"/>
          <w:szCs w:val="21"/>
          <w:highlight w:val="none"/>
        </w:rPr>
        <w:t>（中文译本应由翻译机构盖章或者翻译人员签名确认，否则按无效处理）</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除非采购文件在技术规格中另有规定，供应商在采购文件中及其与采购代理机构和采购人所有往来文件中的所有计量单位均应采用中华人民共和国法定计量单位。</w:t>
      </w:r>
    </w:p>
    <w:p>
      <w:pPr>
        <w:bidi w:val="0"/>
        <w:rPr>
          <w:color w:val="auto"/>
          <w:highlight w:val="none"/>
        </w:rPr>
      </w:pPr>
    </w:p>
    <w:bookmarkEnd w:id="88"/>
    <w:p>
      <w:pPr>
        <w:pStyle w:val="4"/>
        <w:keepNext w:val="0"/>
        <w:keepLines w:val="0"/>
        <w:numPr>
          <w:ilvl w:val="0"/>
          <w:numId w:val="3"/>
        </w:numPr>
        <w:adjustRightInd/>
        <w:spacing w:before="0" w:after="0" w:line="360" w:lineRule="auto"/>
        <w:rPr>
          <w:rFonts w:hAnsi="宋体"/>
          <w:color w:val="auto"/>
          <w:sz w:val="21"/>
          <w:szCs w:val="21"/>
          <w:highlight w:val="none"/>
        </w:rPr>
      </w:pPr>
      <w:bookmarkStart w:id="89" w:name="_Toc25730"/>
      <w:bookmarkStart w:id="90" w:name="_Toc18228"/>
      <w:r>
        <w:rPr>
          <w:rFonts w:hint="eastAsia" w:hAnsi="宋体"/>
          <w:color w:val="auto"/>
          <w:sz w:val="21"/>
          <w:szCs w:val="21"/>
          <w:highlight w:val="none"/>
        </w:rPr>
        <w:t>响应文件编制</w:t>
      </w:r>
      <w:bookmarkEnd w:id="89"/>
      <w:bookmarkEnd w:id="90"/>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供应商必须对响应文件所提供的全部资料的真实性承担法律责任，并无条件接受采购人或采购代理机构及政府采购监督管理部门等对其中任何资料进行核实的要求。</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如果因为供应商响应文件填报的内容不详，或没有提供采购文件中所要求的全部资料及数据，由此造成的后果，其责任由供应商承担。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磋商小组进行供应商授权代表人身份审查及供应商报价审查，供应商应将首次报价一览表及授权委托书单独密封提交，并在信封上标明“报价文件”字样。供应商的法定代表人参加磋商时，须开具法定代表人证明书，按上述要求一并密封提交。“报价文件”份数及签章等要求与响应文件正本相同（1份）。</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供应商应按响应文件的</w:t>
      </w:r>
      <w:r>
        <w:rPr>
          <w:rFonts w:hint="eastAsia" w:ascii="宋体" w:hAnsi="宋体" w:eastAsia="宋体"/>
          <w:color w:val="auto"/>
          <w:sz w:val="21"/>
          <w:szCs w:val="21"/>
          <w:highlight w:val="none"/>
        </w:rPr>
        <w:t>用户需求中的要求进行一次报价</w:t>
      </w:r>
      <w:r>
        <w:rPr>
          <w:rFonts w:hint="eastAsia" w:ascii="宋体" w:hAnsi="宋体" w:eastAsia="宋体"/>
          <w:bCs/>
          <w:color w:val="auto"/>
          <w:sz w:val="21"/>
          <w:szCs w:val="21"/>
          <w:highlight w:val="none"/>
        </w:rPr>
        <w:t>；</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供应商所提供的货物和服务均应以人民币</w:t>
      </w:r>
      <w:r>
        <w:rPr>
          <w:rFonts w:hint="eastAsia" w:ascii="宋体" w:hAnsi="宋体" w:eastAsia="宋体"/>
          <w:color w:val="auto"/>
          <w:sz w:val="21"/>
          <w:szCs w:val="21"/>
          <w:highlight w:val="none"/>
        </w:rPr>
        <w:t>（或相关费率）</w:t>
      </w:r>
      <w:r>
        <w:rPr>
          <w:rFonts w:hint="eastAsia" w:ascii="宋体" w:hAnsi="宋体" w:eastAsia="宋体"/>
          <w:bCs/>
          <w:color w:val="auto"/>
          <w:sz w:val="21"/>
          <w:szCs w:val="21"/>
          <w:highlight w:val="none"/>
        </w:rPr>
        <w:t>报价（具体报价要求详见用户需求）；</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报价应包含完成本次采购所有服务内容的费用，包含各种税务费及合同实施过程中的全部费用；</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经磋商后，供应商所报的最后磋商报价在合同执行过程中是固定不变的，不得以任何理由予以变更；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供应商只能就单个项目提供唯一的方案和报价，不接受选择性的方案和报价，方案或报价不是唯一的响应文件作无效处理；</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最终报价文件为供应商响应文件组成的一部分，其报价有效期应与响应文件有效期保持一致；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bCs/>
          <w:color w:val="auto"/>
          <w:sz w:val="21"/>
          <w:szCs w:val="21"/>
          <w:highlight w:val="none"/>
        </w:rPr>
        <w:t>供应商名称与供应商公章不一致，若供应商名称已进行变更，应在响应文件中提供相应的证明材料并加盖公章，否则响应文件无效。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响应文件密封、标记及内容与本项目采购信息不符，导致无法分辨所参与项目为本项目的，响应文件无效。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除供应商对错处作必要修改外，响应文件中不允许涂改或改写。任何行间插字、涂改和增删，必须由供应商的法定代表人或委托代理人在修改处签字或加盖公章才有效，否则其该处内容无效。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响应文件的签署：未按采购文件要求或未按响应文件所要求格式对响应文件进行签署授权的，其报价无效。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电报、电话、传真、电子邮件形式的响应文件概不接受。</w:t>
      </w:r>
    </w:p>
    <w:p>
      <w:pPr>
        <w:spacing w:line="360" w:lineRule="auto"/>
        <w:rPr>
          <w:rFonts w:ascii="宋体" w:hAnsi="宋体" w:eastAsia="宋体"/>
          <w:bCs/>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1" w:name="_Toc26897"/>
      <w:bookmarkStart w:id="92" w:name="_Toc110953840"/>
      <w:bookmarkStart w:id="93" w:name="_Toc11910"/>
      <w:r>
        <w:rPr>
          <w:rFonts w:hint="eastAsia" w:hAnsi="宋体"/>
          <w:color w:val="auto"/>
          <w:sz w:val="21"/>
          <w:szCs w:val="21"/>
          <w:highlight w:val="none"/>
        </w:rPr>
        <w:t>响应文件的内容</w:t>
      </w:r>
      <w:bookmarkEnd w:id="91"/>
      <w:bookmarkEnd w:id="92"/>
      <w:bookmarkEnd w:id="9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证明供应商合格和资格的文件。</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响应文件格式中要求必须提供的表格。</w:t>
      </w:r>
    </w:p>
    <w:p>
      <w:pPr>
        <w:spacing w:line="360" w:lineRule="auto"/>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4" w:name="_Toc15387"/>
      <w:bookmarkStart w:id="95" w:name="_Toc110953841"/>
      <w:bookmarkStart w:id="96" w:name="_Toc1662"/>
      <w:r>
        <w:rPr>
          <w:rFonts w:hint="eastAsia" w:hAnsi="宋体"/>
          <w:color w:val="auto"/>
          <w:sz w:val="21"/>
          <w:szCs w:val="21"/>
          <w:highlight w:val="none"/>
        </w:rPr>
        <w:t>响应文件格式</w:t>
      </w:r>
      <w:bookmarkEnd w:id="94"/>
      <w:bookmarkEnd w:id="95"/>
      <w:bookmarkEnd w:id="96"/>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供应商应将响应文件装订成册，并制作“响应文件目录”。响应文件格式中要求必须提交的文件或表格，各供应商可以根据实际情况增加内容，但不得擅自减少有关内容。响应文件的完整性是评审的内容之一。</w:t>
      </w:r>
    </w:p>
    <w:p>
      <w:pPr>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7" w:name="_Toc21656"/>
      <w:bookmarkStart w:id="98" w:name="_Toc1898"/>
      <w:r>
        <w:rPr>
          <w:rFonts w:hint="eastAsia" w:hAnsi="宋体"/>
          <w:color w:val="auto"/>
          <w:sz w:val="21"/>
          <w:szCs w:val="21"/>
          <w:highlight w:val="none"/>
        </w:rPr>
        <w:t>磋商保证金</w:t>
      </w:r>
      <w:bookmarkEnd w:id="97"/>
      <w:bookmarkEnd w:id="98"/>
      <w:r>
        <w:rPr>
          <w:rFonts w:hint="eastAsia" w:hAnsi="宋体"/>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hAnsi="宋体"/>
          <w:color w:val="auto"/>
          <w:sz w:val="21"/>
          <w:szCs w:val="21"/>
          <w:highlight w:val="none"/>
        </w:rPr>
        <w:t>磋商保证金</w:t>
      </w:r>
      <w:r>
        <w:rPr>
          <w:rFonts w:hint="eastAsia" w:hAnsi="宋体"/>
          <w:color w:val="auto"/>
          <w:sz w:val="21"/>
          <w:szCs w:val="21"/>
          <w:highlight w:val="none"/>
          <w:lang w:eastAsia="zh-CN"/>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磋商保证金金额与采购文件要求金额保持一致（详见磋商资料表）。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供应商应按磋商资料表中规定数额及法律规定的时间按相应包号保证金金额要求一次性提交磋商保证金，以多次汇入达到采购文件要求金额的磋商保证金无效。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磋商保证金有效期与响应文件有效期保持一致。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缴纳磋商保证金的供应商与参与本项目的供应商名称必须一致，非参与本项目的供应商缴纳的磋商保证金无效。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采用银行转账、电汇方式提交的,付至采购代理机构指定账户上。 (详见磋商资料表)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担保是指由担保机构为供应商交纳磋商保证金向采购人或者采购代理机构提供的保证担保。供应商在响应有效期内撤回响应文件或成交后不签订政府采购合同的，由担保机构按照担保函的约定履行支付磋商保证金的责任。</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采用担保函提交的，应符合下列规定：</w:t>
      </w:r>
    </w:p>
    <w:p>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担保函有效期应与响应文件有效期一致；</w:t>
      </w:r>
    </w:p>
    <w:p>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担保金额应与本项目的磋商保证金一致；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保证金不接受现金方式（包括以存现方式）提交，未按要求提交磋商保证金的供应商其响应文件作无效处理。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未成交的供应商保证金在采购结果公示发出后5个工作日内退还，成交供应商的保证金在采购合同签订后5个工作日内退还。</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为方便退还未成交的供应商保证金，供应商应制作《磋商保证金汇入情况说明》随响应文件一并递交。</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有下列情形之一的，磋商保证金不予退还：</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供应商在提交响应文件截止时间后撤回响应文件的；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供应商在响应文件中提供虚假材料的；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除因不可抗力或磋商文件（本文件）、询价通知书（本文件）认可的情形以外，成交供应商不与采购人签订合同的；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供应商与采购人、其他供应商或者采购代理机构恶意串通的；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采购文件规定的其他情形。</w:t>
      </w:r>
    </w:p>
    <w:p>
      <w:pPr>
        <w:spacing w:line="480" w:lineRule="exact"/>
        <w:ind w:firstLine="480" w:firstLineChars="200"/>
        <w:rPr>
          <w:rFonts w:ascii="宋体" w:hAnsi="宋体" w:eastAsia="宋体"/>
          <w:color w:val="auto"/>
          <w:sz w:val="24"/>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9" w:name="_Toc25734"/>
      <w:bookmarkStart w:id="100" w:name="_Toc10456"/>
      <w:bookmarkStart w:id="101" w:name="_Toc479991583"/>
      <w:bookmarkStart w:id="102" w:name="_Toc458262615"/>
      <w:bookmarkStart w:id="103" w:name="_Toc480010709"/>
      <w:bookmarkStart w:id="104" w:name="_Toc480171880"/>
      <w:bookmarkStart w:id="105" w:name="_Toc110953842"/>
      <w:bookmarkStart w:id="106" w:name="_Toc480020258"/>
      <w:bookmarkStart w:id="107" w:name="_Toc467987824"/>
      <w:bookmarkStart w:id="108" w:name="_Toc454701382"/>
      <w:bookmarkStart w:id="109" w:name="_Toc480021054"/>
      <w:bookmarkStart w:id="110" w:name="_Toc468157537"/>
      <w:bookmarkStart w:id="111" w:name="_Toc468606030"/>
      <w:bookmarkStart w:id="112" w:name="_Toc503758471"/>
      <w:bookmarkStart w:id="113" w:name="_Toc467236741"/>
      <w:r>
        <w:rPr>
          <w:rFonts w:hint="eastAsia" w:hAnsi="宋体"/>
          <w:color w:val="auto"/>
          <w:sz w:val="21"/>
          <w:szCs w:val="21"/>
          <w:highlight w:val="none"/>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响应文件从开启响应文件之日起，报价（响应文件）有效期为</w:t>
      </w:r>
      <w:r>
        <w:rPr>
          <w:rFonts w:hint="eastAsia" w:ascii="宋体" w:hAnsi="宋体" w:eastAsia="宋体"/>
          <w:bCs/>
          <w:color w:val="auto"/>
          <w:sz w:val="21"/>
          <w:szCs w:val="21"/>
          <w:highlight w:val="none"/>
          <w:lang w:eastAsia="zh-CN"/>
        </w:rPr>
        <w:t>90个日历日</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特殊情况下，采购代理机构可于响应有效期期满之前，要求供应商同意延长响应有效期，要求与答复均应为书面形式。对于同意该要求的供应商，既不要求也不允许其修改响应文件。</w:t>
      </w:r>
    </w:p>
    <w:p>
      <w:pPr>
        <w:pStyle w:val="7"/>
        <w:rPr>
          <w:rFonts w:ascii="宋体" w:hAnsi="宋体" w:eastAsia="宋体" w:cs="宋体"/>
          <w:color w:val="auto"/>
          <w:sz w:val="21"/>
          <w:szCs w:val="21"/>
          <w:highlight w:val="none"/>
        </w:rPr>
      </w:pPr>
    </w:p>
    <w:bookmarkEnd w:id="81"/>
    <w:bookmarkEnd w:id="82"/>
    <w:bookmarkEnd w:id="83"/>
    <w:bookmarkEnd w:id="84"/>
    <w:bookmarkEnd w:id="85"/>
    <w:p>
      <w:pPr>
        <w:pStyle w:val="2"/>
        <w:keepNext w:val="0"/>
        <w:keepLines w:val="0"/>
        <w:spacing w:before="0" w:after="0" w:line="360" w:lineRule="auto"/>
        <w:jc w:val="center"/>
        <w:rPr>
          <w:rFonts w:ascii="宋体" w:hAnsi="宋体" w:eastAsia="宋体"/>
          <w:color w:val="auto"/>
          <w:sz w:val="24"/>
          <w:szCs w:val="21"/>
          <w:highlight w:val="none"/>
        </w:rPr>
      </w:pPr>
      <w:bookmarkStart w:id="114" w:name="_Toc32392"/>
      <w:bookmarkStart w:id="115" w:name="_Toc110953843"/>
      <w:bookmarkStart w:id="116" w:name="_Toc7006"/>
      <w:bookmarkStart w:id="117" w:name="_Toc102277760"/>
      <w:bookmarkStart w:id="118" w:name="_Toc6882679"/>
      <w:bookmarkStart w:id="119" w:name="_Toc507407363"/>
      <w:bookmarkStart w:id="120" w:name="_Toc466786438"/>
      <w:bookmarkStart w:id="121" w:name="_Toc6968691"/>
      <w:r>
        <w:rPr>
          <w:rFonts w:hint="eastAsia" w:ascii="宋体" w:hAnsi="宋体" w:eastAsia="宋体"/>
          <w:color w:val="auto"/>
          <w:sz w:val="24"/>
          <w:szCs w:val="21"/>
          <w:highlight w:val="none"/>
          <w:lang w:val="en-US" w:eastAsia="zh-CN"/>
        </w:rPr>
        <w:t>第四章</w:t>
      </w:r>
      <w:r>
        <w:rPr>
          <w:rFonts w:hint="eastAsia" w:ascii="宋体" w:hAnsi="宋体" w:eastAsia="宋体"/>
          <w:color w:val="auto"/>
          <w:sz w:val="24"/>
          <w:szCs w:val="21"/>
          <w:highlight w:val="none"/>
        </w:rPr>
        <w:t>响应文件的递交</w:t>
      </w:r>
      <w:bookmarkEnd w:id="114"/>
      <w:bookmarkEnd w:id="115"/>
      <w:bookmarkEnd w:id="116"/>
    </w:p>
    <w:p>
      <w:pPr>
        <w:pStyle w:val="4"/>
        <w:keepNext w:val="0"/>
        <w:keepLines w:val="0"/>
        <w:numPr>
          <w:ilvl w:val="0"/>
          <w:numId w:val="3"/>
        </w:numPr>
        <w:adjustRightInd/>
        <w:spacing w:before="0" w:after="0" w:line="360" w:lineRule="auto"/>
        <w:rPr>
          <w:rFonts w:hAnsi="宋体"/>
          <w:color w:val="auto"/>
          <w:sz w:val="21"/>
          <w:szCs w:val="21"/>
          <w:highlight w:val="none"/>
        </w:rPr>
      </w:pPr>
      <w:bookmarkStart w:id="122" w:name="_Toc13611"/>
      <w:bookmarkStart w:id="123" w:name="_Toc110953844"/>
      <w:bookmarkStart w:id="124" w:name="_Toc4400"/>
      <w:r>
        <w:rPr>
          <w:rFonts w:hint="eastAsia" w:hAnsi="宋体"/>
          <w:color w:val="auto"/>
          <w:sz w:val="21"/>
          <w:szCs w:val="21"/>
          <w:highlight w:val="none"/>
        </w:rPr>
        <w:t>响应文件的密封和标记</w:t>
      </w:r>
      <w:bookmarkEnd w:id="122"/>
      <w:bookmarkEnd w:id="123"/>
      <w:bookmarkEnd w:id="124"/>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供应商应当对响应文件进行装订，价格文件、商务文件、技术文件可</w:t>
      </w:r>
      <w:r>
        <w:rPr>
          <w:rFonts w:hint="eastAsia" w:ascii="宋体" w:hAnsi="宋体" w:eastAsia="宋体"/>
          <w:bCs/>
          <w:color w:val="auto"/>
          <w:sz w:val="21"/>
          <w:szCs w:val="21"/>
          <w:highlight w:val="none"/>
          <w:lang w:val="en-US" w:eastAsia="zh-CN"/>
        </w:rPr>
        <w:t>合装订</w:t>
      </w:r>
      <w:r>
        <w:rPr>
          <w:rFonts w:hint="eastAsia" w:ascii="宋体" w:hAnsi="宋体" w:eastAsia="宋体"/>
          <w:bCs/>
          <w:color w:val="auto"/>
          <w:sz w:val="21"/>
          <w:szCs w:val="21"/>
          <w:highlight w:val="none"/>
        </w:rPr>
        <w:t>为一册，也可根据自身需要分册</w:t>
      </w:r>
      <w:r>
        <w:rPr>
          <w:rFonts w:hint="eastAsia" w:ascii="宋体" w:hAnsi="宋体" w:eastAsia="宋体"/>
          <w:bCs/>
          <w:color w:val="auto"/>
          <w:sz w:val="21"/>
          <w:szCs w:val="21"/>
          <w:highlight w:val="none"/>
          <w:lang w:val="en-US" w:eastAsia="zh-CN"/>
        </w:rPr>
        <w:t>装订，</w:t>
      </w:r>
      <w:r>
        <w:rPr>
          <w:rFonts w:hint="eastAsia" w:ascii="宋体" w:hAnsi="宋体" w:eastAsia="宋体"/>
          <w:bCs/>
          <w:color w:val="auto"/>
          <w:sz w:val="21"/>
          <w:szCs w:val="21"/>
          <w:highlight w:val="none"/>
        </w:rPr>
        <w:t>对未经装订的响应文件可能发生的文件散落或缺损，由此产生的后果由供应商承担。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联合体响应文件的【正本】及【副本】的封面及骑缝均须加盖所有联合体组成成员的公章。（文件每页盖章等同于盖骑缝章）</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供应商可将响应文件正本和所有的副本分开密封装在单独的信封中，且在信封上标明“正本”“副本”字样。然后再将所有信封封装在一个外层信封中。</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电子文件内容包括：由供应商自行制作的与正本文件一致的所有文件。</w:t>
      </w:r>
      <w:r>
        <w:rPr>
          <w:rFonts w:ascii="宋体" w:hAnsi="宋体" w:eastAsia="宋体"/>
          <w:color w:val="auto"/>
          <w:sz w:val="21"/>
          <w:szCs w:val="21"/>
          <w:highlight w:val="none"/>
        </w:rPr>
        <w:t>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，与正本密封包装，随正本提交。</w:t>
      </w:r>
      <w:r>
        <w:rPr>
          <w:rFonts w:hint="eastAsia" w:ascii="宋体" w:hAnsi="宋体" w:eastAsia="宋体"/>
          <w:bCs/>
          <w:color w:val="auto"/>
          <w:sz w:val="21"/>
          <w:szCs w:val="21"/>
          <w:highlight w:val="none"/>
        </w:rPr>
        <w:t>电报、电话、传真、电子邮件形式的电子响应文件概不接受。</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所有的信封均应注明：</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收件人：广东政通招标有限公司</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25" w:name="_Toc6425"/>
      <w:bookmarkStart w:id="126" w:name="_Toc110953845"/>
      <w:bookmarkStart w:id="127" w:name="_Toc5658"/>
      <w:r>
        <w:rPr>
          <w:rFonts w:hint="eastAsia" w:hAnsi="宋体"/>
          <w:color w:val="auto"/>
          <w:sz w:val="21"/>
          <w:szCs w:val="21"/>
          <w:highlight w:val="none"/>
        </w:rPr>
        <w:t>响应文件的递交</w:t>
      </w:r>
      <w:bookmarkEnd w:id="125"/>
      <w:bookmarkEnd w:id="126"/>
      <w:bookmarkEnd w:id="12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所有经密封的响应文件及单独密封的报价文件都必须在响应截止时间之前送至采购代理机构。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报价文件作为响应文件组成的一部分，采购文件所规定的初审事项适用于报价文件。</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采用透明包装进行密封或未进行密封的响应文件；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密封破损导致响应文件内容直接或间接泄露的响应文件；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密封信封上项目编号错误的响应文件；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未进行项目报名的供应商（以采购代理机构报名表及报名发票为准）递交的响应文件；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项目名称出现严重歧义或未标注所参与项目信息导致无法分辨所参与项目为本项目的响应文件；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未递交磋商保证金供应商递交的响应文件；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采用传真、电传的响应文件；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多个包号的一并密封的响应文件；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迟交的响应文件；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磋商文件规定的其他情形。</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采购代理机构对所有响应文件的误投或提前启封概不负责。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供应商同时参加几个包磋商时必须按采购文件要求按包号分别制作响应文件，分别密封递交。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递交的响应文件中所提供的通讯方式应保持联络畅通，因联系不上而导致的所有后果由供应商自行承担。</w:t>
      </w:r>
    </w:p>
    <w:p>
      <w:pPr>
        <w:bidi w:val="0"/>
        <w:rPr>
          <w:color w:val="auto"/>
          <w:highlight w:val="none"/>
        </w:rPr>
      </w:pPr>
    </w:p>
    <w:p>
      <w:pPr>
        <w:pStyle w:val="4"/>
        <w:keepNext w:val="0"/>
        <w:keepLines w:val="0"/>
        <w:numPr>
          <w:ilvl w:val="0"/>
          <w:numId w:val="3"/>
        </w:numPr>
        <w:adjustRightInd/>
        <w:spacing w:before="0" w:after="0" w:line="360" w:lineRule="auto"/>
        <w:rPr>
          <w:rFonts w:hAnsi="宋体" w:cs="宋体"/>
          <w:color w:val="auto"/>
          <w:sz w:val="21"/>
          <w:szCs w:val="21"/>
          <w:highlight w:val="none"/>
        </w:rPr>
      </w:pPr>
      <w:bookmarkStart w:id="128" w:name="_Toc23533"/>
      <w:bookmarkStart w:id="129" w:name="_Toc8440"/>
      <w:r>
        <w:rPr>
          <w:rFonts w:hint="eastAsia" w:hAnsi="宋体"/>
          <w:color w:val="auto"/>
          <w:sz w:val="21"/>
          <w:szCs w:val="21"/>
          <w:highlight w:val="none"/>
        </w:rPr>
        <w:t>样品（如需提交）</w:t>
      </w:r>
      <w:bookmarkEnd w:id="128"/>
      <w:bookmarkEnd w:id="129"/>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如有必要，采购代理机构可以要求供应商提供本服务项目涉及的部分设备或产品样品，供应商在磋商时应提交《样品清单》。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为方便评审，供应商在提供样品时，应在所提供的样品表面显著位置标注供应商的名称、包号、样品名称、采购文件规定的服务或货物编号。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pPr>
        <w:spacing w:line="360" w:lineRule="auto"/>
        <w:rPr>
          <w:rFonts w:ascii="宋体" w:hAnsi="宋体" w:eastAsia="宋体" w:cs="宋体"/>
          <w:color w:val="auto"/>
          <w:sz w:val="21"/>
          <w:szCs w:val="21"/>
          <w:highlight w:val="none"/>
        </w:rPr>
      </w:pPr>
    </w:p>
    <w:p>
      <w:pPr>
        <w:pStyle w:val="2"/>
        <w:keepNext w:val="0"/>
        <w:keepLines w:val="0"/>
        <w:spacing w:before="0" w:after="0" w:line="360" w:lineRule="auto"/>
        <w:jc w:val="center"/>
        <w:rPr>
          <w:rFonts w:ascii="宋体" w:hAnsi="宋体" w:eastAsia="宋体"/>
          <w:color w:val="auto"/>
          <w:sz w:val="24"/>
          <w:szCs w:val="21"/>
          <w:highlight w:val="none"/>
        </w:rPr>
      </w:pPr>
      <w:bookmarkStart w:id="130" w:name="_Toc3401"/>
      <w:bookmarkStart w:id="131" w:name="_Toc30009"/>
      <w:r>
        <w:rPr>
          <w:rFonts w:hint="eastAsia" w:ascii="宋体" w:hAnsi="宋体" w:eastAsia="宋体"/>
          <w:color w:val="auto"/>
          <w:sz w:val="24"/>
          <w:szCs w:val="21"/>
          <w:highlight w:val="none"/>
          <w:lang w:val="en-US" w:eastAsia="zh-CN"/>
        </w:rPr>
        <w:t>第五章</w:t>
      </w:r>
      <w:bookmarkEnd w:id="117"/>
      <w:bookmarkEnd w:id="118"/>
      <w:bookmarkEnd w:id="119"/>
      <w:bookmarkEnd w:id="120"/>
      <w:bookmarkEnd w:id="121"/>
      <w:r>
        <w:rPr>
          <w:rFonts w:hint="eastAsia" w:ascii="宋体" w:hAnsi="宋体" w:eastAsia="宋体"/>
          <w:color w:val="auto"/>
          <w:sz w:val="24"/>
          <w:szCs w:val="21"/>
          <w:highlight w:val="none"/>
        </w:rPr>
        <w:t>磋商、评审</w:t>
      </w:r>
      <w:bookmarkEnd w:id="130"/>
      <w:bookmarkEnd w:id="131"/>
    </w:p>
    <w:p>
      <w:pPr>
        <w:pStyle w:val="4"/>
        <w:keepNext w:val="0"/>
        <w:keepLines w:val="0"/>
        <w:numPr>
          <w:ilvl w:val="0"/>
          <w:numId w:val="3"/>
        </w:numPr>
        <w:adjustRightInd/>
        <w:spacing w:before="0" w:after="0" w:line="360" w:lineRule="auto"/>
        <w:rPr>
          <w:rFonts w:hAnsi="宋体"/>
          <w:color w:val="auto"/>
          <w:sz w:val="21"/>
          <w:szCs w:val="21"/>
          <w:highlight w:val="none"/>
        </w:rPr>
      </w:pPr>
      <w:bookmarkStart w:id="132" w:name="_Toc8137"/>
      <w:bookmarkStart w:id="133" w:name="_Toc28590"/>
      <w:r>
        <w:rPr>
          <w:rFonts w:hint="eastAsia" w:hAnsi="宋体"/>
          <w:color w:val="auto"/>
          <w:sz w:val="21"/>
          <w:szCs w:val="21"/>
          <w:highlight w:val="none"/>
        </w:rPr>
        <w:t>签到及评审方法</w:t>
      </w:r>
      <w:bookmarkEnd w:id="132"/>
      <w:bookmarkEnd w:id="133"/>
    </w:p>
    <w:p>
      <w:pPr>
        <w:numPr>
          <w:ilvl w:val="1"/>
          <w:numId w:val="3"/>
        </w:numPr>
        <w:spacing w:line="360" w:lineRule="auto"/>
        <w:rPr>
          <w:rFonts w:ascii="宋体" w:hAnsi="宋体" w:eastAsia="宋体"/>
          <w:color w:val="auto"/>
          <w:sz w:val="21"/>
          <w:szCs w:val="21"/>
          <w:highlight w:val="none"/>
        </w:rPr>
      </w:pPr>
      <w:bookmarkStart w:id="134" w:name="_Toc475249135"/>
      <w:bookmarkStart w:id="135" w:name="_Toc475249138"/>
      <w:r>
        <w:rPr>
          <w:rFonts w:hint="eastAsia" w:ascii="宋体" w:hAnsi="宋体" w:eastAsia="宋体"/>
          <w:color w:val="auto"/>
          <w:sz w:val="21"/>
          <w:szCs w:val="21"/>
          <w:highlight w:val="none"/>
        </w:rPr>
        <w:t>供应商应在《磋商邀请函》规定的日期、时间和地点递交响应文件并进行现场签到。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递交响应文件时间截止后，由参与磋商的供应商代表或者其推选的代表检查响应文件的密封情况，经确认密封完好后的响应文件不当众予以拆封，不宣读第一次报价和响应文件的其它主要内容。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本项目采用综合评分法。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通过资格性和符合性审查的有效供应商方有资格提交最终报价及进入综合评审。</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根据财库〔2015〕124 号，在采购过程中符合要求的供应商只有 2 家的，竞争性磋商采购活动继续进行。</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36" w:name="_Toc10080"/>
      <w:bookmarkStart w:id="137" w:name="_Toc10800"/>
      <w:r>
        <w:rPr>
          <w:rFonts w:hint="eastAsia" w:hAnsi="宋体"/>
          <w:color w:val="auto"/>
          <w:sz w:val="21"/>
          <w:szCs w:val="21"/>
          <w:highlight w:val="none"/>
        </w:rPr>
        <w:t>磋商小组</w:t>
      </w:r>
      <w:bookmarkEnd w:id="134"/>
      <w:bookmarkEnd w:id="136"/>
      <w:bookmarkEnd w:id="13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本次采购依法组建磋商小组。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磋商小组将按照采购文件确定的评审方法进行评审。对采购文件中描述有歧义或前后不一致的地方，磋商小组有权按法律法规的规定进行评判，但对同一条款的评判应适用于每个供应商。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从递交响应文件截止到签订合同，凡与审查、澄清、评审和供应商响应文件有关的资料，均不得向任何供应商及与磋商无关的其他人透露。</w:t>
      </w:r>
    </w:p>
    <w:p>
      <w:pPr>
        <w:spacing w:line="360" w:lineRule="auto"/>
        <w:rPr>
          <w:rFonts w:ascii="宋体" w:hAnsi="宋体" w:eastAsia="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38" w:name="_Toc17157"/>
      <w:bookmarkStart w:id="139" w:name="_Toc535141844"/>
      <w:bookmarkStart w:id="140" w:name="_Toc37121259"/>
      <w:bookmarkStart w:id="141" w:name="_Toc17978"/>
      <w:r>
        <w:rPr>
          <w:rFonts w:hint="eastAsia" w:hAnsi="宋体"/>
          <w:color w:val="auto"/>
          <w:sz w:val="21"/>
          <w:szCs w:val="21"/>
          <w:highlight w:val="none"/>
        </w:rPr>
        <w:t>对响应文件的初审</w:t>
      </w:r>
      <w:bookmarkEnd w:id="138"/>
      <w:bookmarkEnd w:id="139"/>
      <w:bookmarkEnd w:id="140"/>
      <w:bookmarkEnd w:id="141"/>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开启响应文件后，采购代理机构将组织磋商小组对响应文件进行初审，初审包括资格性审查和符合性审查。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资格性审查是指依据法律规定和磋商文件的规定，对响应文件中的资格证明等进行审查，确定供应商是否具备响应资格。</w:t>
      </w:r>
      <w:r>
        <w:rPr>
          <w:rFonts w:hint="eastAsia" w:ascii="宋体" w:hAnsi="宋体" w:eastAsia="宋体"/>
          <w:b/>
          <w:color w:val="auto"/>
          <w:sz w:val="21"/>
          <w:szCs w:val="21"/>
          <w:highlight w:val="none"/>
        </w:rPr>
        <w:t>资格性检查中发现下列情形之一的，其报价及响应文件作无效处理。</w:t>
      </w:r>
    </w:p>
    <w:p>
      <w:pPr>
        <w:numPr>
          <w:ilvl w:val="0"/>
          <w:numId w:val="12"/>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包括但不限于：①资格证明文件未提供或不符合采购文件要求的；</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②资格证明文件有效期过期的；③《营业执照》复印件（加盖公章）或《事业单位法人证书》复印件（加盖公章）或其他主体证书复印件（加盖公章）未提供或有效期过期的；④提供的资质材料模糊不清导致无法辨认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eastAsia="宋体"/>
          <w:b/>
          <w:color w:val="auto"/>
          <w:sz w:val="21"/>
          <w:szCs w:val="21"/>
          <w:highlight w:val="none"/>
        </w:rPr>
        <w:t>符合性检查中发现下列情形之一的，其报价及响应文件作无效处理。</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响应文件的有效性、完整性瑕疵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技术响应瑕疵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商务响应瑕疵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包括但不限于：①一次报价或最终报价超过本采购文件明确的项目预算或文件明确的最高限价；②未按采购文件要求进行报价的；③报价内容或报价格式不符合采购文件要求的；④报价有严重缺漏项的。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违规行为</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包括但不限于：①以他人的名义报价、串通投标、以行贿手段谋取成交或者以其他弄虚作假方式响应磋商的；②扰乱磋商评审秩序，干扰采购工作正常进行的。③存在经磋商小组认定的其他违规违法行为。</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法律法规及磋商文件中规定的其它情形</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根据项目情况，磋商小组有权决定采购文件中“可能导致废标”或“可能导致其报价被拒绝”等具体条款是否实施“废标”或“投标被拒绝”，但对同一条款的裁决应适用于每个供应商。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磋商小组确定响应文件的响应性，只根据响应文件本身的内容，而不寻找外部的证据。</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实质上没有响应磋商文件要求的响应文件将被拒绝。供应商不得通过修正或撤销不合要求的偏离或保留从而使其响应成为实质上的响应。</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42" w:name="_Toc29665"/>
      <w:bookmarkStart w:id="143" w:name="_Toc18895"/>
      <w:r>
        <w:rPr>
          <w:rFonts w:hint="eastAsia" w:hAnsi="宋体"/>
          <w:color w:val="auto"/>
          <w:sz w:val="21"/>
          <w:szCs w:val="21"/>
          <w:highlight w:val="none"/>
        </w:rPr>
        <w:t>技术商务</w:t>
      </w:r>
      <w:bookmarkEnd w:id="142"/>
      <w:r>
        <w:rPr>
          <w:rFonts w:hint="eastAsia" w:hAnsi="宋体"/>
          <w:color w:val="auto"/>
          <w:sz w:val="21"/>
          <w:szCs w:val="21"/>
          <w:highlight w:val="none"/>
        </w:rPr>
        <w:t>磋商</w:t>
      </w:r>
      <w:bookmarkEnd w:id="14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磋商小组所有成员应当集中与单一供应商分别进行磋商，并给予所有参加磋商的供应商平等的磋商机会。其磋商顺序以供应商签到顺序为准。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磋商使用语言为中文。</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磋商小组将拒绝与出现以下情况的供应商授权代表进行磋商：</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供应商授权代表无有效授权的；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供应商响应文件中的授权代表与现场进行磋商的授权代表不一致的；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法人参加磋商但无法定代表人证明书的；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授权代表现场不能出具可证明其身份信息的证件或文件的；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供应商一次报价超出采购文件所规定的预算或最高限价的；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扰乱磋商秩序，干扰采购工作正常进行的；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直接或间接影响其他供应商进行最终报价的；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磋商小组认定为违规的情况；</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采购文件规定的其他情况。</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磋商小组与供应商分别进行磋商（除特殊情况外，磋商小组仅对各供应商进行一轮磋商）。在磋商过程中，磋商小组应当严格遵循保密原则，未经供应商同意不得向任何人透露当事人技术、价格和其他重要信息。</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44" w:name="_Toc5492"/>
      <w:bookmarkStart w:id="145" w:name="_Toc30797"/>
      <w:r>
        <w:rPr>
          <w:rFonts w:hint="eastAsia" w:hAnsi="宋体"/>
          <w:color w:val="auto"/>
          <w:sz w:val="21"/>
          <w:szCs w:val="21"/>
          <w:highlight w:val="none"/>
        </w:rPr>
        <w:t>最终报价</w:t>
      </w:r>
      <w:bookmarkEnd w:id="144"/>
      <w:bookmarkEnd w:id="14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通过初审，但未在规定时间内进行最终报价的供应商，其报价文件上的报价视为其最终报价。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已提交响应文件的供应商，在提交最后报价之前，可以根据磋商情况退出磋商。响应文件不予退还，磋商保证金按采购文件规定进行退还。退出磋商的供应商不进入综合评分环节。</w:t>
      </w:r>
    </w:p>
    <w:p>
      <w:pPr>
        <w:bidi w:val="0"/>
        <w:rPr>
          <w:color w:val="auto"/>
          <w:highlight w:val="none"/>
        </w:rPr>
      </w:pPr>
    </w:p>
    <w:bookmarkEnd w:id="135"/>
    <w:p>
      <w:pPr>
        <w:pStyle w:val="4"/>
        <w:keepNext w:val="0"/>
        <w:keepLines w:val="0"/>
        <w:numPr>
          <w:ilvl w:val="0"/>
          <w:numId w:val="3"/>
        </w:numPr>
        <w:adjustRightInd/>
        <w:spacing w:before="0" w:after="0" w:line="360" w:lineRule="auto"/>
        <w:rPr>
          <w:rFonts w:hAnsi="宋体"/>
          <w:color w:val="auto"/>
          <w:sz w:val="21"/>
          <w:szCs w:val="21"/>
          <w:highlight w:val="none"/>
        </w:rPr>
      </w:pPr>
      <w:bookmarkStart w:id="146" w:name="_Toc2794"/>
      <w:bookmarkStart w:id="147" w:name="_Toc19157"/>
      <w:r>
        <w:rPr>
          <w:rFonts w:hint="eastAsia" w:hAnsi="宋体"/>
          <w:color w:val="auto"/>
          <w:sz w:val="21"/>
          <w:szCs w:val="21"/>
          <w:highlight w:val="none"/>
        </w:rPr>
        <w:t>综合评分</w:t>
      </w:r>
      <w:bookmarkEnd w:id="146"/>
      <w:bookmarkEnd w:id="14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经磋商确定最终采购需求和提交最后报价的供应商后，由磋商小组采用综合评分法对提交最后报价的供应商的响应文件和最后报价进行综合评分。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价格评审：</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以各供应商最终报价进行评审；</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报价错误修正原则：</w:t>
      </w:r>
    </w:p>
    <w:p>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② 以上修正后的报价应当经报价供应商采用书面形式，并加盖公章，或者由法定代表人或其授权的代表签字确认，并对报价供应商产生约束力，报价供应商不确认的，其报价无效。</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对报价服务报价漏项的，作非实质性响应处理。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技术商务评审要求详见《商务技术评分及价格权重表》。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使用综合评分法的采购项目，核心产品提供相同品牌产品且通过资格审查、符合性审查的不同供应商参加同一合同项下报价的，按一家供应商计算，评审后得分最高的同品牌供应商获得成交供应商推荐资格。</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48" w:name="_Toc23560"/>
      <w:bookmarkStart w:id="149" w:name="_Toc30725"/>
      <w:r>
        <w:rPr>
          <w:rFonts w:hint="eastAsia" w:hAnsi="宋体"/>
          <w:color w:val="auto"/>
          <w:sz w:val="21"/>
          <w:szCs w:val="21"/>
          <w:highlight w:val="none"/>
        </w:rPr>
        <w:t>优惠政策</w:t>
      </w:r>
      <w:bookmarkEnd w:id="148"/>
      <w:bookmarkEnd w:id="149"/>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w:t>
      </w:r>
      <w:r>
        <w:rPr>
          <w:rFonts w:hint="eastAsia" w:ascii="宋体" w:hAnsi="宋体"/>
          <w:color w:val="auto"/>
          <w:sz w:val="21"/>
          <w:szCs w:val="21"/>
          <w:highlight w:val="none"/>
          <w:lang w:eastAsia="zh-CN"/>
        </w:rPr>
        <w:t>报价</w:t>
      </w:r>
      <w:r>
        <w:rPr>
          <w:rFonts w:hint="eastAsia" w:ascii="宋体" w:hAnsi="宋体" w:eastAsia="宋体"/>
          <w:color w:val="auto"/>
          <w:sz w:val="21"/>
          <w:szCs w:val="21"/>
          <w:highlight w:val="none"/>
        </w:rPr>
        <w:t>的扶持：</w:t>
      </w:r>
    </w:p>
    <w:p>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磋商文件中磋商文件格式提出《中小企业声明函》）残疾人福利性单位、监狱企业（注：参加政府采购活动的监狱企业必须提供由省级以上监狱管理局、戒毒管理局(含新疆生产建设兵团)出具的监狱企业证明文件）视同小型、微型企业。</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供应商为小型或微型企业且</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产品含小型或微型企业产品时，其对应产品价格的扣除详见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供应商同时为小型、微型企业、监狱企业、残疾人福利性单位任两种或以上情况的，评审中只享受一次价格扣除，不重复进行价格扣除。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安置的残疾人占本单位在职职工人数的比例不低于25%（含25%），并且安置的残疾人人数不少于10人（含10人）；</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依法与安置的每位残疾人签订了一年以上（含一年）的劳动合同或服务协议；</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为安置的每位残疾人按月足额缴纳了基本养老保险、基本医疗保险、失业保险、工伤保险和生育保险等社会保险费；</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通过银行等金融机构向安置的每位残疾人，按月支付了不低于单位所在区县适用的经省级人民政府批准的月最低工资标准的工资；</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提供本单位制造的货物、承担的工程或者服务（以下简称产品），或者提供其他残疾人福利性单位制造的货物（不包括使用非残疾人福利性单位注册商标的货物）。</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根据《关于调整优化节能产品、环境标志产品政府采购执行机制的通知》（财库〔2020〕9号）及《转发财政部 发展改革委 生态环境部 市场监管总局关于调整优化节能产品 环境标志产品政府采购执行机制的通知》（粤财采购函〔2020〕1号）的规定，对提供节能产品或环境标志产品的</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单位的价格给予一定比例扣除（扣除比例详见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提供节能产品或环境标志产品的供应商其产品应符合以下规定：</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所投产品属于《节能产品政府采购品目清单》或《环境标志产品政府采购品目清单》的，供应商应如实填写《节能产品或环境标志产品列价表》并提供在有效期内的“节能产品认证证书”或“环境标志产品认证证书”。</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所投节能产品或环境标志产品其认证证书的认证机构应属于《市场监管总局关于发布参与实施政府采购节能产品、环境标志产品认证机构名录的公告（2020年第16号）》公告中所公示的认证机构，若供应商所提供的产品认证证书其认证机构不属于以上公示中的机构，则视为无效认证，不给予价格扣除优惠。</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若用户需求中含有《节能产品政府采购品目清单》中的政府强制采购产品，供应商应根据要求提供所对应的节能产品，否则做</w:t>
      </w:r>
      <w:r>
        <w:rPr>
          <w:rFonts w:hint="eastAsia" w:cs="宋体"/>
          <w:color w:val="auto"/>
          <w:sz w:val="21"/>
          <w:szCs w:val="21"/>
          <w:highlight w:val="none"/>
          <w:lang w:eastAsia="zh-CN"/>
        </w:rPr>
        <w:t>响应</w:t>
      </w:r>
      <w:r>
        <w:rPr>
          <w:rFonts w:hint="eastAsia" w:ascii="宋体" w:hAnsi="宋体" w:eastAsia="宋体" w:cs="宋体"/>
          <w:color w:val="auto"/>
          <w:sz w:val="21"/>
          <w:szCs w:val="21"/>
          <w:highlight w:val="none"/>
        </w:rPr>
        <w:t>无效处理。</w:t>
      </w:r>
    </w:p>
    <w:p>
      <w:pPr>
        <w:bidi w:val="0"/>
        <w:rPr>
          <w:color w:val="auto"/>
          <w:highlight w:val="none"/>
        </w:rPr>
      </w:pPr>
    </w:p>
    <w:p>
      <w:pPr>
        <w:pStyle w:val="2"/>
        <w:keepNext w:val="0"/>
        <w:keepLines w:val="0"/>
        <w:spacing w:before="0" w:after="0" w:line="360" w:lineRule="auto"/>
        <w:jc w:val="center"/>
        <w:rPr>
          <w:rFonts w:ascii="宋体" w:hAnsi="宋体" w:eastAsia="宋体"/>
          <w:color w:val="auto"/>
          <w:sz w:val="24"/>
          <w:szCs w:val="21"/>
          <w:highlight w:val="none"/>
        </w:rPr>
      </w:pPr>
      <w:bookmarkStart w:id="150" w:name="_Toc21886"/>
      <w:bookmarkStart w:id="151" w:name="_Toc1066"/>
      <w:r>
        <w:rPr>
          <w:rFonts w:hint="eastAsia" w:ascii="宋体" w:hAnsi="宋体" w:eastAsia="宋体"/>
          <w:color w:val="auto"/>
          <w:sz w:val="24"/>
          <w:szCs w:val="21"/>
          <w:highlight w:val="none"/>
          <w:lang w:val="en-US" w:eastAsia="zh-CN"/>
        </w:rPr>
        <w:t>第六章</w:t>
      </w:r>
      <w:r>
        <w:rPr>
          <w:rFonts w:hint="eastAsia" w:ascii="宋体" w:hAnsi="宋体" w:eastAsia="宋体"/>
          <w:color w:val="auto"/>
          <w:sz w:val="24"/>
          <w:szCs w:val="21"/>
          <w:highlight w:val="none"/>
        </w:rPr>
        <w:t>确定成交供应商</w:t>
      </w:r>
      <w:bookmarkEnd w:id="150"/>
      <w:bookmarkEnd w:id="151"/>
    </w:p>
    <w:p>
      <w:pPr>
        <w:pStyle w:val="4"/>
        <w:keepNext w:val="0"/>
        <w:keepLines w:val="0"/>
        <w:numPr>
          <w:ilvl w:val="0"/>
          <w:numId w:val="3"/>
        </w:numPr>
        <w:adjustRightInd/>
        <w:spacing w:before="0" w:after="0" w:line="360" w:lineRule="auto"/>
        <w:rPr>
          <w:rFonts w:hAnsi="宋体"/>
          <w:color w:val="auto"/>
          <w:sz w:val="21"/>
          <w:szCs w:val="21"/>
          <w:highlight w:val="none"/>
        </w:rPr>
      </w:pPr>
      <w:bookmarkStart w:id="152" w:name="_Toc29068"/>
      <w:bookmarkStart w:id="153" w:name="_Toc19359"/>
      <w:r>
        <w:rPr>
          <w:rFonts w:hint="eastAsia" w:hAnsi="宋体"/>
          <w:color w:val="auto"/>
          <w:sz w:val="21"/>
          <w:szCs w:val="21"/>
          <w:highlight w:val="none"/>
        </w:rPr>
        <w:t>确定成交</w:t>
      </w:r>
      <w:bookmarkEnd w:id="152"/>
      <w:bookmarkEnd w:id="15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磋商小组完成评审工作后，出具评审报告，推荐3名以上成交候选供应商。符合法律法规允许的情况的，可以推荐2家成交候选供应商。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采购人从成交候选供应商名单中按照综合得分排序确定1名成交供应商。</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54" w:name="_Toc17569"/>
      <w:bookmarkStart w:id="155" w:name="_Toc3941"/>
      <w:r>
        <w:rPr>
          <w:rFonts w:hint="eastAsia" w:hAnsi="宋体"/>
          <w:color w:val="auto"/>
          <w:sz w:val="21"/>
          <w:szCs w:val="21"/>
          <w:highlight w:val="none"/>
        </w:rPr>
        <w:t>发布采购结果</w:t>
      </w:r>
      <w:bookmarkEnd w:id="154"/>
      <w:bookmarkEnd w:id="15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磋商小组提出评标书面报告和推荐成交意见报采购人确认后，采购代理机构将在指定的信息发布媒体上发布公告。</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公告期限为1个工作日。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结果公示发布后，成交单位应及时领取成交通知书。《成交通知书》是合同的一个组成部分，《成交通知书》对采购人和成交供应商均具有同等法律效力。</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成交供应商无正当理由不得放弃中标，因成交供应商放弃中标而对采购人造成的损失由放弃中标的成交供应商承担。</w:t>
      </w:r>
    </w:p>
    <w:p>
      <w:pPr>
        <w:pStyle w:val="7"/>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56" w:name="_Toc32414"/>
      <w:bookmarkStart w:id="157" w:name="_Toc29067"/>
      <w:r>
        <w:rPr>
          <w:rFonts w:hint="eastAsia" w:hAnsi="宋体"/>
          <w:color w:val="auto"/>
          <w:sz w:val="21"/>
          <w:szCs w:val="21"/>
          <w:highlight w:val="none"/>
        </w:rPr>
        <w:t>原件核查</w:t>
      </w:r>
      <w:bookmarkEnd w:id="156"/>
      <w:bookmarkEnd w:id="15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w:t>
      </w:r>
      <w:r>
        <w:rPr>
          <w:rFonts w:hint="eastAsia" w:ascii="宋体" w:hAnsi="宋体" w:eastAsia="宋体"/>
          <w:color w:val="auto"/>
          <w:sz w:val="21"/>
          <w:szCs w:val="21"/>
          <w:highlight w:val="none"/>
        </w:rPr>
        <w:t>采购代理机构及采购人有权对成交的供应商进行原件核查。</w:t>
      </w:r>
      <w:r>
        <w:rPr>
          <w:rFonts w:hint="eastAsia" w:ascii="宋体" w:hAnsi="宋体" w:eastAsia="宋体"/>
          <w:color w:val="auto"/>
          <w:sz w:val="21"/>
          <w:szCs w:val="21"/>
          <w:highlight w:val="none"/>
        </w:rPr>
        <w:t>成交供应商应在五个工作日内递交相关资质原件到采购代理机构办公地址或采购人指定地址进行核查。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成交供应商有下列情形之一的，取消中标资格：</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在规定时间内递交的原件数量、内容与采购人、采购代理机构要求不一致的；</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供应商有下列情形之一的，响应文件作无效处理，其报价无效：</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在规定时间内递交的原件数量、内容不符合采购人、采购代理机构要求的；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若供应商出现虚假应标情况，响应文件作无效处理，其报价、成交无效。并根据相关法律上报相关监管部门。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bidi w:val="0"/>
        <w:rPr>
          <w:color w:val="auto"/>
          <w:highlight w:val="none"/>
        </w:rPr>
      </w:pPr>
    </w:p>
    <w:p>
      <w:pPr>
        <w:pStyle w:val="2"/>
        <w:keepNext w:val="0"/>
        <w:keepLines w:val="0"/>
        <w:spacing w:before="0" w:after="0" w:line="360" w:lineRule="auto"/>
        <w:jc w:val="center"/>
        <w:rPr>
          <w:rFonts w:ascii="宋体" w:hAnsi="宋体" w:eastAsia="宋体"/>
          <w:color w:val="auto"/>
          <w:sz w:val="24"/>
          <w:szCs w:val="21"/>
          <w:highlight w:val="none"/>
        </w:rPr>
      </w:pPr>
      <w:bookmarkStart w:id="158" w:name="_Toc110953852"/>
      <w:bookmarkStart w:id="159" w:name="_Toc31756"/>
      <w:bookmarkStart w:id="160" w:name="_Toc3829"/>
      <w:bookmarkStart w:id="161" w:name="_Toc37756778"/>
      <w:bookmarkStart w:id="162" w:name="_Toc475249143"/>
      <w:r>
        <w:rPr>
          <w:rFonts w:hint="eastAsia" w:ascii="宋体" w:hAnsi="宋体" w:eastAsia="宋体"/>
          <w:color w:val="auto"/>
          <w:sz w:val="24"/>
          <w:szCs w:val="21"/>
          <w:highlight w:val="none"/>
          <w:lang w:val="en-US" w:eastAsia="zh-CN"/>
        </w:rPr>
        <w:t>第七章</w:t>
      </w:r>
      <w:r>
        <w:rPr>
          <w:rFonts w:hint="eastAsia" w:ascii="宋体" w:hAnsi="宋体" w:eastAsia="宋体"/>
          <w:color w:val="auto"/>
          <w:sz w:val="24"/>
          <w:szCs w:val="21"/>
          <w:highlight w:val="none"/>
        </w:rPr>
        <w:t>签订合同</w:t>
      </w:r>
      <w:bookmarkEnd w:id="158"/>
      <w:bookmarkEnd w:id="159"/>
      <w:bookmarkEnd w:id="160"/>
      <w:bookmarkEnd w:id="161"/>
    </w:p>
    <w:p>
      <w:pPr>
        <w:pStyle w:val="4"/>
        <w:keepNext w:val="0"/>
        <w:keepLines w:val="0"/>
        <w:numPr>
          <w:ilvl w:val="0"/>
          <w:numId w:val="3"/>
        </w:numPr>
        <w:adjustRightInd/>
        <w:spacing w:before="0" w:after="0" w:line="360" w:lineRule="auto"/>
        <w:rPr>
          <w:rFonts w:hAnsi="宋体"/>
          <w:color w:val="auto"/>
          <w:sz w:val="21"/>
          <w:szCs w:val="21"/>
          <w:highlight w:val="none"/>
        </w:rPr>
      </w:pPr>
      <w:bookmarkStart w:id="163" w:name="_Toc29253"/>
      <w:bookmarkStart w:id="164" w:name="_Toc18000"/>
      <w:r>
        <w:rPr>
          <w:rFonts w:hint="eastAsia" w:hAnsi="宋体"/>
          <w:color w:val="auto"/>
          <w:sz w:val="21"/>
          <w:szCs w:val="21"/>
          <w:highlight w:val="none"/>
        </w:rPr>
        <w:t>签订合同</w:t>
      </w:r>
      <w:bookmarkEnd w:id="163"/>
      <w:bookmarkEnd w:id="164"/>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采购人与成交供应商应当在成交通知书发出之日起30日内，按照采购文件确定的事项签订政府采购合同。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合同内容不得与磋商文件和响应文件内容有实质性偏离。</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合同签订之日起2个工作日内，成交供应商应将所签订的合同副本（加盖公章）交至广东政通招标有限公司归档。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拒绝签订政府采购合同的，采购人可以按照评审报告中推荐的其他成交候选人以由高到低原则确定其他供应商作为成交供应商并签订政府采购合同，也可以重新开展采购活动。拒绝签订政府采购合同的成交供应商不得参加对该项目重新开展的采购活动。</w:t>
      </w:r>
    </w:p>
    <w:p>
      <w:pPr>
        <w:bidi w:val="0"/>
        <w:rPr>
          <w:color w:val="auto"/>
          <w:highlight w:val="none"/>
        </w:rPr>
      </w:pPr>
    </w:p>
    <w:p>
      <w:pPr>
        <w:pStyle w:val="2"/>
        <w:keepNext w:val="0"/>
        <w:keepLines w:val="0"/>
        <w:spacing w:before="0" w:after="0" w:line="360" w:lineRule="auto"/>
        <w:jc w:val="center"/>
        <w:rPr>
          <w:rFonts w:ascii="宋体" w:hAnsi="宋体" w:eastAsia="宋体"/>
          <w:color w:val="auto"/>
          <w:sz w:val="24"/>
          <w:szCs w:val="21"/>
          <w:highlight w:val="none"/>
        </w:rPr>
      </w:pPr>
      <w:bookmarkStart w:id="165" w:name="_Toc12802"/>
      <w:bookmarkStart w:id="166" w:name="_Toc8165"/>
      <w:r>
        <w:rPr>
          <w:rFonts w:hint="eastAsia" w:ascii="宋体" w:hAnsi="宋体" w:eastAsia="宋体"/>
          <w:color w:val="auto"/>
          <w:sz w:val="24"/>
          <w:szCs w:val="21"/>
          <w:highlight w:val="none"/>
          <w:lang w:val="en-US" w:eastAsia="zh-CN"/>
        </w:rPr>
        <w:t>第八章</w:t>
      </w:r>
      <w:r>
        <w:rPr>
          <w:rFonts w:hint="eastAsia" w:ascii="宋体" w:hAnsi="宋体" w:eastAsia="宋体"/>
          <w:color w:val="auto"/>
          <w:sz w:val="24"/>
          <w:szCs w:val="21"/>
          <w:highlight w:val="none"/>
        </w:rPr>
        <w:t>询问或质疑</w:t>
      </w:r>
      <w:bookmarkEnd w:id="165"/>
      <w:bookmarkEnd w:id="166"/>
    </w:p>
    <w:p>
      <w:pPr>
        <w:pStyle w:val="4"/>
        <w:keepNext w:val="0"/>
        <w:keepLines w:val="0"/>
        <w:numPr>
          <w:ilvl w:val="0"/>
          <w:numId w:val="3"/>
        </w:numPr>
        <w:adjustRightInd/>
        <w:spacing w:before="0" w:after="0" w:line="360" w:lineRule="auto"/>
        <w:rPr>
          <w:rFonts w:hAnsi="宋体"/>
          <w:color w:val="auto"/>
          <w:sz w:val="21"/>
          <w:szCs w:val="21"/>
          <w:highlight w:val="none"/>
        </w:rPr>
      </w:pPr>
      <w:bookmarkStart w:id="167" w:name="_Toc452"/>
      <w:bookmarkStart w:id="168" w:name="_Toc18663"/>
      <w:r>
        <w:rPr>
          <w:rFonts w:hint="eastAsia" w:hAnsi="宋体"/>
          <w:color w:val="auto"/>
          <w:sz w:val="21"/>
          <w:szCs w:val="21"/>
          <w:highlight w:val="none"/>
        </w:rPr>
        <w:t>询问</w:t>
      </w:r>
      <w:bookmarkEnd w:id="167"/>
      <w:bookmarkEnd w:id="168"/>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供应商对政府采购活动事项（采购文件、采购过程和采购结果）有疑问的，可以按规定向采购代理机构提出询问。</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69" w:name="_Toc20114"/>
      <w:bookmarkStart w:id="170" w:name="_Toc17155"/>
      <w:r>
        <w:rPr>
          <w:rFonts w:hint="eastAsia" w:hAnsi="宋体"/>
          <w:color w:val="auto"/>
          <w:sz w:val="21"/>
          <w:szCs w:val="21"/>
          <w:highlight w:val="none"/>
        </w:rPr>
        <w:t>质疑</w:t>
      </w:r>
      <w:bookmarkEnd w:id="169"/>
      <w:bookmarkEnd w:id="170"/>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提出质疑的供应商应当是参与所质疑项目采购活动的供应商或是在规定的时间内已依法获取其可质疑的磋商文件的潜在供应商。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供应商在法定质疑期内须一次性提出针对同一采购程序环节的质疑，对同一采购程序环节的二次质疑采购代理机构不予受理。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供应商提出质疑应当提交质疑函和必要的证明材料（须注明法律依据），因缺少相关证明材料或证明材料存在不真实而导致的后果由供应商自行承担。</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不涉及对供应商利益造成损害的相关内容，不能作为质疑内容提交。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投诉人有下列行为之一的，属于虚假、恶意投诉，由财政部门列入不良行为记录名单，禁止其1至3年内参加全国范围内的政府采购活动：</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（一）捏造事实;</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（二）提供虚假材料;</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（三）以非法手段取得证明材料。证据来源的合法性存在明显疑问，投诉人无法证明其取得方式合法的，视为以非法手段取得证明材料。</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以联合体形式参加政府采购活动的，其质疑应当由组成联合体的所有供应商共同提出。</w:t>
      </w:r>
    </w:p>
    <w:p>
      <w:pPr>
        <w:bidi w:val="0"/>
        <w:rPr>
          <w:color w:val="auto"/>
          <w:highlight w:val="none"/>
        </w:rPr>
      </w:pPr>
    </w:p>
    <w:bookmarkEnd w:id="162"/>
    <w:p>
      <w:pPr>
        <w:pStyle w:val="2"/>
        <w:keepNext w:val="0"/>
        <w:keepLines w:val="0"/>
        <w:spacing w:before="0" w:after="0" w:line="360" w:lineRule="auto"/>
        <w:jc w:val="center"/>
        <w:rPr>
          <w:rFonts w:ascii="宋体" w:hAnsi="宋体" w:eastAsia="宋体"/>
          <w:color w:val="auto"/>
          <w:sz w:val="24"/>
          <w:szCs w:val="21"/>
          <w:highlight w:val="none"/>
        </w:rPr>
      </w:pPr>
      <w:bookmarkStart w:id="171" w:name="_Toc5551"/>
      <w:bookmarkStart w:id="172" w:name="_Toc5474"/>
      <w:r>
        <w:rPr>
          <w:rFonts w:hint="eastAsia" w:ascii="宋体" w:hAnsi="宋体" w:eastAsia="宋体"/>
          <w:color w:val="auto"/>
          <w:sz w:val="24"/>
          <w:szCs w:val="21"/>
          <w:highlight w:val="none"/>
          <w:lang w:val="en-US" w:eastAsia="zh-CN"/>
        </w:rPr>
        <w:t>第九章</w:t>
      </w:r>
      <w:r>
        <w:rPr>
          <w:rFonts w:hint="eastAsia" w:ascii="宋体" w:hAnsi="宋体" w:eastAsia="宋体"/>
          <w:color w:val="auto"/>
          <w:sz w:val="24"/>
          <w:szCs w:val="21"/>
          <w:highlight w:val="none"/>
        </w:rPr>
        <w:t>成交服务费</w:t>
      </w:r>
      <w:bookmarkEnd w:id="171"/>
      <w:bookmarkEnd w:id="172"/>
    </w:p>
    <w:p>
      <w:pPr>
        <w:pStyle w:val="4"/>
        <w:keepNext w:val="0"/>
        <w:keepLines w:val="0"/>
        <w:numPr>
          <w:ilvl w:val="0"/>
          <w:numId w:val="3"/>
        </w:numPr>
        <w:adjustRightInd/>
        <w:spacing w:before="0" w:after="0" w:line="360" w:lineRule="auto"/>
        <w:rPr>
          <w:rFonts w:hAnsi="宋体"/>
          <w:color w:val="auto"/>
          <w:sz w:val="21"/>
          <w:szCs w:val="21"/>
          <w:highlight w:val="none"/>
        </w:rPr>
      </w:pPr>
      <w:bookmarkStart w:id="173" w:name="_Toc9437"/>
      <w:bookmarkStart w:id="174" w:name="_Toc26991"/>
      <w:r>
        <w:rPr>
          <w:rFonts w:hint="eastAsia" w:hAnsi="宋体"/>
          <w:color w:val="auto"/>
          <w:sz w:val="21"/>
          <w:szCs w:val="21"/>
          <w:highlight w:val="none"/>
        </w:rPr>
        <w:t>成交服务费</w:t>
      </w:r>
      <w:bookmarkEnd w:id="173"/>
      <w:bookmarkEnd w:id="174"/>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成交供应商须向招标代理机构按如下标准和规定交纳成交服务费。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以《成交通知书》中规定的成交总金额作为收费的计算基数。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服务费的货币为人民币。</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服务费应由成交人在采购结果公示发出之后，成交通知书发出前交纳，不在报价中单列。</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服务费以转账或现金的形式支付，</w:t>
      </w:r>
      <w:bookmarkStart w:id="175" w:name="_Ref179619574"/>
      <w:r>
        <w:rPr>
          <w:rFonts w:hint="eastAsia" w:ascii="宋体" w:hAnsi="宋体" w:eastAsia="宋体"/>
          <w:color w:val="auto"/>
          <w:sz w:val="21"/>
          <w:szCs w:val="21"/>
          <w:highlight w:val="none"/>
        </w:rPr>
        <w:t>成交人应按照磋商文件中的规定交纳成交服务费。</w:t>
      </w:r>
      <w:bookmarkEnd w:id="175"/>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招标代理服务费汇入账号：</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收 款 人：广东政通招标有限公司</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spacing w:line="360" w:lineRule="auto"/>
        <w:ind w:firstLine="567"/>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p>
      <w:pPr>
        <w:bidi w:val="0"/>
        <w:rPr>
          <w:color w:val="auto"/>
          <w:highlight w:val="none"/>
        </w:rPr>
      </w:pPr>
    </w:p>
    <w:bookmarkEnd w:id="28"/>
    <w:bookmarkEnd w:id="29"/>
    <w:bookmarkEnd w:id="30"/>
    <w:bookmarkEnd w:id="31"/>
    <w:bookmarkEnd w:id="32"/>
    <w:bookmarkEnd w:id="33"/>
    <w:bookmarkEnd w:id="34"/>
    <w:bookmarkEnd w:id="35"/>
    <w:bookmarkEnd w:id="36"/>
    <w:bookmarkEnd w:id="37"/>
    <w:bookmarkEnd w:id="38"/>
    <w:p>
      <w:pPr>
        <w:pStyle w:val="2"/>
        <w:keepNext w:val="0"/>
        <w:keepLines w:val="0"/>
        <w:spacing w:before="0" w:after="0" w:line="360" w:lineRule="auto"/>
        <w:jc w:val="center"/>
        <w:rPr>
          <w:rFonts w:ascii="宋体" w:hAnsi="宋体" w:eastAsia="宋体"/>
          <w:color w:val="auto"/>
          <w:sz w:val="24"/>
          <w:szCs w:val="21"/>
          <w:highlight w:val="none"/>
        </w:rPr>
      </w:pPr>
      <w:bookmarkStart w:id="176" w:name="_Toc7834"/>
      <w:bookmarkStart w:id="177" w:name="_Toc18389"/>
      <w:bookmarkStart w:id="178" w:name="_Toc457975339"/>
      <w:bookmarkStart w:id="179" w:name="_Toc52021538"/>
      <w:bookmarkStart w:id="180" w:name="_Toc56353011"/>
      <w:bookmarkStart w:id="181" w:name="_Toc476976198"/>
      <w:bookmarkStart w:id="182" w:name="_Toc467049706"/>
      <w:bookmarkStart w:id="183" w:name="_Toc52027926"/>
      <w:bookmarkStart w:id="184" w:name="_Toc486671570"/>
      <w:bookmarkStart w:id="185" w:name="_Toc467236766"/>
      <w:bookmarkStart w:id="186" w:name="_Toc467050236"/>
      <w:bookmarkStart w:id="187" w:name="_Toc51939456"/>
      <w:bookmarkStart w:id="188" w:name="_Toc51756491"/>
      <w:r>
        <w:rPr>
          <w:rFonts w:hint="eastAsia" w:ascii="宋体" w:hAnsi="宋体" w:eastAsia="宋体"/>
          <w:color w:val="auto"/>
          <w:sz w:val="24"/>
          <w:szCs w:val="21"/>
          <w:highlight w:val="none"/>
          <w:lang w:val="en-US" w:eastAsia="zh-CN"/>
        </w:rPr>
        <w:t>第十章</w:t>
      </w:r>
      <w:r>
        <w:rPr>
          <w:rFonts w:hint="eastAsia" w:ascii="宋体" w:hAnsi="宋体" w:eastAsia="宋体"/>
          <w:color w:val="auto"/>
          <w:sz w:val="24"/>
          <w:szCs w:val="21"/>
          <w:highlight w:val="none"/>
        </w:rPr>
        <w:t>其他</w:t>
      </w:r>
      <w:bookmarkEnd w:id="176"/>
      <w:bookmarkEnd w:id="177"/>
    </w:p>
    <w:p>
      <w:pPr>
        <w:pStyle w:val="4"/>
        <w:keepNext w:val="0"/>
        <w:keepLines w:val="0"/>
        <w:numPr>
          <w:ilvl w:val="0"/>
          <w:numId w:val="3"/>
        </w:numPr>
        <w:adjustRightInd/>
        <w:spacing w:before="0" w:after="0" w:line="360" w:lineRule="auto"/>
        <w:rPr>
          <w:rFonts w:hAnsi="宋体"/>
          <w:color w:val="auto"/>
          <w:sz w:val="21"/>
          <w:szCs w:val="21"/>
          <w:highlight w:val="none"/>
        </w:rPr>
      </w:pPr>
      <w:bookmarkStart w:id="189" w:name="_Toc10953"/>
      <w:bookmarkStart w:id="190" w:name="_Toc31522"/>
      <w:r>
        <w:rPr>
          <w:rFonts w:hint="eastAsia" w:hAnsi="宋体"/>
          <w:color w:val="auto"/>
          <w:sz w:val="21"/>
          <w:szCs w:val="21"/>
          <w:highlight w:val="none"/>
        </w:rPr>
        <w:t>磋商文件的解释权</w:t>
      </w:r>
      <w:bookmarkEnd w:id="189"/>
      <w:bookmarkEnd w:id="190"/>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采购文件版本号：广东政通20210</w:t>
      </w:r>
      <w:r>
        <w:rPr>
          <w:rFonts w:hint="eastAsia" w:ascii="宋体" w:hAnsi="宋体"/>
          <w:color w:val="auto"/>
          <w:sz w:val="21"/>
          <w:szCs w:val="21"/>
          <w:highlight w:val="none"/>
          <w:lang w:val="en-US" w:eastAsia="zh-CN"/>
        </w:rPr>
        <w:t>618</w:t>
      </w:r>
      <w:r>
        <w:rPr>
          <w:rFonts w:hint="eastAsia" w:ascii="宋体" w:hAnsi="宋体" w:eastAsia="宋体"/>
          <w:color w:val="auto"/>
          <w:sz w:val="21"/>
          <w:szCs w:val="21"/>
          <w:highlight w:val="none"/>
        </w:rPr>
        <w:t>。</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本采购文件是根据国家有关法律、法规以及政府采购管理有关规定和参照国际惯例编制，解释权属本采购代理机构。</w:t>
      </w:r>
    </w:p>
    <w:p>
      <w:pPr>
        <w:bidi w:val="0"/>
        <w:rPr>
          <w:color w:val="auto"/>
          <w:highlight w:val="none"/>
        </w:rPr>
      </w:pPr>
      <w:r>
        <w:rPr>
          <w:color w:val="auto"/>
          <w:highlight w:val="none"/>
        </w:rPr>
        <w:br w:type="page"/>
      </w:r>
      <w:bookmarkEnd w:id="178"/>
      <w:bookmarkEnd w:id="179"/>
      <w:bookmarkEnd w:id="180"/>
      <w:bookmarkEnd w:id="181"/>
      <w:bookmarkEnd w:id="182"/>
      <w:bookmarkEnd w:id="183"/>
      <w:bookmarkEnd w:id="184"/>
      <w:bookmarkEnd w:id="185"/>
      <w:bookmarkEnd w:id="186"/>
      <w:bookmarkEnd w:id="187"/>
      <w:bookmarkEnd w:id="188"/>
    </w:p>
    <w:bookmarkEnd w:id="20"/>
    <w:p>
      <w:pPr>
        <w:pStyle w:val="2"/>
        <w:spacing w:before="0" w:after="0" w:line="240" w:lineRule="auto"/>
        <w:rPr>
          <w:rFonts w:hint="eastAsia"/>
          <w:color w:val="auto"/>
          <w:sz w:val="28"/>
          <w:szCs w:val="28"/>
          <w:highlight w:val="none"/>
        </w:rPr>
      </w:pPr>
      <w:bookmarkStart w:id="191" w:name="_Toc31854"/>
      <w:bookmarkStart w:id="192" w:name="_Toc7011"/>
      <w:bookmarkStart w:id="193" w:name="_Toc3162"/>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91"/>
      <w:bookmarkEnd w:id="192"/>
      <w:bookmarkEnd w:id="193"/>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94" w:name="_Toc31162"/>
      <w:bookmarkStart w:id="195" w:name="_Toc21448"/>
      <w:bookmarkStart w:id="196" w:name="_Toc12485"/>
      <w:r>
        <w:rPr>
          <w:rFonts w:hint="eastAsia" w:ascii="宋体" w:hAnsi="宋体"/>
          <w:color w:val="auto"/>
          <w:highlight w:val="none"/>
          <w:lang w:val="en-US" w:eastAsia="zh-CN"/>
        </w:rPr>
        <w:t>第一章 商务需求书</w:t>
      </w:r>
      <w:bookmarkEnd w:id="194"/>
    </w:p>
    <w:tbl>
      <w:tblPr>
        <w:tblStyle w:val="22"/>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cs="宋体"/>
                <w:bCs/>
                <w:color w:val="auto"/>
                <w:kern w:val="44"/>
                <w:sz w:val="21"/>
                <w:szCs w:val="21"/>
                <w:highlight w:val="none"/>
                <w:lang w:val="en-US" w:eastAsia="zh-CN"/>
              </w:rPr>
              <w:t>1年</w:t>
            </w:r>
            <w:r>
              <w:rPr>
                <w:rFonts w:hint="eastAsia" w:ascii="宋体" w:hAnsi="宋体" w:eastAsia="宋体" w:cs="宋体"/>
                <w:bCs/>
                <w:color w:val="auto"/>
                <w:kern w:val="44"/>
                <w:sz w:val="21"/>
                <w:szCs w:val="21"/>
                <w:highlight w:val="none"/>
              </w:rPr>
              <w:t>。</w:t>
            </w:r>
            <w:r>
              <w:rPr>
                <w:rFonts w:hint="eastAsia" w:ascii="宋体" w:hAnsi="宋体" w:cs="宋体"/>
                <w:bCs/>
                <w:color w:val="auto"/>
                <w:kern w:val="44"/>
                <w:sz w:val="21"/>
                <w:szCs w:val="21"/>
                <w:highlight w:val="none"/>
                <w:lang w:eastAsia="zh-CN"/>
              </w:rPr>
              <w:t>（</w:t>
            </w:r>
            <w:r>
              <w:rPr>
                <w:rFonts w:hint="eastAsia" w:ascii="宋体" w:hAnsi="宋体" w:cs="宋体"/>
                <w:bCs/>
                <w:color w:val="auto"/>
                <w:kern w:val="44"/>
                <w:sz w:val="21"/>
                <w:szCs w:val="21"/>
                <w:highlight w:val="none"/>
                <w:lang w:val="en-US" w:eastAsia="zh-CN"/>
              </w:rPr>
              <w:t>具体以合同签订时间为准</w:t>
            </w:r>
            <w:r>
              <w:rPr>
                <w:rFonts w:hint="eastAsia" w:ascii="宋体" w:hAnsi="宋体" w:cs="宋体"/>
                <w:bCs/>
                <w:color w:val="auto"/>
                <w:kern w:val="44"/>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88"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w:t>
            </w: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tabs>
                <w:tab w:val="left" w:pos="0"/>
                <w:tab w:val="left" w:pos="705"/>
              </w:tabs>
              <w:kinsoku/>
              <w:wordWrap/>
              <w:overflowPunct/>
              <w:topLinePunct w:val="0"/>
              <w:autoSpaceDE/>
              <w:autoSpaceDN/>
              <w:bidi w:val="0"/>
              <w:spacing w:line="360" w:lineRule="auto"/>
              <w:ind w:right="-178" w:rightChars="-85" w:firstLine="420" w:firstLineChars="200"/>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1.双方采取先送货后结</w:t>
            </w: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b w:val="0"/>
                <w:bCs w:val="0"/>
                <w:color w:val="auto"/>
                <w:sz w:val="21"/>
                <w:szCs w:val="21"/>
                <w:highlight w:val="none"/>
                <w:u w:val="none"/>
              </w:rPr>
              <w:t>款的方式，从第一次送货之日起，采购人每壹个月向成交供应商结清货款一次；双方应在合同有效期内每月1日前对好上期货款（遇节假日顺延）。成交供应商根据双方核对无误确认好的金额开具发票给采购人，采购人以转账方式将货款一次性全额转入成交供应商合同中书面指定的银行账户。</w:t>
            </w:r>
          </w:p>
          <w:p>
            <w:pPr>
              <w:keepNext w:val="0"/>
              <w:keepLines w:val="0"/>
              <w:pageBreakBefore w:val="0"/>
              <w:tabs>
                <w:tab w:val="left" w:pos="0"/>
                <w:tab w:val="left" w:pos="705"/>
              </w:tabs>
              <w:kinsoku/>
              <w:wordWrap/>
              <w:overflowPunct/>
              <w:topLinePunct w:val="0"/>
              <w:autoSpaceDE/>
              <w:autoSpaceDN/>
              <w:bidi w:val="0"/>
              <w:spacing w:line="360" w:lineRule="auto"/>
              <w:ind w:right="-178" w:rightChars="-85"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b w:val="0"/>
                <w:bCs w:val="0"/>
                <w:color w:val="auto"/>
                <w:sz w:val="21"/>
                <w:szCs w:val="21"/>
                <w:highlight w:val="none"/>
                <w:u w:val="none"/>
              </w:rPr>
              <w:t>2.合同签订后15个工作日内，由乙方提供银行履约保函，如是提供保函，保函应在供货合同期满之日起30天后，自动失效。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numPr>
                <w:ilvl w:val="0"/>
                <w:numId w:val="0"/>
              </w:numPr>
              <w:tabs>
                <w:tab w:val="left" w:pos="426"/>
              </w:tabs>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 w:val="0"/>
                <w:bCs/>
                <w:color w:val="auto"/>
                <w:szCs w:val="21"/>
                <w:highlight w:val="none"/>
              </w:rPr>
              <w:t>本项目</w:t>
            </w:r>
            <w:r>
              <w:rPr>
                <w:rFonts w:hint="eastAsia" w:ascii="宋体" w:hAnsi="宋体" w:cs="宋体"/>
                <w:b w:val="0"/>
                <w:bCs/>
                <w:color w:val="auto"/>
                <w:szCs w:val="21"/>
                <w:highlight w:val="none"/>
                <w:lang w:val="en-US" w:eastAsia="zh-CN"/>
              </w:rPr>
              <w:t>采用</w:t>
            </w:r>
            <w:r>
              <w:rPr>
                <w:rFonts w:hint="eastAsia" w:ascii="宋体" w:hAnsi="宋体" w:eastAsia="宋体" w:cs="宋体"/>
                <w:b w:val="0"/>
                <w:bCs/>
                <w:color w:val="auto"/>
                <w:szCs w:val="21"/>
                <w:highlight w:val="none"/>
              </w:rPr>
              <w:t>下浮率</w:t>
            </w:r>
            <w:r>
              <w:rPr>
                <w:rFonts w:hint="eastAsia" w:ascii="宋体" w:hAnsi="宋体" w:cs="宋体"/>
                <w:b w:val="0"/>
                <w:bCs/>
                <w:color w:val="auto"/>
                <w:szCs w:val="21"/>
                <w:highlight w:val="none"/>
                <w:lang w:val="en-US" w:eastAsia="zh-CN"/>
              </w:rPr>
              <w:t>报价</w:t>
            </w:r>
            <w:r>
              <w:rPr>
                <w:rFonts w:hint="eastAsia" w:ascii="宋体" w:hAnsi="宋体" w:eastAsia="宋体" w:cs="宋体"/>
                <w:b w:val="0"/>
                <w:bCs/>
                <w:color w:val="auto"/>
                <w:szCs w:val="21"/>
                <w:highlight w:val="none"/>
              </w:rPr>
              <w:t>，结算时统一采用以下方式计算费用：供货单价=（1-中标下浮率）*基准价。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定价方式</w:t>
            </w:r>
          </w:p>
        </w:tc>
        <w:tc>
          <w:tcPr>
            <w:tcW w:w="6466" w:type="dxa"/>
            <w:vAlign w:val="center"/>
          </w:tcPr>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1.蔬菜、鲜肉，采用每</w:t>
            </w:r>
            <w:r>
              <w:rPr>
                <w:rFonts w:hint="eastAsia" w:ascii="宋体" w:hAnsi="宋体" w:eastAsia="宋体" w:cs="宋体"/>
                <w:color w:val="auto"/>
                <w:sz w:val="21"/>
                <w:szCs w:val="21"/>
                <w:highlight w:val="none"/>
                <w:lang w:eastAsia="zh-CN"/>
              </w:rPr>
              <w:t>月</w:t>
            </w:r>
            <w:r>
              <w:rPr>
                <w:rFonts w:hint="eastAsia" w:ascii="宋体" w:hAnsi="宋体" w:eastAsia="宋体" w:cs="宋体"/>
                <w:color w:val="auto"/>
                <w:sz w:val="21"/>
                <w:szCs w:val="21"/>
                <w:highlight w:val="none"/>
              </w:rPr>
              <w:t>根据清单报价，在</w:t>
            </w:r>
            <w:r>
              <w:rPr>
                <w:rFonts w:hint="eastAsia" w:ascii="宋体" w:hAnsi="宋体" w:eastAsia="宋体" w:cs="宋体"/>
                <w:color w:val="auto"/>
                <w:sz w:val="21"/>
                <w:szCs w:val="21"/>
                <w:highlight w:val="none"/>
                <w:lang w:eastAsia="zh-CN"/>
              </w:rPr>
              <w:t>一月</w:t>
            </w:r>
            <w:r>
              <w:rPr>
                <w:rFonts w:hint="eastAsia" w:ascii="宋体" w:hAnsi="宋体" w:eastAsia="宋体" w:cs="宋体"/>
                <w:color w:val="auto"/>
                <w:sz w:val="21"/>
                <w:szCs w:val="21"/>
                <w:highlight w:val="none"/>
              </w:rPr>
              <w:t>内双方不得以任何理由变更货物价格。</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2.粮油（大米、食用调和油、调味品、干货类）采用每月根据清单报价，在每月内双方不得以任何理由变更货物价格。</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3.核价原则（采购人参考价格原则）：采购人将根据城区内市场的市场批发价进行抽样调查，并结合城区市场的市场零售价进行综合平均，作为采购人参考价格原则。采购人将根据成交单位的清单报价进行核价，</w:t>
            </w:r>
            <w:r>
              <w:rPr>
                <w:rFonts w:hint="eastAsia" w:ascii="宋体" w:hAnsi="宋体" w:eastAsia="宋体" w:cs="宋体"/>
                <w:color w:val="auto"/>
                <w:kern w:val="0"/>
                <w:sz w:val="21"/>
                <w:szCs w:val="21"/>
                <w:highlight w:val="none"/>
              </w:rPr>
              <w:t>采购人和成交单位均可以以书面形式提出价格调整，</w:t>
            </w:r>
            <w:r>
              <w:rPr>
                <w:rFonts w:hint="eastAsia" w:ascii="宋体" w:hAnsi="宋体" w:eastAsia="宋体" w:cs="宋体"/>
                <w:color w:val="auto"/>
                <w:sz w:val="21"/>
                <w:szCs w:val="21"/>
                <w:highlight w:val="none"/>
              </w:rPr>
              <w:t>核价后的最新价格经双方确认生效后开始以新的价格执行。双方约定的供货物资价格在有效期内任何一方不得随意更改。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磋商</w:t>
            </w:r>
            <w:r>
              <w:rPr>
                <w:rFonts w:hint="eastAsia" w:ascii="宋体" w:hAnsi="宋体" w:eastAsia="宋体" w:cs="宋体"/>
                <w:color w:val="auto"/>
                <w:sz w:val="21"/>
                <w:szCs w:val="21"/>
                <w:highlight w:val="none"/>
              </w:rPr>
              <w:t>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rPr>
              <w:t>保密条款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供应商在实施货物供货期间，不得将供货的实际数量及供货地点泄露给其他企业或者个人，成交供应商必须指派相对固定的人员完成货物配送服务，并需将配送人员的详细资料报采购人备案，货物配送人员必须遵纪守法、品行良好，无违法犯罪记录。如需要更换配送人员，必须事先通知采购人并将其个人资料送采购人审批，审批合格者才能更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供应商</w:t>
            </w:r>
            <w:r>
              <w:rPr>
                <w:rFonts w:hint="eastAsia" w:ascii="宋体" w:hAnsi="宋体" w:eastAsia="宋体" w:cs="宋体"/>
                <w:color w:val="auto"/>
                <w:sz w:val="21"/>
                <w:szCs w:val="21"/>
                <w:highlight w:val="none"/>
              </w:rPr>
              <w:t>实质响应合同各条款。</w:t>
            </w:r>
          </w:p>
        </w:tc>
      </w:tr>
    </w:tbl>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eastAsia="宋体" w:cs="宋体"/>
          <w:b/>
          <w:color w:val="auto"/>
          <w:sz w:val="21"/>
          <w:szCs w:val="21"/>
          <w:highlight w:val="none"/>
        </w:rPr>
      </w:pPr>
      <w:bookmarkStart w:id="197" w:name="_Toc19981"/>
      <w:r>
        <w:rPr>
          <w:rFonts w:hint="eastAsia" w:ascii="宋体" w:hAnsi="宋体"/>
          <w:color w:val="auto"/>
          <w:highlight w:val="none"/>
          <w:lang w:val="en-US" w:eastAsia="zh-CN"/>
        </w:rPr>
        <w:t>第二章 技术需求书</w:t>
      </w:r>
      <w:bookmarkEnd w:id="197"/>
      <w:bookmarkStart w:id="198" w:name="_Toc255974603"/>
      <w:bookmarkStart w:id="199" w:name="_Toc374515868"/>
      <w:bookmarkStart w:id="200" w:name="_Toc373222960"/>
      <w:bookmarkStart w:id="201" w:name="_Toc258594147"/>
      <w:bookmarkStart w:id="202" w:name="_Toc258595211"/>
      <w:bookmarkStart w:id="203" w:name="_Toc373223049"/>
      <w:bookmarkStart w:id="204" w:name="_Toc257799726"/>
      <w:bookmarkStart w:id="205" w:name="_Toc14462"/>
      <w:bookmarkStart w:id="206" w:name="_Toc13112"/>
      <w:bookmarkStart w:id="207" w:name="_Toc31278"/>
      <w:bookmarkStart w:id="208" w:name="_Toc24679"/>
    </w:p>
    <w:p>
      <w:pPr>
        <w:pStyle w:val="5"/>
        <w:bidi w:val="0"/>
        <w:spacing w:before="0" w:after="0" w:line="360" w:lineRule="auto"/>
        <w:rPr>
          <w:rFonts w:hint="eastAsia" w:eastAsia="宋体" w:asciiTheme="majorAscii" w:hAnsiTheme="majorAscii"/>
          <w:color w:val="auto"/>
          <w:sz w:val="24"/>
          <w:highlight w:val="none"/>
          <w:lang w:val="en-US" w:eastAsia="zh-CN"/>
        </w:rPr>
      </w:pPr>
      <w:r>
        <w:rPr>
          <w:rFonts w:hint="eastAsia" w:eastAsia="宋体" w:asciiTheme="majorAscii" w:hAnsiTheme="majorAscii"/>
          <w:color w:val="auto"/>
          <w:sz w:val="24"/>
          <w:highlight w:val="none"/>
          <w:lang w:val="en-US" w:eastAsia="zh-CN"/>
        </w:rPr>
        <w:t>一、项目概述</w:t>
      </w:r>
      <w:bookmarkEnd w:id="198"/>
      <w:bookmarkEnd w:id="199"/>
      <w:bookmarkEnd w:id="200"/>
      <w:bookmarkEnd w:id="201"/>
      <w:bookmarkEnd w:id="202"/>
      <w:bookmarkEnd w:id="203"/>
      <w:bookmarkEnd w:id="204"/>
    </w:p>
    <w:p>
      <w:pPr>
        <w:keepNext w:val="0"/>
        <w:keepLines w:val="0"/>
        <w:pageBreakBefore w:val="0"/>
        <w:kinsoku/>
        <w:wordWrap/>
        <w:overflowPunct/>
        <w:topLinePunct w:val="0"/>
        <w:autoSpaceDE/>
        <w:autoSpaceDN/>
        <w:bidi w:val="0"/>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东莞市横沥镇敬老院</w:t>
      </w:r>
      <w:r>
        <w:rPr>
          <w:rFonts w:hint="eastAsia" w:ascii="宋体" w:hAnsi="宋体" w:eastAsia="宋体" w:cs="宋体"/>
          <w:color w:val="auto"/>
          <w:sz w:val="21"/>
          <w:szCs w:val="21"/>
          <w:highlight w:val="none"/>
        </w:rPr>
        <w:t>每日约</w:t>
      </w:r>
      <w:r>
        <w:rPr>
          <w:rFonts w:hint="eastAsia" w:ascii="宋体" w:hAnsi="宋体" w:cs="宋体"/>
          <w:b/>
          <w:bCs/>
          <w:color w:val="auto"/>
          <w:sz w:val="21"/>
          <w:szCs w:val="21"/>
          <w:highlight w:val="none"/>
          <w:lang w:val="en-US" w:eastAsia="zh-CN"/>
        </w:rPr>
        <w:t>55</w:t>
      </w:r>
      <w:r>
        <w:rPr>
          <w:rFonts w:hint="eastAsia" w:ascii="宋体" w:hAnsi="宋体" w:eastAsia="宋体" w:cs="宋体"/>
          <w:color w:val="auto"/>
          <w:sz w:val="21"/>
          <w:szCs w:val="21"/>
          <w:highlight w:val="none"/>
        </w:rPr>
        <w:t>人用餐，采购的具体数量和品种需根据每周的实际人员量而定。</w:t>
      </w:r>
      <w:bookmarkStart w:id="209" w:name="_Toc255974604"/>
      <w:bookmarkStart w:id="210" w:name="_Toc257799727"/>
      <w:bookmarkStart w:id="211" w:name="_Toc258595212"/>
      <w:bookmarkStart w:id="212" w:name="_Toc373222961"/>
      <w:bookmarkStart w:id="213" w:name="_Toc373223050"/>
      <w:bookmarkStart w:id="214" w:name="_Toc374515869"/>
      <w:bookmarkStart w:id="215" w:name="_Toc258594148"/>
    </w:p>
    <w:p>
      <w:pPr>
        <w:bidi w:val="0"/>
        <w:rPr>
          <w:rFonts w:hint="eastAsia"/>
          <w:color w:val="auto"/>
          <w:highlight w:val="none"/>
        </w:rPr>
      </w:pPr>
    </w:p>
    <w:p>
      <w:pPr>
        <w:pStyle w:val="5"/>
        <w:bidi w:val="0"/>
        <w:spacing w:before="0" w:after="0" w:line="360" w:lineRule="auto"/>
        <w:rPr>
          <w:rFonts w:hint="eastAsia" w:eastAsia="宋体" w:asciiTheme="majorAscii" w:hAnsiTheme="majorAscii"/>
          <w:color w:val="auto"/>
          <w:sz w:val="24"/>
          <w:highlight w:val="none"/>
          <w:lang w:val="en-US" w:eastAsia="zh-CN"/>
        </w:rPr>
      </w:pPr>
      <w:r>
        <w:rPr>
          <w:rFonts w:hint="eastAsia" w:eastAsia="宋体" w:asciiTheme="majorAscii" w:hAnsiTheme="majorAscii"/>
          <w:color w:val="auto"/>
          <w:sz w:val="24"/>
          <w:highlight w:val="none"/>
          <w:lang w:val="en-US" w:eastAsia="zh-CN"/>
        </w:rPr>
        <w:t>二、总体要求</w:t>
      </w:r>
      <w:bookmarkEnd w:id="209"/>
      <w:bookmarkEnd w:id="210"/>
      <w:bookmarkEnd w:id="211"/>
      <w:bookmarkEnd w:id="212"/>
      <w:bookmarkEnd w:id="213"/>
      <w:bookmarkEnd w:id="214"/>
      <w:bookmarkEnd w:id="215"/>
    </w:p>
    <w:p>
      <w:pPr>
        <w:keepNext w:val="0"/>
        <w:keepLines w:val="0"/>
        <w:pageBreakBefore w:val="0"/>
        <w:kinsoku/>
        <w:wordWrap/>
        <w:overflowPunct/>
        <w:topLinePunct w:val="0"/>
        <w:autoSpaceDE/>
        <w:autoSpaceDN/>
        <w:bidi w:val="0"/>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1.所供的物品必须符合“中华人民共和国食品安全法”要求。</w:t>
      </w:r>
    </w:p>
    <w:p>
      <w:pPr>
        <w:keepNext w:val="0"/>
        <w:keepLines w:val="0"/>
        <w:pageBreakBefore w:val="0"/>
        <w:kinsoku/>
        <w:wordWrap/>
        <w:overflowPunct/>
        <w:topLinePunct w:val="0"/>
        <w:autoSpaceDE/>
        <w:autoSpaceDN/>
        <w:bidi w:val="0"/>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2.供应商应承诺所供的物品必须符合国家有关标准，保证无异味、无霉烂变质，如不符合响应文件所描述的质量标准，必须退货并承担违约责任。</w:t>
      </w:r>
    </w:p>
    <w:p>
      <w:pPr>
        <w:keepNext w:val="0"/>
        <w:keepLines w:val="0"/>
        <w:pageBreakBefore w:val="0"/>
        <w:kinsoku/>
        <w:wordWrap/>
        <w:overflowPunct/>
        <w:topLinePunct w:val="0"/>
        <w:autoSpaceDE/>
        <w:autoSpaceDN/>
        <w:bidi w:val="0"/>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3.提供商品必须符合国家行业生产及经营标准，货真价实，均能提供相应批次的合格检验证明。</w:t>
      </w:r>
    </w:p>
    <w:p>
      <w:pPr>
        <w:keepNext w:val="0"/>
        <w:keepLines w:val="0"/>
        <w:pageBreakBefore w:val="0"/>
        <w:kinsoku/>
        <w:wordWrap/>
        <w:overflowPunct/>
        <w:topLinePunct w:val="0"/>
        <w:autoSpaceDE/>
        <w:autoSpaceDN/>
        <w:bidi w:val="0"/>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4.货物必须各项技术指标完全符合国家有关质量检测、环保标准及产品出厂标准。</w:t>
      </w:r>
    </w:p>
    <w:p>
      <w:pPr>
        <w:keepNext w:val="0"/>
        <w:keepLines w:val="0"/>
        <w:pageBreakBefore w:val="0"/>
        <w:kinsoku/>
        <w:wordWrap/>
        <w:overflowPunct/>
        <w:topLinePunct w:val="0"/>
        <w:autoSpaceDE/>
        <w:autoSpaceDN/>
        <w:bidi w:val="0"/>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5.成交供应商必须负责货物的运输、质量检测等工作，所产生的费用由成交供应商负责。</w:t>
      </w:r>
    </w:p>
    <w:p>
      <w:pPr>
        <w:keepNext w:val="0"/>
        <w:keepLines w:val="0"/>
        <w:pageBreakBefore w:val="0"/>
        <w:kinsoku/>
        <w:wordWrap/>
        <w:overflowPunct/>
        <w:topLinePunct w:val="0"/>
        <w:autoSpaceDE/>
        <w:autoSpaceDN/>
        <w:bidi w:val="0"/>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6.物品具体需求量以实际供应前一天通知的为准。</w:t>
      </w:r>
    </w:p>
    <w:p>
      <w:pPr>
        <w:keepNext w:val="0"/>
        <w:keepLines w:val="0"/>
        <w:pageBreakBefore w:val="0"/>
        <w:kinsoku/>
        <w:wordWrap/>
        <w:overflowPunct/>
        <w:topLinePunct w:val="0"/>
        <w:autoSpaceDE/>
        <w:autoSpaceDN/>
        <w:bidi w:val="0"/>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7.成交供应商不得将成交项目转包、分包，否则采购人有权单方终止合同,由此产生的一切经济损失由成交供应商承担。</w:t>
      </w:r>
    </w:p>
    <w:p>
      <w:pPr>
        <w:keepNext w:val="0"/>
        <w:keepLines w:val="0"/>
        <w:pageBreakBefore w:val="0"/>
        <w:kinsoku/>
        <w:wordWrap/>
        <w:overflowPunct/>
        <w:topLinePunct w:val="0"/>
        <w:autoSpaceDE/>
        <w:autoSpaceDN/>
        <w:bidi w:val="0"/>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r>
        <w:rPr>
          <w:rFonts w:hint="eastAsia" w:ascii="宋体" w:hAnsi="宋体" w:eastAsia="宋体" w:cs="宋体"/>
          <w:color w:val="auto"/>
          <w:kern w:val="0"/>
          <w:sz w:val="21"/>
          <w:szCs w:val="21"/>
          <w:highlight w:val="none"/>
        </w:rPr>
        <w:t>由于采购人工作的特殊性，成交供应商应做好本单位工作人员的教育工作，遵守采购人各项规定。</w:t>
      </w:r>
    </w:p>
    <w:p>
      <w:pPr>
        <w:keepNext w:val="0"/>
        <w:keepLines w:val="0"/>
        <w:pageBreakBefore w:val="0"/>
        <w:kinsoku/>
        <w:wordWrap/>
        <w:overflowPunct/>
        <w:topLinePunct w:val="0"/>
        <w:autoSpaceDE/>
        <w:autoSpaceDN/>
        <w:bidi w:val="0"/>
        <w:spacing w:line="360" w:lineRule="auto"/>
        <w:ind w:firstLine="424" w:firstLineChars="202"/>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成交供应商除不可抗力，不得因其他任何理由延迟送货。采购人如遇特殊情况需推迟送货，应提前通知成交供应商。因成交供应商原因延误交货日期的（采购人要求推迟的除外），采购人有权自行采购，并由成交供应商承担由此产生的一切损失和费用。</w:t>
      </w:r>
    </w:p>
    <w:p>
      <w:pPr>
        <w:keepNext w:val="0"/>
        <w:keepLines w:val="0"/>
        <w:pageBreakBefore w:val="0"/>
        <w:kinsoku/>
        <w:wordWrap/>
        <w:overflowPunct/>
        <w:topLinePunct w:val="0"/>
        <w:autoSpaceDE/>
        <w:autoSpaceDN/>
        <w:bidi w:val="0"/>
        <w:spacing w:line="360" w:lineRule="auto"/>
        <w:ind w:firstLine="424" w:firstLineChars="202"/>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10.成交供应商不得变更供应商品，应严格按招标文件要求（含名称、规格和重量等）供应，否则，采购人有权拒收。如因市场流通问题确实需要变更的，应书面向采购人申请。</w:t>
      </w:r>
    </w:p>
    <w:p>
      <w:pPr>
        <w:keepNext w:val="0"/>
        <w:keepLines w:val="0"/>
        <w:pageBreakBefore w:val="0"/>
        <w:kinsoku/>
        <w:wordWrap/>
        <w:overflowPunct/>
        <w:topLinePunct w:val="0"/>
        <w:autoSpaceDE/>
        <w:autoSpaceDN/>
        <w:bidi w:val="0"/>
        <w:spacing w:line="360" w:lineRule="auto"/>
        <w:ind w:firstLine="424" w:firstLineChars="202"/>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11.采购人按合同对商品进行认真验收，对不符合规格要求的商品，供应商必须无条件退货。</w:t>
      </w:r>
    </w:p>
    <w:p>
      <w:pPr>
        <w:keepNext w:val="0"/>
        <w:keepLines w:val="0"/>
        <w:pageBreakBefore w:val="0"/>
        <w:kinsoku/>
        <w:wordWrap/>
        <w:overflowPunct/>
        <w:topLinePunct w:val="0"/>
        <w:autoSpaceDE/>
        <w:autoSpaceDN/>
        <w:bidi w:val="0"/>
        <w:spacing w:line="360" w:lineRule="auto"/>
        <w:ind w:firstLine="424" w:firstLineChars="202"/>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12.成交供应商须开具国家正式发票。成交供应商按供应商品的销售额开具发票。</w:t>
      </w:r>
      <w:bookmarkStart w:id="216" w:name="_Toc257799728"/>
      <w:bookmarkStart w:id="217" w:name="_Toc373223051"/>
      <w:bookmarkStart w:id="218" w:name="_Toc373222962"/>
      <w:bookmarkStart w:id="219" w:name="_Toc258594149"/>
      <w:bookmarkStart w:id="220" w:name="_Toc374515870"/>
      <w:bookmarkStart w:id="221" w:name="_Toc255974605"/>
      <w:bookmarkStart w:id="222" w:name="_Toc258595213"/>
    </w:p>
    <w:p>
      <w:pPr>
        <w:bidi w:val="0"/>
        <w:rPr>
          <w:rFonts w:hint="eastAsia"/>
          <w:color w:val="auto"/>
          <w:highlight w:val="none"/>
        </w:rPr>
      </w:pPr>
    </w:p>
    <w:p>
      <w:pPr>
        <w:pStyle w:val="5"/>
        <w:bidi w:val="0"/>
        <w:spacing w:before="0" w:after="0" w:line="360" w:lineRule="auto"/>
        <w:rPr>
          <w:rFonts w:hint="eastAsia" w:eastAsia="宋体" w:asciiTheme="majorAscii" w:hAnsiTheme="majorAscii"/>
          <w:color w:val="auto"/>
          <w:sz w:val="24"/>
          <w:highlight w:val="none"/>
          <w:lang w:val="en-US" w:eastAsia="zh-CN"/>
        </w:rPr>
      </w:pPr>
      <w:r>
        <w:rPr>
          <w:rFonts w:hint="eastAsia" w:eastAsia="宋体" w:asciiTheme="majorAscii" w:hAnsiTheme="majorAscii"/>
          <w:color w:val="auto"/>
          <w:sz w:val="24"/>
          <w:highlight w:val="none"/>
          <w:lang w:val="en-US" w:eastAsia="zh-CN"/>
        </w:rPr>
        <w:t>三、具体项目要求</w:t>
      </w:r>
      <w:bookmarkEnd w:id="216"/>
      <w:bookmarkEnd w:id="217"/>
      <w:bookmarkEnd w:id="218"/>
      <w:bookmarkEnd w:id="219"/>
      <w:bookmarkEnd w:id="220"/>
      <w:bookmarkEnd w:id="221"/>
      <w:bookmarkEnd w:id="222"/>
      <w:bookmarkStart w:id="223" w:name="_Toc373223052"/>
      <w:bookmarkStart w:id="224" w:name="_Toc373222963"/>
      <w:bookmarkStart w:id="225" w:name="_Toc374515871"/>
    </w:p>
    <w:bookmarkEnd w:id="223"/>
    <w:bookmarkEnd w:id="224"/>
    <w:bookmarkEnd w:id="225"/>
    <w:p>
      <w:pPr>
        <w:keepNext w:val="0"/>
        <w:keepLines w:val="0"/>
        <w:pageBreakBefore w:val="0"/>
        <w:kinsoku/>
        <w:wordWrap/>
        <w:overflowPunct/>
        <w:topLinePunct w:val="0"/>
        <w:autoSpaceDE/>
        <w:autoSpaceDN/>
        <w:bidi w:val="0"/>
        <w:spacing w:line="360" w:lineRule="auto"/>
        <w:ind w:right="-171" w:firstLine="424" w:firstLineChars="201"/>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（一）鲜肉（边猪）</w:t>
      </w:r>
    </w:p>
    <w:p>
      <w:pPr>
        <w:keepNext w:val="0"/>
        <w:keepLines w:val="0"/>
        <w:pageBreakBefore w:val="0"/>
        <w:numPr>
          <w:ilvl w:val="0"/>
          <w:numId w:val="0"/>
        </w:numPr>
        <w:tabs>
          <w:tab w:val="left" w:pos="540"/>
        </w:tabs>
        <w:kinsoku/>
        <w:wordWrap/>
        <w:overflowPunct/>
        <w:topLinePunct w:val="0"/>
        <w:autoSpaceDE/>
        <w:autoSpaceDN/>
        <w:bidi w:val="0"/>
        <w:snapToGrid w:val="0"/>
        <w:spacing w:line="360" w:lineRule="auto"/>
        <w:ind w:firstLine="420" w:firstLineChars="200"/>
        <w:rPr>
          <w:rStyle w:val="27"/>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所供货物应保持较好的外观和质量等级，严格遵守《动物检疫法》和《食物卫生法》等相关规定。符合国家食品部门的有关标准，保证无异味、无霉烂变质，肉类保证来源于正规肉联厂，供货时须提交肉联厂的验收单及当批次有效的动物检疫合格证复印件（原件备查），鲜肉确保每日新鲜</w:t>
      </w:r>
      <w:r>
        <w:rPr>
          <w:rStyle w:val="27"/>
          <w:rFonts w:hint="eastAsia" w:ascii="宋体" w:hAnsi="宋体" w:eastAsia="宋体" w:cs="宋体"/>
          <w:color w:val="auto"/>
          <w:sz w:val="21"/>
          <w:szCs w:val="21"/>
          <w:highlight w:val="none"/>
        </w:rPr>
        <w:t>、无异味。</w:t>
      </w:r>
    </w:p>
    <w:p>
      <w:pPr>
        <w:keepNext w:val="0"/>
        <w:keepLines w:val="0"/>
        <w:pageBreakBefore w:val="0"/>
        <w:kinsoku/>
        <w:wordWrap/>
        <w:overflowPunct/>
        <w:topLinePunct w:val="0"/>
        <w:autoSpaceDE/>
        <w:autoSpaceDN/>
        <w:bidi w:val="0"/>
        <w:snapToGrid w:val="0"/>
        <w:spacing w:line="360" w:lineRule="auto"/>
        <w:ind w:firstLine="424" w:firstLineChars="20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肉类基本要求：</w:t>
      </w:r>
    </w:p>
    <w:p>
      <w:pPr>
        <w:keepNext w:val="0"/>
        <w:keepLines w:val="0"/>
        <w:pageBreakBefore w:val="0"/>
        <w:kinsoku/>
        <w:wordWrap/>
        <w:overflowPunct/>
        <w:topLinePunct w:val="0"/>
        <w:autoSpaceDE/>
        <w:autoSpaceDN/>
        <w:bidi w:val="0"/>
        <w:snapToGrid w:val="0"/>
        <w:spacing w:line="360" w:lineRule="auto"/>
        <w:ind w:firstLine="422" w:firstLineChars="20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所供货物应保持较好的外观和质量等级，符合国家食品部门的有关标准，保证无异味、无霉烂变质，肉类保证来源于正规肉联厂，供货时须提交肉联厂的验收单及当批次有效的动物检疫合格证复印件（原件备查），鲜肉确保每日新鲜，冷冻肉要求肉体冻实而坚硬，无化冻现象，肉质紧密而有弹性，色泽均匀，不粘手，交货时干净、新鲜、无异味，冷冻鱼类要求鱼眼睛清亮，角膜透明，鳞片上覆有冻结的透明黏液层，皮肤天然色泽明显。</w:t>
      </w:r>
    </w:p>
    <w:p>
      <w:pPr>
        <w:keepNext w:val="0"/>
        <w:keepLines w:val="0"/>
        <w:pageBreakBefore w:val="0"/>
        <w:kinsoku/>
        <w:wordWrap/>
        <w:overflowPunct/>
        <w:topLinePunct w:val="0"/>
        <w:autoSpaceDE/>
        <w:autoSpaceDN/>
        <w:bidi w:val="0"/>
        <w:snapToGrid w:val="0"/>
        <w:spacing w:line="360" w:lineRule="auto"/>
        <w:ind w:firstLine="422" w:firstLineChars="20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2.所有货物规格符合采购人提交的日采购计划中明确的具体需求。</w:t>
      </w:r>
    </w:p>
    <w:p>
      <w:pPr>
        <w:keepNext w:val="0"/>
        <w:keepLines w:val="0"/>
        <w:pageBreakBefore w:val="0"/>
        <w:kinsoku/>
        <w:wordWrap/>
        <w:overflowPunct/>
        <w:topLinePunct w:val="0"/>
        <w:autoSpaceDE/>
        <w:autoSpaceDN/>
        <w:bidi w:val="0"/>
        <w:snapToGrid w:val="0"/>
        <w:spacing w:line="360" w:lineRule="auto"/>
        <w:ind w:firstLine="422" w:firstLineChars="20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冷冻禽类食品解冻后净重量不少于90％，冷冻肉类食品解冻后净重量不少于92%，冷冻水产类食品解冻后净重量不少于82%，解冻时间为4小时以内（室温20℃）。所有冷冻食品要求清晰列出产品品牌、规格、类型、包装方式、包装净重、含冰量等相关参数。</w:t>
      </w:r>
    </w:p>
    <w:p>
      <w:pPr>
        <w:keepNext w:val="0"/>
        <w:keepLines w:val="0"/>
        <w:pageBreakBefore w:val="0"/>
        <w:kinsoku/>
        <w:wordWrap/>
        <w:overflowPunct/>
        <w:topLinePunct w:val="0"/>
        <w:autoSpaceDE/>
        <w:autoSpaceDN/>
        <w:bidi w:val="0"/>
        <w:spacing w:line="360" w:lineRule="auto"/>
        <w:ind w:right="-171" w:firstLine="424" w:firstLineChars="201"/>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（二）瓜果蔬菜、辅料、佐料</w:t>
      </w:r>
    </w:p>
    <w:p>
      <w:pPr>
        <w:keepNext w:val="0"/>
        <w:keepLines w:val="0"/>
        <w:pageBreakBefore w:val="0"/>
        <w:kinsoku/>
        <w:wordWrap/>
        <w:overflowPunct/>
        <w:topLinePunct w:val="0"/>
        <w:autoSpaceDE/>
        <w:autoSpaceDN/>
        <w:bidi w:val="0"/>
        <w:spacing w:line="360" w:lineRule="auto"/>
        <w:ind w:firstLine="422" w:firstLineChars="20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1.供应产品的质量要求：</w:t>
      </w:r>
      <w:r>
        <w:rPr>
          <w:rFonts w:hint="eastAsia" w:ascii="宋体" w:hAnsi="宋体" w:eastAsia="宋体" w:cs="宋体"/>
          <w:bCs/>
          <w:color w:val="auto"/>
          <w:sz w:val="21"/>
          <w:szCs w:val="21"/>
          <w:highlight w:val="none"/>
        </w:rPr>
        <w:t>辅料、佐料类必须为正规厂家的产品，</w:t>
      </w:r>
      <w:r>
        <w:rPr>
          <w:rFonts w:hint="eastAsia" w:ascii="宋体" w:hAnsi="宋体" w:eastAsia="宋体" w:cs="宋体"/>
          <w:color w:val="auto"/>
          <w:sz w:val="21"/>
          <w:szCs w:val="21"/>
          <w:highlight w:val="none"/>
        </w:rPr>
        <w:t>瓜、果、蔬菜必须是优质货品，不得含有残留农药或污染物，成交供应商必须保证所供应的蔬菜符合卫生质量标准，同时承担因所供蔬菜问题引起的一切事故后果。</w:t>
      </w:r>
      <w:r>
        <w:rPr>
          <w:rFonts w:hint="eastAsia" w:ascii="宋体" w:hAnsi="宋体" w:eastAsia="宋体" w:cs="宋体"/>
          <w:color w:val="auto"/>
          <w:kern w:val="0"/>
          <w:sz w:val="21"/>
          <w:szCs w:val="21"/>
          <w:highlight w:val="none"/>
        </w:rPr>
        <w:t>卫生质量指标，应符合</w:t>
      </w:r>
      <w:r>
        <w:rPr>
          <w:rFonts w:hint="eastAsia" w:ascii="宋体" w:hAnsi="宋体" w:eastAsia="宋体" w:cs="宋体"/>
          <w:color w:val="auto"/>
          <w:sz w:val="21"/>
          <w:szCs w:val="21"/>
          <w:highlight w:val="none"/>
        </w:rPr>
        <w:t>我国无公害蔬菜上的卫生指标规定。</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63"/>
        <w:gridCol w:w="4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jc w:val="center"/>
        </w:trPr>
        <w:tc>
          <w:tcPr>
            <w:tcW w:w="3963" w:type="dxa"/>
            <w:noWrap w:val="0"/>
            <w:vAlign w:val="center"/>
          </w:tcPr>
          <w:p>
            <w:pPr>
              <w:keepNext w:val="0"/>
              <w:keepLines w:val="0"/>
              <w:pageBreakBefore w:val="0"/>
              <w:widowControl/>
              <w:kinsoku/>
              <w:wordWrap/>
              <w:overflowPunct/>
              <w:topLinePunct w:val="0"/>
              <w:autoSpaceDE/>
              <w:autoSpaceDN/>
              <w:bidi w:val="0"/>
              <w:spacing w:line="360" w:lineRule="auto"/>
              <w:ind w:leftChars="-193" w:hanging="405" w:hangingChars="192"/>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项目</w:t>
            </w:r>
          </w:p>
        </w:tc>
        <w:tc>
          <w:tcPr>
            <w:tcW w:w="4219"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指标（</w:t>
            </w:r>
            <w:r>
              <w:rPr>
                <w:rFonts w:hint="eastAsia" w:ascii="宋体" w:hAnsi="宋体" w:eastAsia="宋体" w:cs="宋体"/>
                <w:b/>
                <w:color w:val="auto"/>
                <w:sz w:val="21"/>
                <w:szCs w:val="21"/>
                <w:highlight w:val="none"/>
              </w:rPr>
              <w:t>mg/kg</w:t>
            </w:r>
            <w:r>
              <w:rPr>
                <w:rFonts w:hint="eastAsia" w:ascii="宋体" w:hAnsi="宋体" w:eastAsia="宋体" w:cs="宋体"/>
                <w:b/>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3963" w:type="dxa"/>
            <w:noWrap w:val="0"/>
            <w:vAlign w:val="top"/>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甲胺磷</w:t>
            </w:r>
          </w:p>
        </w:tc>
        <w:tc>
          <w:tcPr>
            <w:tcW w:w="4219"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3963" w:type="dxa"/>
            <w:noWrap w:val="0"/>
            <w:vAlign w:val="top"/>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甲拌磷</w:t>
            </w:r>
          </w:p>
        </w:tc>
        <w:tc>
          <w:tcPr>
            <w:tcW w:w="4219"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3963" w:type="dxa"/>
            <w:noWrap w:val="0"/>
            <w:vAlign w:val="top"/>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氧化乐果</w:t>
            </w:r>
          </w:p>
        </w:tc>
        <w:tc>
          <w:tcPr>
            <w:tcW w:w="4219"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3963" w:type="dxa"/>
            <w:noWrap w:val="0"/>
            <w:vAlign w:val="top"/>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甲基对硫磷</w:t>
            </w:r>
          </w:p>
        </w:tc>
        <w:tc>
          <w:tcPr>
            <w:tcW w:w="4219"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3963" w:type="dxa"/>
            <w:noWrap w:val="0"/>
            <w:vAlign w:val="top"/>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呋喃丹</w:t>
            </w:r>
          </w:p>
        </w:tc>
        <w:tc>
          <w:tcPr>
            <w:tcW w:w="4219"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3963" w:type="dxa"/>
            <w:noWrap w:val="0"/>
            <w:vAlign w:val="top"/>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百菌清</w:t>
            </w:r>
          </w:p>
        </w:tc>
        <w:tc>
          <w:tcPr>
            <w:tcW w:w="4219"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3963" w:type="dxa"/>
            <w:noWrap w:val="0"/>
            <w:vAlign w:val="top"/>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多菌灵</w:t>
            </w:r>
          </w:p>
        </w:tc>
        <w:tc>
          <w:tcPr>
            <w:tcW w:w="4219"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3963" w:type="dxa"/>
            <w:noWrap w:val="0"/>
            <w:vAlign w:val="top"/>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汞（以Hg计）</w:t>
            </w:r>
          </w:p>
        </w:tc>
        <w:tc>
          <w:tcPr>
            <w:tcW w:w="4219"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3963" w:type="dxa"/>
            <w:noWrap w:val="0"/>
            <w:vAlign w:val="top"/>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铅（以Pb计）</w:t>
            </w:r>
          </w:p>
        </w:tc>
        <w:tc>
          <w:tcPr>
            <w:tcW w:w="4219"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3963" w:type="dxa"/>
            <w:noWrap w:val="0"/>
            <w:vAlign w:val="top"/>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砷（以As计）</w:t>
            </w:r>
          </w:p>
        </w:tc>
        <w:tc>
          <w:tcPr>
            <w:tcW w:w="4219"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3963" w:type="dxa"/>
            <w:noWrap w:val="0"/>
            <w:vAlign w:val="top"/>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氟（以F计）</w:t>
            </w:r>
          </w:p>
        </w:tc>
        <w:tc>
          <w:tcPr>
            <w:tcW w:w="4219"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3963" w:type="dxa"/>
            <w:noWrap w:val="0"/>
            <w:vAlign w:val="top"/>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硝酸盐（以NaNO3计）</w:t>
            </w:r>
          </w:p>
        </w:tc>
        <w:tc>
          <w:tcPr>
            <w:tcW w:w="4219"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瓜果类≤600；叶菜根茎类≤1200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3963" w:type="dxa"/>
            <w:noWrap w:val="0"/>
            <w:vAlign w:val="top"/>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亚硝酸盐（以NaNO2计）</w:t>
            </w:r>
          </w:p>
        </w:tc>
        <w:tc>
          <w:tcPr>
            <w:tcW w:w="4219"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r>
    </w:tbl>
    <w:p>
      <w:pPr>
        <w:keepNext w:val="0"/>
        <w:keepLines w:val="0"/>
        <w:pageBreakBefore w:val="0"/>
        <w:widowControl/>
        <w:kinsoku/>
        <w:wordWrap/>
        <w:overflowPunct/>
        <w:topLinePunct w:val="0"/>
        <w:autoSpaceDE/>
        <w:autoSpaceDN/>
        <w:bidi w:val="0"/>
        <w:adjustRightInd w:val="0"/>
        <w:snapToGrid w:val="0"/>
        <w:spacing w:line="360" w:lineRule="auto"/>
        <w:ind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2.具体感观要求：</w:t>
      </w:r>
    </w:p>
    <w:p>
      <w:pPr>
        <w:keepNext w:val="0"/>
        <w:keepLines w:val="0"/>
        <w:pageBreakBefore w:val="0"/>
        <w:widowControl/>
        <w:kinsoku/>
        <w:wordWrap/>
        <w:overflowPunct/>
        <w:topLinePunct w:val="0"/>
        <w:autoSpaceDE/>
        <w:autoSpaceDN/>
        <w:bidi w:val="0"/>
        <w:adjustRightInd w:val="0"/>
        <w:snapToGrid w:val="0"/>
        <w:spacing w:line="360" w:lineRule="auto"/>
        <w:ind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从蔬菜色泽看，各种蔬菜都应具有本品种固有的颜色，大多数有发亮的光泽，以此显示蔬菜的成熟度及鲜嫩程度；</w:t>
      </w:r>
    </w:p>
    <w:p>
      <w:pPr>
        <w:keepNext w:val="0"/>
        <w:keepLines w:val="0"/>
        <w:pageBreakBefore w:val="0"/>
        <w:widowControl/>
        <w:kinsoku/>
        <w:wordWrap/>
        <w:overflowPunct/>
        <w:topLinePunct w:val="0"/>
        <w:autoSpaceDE/>
        <w:autoSpaceDN/>
        <w:bidi w:val="0"/>
        <w:adjustRightInd w:val="0"/>
        <w:snapToGrid w:val="0"/>
        <w:spacing w:line="360" w:lineRule="auto"/>
        <w:ind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从蔬菜气味看，多数蔬菜具有清馨、甘辛香、甜酸香等气味，可凭嗅觉识别不同品种的质量，不允许有腐烂变质的亚硝酸盐味和其他异常气味；</w:t>
      </w:r>
    </w:p>
    <w:p>
      <w:pPr>
        <w:keepNext w:val="0"/>
        <w:keepLines w:val="0"/>
        <w:pageBreakBefore w:val="0"/>
        <w:widowControl/>
        <w:kinsoku/>
        <w:wordWrap/>
        <w:overflowPunct/>
        <w:topLinePunct w:val="0"/>
        <w:autoSpaceDE/>
        <w:autoSpaceDN/>
        <w:bidi w:val="0"/>
        <w:adjustRightInd w:val="0"/>
        <w:snapToGrid w:val="0"/>
        <w:spacing w:line="360" w:lineRule="auto"/>
        <w:ind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从蔬菜滋味看，因品种不同而各异，多数蔬菜滋味甘淡、甜酸、清爽鲜美，少数具有辛酸、苦涩等特殊风味以刺激食欲，如失去本品种原有的滋即为异常；</w:t>
      </w:r>
    </w:p>
    <w:p>
      <w:pPr>
        <w:keepNext w:val="0"/>
        <w:keepLines w:val="0"/>
        <w:pageBreakBefore w:val="0"/>
        <w:widowControl/>
        <w:kinsoku/>
        <w:wordWrap/>
        <w:overflowPunct/>
        <w:topLinePunct w:val="0"/>
        <w:autoSpaceDE/>
        <w:autoSpaceDN/>
        <w:bidi w:val="0"/>
        <w:adjustRightInd w:val="0"/>
        <w:snapToGrid w:val="0"/>
        <w:spacing w:line="360" w:lineRule="auto"/>
        <w:ind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从蔬菜形态看，应尽量避免由于客观因素而造成的各种非正常、不新鲜的蔬菜，例如萎蔫、枯塌、损伤、病变、虫害侵蚀等引起的形态异常等。</w:t>
      </w:r>
    </w:p>
    <w:p>
      <w:pPr>
        <w:keepNext w:val="0"/>
        <w:keepLines w:val="0"/>
        <w:pageBreakBefore w:val="0"/>
        <w:widowControl/>
        <w:kinsoku/>
        <w:wordWrap/>
        <w:overflowPunct/>
        <w:topLinePunct w:val="0"/>
        <w:autoSpaceDE/>
        <w:autoSpaceDN/>
        <w:bidi w:val="0"/>
        <w:adjustRightInd w:val="0"/>
        <w:snapToGrid w:val="0"/>
        <w:spacing w:line="360" w:lineRule="auto"/>
        <w:ind w:righ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叶菜类：</w:t>
      </w:r>
      <w:r>
        <w:rPr>
          <w:rFonts w:hint="eastAsia" w:ascii="宋体" w:hAnsi="宋体" w:eastAsia="宋体" w:cs="宋体"/>
          <w:color w:val="auto"/>
          <w:sz w:val="21"/>
          <w:szCs w:val="21"/>
          <w:highlight w:val="none"/>
        </w:rPr>
        <w:t>大白菜、小白菜、菠菜、甘蓝、荠菜、空心菜、茼蒿、苋菜、芹菜等绿叶菜类。</w:t>
      </w:r>
    </w:p>
    <w:p>
      <w:pPr>
        <w:keepNext w:val="0"/>
        <w:keepLines w:val="0"/>
        <w:pageBreakBefore w:val="0"/>
        <w:widowControl/>
        <w:kinsoku/>
        <w:wordWrap/>
        <w:overflowPunct/>
        <w:topLinePunct w:val="0"/>
        <w:autoSpaceDE/>
        <w:autoSpaceDN/>
        <w:bidi w:val="0"/>
        <w:adjustRightInd w:val="0"/>
        <w:snapToGrid w:val="0"/>
        <w:spacing w:line="360" w:lineRule="auto"/>
        <w:ind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属同一品种规格，肉质鲜嫩形态好，色泽正常，茎基部削平，无枯黄叶、病叶、泥土、明显机械伤和病虫害伤，无烧心焦边、腐烂等现象，无抽苔（菜心除外），无畸形、异味，结球叶菜要结球适度，花椰菜应新鲜洁白，不带叶麸，无畸形花。</w:t>
      </w:r>
    </w:p>
    <w:p>
      <w:pPr>
        <w:keepNext w:val="0"/>
        <w:keepLines w:val="0"/>
        <w:pageBreakBefore w:val="0"/>
        <w:widowControl/>
        <w:kinsoku/>
        <w:wordWrap/>
        <w:overflowPunct/>
        <w:topLinePunct w:val="0"/>
        <w:autoSpaceDE/>
        <w:autoSpaceDN/>
        <w:bidi w:val="0"/>
        <w:adjustRightInd w:val="0"/>
        <w:snapToGrid w:val="0"/>
        <w:spacing w:line="360" w:lineRule="auto"/>
        <w:ind w:righ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茄果类：</w:t>
      </w:r>
      <w:r>
        <w:rPr>
          <w:rFonts w:hint="eastAsia" w:ascii="宋体" w:hAnsi="宋体" w:eastAsia="宋体" w:cs="宋体"/>
          <w:color w:val="auto"/>
          <w:sz w:val="21"/>
          <w:szCs w:val="21"/>
          <w:highlight w:val="none"/>
        </w:rPr>
        <w:t>番茄、茄子、甜椒、辣椒等。</w:t>
      </w:r>
    </w:p>
    <w:p>
      <w:pPr>
        <w:keepNext w:val="0"/>
        <w:keepLines w:val="0"/>
        <w:pageBreakBefore w:val="0"/>
        <w:widowControl/>
        <w:kinsoku/>
        <w:wordWrap/>
        <w:overflowPunct/>
        <w:topLinePunct w:val="0"/>
        <w:autoSpaceDE/>
        <w:autoSpaceDN/>
        <w:bidi w:val="0"/>
        <w:adjustRightInd w:val="0"/>
        <w:snapToGrid w:val="0"/>
        <w:spacing w:line="360" w:lineRule="auto"/>
        <w:ind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属同一品种规格，果实整洁，成熟度适中，番茄花蒂不明显，无裂果及空洞现象，茄果不能有裂蒂及果皮变硬现象，无腐烂、畸形、异味，无明显机械伤。</w:t>
      </w:r>
    </w:p>
    <w:p>
      <w:pPr>
        <w:keepNext w:val="0"/>
        <w:keepLines w:val="0"/>
        <w:pageBreakBefore w:val="0"/>
        <w:widowControl/>
        <w:kinsoku/>
        <w:wordWrap/>
        <w:overflowPunct/>
        <w:topLinePunct w:val="0"/>
        <w:autoSpaceDE/>
        <w:autoSpaceDN/>
        <w:bidi w:val="0"/>
        <w:adjustRightInd w:val="0"/>
        <w:snapToGrid w:val="0"/>
        <w:spacing w:line="360" w:lineRule="auto"/>
        <w:ind w:righ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瓜果类：</w:t>
      </w:r>
      <w:r>
        <w:rPr>
          <w:rFonts w:hint="eastAsia" w:ascii="宋体" w:hAnsi="宋体" w:eastAsia="宋体" w:cs="宋体"/>
          <w:color w:val="auto"/>
          <w:sz w:val="21"/>
          <w:szCs w:val="21"/>
          <w:highlight w:val="none"/>
        </w:rPr>
        <w:t>黄瓜、冬瓜、丝瓜、苦瓜、南瓜、毛节瓜等。</w:t>
      </w:r>
    </w:p>
    <w:p>
      <w:pPr>
        <w:keepNext w:val="0"/>
        <w:keepLines w:val="0"/>
        <w:pageBreakBefore w:val="0"/>
        <w:widowControl/>
        <w:kinsoku/>
        <w:wordWrap/>
        <w:overflowPunct/>
        <w:topLinePunct w:val="0"/>
        <w:autoSpaceDE/>
        <w:autoSpaceDN/>
        <w:bidi w:val="0"/>
        <w:adjustRightInd w:val="0"/>
        <w:snapToGrid w:val="0"/>
        <w:spacing w:line="360" w:lineRule="auto"/>
        <w:ind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属同一品种规格，形状、色泽一致，瓜条均匀，无疤点，无断裂，无腐烂、畸形、异味、明显机械伤，不带泥土。</w:t>
      </w:r>
    </w:p>
    <w:p>
      <w:pPr>
        <w:keepNext w:val="0"/>
        <w:keepLines w:val="0"/>
        <w:pageBreakBefore w:val="0"/>
        <w:widowControl/>
        <w:kinsoku/>
        <w:wordWrap/>
        <w:overflowPunct/>
        <w:topLinePunct w:val="0"/>
        <w:autoSpaceDE/>
        <w:autoSpaceDN/>
        <w:bidi w:val="0"/>
        <w:adjustRightInd w:val="0"/>
        <w:snapToGrid w:val="0"/>
        <w:spacing w:line="360" w:lineRule="auto"/>
        <w:ind w:righ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根菜类：</w:t>
      </w:r>
      <w:r>
        <w:rPr>
          <w:rFonts w:hint="eastAsia" w:ascii="宋体" w:hAnsi="宋体" w:eastAsia="宋体" w:cs="宋体"/>
          <w:color w:val="auto"/>
          <w:sz w:val="21"/>
          <w:szCs w:val="21"/>
          <w:highlight w:val="none"/>
        </w:rPr>
        <w:t>萝卜、胡萝卜等。</w:t>
      </w:r>
    </w:p>
    <w:p>
      <w:pPr>
        <w:keepNext w:val="0"/>
        <w:keepLines w:val="0"/>
        <w:pageBreakBefore w:val="0"/>
        <w:widowControl/>
        <w:kinsoku/>
        <w:wordWrap/>
        <w:overflowPunct/>
        <w:topLinePunct w:val="0"/>
        <w:autoSpaceDE/>
        <w:autoSpaceDN/>
        <w:bidi w:val="0"/>
        <w:adjustRightInd w:val="0"/>
        <w:snapToGrid w:val="0"/>
        <w:spacing w:line="360" w:lineRule="auto"/>
        <w:ind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属同一品种规格，皮细光滑，大小均匀，肉质脆嫩致密新鲜，无腐烂、畸形、裂痕、糠心、异味，不带泥沙，不带茎叶和须根。</w:t>
      </w:r>
    </w:p>
    <w:p>
      <w:pPr>
        <w:keepNext w:val="0"/>
        <w:keepLines w:val="0"/>
        <w:pageBreakBefore w:val="0"/>
        <w:widowControl/>
        <w:kinsoku/>
        <w:wordWrap/>
        <w:overflowPunct/>
        <w:topLinePunct w:val="0"/>
        <w:autoSpaceDE/>
        <w:autoSpaceDN/>
        <w:bidi w:val="0"/>
        <w:adjustRightInd w:val="0"/>
        <w:snapToGrid w:val="0"/>
        <w:spacing w:line="360" w:lineRule="auto"/>
        <w:ind w:righ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薯芋类：</w:t>
      </w:r>
      <w:r>
        <w:rPr>
          <w:rFonts w:hint="eastAsia" w:ascii="宋体" w:hAnsi="宋体" w:eastAsia="宋体" w:cs="宋体"/>
          <w:color w:val="auto"/>
          <w:sz w:val="21"/>
          <w:szCs w:val="21"/>
          <w:highlight w:val="none"/>
        </w:rPr>
        <w:t>马铃薯、芋、姜等。</w:t>
      </w:r>
    </w:p>
    <w:p>
      <w:pPr>
        <w:keepNext w:val="0"/>
        <w:keepLines w:val="0"/>
        <w:pageBreakBefore w:val="0"/>
        <w:widowControl/>
        <w:kinsoku/>
        <w:wordWrap/>
        <w:overflowPunct/>
        <w:topLinePunct w:val="0"/>
        <w:autoSpaceDE/>
        <w:autoSpaceDN/>
        <w:bidi w:val="0"/>
        <w:adjustRightInd w:val="0"/>
        <w:snapToGrid w:val="0"/>
        <w:spacing w:line="360" w:lineRule="auto"/>
        <w:ind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属同一品种规格，色泽一致，不带泥沙，不带须根、茎叶，不干瘪，无腐烂、畸形、异味、明显机械伤、病虫害斑，马铃薯无发芽，皮不变绿。</w:t>
      </w:r>
    </w:p>
    <w:p>
      <w:pPr>
        <w:keepNext w:val="0"/>
        <w:keepLines w:val="0"/>
        <w:pageBreakBefore w:val="0"/>
        <w:widowControl/>
        <w:kinsoku/>
        <w:wordWrap/>
        <w:overflowPunct/>
        <w:topLinePunct w:val="0"/>
        <w:autoSpaceDE/>
        <w:autoSpaceDN/>
        <w:bidi w:val="0"/>
        <w:adjustRightInd w:val="0"/>
        <w:snapToGrid w:val="0"/>
        <w:spacing w:line="360" w:lineRule="auto"/>
        <w:ind w:righ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葱蒜类：</w:t>
      </w:r>
      <w:r>
        <w:rPr>
          <w:rFonts w:hint="eastAsia" w:ascii="宋体" w:hAnsi="宋体" w:eastAsia="宋体" w:cs="宋体"/>
          <w:color w:val="auto"/>
          <w:sz w:val="21"/>
          <w:szCs w:val="21"/>
          <w:highlight w:val="none"/>
        </w:rPr>
        <w:t>葱、蒜、韭菜、洋葱等。</w:t>
      </w:r>
    </w:p>
    <w:p>
      <w:pPr>
        <w:keepNext w:val="0"/>
        <w:keepLines w:val="0"/>
        <w:pageBreakBefore w:val="0"/>
        <w:widowControl/>
        <w:kinsoku/>
        <w:wordWrap/>
        <w:overflowPunct/>
        <w:topLinePunct w:val="0"/>
        <w:autoSpaceDE/>
        <w:autoSpaceDN/>
        <w:bidi w:val="0"/>
        <w:adjustRightInd w:val="0"/>
        <w:snapToGrid w:val="0"/>
        <w:spacing w:line="360" w:lineRule="auto"/>
        <w:ind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属同一品种规格，允许葱、青蒜类保留干净须根，葱、蒜、韭菜不带老叶，蒜头、洋葱去根去枯叶，可食部分新鲜幼嫩，无腐烂、畸形、异味。</w:t>
      </w:r>
    </w:p>
    <w:p>
      <w:pPr>
        <w:keepNext w:val="0"/>
        <w:keepLines w:val="0"/>
        <w:pageBreakBefore w:val="0"/>
        <w:widowControl/>
        <w:kinsoku/>
        <w:wordWrap/>
        <w:overflowPunct/>
        <w:topLinePunct w:val="0"/>
        <w:autoSpaceDE/>
        <w:autoSpaceDN/>
        <w:bidi w:val="0"/>
        <w:adjustRightInd w:val="0"/>
        <w:snapToGrid w:val="0"/>
        <w:spacing w:line="360" w:lineRule="auto"/>
        <w:ind w:righ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豆类：</w:t>
      </w:r>
      <w:r>
        <w:rPr>
          <w:rFonts w:hint="eastAsia" w:ascii="宋体" w:hAnsi="宋体" w:eastAsia="宋体" w:cs="宋体"/>
          <w:color w:val="auto"/>
          <w:sz w:val="21"/>
          <w:szCs w:val="21"/>
          <w:highlight w:val="none"/>
        </w:rPr>
        <w:t>扁豆、豌豆、毛豆等。</w:t>
      </w:r>
    </w:p>
    <w:p>
      <w:pPr>
        <w:keepNext w:val="0"/>
        <w:keepLines w:val="0"/>
        <w:pageBreakBefore w:val="0"/>
        <w:widowControl/>
        <w:kinsoku/>
        <w:wordWrap/>
        <w:overflowPunct/>
        <w:topLinePunct w:val="0"/>
        <w:autoSpaceDE/>
        <w:autoSpaceDN/>
        <w:bidi w:val="0"/>
        <w:adjustRightInd w:val="0"/>
        <w:snapToGrid w:val="0"/>
        <w:spacing w:line="360" w:lineRule="auto"/>
        <w:ind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属同一品种规格，形态完整，成熟度适中，无腐烂、畸形、异味，豆荚类新鲜、幼嫩、均匀，豆仁类籽粒饱满，较均匀，无发芽，不带泥土杂质。</w:t>
      </w:r>
    </w:p>
    <w:p>
      <w:pPr>
        <w:keepNext w:val="0"/>
        <w:keepLines w:val="0"/>
        <w:pageBreakBefore w:val="0"/>
        <w:widowControl/>
        <w:kinsoku/>
        <w:wordWrap/>
        <w:overflowPunct/>
        <w:topLinePunct w:val="0"/>
        <w:autoSpaceDE/>
        <w:autoSpaceDN/>
        <w:bidi w:val="0"/>
        <w:adjustRightInd w:val="0"/>
        <w:snapToGrid w:val="0"/>
        <w:spacing w:line="360" w:lineRule="auto"/>
        <w:ind w:righ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水生菜类：</w:t>
      </w:r>
      <w:r>
        <w:rPr>
          <w:rFonts w:hint="eastAsia" w:ascii="宋体" w:hAnsi="宋体" w:eastAsia="宋体" w:cs="宋体"/>
          <w:color w:val="auto"/>
          <w:sz w:val="21"/>
          <w:szCs w:val="21"/>
          <w:highlight w:val="none"/>
        </w:rPr>
        <w:t>藕、慈菇、茭白、马蹄、菱等。</w:t>
      </w:r>
    </w:p>
    <w:p>
      <w:pPr>
        <w:keepNext w:val="0"/>
        <w:keepLines w:val="0"/>
        <w:pageBreakBefore w:val="0"/>
        <w:widowControl/>
        <w:kinsoku/>
        <w:wordWrap/>
        <w:overflowPunct/>
        <w:topLinePunct w:val="0"/>
        <w:autoSpaceDE/>
        <w:autoSpaceDN/>
        <w:bidi w:val="0"/>
        <w:adjustRightInd w:val="0"/>
        <w:snapToGrid w:val="0"/>
        <w:spacing w:line="360" w:lineRule="auto"/>
        <w:ind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属同一品种规格，肉质嫩，成熟度适中，无腐烂、畸形、异味，无明显机械伤，不带泥土和杂质，不干瘪，茭白不黑心。</w:t>
      </w:r>
    </w:p>
    <w:p>
      <w:pPr>
        <w:keepNext w:val="0"/>
        <w:keepLines w:val="0"/>
        <w:pageBreakBefore w:val="0"/>
        <w:widowControl/>
        <w:kinsoku/>
        <w:wordWrap/>
        <w:overflowPunct/>
        <w:topLinePunct w:val="0"/>
        <w:autoSpaceDE/>
        <w:autoSpaceDN/>
        <w:bidi w:val="0"/>
        <w:adjustRightInd w:val="0"/>
        <w:snapToGrid w:val="0"/>
        <w:spacing w:line="360" w:lineRule="auto"/>
        <w:ind w:righ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食用菌类：</w:t>
      </w:r>
      <w:r>
        <w:rPr>
          <w:rFonts w:hint="eastAsia" w:ascii="宋体" w:hAnsi="宋体" w:eastAsia="宋体" w:cs="宋体"/>
          <w:color w:val="auto"/>
          <w:sz w:val="21"/>
          <w:szCs w:val="21"/>
          <w:highlight w:val="none"/>
        </w:rPr>
        <w:t>蘑菇、草菇、香菇、木耳等。</w:t>
      </w:r>
    </w:p>
    <w:p>
      <w:pPr>
        <w:keepNext w:val="0"/>
        <w:keepLines w:val="0"/>
        <w:pageBreakBefore w:val="0"/>
        <w:widowControl/>
        <w:kinsoku/>
        <w:wordWrap/>
        <w:overflowPunct/>
        <w:topLinePunct w:val="0"/>
        <w:autoSpaceDE/>
        <w:autoSpaceDN/>
        <w:bidi w:val="0"/>
        <w:adjustRightInd w:val="0"/>
        <w:snapToGrid w:val="0"/>
        <w:spacing w:line="360" w:lineRule="auto"/>
        <w:ind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属同一品种规格，蘑菇、草菇菌盖圆整略展开，柄粗壮，菌膜紧，菇柄切削平整，不浸泡水（蘑菇允许浸盐水保鲜），新鲜，无杂质，无畸形菇，无腐烂、异味。</w:t>
      </w:r>
    </w:p>
    <w:p>
      <w:pPr>
        <w:keepNext w:val="0"/>
        <w:keepLines w:val="0"/>
        <w:pageBreakBefore w:val="0"/>
        <w:widowControl/>
        <w:kinsoku/>
        <w:wordWrap/>
        <w:overflowPunct/>
        <w:topLinePunct w:val="0"/>
        <w:autoSpaceDE/>
        <w:autoSpaceDN/>
        <w:bidi w:val="0"/>
        <w:adjustRightInd w:val="0"/>
        <w:snapToGrid w:val="0"/>
        <w:spacing w:line="360" w:lineRule="auto"/>
        <w:ind w:righ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芽苗类：</w:t>
      </w:r>
      <w:r>
        <w:rPr>
          <w:rFonts w:hint="eastAsia" w:ascii="宋体" w:hAnsi="宋体" w:eastAsia="宋体" w:cs="宋体"/>
          <w:color w:val="auto"/>
          <w:sz w:val="21"/>
          <w:szCs w:val="21"/>
          <w:highlight w:val="none"/>
        </w:rPr>
        <w:t>绿豆芽、黄豆芽、香樁苗等。</w:t>
      </w:r>
    </w:p>
    <w:p>
      <w:pPr>
        <w:keepNext w:val="0"/>
        <w:keepLines w:val="0"/>
        <w:pageBreakBefore w:val="0"/>
        <w:widowControl/>
        <w:kinsoku/>
        <w:wordWrap/>
        <w:overflowPunct/>
        <w:topLinePunct w:val="0"/>
        <w:autoSpaceDE/>
        <w:autoSpaceDN/>
        <w:bidi w:val="0"/>
        <w:adjustRightInd w:val="0"/>
        <w:snapToGrid w:val="0"/>
        <w:spacing w:line="360" w:lineRule="auto"/>
        <w:ind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芽苗幼嫩，不带豆壳杂质，新鲜，不浸水，无腐烂、异味。</w:t>
      </w:r>
    </w:p>
    <w:p>
      <w:pPr>
        <w:keepNext w:val="0"/>
        <w:keepLines w:val="0"/>
        <w:pageBreakBefore w:val="0"/>
        <w:widowControl/>
        <w:kinsoku/>
        <w:wordWrap/>
        <w:overflowPunct/>
        <w:topLinePunct w:val="0"/>
        <w:autoSpaceDE/>
        <w:autoSpaceDN/>
        <w:bidi w:val="0"/>
        <w:adjustRightInd w:val="0"/>
        <w:snapToGrid w:val="0"/>
        <w:spacing w:line="360" w:lineRule="auto"/>
        <w:ind w:right="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（三）粮油（</w:t>
      </w:r>
      <w:r>
        <w:rPr>
          <w:rFonts w:hint="eastAsia" w:ascii="宋体" w:hAnsi="宋体" w:eastAsia="宋体" w:cs="宋体"/>
          <w:color w:val="auto"/>
          <w:sz w:val="21"/>
          <w:szCs w:val="21"/>
          <w:highlight w:val="none"/>
        </w:rPr>
        <w:t>大米、食用调和油</w:t>
      </w:r>
      <w:r>
        <w:rPr>
          <w:rFonts w:hint="eastAsia" w:ascii="宋体" w:hAnsi="宋体" w:eastAsia="宋体" w:cs="宋体"/>
          <w:b/>
          <w:bCs/>
          <w:color w:val="auto"/>
          <w:sz w:val="21"/>
          <w:szCs w:val="21"/>
          <w:highlight w:val="none"/>
        </w:rPr>
        <w:t>）</w:t>
      </w:r>
    </w:p>
    <w:p>
      <w:pPr>
        <w:keepNext w:val="0"/>
        <w:keepLines w:val="0"/>
        <w:pageBreakBefore w:val="0"/>
        <w:kinsoku/>
        <w:wordWrap/>
        <w:overflowPunct/>
        <w:topLinePunct w:val="0"/>
        <w:autoSpaceDE/>
        <w:autoSpaceDN/>
        <w:bidi w:val="0"/>
        <w:spacing w:line="360" w:lineRule="auto"/>
        <w:ind w:right="-171"/>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color w:val="auto"/>
          <w:sz w:val="21"/>
          <w:szCs w:val="21"/>
          <w:highlight w:val="none"/>
        </w:rPr>
        <w:t>供应产品的质量要求：</w:t>
      </w:r>
      <w:r>
        <w:rPr>
          <w:rFonts w:hint="eastAsia" w:ascii="宋体" w:hAnsi="宋体" w:eastAsia="宋体" w:cs="宋体"/>
          <w:bCs/>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①米、油货物必须符合卫生，不得有腐烂、变质、油脂酸败、霉变、生虫、污秽不结、混有异物或者其他感官性状异常，并可能对人体健康有害的物质。</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米、油要提供QS认证、国家机关发出的产品检验合格证书。包装食品：包装箱完整，同时包装箱要印有注册商标、生产厂家名称、厂址、出厂日期、产品合格证、保质期限、产品成份、厂家电话号码。散装豆类：提供生产厂家营业执照、卫生许可证、国家机关发出的产品检验合格证书。成交供应商所提供产品质量必须要符合行业标准要求，不得有掺假、变质、变味、过期等现象出现，严禁伪劣、假冒、无证不合格物品进入仓库。</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成交供应商在供应过程中，如果发生出现质量问题或造成食物中毒,如变质等情况，经查实后确属成交供应商责任，成交供应商应承担全部责任，主要包括食物中毒人员医疗费、误工费、事故处理费等，直至追究刑事责任。</w:t>
      </w:r>
    </w:p>
    <w:p>
      <w:pPr>
        <w:keepNext w:val="0"/>
        <w:keepLines w:val="0"/>
        <w:pageBreakBefore w:val="0"/>
        <w:kinsoku/>
        <w:wordWrap/>
        <w:overflowPunct/>
        <w:topLinePunct w:val="0"/>
        <w:autoSpaceDE/>
        <w:autoSpaceDN/>
        <w:bidi w:val="0"/>
        <w:snapToGrid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3.执行标准：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①</w:t>
      </w:r>
      <w:r>
        <w:rPr>
          <w:rFonts w:hint="eastAsia" w:ascii="宋体" w:hAnsi="宋体" w:eastAsia="宋体" w:cs="宋体"/>
          <w:color w:val="auto"/>
          <w:sz w:val="21"/>
          <w:szCs w:val="21"/>
          <w:highlight w:val="none"/>
        </w:rPr>
        <w:t>米类执行标准：ＧＢ1354-2009　 标准一级米，不含添加剂，重金属检测符合国家标准。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黄米粒按国家标准执行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②油类执行标准：ＳＢ｜T 10292-1998</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③油类质量要求：</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个食用油品种必须色泽好，透明度高，无浑浊，无沉淀和悬浮物，粘度小，无分层现象，气味正常，无酸臭异味。严格执行国家相关质量标准及卫生安全标准，色泽、气味、霉变、真菌毒素、重金属污染物、农药等严格控制在国家标准范围内（原粮及成品粮色泽、气味必须正常。  霉变粒不得超过2％。 真菌毒素：黄曲霉毒素B1 （5μg/kg～20μg/kg）、脱氧雪腐镰刀菌烯醇（≤1000μg/kg）、玉米赤霉烯酮（≤60μg/kg）、赭曲霉毒素A（5μg/kg）。重金属污染物：铅（≤0.2mg/kg）、镉(0.1 mg/kg～0.2 mg/kg)、汞（0.02 mg/kg）、无机砷（0.1 mg/kg～0.2 mg/kg）。 农药：对磷化物、马拉硫磷等140余种农药规定了最大残留限量）。并根据用户需求的食用油等级保质保量完成供货。要求提供的食用油生产厂家信誉良好，有明确的商品标签，有生产日期、保质期、质量等级，并标明初制油的加工工艺(即用浸出法生产，还是用压榨法生产的)和是否用转基因油料生产（</w:t>
      </w:r>
      <w:r>
        <w:rPr>
          <w:rFonts w:hint="eastAsia" w:ascii="宋体" w:hAnsi="宋体" w:eastAsia="宋体" w:cs="宋体"/>
          <w:color w:val="auto"/>
          <w:kern w:val="0"/>
          <w:sz w:val="21"/>
          <w:szCs w:val="21"/>
          <w:highlight w:val="none"/>
        </w:rPr>
        <w:t>标明是非转基因油料生产），</w:t>
      </w:r>
      <w:r>
        <w:rPr>
          <w:rFonts w:hint="eastAsia" w:ascii="宋体" w:hAnsi="宋体" w:eastAsia="宋体" w:cs="宋体"/>
          <w:color w:val="auto"/>
          <w:sz w:val="21"/>
          <w:szCs w:val="21"/>
          <w:highlight w:val="none"/>
        </w:rPr>
        <w:t>不许以次充好、以假充真。如将毛油当一级或二级油进行销售，将低价位的植物油掺入高价位植物油中进行销售，牟取暴利，一经查处，成交供应商将承担全部责任。</w:t>
      </w:r>
    </w:p>
    <w:p>
      <w:pPr>
        <w:keepNext w:val="0"/>
        <w:keepLines w:val="0"/>
        <w:pageBreakBefore w:val="0"/>
        <w:kinsoku/>
        <w:wordWrap/>
        <w:overflowPunct/>
        <w:topLinePunct w:val="0"/>
        <w:autoSpaceDE/>
        <w:autoSpaceDN/>
        <w:bidi w:val="0"/>
        <w:snapToGrid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（四）干货及腊味：</w:t>
      </w:r>
    </w:p>
    <w:p>
      <w:pPr>
        <w:keepNext w:val="0"/>
        <w:keepLines w:val="0"/>
        <w:pageBreakBefore w:val="0"/>
        <w:kinsoku/>
        <w:wordWrap/>
        <w:overflowPunct/>
        <w:topLinePunct w:val="0"/>
        <w:autoSpaceDE/>
        <w:autoSpaceDN/>
        <w:bidi w:val="0"/>
        <w:snapToGrid w:val="0"/>
        <w:spacing w:line="360" w:lineRule="auto"/>
        <w:ind w:firstLine="420" w:firstLineChars="200"/>
        <w:rPr>
          <w:rFonts w:hint="eastAsia" w:ascii="宋体" w:hAnsi="宋体" w:eastAsia="宋体" w:cs="宋体"/>
          <w:b/>
          <w:color w:val="auto"/>
          <w:sz w:val="21"/>
          <w:szCs w:val="21"/>
          <w:highlight w:val="none"/>
          <w:u w:val="single"/>
        </w:rPr>
      </w:pPr>
      <w:r>
        <w:rPr>
          <w:rFonts w:hint="eastAsia" w:ascii="宋体" w:hAnsi="宋体" w:eastAsia="宋体" w:cs="宋体"/>
          <w:color w:val="auto"/>
          <w:sz w:val="21"/>
          <w:szCs w:val="21"/>
          <w:highlight w:val="none"/>
        </w:rPr>
        <w:t>干货制品的质量基本标准要求符合国家相关行业标准，干爽，不霉烂、整齐、均匀、完整，无虫蛀、无杂质，保持应有的色泽。确保产品质量稳定，保证营养丰富、绿色安全、海味浓郁、易存放、食用方便，保质期长。从加工、包装、运输、贮存到销售全部符合国家规定标准。尤其是二氧化硫残留量、总砷含量不超过国家卫生标准；木耳类的水分含量不能超过国家标准要求，采购人可根据实际情况对需要的干货制品进行品质抽检，对质量未达到国家标准的干货制品采购人有权拒绝接受。</w:t>
      </w:r>
    </w:p>
    <w:p>
      <w:pPr>
        <w:keepNext w:val="0"/>
        <w:keepLines w:val="0"/>
        <w:pageBreakBefore w:val="0"/>
        <w:kinsoku/>
        <w:wordWrap/>
        <w:overflowPunct/>
        <w:topLinePunct w:val="0"/>
        <w:autoSpaceDE/>
        <w:autoSpaceDN/>
        <w:bidi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（五）采购清单</w:t>
      </w:r>
      <w:r>
        <w:rPr>
          <w:rFonts w:hint="eastAsia" w:ascii="宋体" w:hAnsi="宋体" w:eastAsia="宋体" w:cs="宋体"/>
          <w:color w:val="auto"/>
          <w:sz w:val="21"/>
          <w:szCs w:val="21"/>
          <w:highlight w:val="none"/>
        </w:rPr>
        <w:t>：</w:t>
      </w:r>
    </w:p>
    <w:p>
      <w:pPr>
        <w:keepNext w:val="0"/>
        <w:keepLines w:val="0"/>
        <w:pageBreakBefore w:val="0"/>
        <w:kinsoku/>
        <w:wordWrap/>
        <w:overflowPunct/>
        <w:topLinePunct w:val="0"/>
        <w:autoSpaceDE/>
        <w:autoSpaceDN/>
        <w:bidi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1.蔬菜瓜类</w:t>
      </w:r>
    </w:p>
    <w:tbl>
      <w:tblPr>
        <w:tblStyle w:val="22"/>
        <w:tblW w:w="814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590"/>
        <w:gridCol w:w="750"/>
        <w:gridCol w:w="1725"/>
        <w:gridCol w:w="675"/>
        <w:gridCol w:w="2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3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42"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590"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c>
          <w:tcPr>
            <w:tcW w:w="750"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72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c>
          <w:tcPr>
            <w:tcW w:w="67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2670"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5" w:type="dxa"/>
            <w:noWrap w:val="0"/>
            <w:vAlign w:val="center"/>
          </w:tcPr>
          <w:p>
            <w:pPr>
              <w:keepNext w:val="0"/>
              <w:keepLines w:val="0"/>
              <w:pageBreakBefore w:val="0"/>
              <w:numPr>
                <w:ilvl w:val="0"/>
                <w:numId w:val="20"/>
              </w:numPr>
              <w:kinsoku/>
              <w:wordWrap/>
              <w:overflowPunct/>
              <w:topLinePunct w:val="0"/>
              <w:autoSpaceDE/>
              <w:autoSpaceDN/>
              <w:bidi w:val="0"/>
              <w:spacing w:line="360" w:lineRule="auto"/>
              <w:rPr>
                <w:rFonts w:hint="eastAsia" w:ascii="宋体" w:hAnsi="宋体" w:eastAsia="宋体" w:cs="宋体"/>
                <w:color w:val="auto"/>
                <w:sz w:val="21"/>
                <w:szCs w:val="21"/>
                <w:highlight w:val="none"/>
              </w:rPr>
            </w:pPr>
          </w:p>
        </w:tc>
        <w:tc>
          <w:tcPr>
            <w:tcW w:w="1590"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通心菜</w:t>
            </w:r>
          </w:p>
        </w:tc>
        <w:tc>
          <w:tcPr>
            <w:tcW w:w="750" w:type="dxa"/>
            <w:noWrap w:val="0"/>
            <w:vAlign w:val="center"/>
          </w:tcPr>
          <w:p>
            <w:pPr>
              <w:keepNext w:val="0"/>
              <w:keepLines w:val="0"/>
              <w:pageBreakBefore w:val="0"/>
              <w:numPr>
                <w:ilvl w:val="0"/>
                <w:numId w:val="20"/>
              </w:numPr>
              <w:kinsoku/>
              <w:wordWrap/>
              <w:overflowPunct/>
              <w:topLinePunct w:val="0"/>
              <w:autoSpaceDE/>
              <w:autoSpaceDN/>
              <w:bidi w:val="0"/>
              <w:spacing w:line="360" w:lineRule="auto"/>
              <w:rPr>
                <w:rFonts w:hint="eastAsia" w:ascii="宋体" w:hAnsi="宋体" w:eastAsia="宋体" w:cs="宋体"/>
                <w:color w:val="auto"/>
                <w:sz w:val="21"/>
                <w:szCs w:val="21"/>
                <w:highlight w:val="none"/>
              </w:rPr>
            </w:pPr>
          </w:p>
        </w:tc>
        <w:tc>
          <w:tcPr>
            <w:tcW w:w="1725"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土豆</w:t>
            </w:r>
          </w:p>
        </w:tc>
        <w:tc>
          <w:tcPr>
            <w:tcW w:w="675" w:type="dxa"/>
            <w:noWrap w:val="0"/>
            <w:vAlign w:val="center"/>
          </w:tcPr>
          <w:p>
            <w:pPr>
              <w:keepNext w:val="0"/>
              <w:keepLines w:val="0"/>
              <w:pageBreakBefore w:val="0"/>
              <w:numPr>
                <w:ilvl w:val="0"/>
                <w:numId w:val="20"/>
              </w:numPr>
              <w:kinsoku/>
              <w:wordWrap/>
              <w:overflowPunct/>
              <w:topLinePunct w:val="0"/>
              <w:autoSpaceDE/>
              <w:autoSpaceDN/>
              <w:bidi w:val="0"/>
              <w:spacing w:line="360" w:lineRule="auto"/>
              <w:rPr>
                <w:rFonts w:hint="eastAsia" w:ascii="宋体" w:hAnsi="宋体" w:eastAsia="宋体" w:cs="宋体"/>
                <w:color w:val="auto"/>
                <w:sz w:val="21"/>
                <w:szCs w:val="21"/>
                <w:highlight w:val="none"/>
              </w:rPr>
            </w:pPr>
          </w:p>
        </w:tc>
        <w:tc>
          <w:tcPr>
            <w:tcW w:w="2670"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榨菜丝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35" w:type="dxa"/>
            <w:noWrap w:val="0"/>
            <w:vAlign w:val="center"/>
          </w:tcPr>
          <w:p>
            <w:pPr>
              <w:keepNext w:val="0"/>
              <w:keepLines w:val="0"/>
              <w:pageBreakBefore w:val="0"/>
              <w:numPr>
                <w:ilvl w:val="0"/>
                <w:numId w:val="20"/>
              </w:numPr>
              <w:kinsoku/>
              <w:wordWrap/>
              <w:overflowPunct/>
              <w:topLinePunct w:val="0"/>
              <w:autoSpaceDE/>
              <w:autoSpaceDN/>
              <w:bidi w:val="0"/>
              <w:spacing w:line="360" w:lineRule="auto"/>
              <w:rPr>
                <w:rFonts w:hint="eastAsia" w:ascii="宋体" w:hAnsi="宋体" w:eastAsia="宋体" w:cs="宋体"/>
                <w:color w:val="auto"/>
                <w:sz w:val="21"/>
                <w:szCs w:val="21"/>
                <w:highlight w:val="none"/>
              </w:rPr>
            </w:pPr>
          </w:p>
        </w:tc>
        <w:tc>
          <w:tcPr>
            <w:tcW w:w="1590"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春菜</w:t>
            </w:r>
          </w:p>
        </w:tc>
        <w:tc>
          <w:tcPr>
            <w:tcW w:w="750" w:type="dxa"/>
            <w:noWrap w:val="0"/>
            <w:vAlign w:val="center"/>
          </w:tcPr>
          <w:p>
            <w:pPr>
              <w:keepNext w:val="0"/>
              <w:keepLines w:val="0"/>
              <w:pageBreakBefore w:val="0"/>
              <w:numPr>
                <w:ilvl w:val="0"/>
                <w:numId w:val="20"/>
              </w:numPr>
              <w:kinsoku/>
              <w:wordWrap/>
              <w:overflowPunct/>
              <w:topLinePunct w:val="0"/>
              <w:autoSpaceDE/>
              <w:autoSpaceDN/>
              <w:bidi w:val="0"/>
              <w:spacing w:line="360" w:lineRule="auto"/>
              <w:rPr>
                <w:rFonts w:hint="eastAsia" w:ascii="宋体" w:hAnsi="宋体" w:eastAsia="宋体" w:cs="宋体"/>
                <w:color w:val="auto"/>
                <w:sz w:val="21"/>
                <w:szCs w:val="21"/>
                <w:highlight w:val="none"/>
              </w:rPr>
            </w:pPr>
          </w:p>
        </w:tc>
        <w:tc>
          <w:tcPr>
            <w:tcW w:w="1725"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西红柿</w:t>
            </w:r>
          </w:p>
        </w:tc>
        <w:tc>
          <w:tcPr>
            <w:tcW w:w="675" w:type="dxa"/>
            <w:noWrap w:val="0"/>
            <w:vAlign w:val="center"/>
          </w:tcPr>
          <w:p>
            <w:pPr>
              <w:keepNext w:val="0"/>
              <w:keepLines w:val="0"/>
              <w:pageBreakBefore w:val="0"/>
              <w:numPr>
                <w:ilvl w:val="0"/>
                <w:numId w:val="20"/>
              </w:numPr>
              <w:kinsoku/>
              <w:wordWrap/>
              <w:overflowPunct/>
              <w:topLinePunct w:val="0"/>
              <w:autoSpaceDE/>
              <w:autoSpaceDN/>
              <w:bidi w:val="0"/>
              <w:spacing w:line="360" w:lineRule="auto"/>
              <w:rPr>
                <w:rFonts w:hint="eastAsia" w:ascii="宋体" w:hAnsi="宋体" w:eastAsia="宋体" w:cs="宋体"/>
                <w:color w:val="auto"/>
                <w:sz w:val="21"/>
                <w:szCs w:val="21"/>
                <w:highlight w:val="none"/>
              </w:rPr>
            </w:pPr>
          </w:p>
        </w:tc>
        <w:tc>
          <w:tcPr>
            <w:tcW w:w="2670"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白豆角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5" w:type="dxa"/>
            <w:noWrap w:val="0"/>
            <w:vAlign w:val="center"/>
          </w:tcPr>
          <w:p>
            <w:pPr>
              <w:keepNext w:val="0"/>
              <w:keepLines w:val="0"/>
              <w:pageBreakBefore w:val="0"/>
              <w:numPr>
                <w:ilvl w:val="0"/>
                <w:numId w:val="20"/>
              </w:numPr>
              <w:kinsoku/>
              <w:wordWrap/>
              <w:overflowPunct/>
              <w:topLinePunct w:val="0"/>
              <w:autoSpaceDE/>
              <w:autoSpaceDN/>
              <w:bidi w:val="0"/>
              <w:spacing w:line="360" w:lineRule="auto"/>
              <w:rPr>
                <w:rFonts w:hint="eastAsia" w:ascii="宋体" w:hAnsi="宋体" w:eastAsia="宋体" w:cs="宋体"/>
                <w:color w:val="auto"/>
                <w:sz w:val="21"/>
                <w:szCs w:val="21"/>
                <w:highlight w:val="none"/>
              </w:rPr>
            </w:pPr>
          </w:p>
        </w:tc>
        <w:tc>
          <w:tcPr>
            <w:tcW w:w="1590"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小白菜</w:t>
            </w:r>
          </w:p>
        </w:tc>
        <w:tc>
          <w:tcPr>
            <w:tcW w:w="750" w:type="dxa"/>
            <w:noWrap w:val="0"/>
            <w:vAlign w:val="center"/>
          </w:tcPr>
          <w:p>
            <w:pPr>
              <w:keepNext w:val="0"/>
              <w:keepLines w:val="0"/>
              <w:pageBreakBefore w:val="0"/>
              <w:numPr>
                <w:ilvl w:val="0"/>
                <w:numId w:val="20"/>
              </w:numPr>
              <w:kinsoku/>
              <w:wordWrap/>
              <w:overflowPunct/>
              <w:topLinePunct w:val="0"/>
              <w:autoSpaceDE/>
              <w:autoSpaceDN/>
              <w:bidi w:val="0"/>
              <w:spacing w:line="360" w:lineRule="auto"/>
              <w:rPr>
                <w:rFonts w:hint="eastAsia" w:ascii="宋体" w:hAnsi="宋体" w:eastAsia="宋体" w:cs="宋体"/>
                <w:color w:val="auto"/>
                <w:sz w:val="21"/>
                <w:szCs w:val="21"/>
                <w:highlight w:val="none"/>
              </w:rPr>
            </w:pPr>
          </w:p>
        </w:tc>
        <w:tc>
          <w:tcPr>
            <w:tcW w:w="1725"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白萝卜</w:t>
            </w:r>
          </w:p>
        </w:tc>
        <w:tc>
          <w:tcPr>
            <w:tcW w:w="675" w:type="dxa"/>
            <w:noWrap w:val="0"/>
            <w:vAlign w:val="center"/>
          </w:tcPr>
          <w:p>
            <w:pPr>
              <w:keepNext w:val="0"/>
              <w:keepLines w:val="0"/>
              <w:pageBreakBefore w:val="0"/>
              <w:numPr>
                <w:ilvl w:val="0"/>
                <w:numId w:val="20"/>
              </w:numPr>
              <w:kinsoku/>
              <w:wordWrap/>
              <w:overflowPunct/>
              <w:topLinePunct w:val="0"/>
              <w:autoSpaceDE/>
              <w:autoSpaceDN/>
              <w:bidi w:val="0"/>
              <w:spacing w:line="360" w:lineRule="auto"/>
              <w:rPr>
                <w:rFonts w:hint="eastAsia" w:ascii="宋体" w:hAnsi="宋体" w:eastAsia="宋体" w:cs="宋体"/>
                <w:color w:val="auto"/>
                <w:sz w:val="21"/>
                <w:szCs w:val="21"/>
                <w:highlight w:val="none"/>
              </w:rPr>
            </w:pPr>
          </w:p>
        </w:tc>
        <w:tc>
          <w:tcPr>
            <w:tcW w:w="2670"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青豆角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35" w:type="dxa"/>
            <w:noWrap w:val="0"/>
            <w:vAlign w:val="center"/>
          </w:tcPr>
          <w:p>
            <w:pPr>
              <w:keepNext w:val="0"/>
              <w:keepLines w:val="0"/>
              <w:pageBreakBefore w:val="0"/>
              <w:numPr>
                <w:ilvl w:val="0"/>
                <w:numId w:val="20"/>
              </w:numPr>
              <w:kinsoku/>
              <w:wordWrap/>
              <w:overflowPunct/>
              <w:topLinePunct w:val="0"/>
              <w:autoSpaceDE/>
              <w:autoSpaceDN/>
              <w:bidi w:val="0"/>
              <w:spacing w:line="360" w:lineRule="auto"/>
              <w:rPr>
                <w:rFonts w:hint="eastAsia" w:ascii="宋体" w:hAnsi="宋体" w:eastAsia="宋体" w:cs="宋体"/>
                <w:color w:val="auto"/>
                <w:sz w:val="21"/>
                <w:szCs w:val="21"/>
                <w:highlight w:val="none"/>
              </w:rPr>
            </w:pPr>
          </w:p>
        </w:tc>
        <w:tc>
          <w:tcPr>
            <w:tcW w:w="1590"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小塘菜</w:t>
            </w:r>
          </w:p>
        </w:tc>
        <w:tc>
          <w:tcPr>
            <w:tcW w:w="750" w:type="dxa"/>
            <w:noWrap w:val="0"/>
            <w:vAlign w:val="center"/>
          </w:tcPr>
          <w:p>
            <w:pPr>
              <w:keepNext w:val="0"/>
              <w:keepLines w:val="0"/>
              <w:pageBreakBefore w:val="0"/>
              <w:numPr>
                <w:ilvl w:val="0"/>
                <w:numId w:val="20"/>
              </w:numPr>
              <w:tabs>
                <w:tab w:val="left" w:pos="261"/>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p>
        </w:tc>
        <w:tc>
          <w:tcPr>
            <w:tcW w:w="1725" w:type="dxa"/>
            <w:noWrap w:val="0"/>
            <w:vAlign w:val="center"/>
          </w:tcPr>
          <w:p>
            <w:pPr>
              <w:keepNext w:val="0"/>
              <w:keepLines w:val="0"/>
              <w:pageBreakBefore w:val="0"/>
              <w:widowControl/>
              <w:kinsoku/>
              <w:wordWrap/>
              <w:overflowPunct/>
              <w:topLinePunct w:val="0"/>
              <w:autoSpaceDE/>
              <w:autoSpaceDN/>
              <w:bidi w:val="0"/>
              <w:spacing w:line="360" w:lineRule="auto"/>
              <w:ind w:left="-288" w:leftChars="-137" w:firstLine="252" w:firstLineChars="12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红萝卜</w:t>
            </w:r>
          </w:p>
        </w:tc>
        <w:tc>
          <w:tcPr>
            <w:tcW w:w="675" w:type="dxa"/>
            <w:noWrap w:val="0"/>
            <w:vAlign w:val="center"/>
          </w:tcPr>
          <w:p>
            <w:pPr>
              <w:keepNext w:val="0"/>
              <w:keepLines w:val="0"/>
              <w:pageBreakBefore w:val="0"/>
              <w:numPr>
                <w:ilvl w:val="0"/>
                <w:numId w:val="20"/>
              </w:numP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2670"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南瓜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5" w:type="dxa"/>
            <w:noWrap w:val="0"/>
            <w:vAlign w:val="center"/>
          </w:tcPr>
          <w:p>
            <w:pPr>
              <w:keepNext w:val="0"/>
              <w:keepLines w:val="0"/>
              <w:pageBreakBefore w:val="0"/>
              <w:numPr>
                <w:ilvl w:val="0"/>
                <w:numId w:val="20"/>
              </w:numPr>
              <w:kinsoku/>
              <w:wordWrap/>
              <w:overflowPunct/>
              <w:topLinePunct w:val="0"/>
              <w:autoSpaceDE/>
              <w:autoSpaceDN/>
              <w:bidi w:val="0"/>
              <w:spacing w:line="360" w:lineRule="auto"/>
              <w:rPr>
                <w:rFonts w:hint="eastAsia" w:ascii="宋体" w:hAnsi="宋体" w:eastAsia="宋体" w:cs="宋体"/>
                <w:color w:val="auto"/>
                <w:sz w:val="21"/>
                <w:szCs w:val="21"/>
                <w:highlight w:val="none"/>
              </w:rPr>
            </w:pPr>
          </w:p>
        </w:tc>
        <w:tc>
          <w:tcPr>
            <w:tcW w:w="1590"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菜心</w:t>
            </w:r>
          </w:p>
        </w:tc>
        <w:tc>
          <w:tcPr>
            <w:tcW w:w="750" w:type="dxa"/>
            <w:noWrap w:val="0"/>
            <w:vAlign w:val="center"/>
          </w:tcPr>
          <w:p>
            <w:pPr>
              <w:keepNext w:val="0"/>
              <w:keepLines w:val="0"/>
              <w:pageBreakBefore w:val="0"/>
              <w:numPr>
                <w:ilvl w:val="0"/>
                <w:numId w:val="20"/>
              </w:numPr>
              <w:kinsoku/>
              <w:wordWrap/>
              <w:overflowPunct/>
              <w:topLinePunct w:val="0"/>
              <w:autoSpaceDE/>
              <w:autoSpaceDN/>
              <w:bidi w:val="0"/>
              <w:spacing w:line="360" w:lineRule="auto"/>
              <w:rPr>
                <w:rFonts w:hint="eastAsia" w:ascii="宋体" w:hAnsi="宋体" w:eastAsia="宋体" w:cs="宋体"/>
                <w:color w:val="auto"/>
                <w:sz w:val="21"/>
                <w:szCs w:val="21"/>
                <w:highlight w:val="none"/>
              </w:rPr>
            </w:pPr>
          </w:p>
        </w:tc>
        <w:tc>
          <w:tcPr>
            <w:tcW w:w="1725"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白瓜</w:t>
            </w:r>
          </w:p>
        </w:tc>
        <w:tc>
          <w:tcPr>
            <w:tcW w:w="675" w:type="dxa"/>
            <w:noWrap w:val="0"/>
            <w:vAlign w:val="center"/>
          </w:tcPr>
          <w:p>
            <w:pPr>
              <w:keepNext w:val="0"/>
              <w:keepLines w:val="0"/>
              <w:pageBreakBefore w:val="0"/>
              <w:numPr>
                <w:ilvl w:val="0"/>
                <w:numId w:val="20"/>
              </w:numP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2670"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云南小瓜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35" w:type="dxa"/>
            <w:noWrap w:val="0"/>
            <w:vAlign w:val="center"/>
          </w:tcPr>
          <w:p>
            <w:pPr>
              <w:keepNext w:val="0"/>
              <w:keepLines w:val="0"/>
              <w:pageBreakBefore w:val="0"/>
              <w:numPr>
                <w:ilvl w:val="0"/>
                <w:numId w:val="20"/>
              </w:numPr>
              <w:kinsoku/>
              <w:wordWrap/>
              <w:overflowPunct/>
              <w:topLinePunct w:val="0"/>
              <w:autoSpaceDE/>
              <w:autoSpaceDN/>
              <w:bidi w:val="0"/>
              <w:spacing w:line="360" w:lineRule="auto"/>
              <w:rPr>
                <w:rFonts w:hint="eastAsia" w:ascii="宋体" w:hAnsi="宋体" w:eastAsia="宋体" w:cs="宋体"/>
                <w:color w:val="auto"/>
                <w:sz w:val="21"/>
                <w:szCs w:val="21"/>
                <w:highlight w:val="none"/>
              </w:rPr>
            </w:pPr>
          </w:p>
        </w:tc>
        <w:tc>
          <w:tcPr>
            <w:tcW w:w="1590"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奶白菜</w:t>
            </w:r>
          </w:p>
        </w:tc>
        <w:tc>
          <w:tcPr>
            <w:tcW w:w="750" w:type="dxa"/>
            <w:noWrap w:val="0"/>
            <w:vAlign w:val="center"/>
          </w:tcPr>
          <w:p>
            <w:pPr>
              <w:keepNext w:val="0"/>
              <w:keepLines w:val="0"/>
              <w:pageBreakBefore w:val="0"/>
              <w:numPr>
                <w:ilvl w:val="0"/>
                <w:numId w:val="20"/>
              </w:numPr>
              <w:kinsoku/>
              <w:wordWrap/>
              <w:overflowPunct/>
              <w:topLinePunct w:val="0"/>
              <w:autoSpaceDE/>
              <w:autoSpaceDN/>
              <w:bidi w:val="0"/>
              <w:spacing w:line="360" w:lineRule="auto"/>
              <w:rPr>
                <w:rFonts w:hint="eastAsia" w:ascii="宋体" w:hAnsi="宋体" w:eastAsia="宋体" w:cs="宋体"/>
                <w:color w:val="auto"/>
                <w:sz w:val="21"/>
                <w:szCs w:val="21"/>
                <w:highlight w:val="none"/>
              </w:rPr>
            </w:pPr>
          </w:p>
        </w:tc>
        <w:tc>
          <w:tcPr>
            <w:tcW w:w="1725"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青瓜</w:t>
            </w:r>
          </w:p>
        </w:tc>
        <w:tc>
          <w:tcPr>
            <w:tcW w:w="675" w:type="dxa"/>
            <w:noWrap w:val="0"/>
            <w:vAlign w:val="center"/>
          </w:tcPr>
          <w:p>
            <w:pPr>
              <w:keepNext w:val="0"/>
              <w:keepLines w:val="0"/>
              <w:pageBreakBefore w:val="0"/>
              <w:numPr>
                <w:ilvl w:val="0"/>
                <w:numId w:val="20"/>
              </w:numP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2670"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浦瓜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5" w:type="dxa"/>
            <w:noWrap w:val="0"/>
            <w:vAlign w:val="center"/>
          </w:tcPr>
          <w:p>
            <w:pPr>
              <w:keepNext w:val="0"/>
              <w:keepLines w:val="0"/>
              <w:pageBreakBefore w:val="0"/>
              <w:numPr>
                <w:ilvl w:val="0"/>
                <w:numId w:val="20"/>
              </w:numPr>
              <w:kinsoku/>
              <w:wordWrap/>
              <w:overflowPunct/>
              <w:topLinePunct w:val="0"/>
              <w:autoSpaceDE/>
              <w:autoSpaceDN/>
              <w:bidi w:val="0"/>
              <w:spacing w:line="360" w:lineRule="auto"/>
              <w:rPr>
                <w:rFonts w:hint="eastAsia" w:ascii="宋体" w:hAnsi="宋体" w:eastAsia="宋体" w:cs="宋体"/>
                <w:color w:val="auto"/>
                <w:sz w:val="21"/>
                <w:szCs w:val="21"/>
                <w:highlight w:val="none"/>
              </w:rPr>
            </w:pPr>
          </w:p>
        </w:tc>
        <w:tc>
          <w:tcPr>
            <w:tcW w:w="1590"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芥菜</w:t>
            </w:r>
          </w:p>
        </w:tc>
        <w:tc>
          <w:tcPr>
            <w:tcW w:w="750" w:type="dxa"/>
            <w:noWrap w:val="0"/>
            <w:vAlign w:val="center"/>
          </w:tcPr>
          <w:p>
            <w:pPr>
              <w:keepNext w:val="0"/>
              <w:keepLines w:val="0"/>
              <w:pageBreakBefore w:val="0"/>
              <w:numPr>
                <w:ilvl w:val="0"/>
                <w:numId w:val="20"/>
              </w:numPr>
              <w:kinsoku/>
              <w:wordWrap/>
              <w:overflowPunct/>
              <w:topLinePunct w:val="0"/>
              <w:autoSpaceDE/>
              <w:autoSpaceDN/>
              <w:bidi w:val="0"/>
              <w:spacing w:line="360" w:lineRule="auto"/>
              <w:rPr>
                <w:rFonts w:hint="eastAsia" w:ascii="宋体" w:hAnsi="宋体" w:eastAsia="宋体" w:cs="宋体"/>
                <w:color w:val="auto"/>
                <w:sz w:val="21"/>
                <w:szCs w:val="21"/>
                <w:highlight w:val="none"/>
              </w:rPr>
            </w:pPr>
          </w:p>
        </w:tc>
        <w:tc>
          <w:tcPr>
            <w:tcW w:w="1725"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茄瓜</w:t>
            </w:r>
          </w:p>
        </w:tc>
        <w:tc>
          <w:tcPr>
            <w:tcW w:w="675" w:type="dxa"/>
            <w:noWrap w:val="0"/>
            <w:vAlign w:val="center"/>
          </w:tcPr>
          <w:p>
            <w:pPr>
              <w:keepNext w:val="0"/>
              <w:keepLines w:val="0"/>
              <w:pageBreakBefore w:val="0"/>
              <w:numPr>
                <w:ilvl w:val="0"/>
                <w:numId w:val="20"/>
              </w:numP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2670"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生菜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35" w:type="dxa"/>
            <w:noWrap w:val="0"/>
            <w:vAlign w:val="center"/>
          </w:tcPr>
          <w:p>
            <w:pPr>
              <w:keepNext w:val="0"/>
              <w:keepLines w:val="0"/>
              <w:pageBreakBefore w:val="0"/>
              <w:numPr>
                <w:ilvl w:val="0"/>
                <w:numId w:val="20"/>
              </w:numPr>
              <w:kinsoku/>
              <w:wordWrap/>
              <w:overflowPunct/>
              <w:topLinePunct w:val="0"/>
              <w:autoSpaceDE/>
              <w:autoSpaceDN/>
              <w:bidi w:val="0"/>
              <w:spacing w:line="360" w:lineRule="auto"/>
              <w:rPr>
                <w:rFonts w:hint="eastAsia" w:ascii="宋体" w:hAnsi="宋体" w:eastAsia="宋体" w:cs="宋体"/>
                <w:color w:val="auto"/>
                <w:sz w:val="21"/>
                <w:szCs w:val="21"/>
                <w:highlight w:val="none"/>
              </w:rPr>
            </w:pPr>
          </w:p>
        </w:tc>
        <w:tc>
          <w:tcPr>
            <w:tcW w:w="1590"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油麦菜</w:t>
            </w:r>
          </w:p>
        </w:tc>
        <w:tc>
          <w:tcPr>
            <w:tcW w:w="750" w:type="dxa"/>
            <w:noWrap w:val="0"/>
            <w:vAlign w:val="center"/>
          </w:tcPr>
          <w:p>
            <w:pPr>
              <w:keepNext w:val="0"/>
              <w:keepLines w:val="0"/>
              <w:pageBreakBefore w:val="0"/>
              <w:numPr>
                <w:ilvl w:val="0"/>
                <w:numId w:val="20"/>
              </w:numPr>
              <w:kinsoku/>
              <w:wordWrap/>
              <w:overflowPunct/>
              <w:topLinePunct w:val="0"/>
              <w:autoSpaceDE/>
              <w:autoSpaceDN/>
              <w:bidi w:val="0"/>
              <w:spacing w:line="360" w:lineRule="auto"/>
              <w:rPr>
                <w:rFonts w:hint="eastAsia" w:ascii="宋体" w:hAnsi="宋体" w:eastAsia="宋体" w:cs="宋体"/>
                <w:color w:val="auto"/>
                <w:sz w:val="21"/>
                <w:szCs w:val="21"/>
                <w:highlight w:val="none"/>
              </w:rPr>
            </w:pPr>
          </w:p>
        </w:tc>
        <w:tc>
          <w:tcPr>
            <w:tcW w:w="1725"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椰菜</w:t>
            </w:r>
          </w:p>
        </w:tc>
        <w:tc>
          <w:tcPr>
            <w:tcW w:w="675" w:type="dxa"/>
            <w:noWrap w:val="0"/>
            <w:vAlign w:val="center"/>
          </w:tcPr>
          <w:p>
            <w:pPr>
              <w:keepNext w:val="0"/>
              <w:keepLines w:val="0"/>
              <w:pageBreakBefore w:val="0"/>
              <w:numPr>
                <w:ilvl w:val="0"/>
                <w:numId w:val="20"/>
              </w:numP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2670"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大白菜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5" w:type="dxa"/>
            <w:noWrap w:val="0"/>
            <w:vAlign w:val="center"/>
          </w:tcPr>
          <w:p>
            <w:pPr>
              <w:keepNext w:val="0"/>
              <w:keepLines w:val="0"/>
              <w:pageBreakBefore w:val="0"/>
              <w:numPr>
                <w:ilvl w:val="0"/>
                <w:numId w:val="20"/>
              </w:numPr>
              <w:kinsoku/>
              <w:wordWrap/>
              <w:overflowPunct/>
              <w:topLinePunct w:val="0"/>
              <w:autoSpaceDE/>
              <w:autoSpaceDN/>
              <w:bidi w:val="0"/>
              <w:spacing w:line="360" w:lineRule="auto"/>
              <w:rPr>
                <w:rFonts w:hint="eastAsia" w:ascii="宋体" w:hAnsi="宋体" w:eastAsia="宋体" w:cs="宋体"/>
                <w:color w:val="auto"/>
                <w:sz w:val="21"/>
                <w:szCs w:val="21"/>
                <w:highlight w:val="none"/>
              </w:rPr>
            </w:pPr>
          </w:p>
        </w:tc>
        <w:tc>
          <w:tcPr>
            <w:tcW w:w="1590"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京包菜</w:t>
            </w:r>
          </w:p>
        </w:tc>
        <w:tc>
          <w:tcPr>
            <w:tcW w:w="750" w:type="dxa"/>
            <w:noWrap w:val="0"/>
            <w:vAlign w:val="center"/>
          </w:tcPr>
          <w:p>
            <w:pPr>
              <w:keepNext w:val="0"/>
              <w:keepLines w:val="0"/>
              <w:pageBreakBefore w:val="0"/>
              <w:numPr>
                <w:ilvl w:val="0"/>
                <w:numId w:val="20"/>
              </w:numPr>
              <w:kinsoku/>
              <w:wordWrap/>
              <w:overflowPunct/>
              <w:topLinePunct w:val="0"/>
              <w:autoSpaceDE/>
              <w:autoSpaceDN/>
              <w:bidi w:val="0"/>
              <w:spacing w:line="360" w:lineRule="auto"/>
              <w:rPr>
                <w:rFonts w:hint="eastAsia" w:ascii="宋体" w:hAnsi="宋体" w:eastAsia="宋体" w:cs="宋体"/>
                <w:color w:val="auto"/>
                <w:sz w:val="21"/>
                <w:szCs w:val="21"/>
                <w:highlight w:val="none"/>
              </w:rPr>
            </w:pPr>
          </w:p>
        </w:tc>
        <w:tc>
          <w:tcPr>
            <w:tcW w:w="1725"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菜花</w:t>
            </w:r>
          </w:p>
        </w:tc>
        <w:tc>
          <w:tcPr>
            <w:tcW w:w="675" w:type="dxa"/>
            <w:noWrap w:val="0"/>
            <w:vAlign w:val="center"/>
          </w:tcPr>
          <w:p>
            <w:pPr>
              <w:keepNext w:val="0"/>
              <w:keepLines w:val="0"/>
              <w:pageBreakBefore w:val="0"/>
              <w:numPr>
                <w:ilvl w:val="0"/>
                <w:numId w:val="20"/>
              </w:numP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2670"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进口西芹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35" w:type="dxa"/>
            <w:noWrap w:val="0"/>
            <w:vAlign w:val="center"/>
          </w:tcPr>
          <w:p>
            <w:pPr>
              <w:keepNext w:val="0"/>
              <w:keepLines w:val="0"/>
              <w:pageBreakBefore w:val="0"/>
              <w:numPr>
                <w:ilvl w:val="0"/>
                <w:numId w:val="20"/>
              </w:numPr>
              <w:kinsoku/>
              <w:wordWrap/>
              <w:overflowPunct/>
              <w:topLinePunct w:val="0"/>
              <w:autoSpaceDE/>
              <w:autoSpaceDN/>
              <w:bidi w:val="0"/>
              <w:spacing w:line="360" w:lineRule="auto"/>
              <w:rPr>
                <w:rFonts w:hint="eastAsia" w:ascii="宋体" w:hAnsi="宋体" w:eastAsia="宋体" w:cs="宋体"/>
                <w:color w:val="auto"/>
                <w:sz w:val="21"/>
                <w:szCs w:val="21"/>
                <w:highlight w:val="none"/>
              </w:rPr>
            </w:pPr>
          </w:p>
        </w:tc>
        <w:tc>
          <w:tcPr>
            <w:tcW w:w="1590"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绿豆芽</w:t>
            </w:r>
          </w:p>
        </w:tc>
        <w:tc>
          <w:tcPr>
            <w:tcW w:w="750" w:type="dxa"/>
            <w:noWrap w:val="0"/>
            <w:vAlign w:val="center"/>
          </w:tcPr>
          <w:p>
            <w:pPr>
              <w:keepNext w:val="0"/>
              <w:keepLines w:val="0"/>
              <w:pageBreakBefore w:val="0"/>
              <w:numPr>
                <w:ilvl w:val="0"/>
                <w:numId w:val="20"/>
              </w:numPr>
              <w:kinsoku/>
              <w:wordWrap/>
              <w:overflowPunct/>
              <w:topLinePunct w:val="0"/>
              <w:autoSpaceDE/>
              <w:autoSpaceDN/>
              <w:bidi w:val="0"/>
              <w:spacing w:line="360" w:lineRule="auto"/>
              <w:rPr>
                <w:rFonts w:hint="eastAsia" w:ascii="宋体" w:hAnsi="宋体" w:eastAsia="宋体" w:cs="宋体"/>
                <w:color w:val="auto"/>
                <w:sz w:val="21"/>
                <w:szCs w:val="21"/>
                <w:highlight w:val="none"/>
              </w:rPr>
            </w:pPr>
          </w:p>
        </w:tc>
        <w:tc>
          <w:tcPr>
            <w:tcW w:w="1725"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生姜</w:t>
            </w:r>
          </w:p>
        </w:tc>
        <w:tc>
          <w:tcPr>
            <w:tcW w:w="675" w:type="dxa"/>
            <w:noWrap w:val="0"/>
            <w:vAlign w:val="center"/>
          </w:tcPr>
          <w:p>
            <w:pPr>
              <w:keepNext w:val="0"/>
              <w:keepLines w:val="0"/>
              <w:pageBreakBefore w:val="0"/>
              <w:numPr>
                <w:ilvl w:val="0"/>
                <w:numId w:val="20"/>
              </w:numP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2670"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35" w:type="dxa"/>
            <w:noWrap w:val="0"/>
            <w:vAlign w:val="center"/>
          </w:tcPr>
          <w:p>
            <w:pPr>
              <w:keepNext w:val="0"/>
              <w:keepLines w:val="0"/>
              <w:pageBreakBefore w:val="0"/>
              <w:numPr>
                <w:ilvl w:val="0"/>
                <w:numId w:val="20"/>
              </w:numPr>
              <w:kinsoku/>
              <w:wordWrap/>
              <w:overflowPunct/>
              <w:topLinePunct w:val="0"/>
              <w:autoSpaceDE/>
              <w:autoSpaceDN/>
              <w:bidi w:val="0"/>
              <w:spacing w:line="360" w:lineRule="auto"/>
              <w:rPr>
                <w:rFonts w:hint="eastAsia" w:ascii="宋体" w:hAnsi="宋体" w:eastAsia="宋体" w:cs="宋体"/>
                <w:color w:val="auto"/>
                <w:sz w:val="21"/>
                <w:szCs w:val="21"/>
                <w:highlight w:val="none"/>
              </w:rPr>
            </w:pPr>
          </w:p>
        </w:tc>
        <w:tc>
          <w:tcPr>
            <w:tcW w:w="1590"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韭菜</w:t>
            </w:r>
          </w:p>
        </w:tc>
        <w:tc>
          <w:tcPr>
            <w:tcW w:w="750" w:type="dxa"/>
            <w:noWrap w:val="0"/>
            <w:vAlign w:val="center"/>
          </w:tcPr>
          <w:p>
            <w:pPr>
              <w:keepNext w:val="0"/>
              <w:keepLines w:val="0"/>
              <w:pageBreakBefore w:val="0"/>
              <w:numPr>
                <w:ilvl w:val="0"/>
                <w:numId w:val="20"/>
              </w:numPr>
              <w:kinsoku/>
              <w:wordWrap/>
              <w:overflowPunct/>
              <w:topLinePunct w:val="0"/>
              <w:autoSpaceDE/>
              <w:autoSpaceDN/>
              <w:bidi w:val="0"/>
              <w:spacing w:line="360" w:lineRule="auto"/>
              <w:rPr>
                <w:rFonts w:hint="eastAsia" w:ascii="宋体" w:hAnsi="宋体" w:eastAsia="宋体" w:cs="宋体"/>
                <w:color w:val="auto"/>
                <w:sz w:val="21"/>
                <w:szCs w:val="21"/>
                <w:highlight w:val="none"/>
              </w:rPr>
            </w:pPr>
          </w:p>
        </w:tc>
        <w:tc>
          <w:tcPr>
            <w:tcW w:w="1725"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黄豆芽</w:t>
            </w:r>
          </w:p>
        </w:tc>
        <w:tc>
          <w:tcPr>
            <w:tcW w:w="675" w:type="dxa"/>
            <w:noWrap w:val="0"/>
            <w:vAlign w:val="center"/>
          </w:tcPr>
          <w:p>
            <w:pPr>
              <w:keepNext w:val="0"/>
              <w:keepLines w:val="0"/>
              <w:pageBreakBefore w:val="0"/>
              <w:numPr>
                <w:ilvl w:val="0"/>
                <w:numId w:val="20"/>
              </w:numP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2670"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乌江榨菜/件</w:t>
            </w:r>
          </w:p>
        </w:tc>
      </w:tr>
    </w:tbl>
    <w:p>
      <w:pPr>
        <w:keepNext w:val="0"/>
        <w:keepLines w:val="0"/>
        <w:pageBreakBefore w:val="0"/>
        <w:kinsoku/>
        <w:wordWrap/>
        <w:overflowPunct/>
        <w:topLinePunct w:val="0"/>
        <w:autoSpaceDE/>
        <w:autoSpaceDN/>
        <w:bidi w:val="0"/>
        <w:spacing w:line="360" w:lineRule="auto"/>
        <w:rPr>
          <w:rFonts w:hint="eastAsia" w:ascii="宋体" w:hAnsi="宋体" w:eastAsia="宋体" w:cs="宋体"/>
          <w:b/>
          <w:color w:val="auto"/>
          <w:sz w:val="21"/>
          <w:szCs w:val="21"/>
          <w:highlight w:val="none"/>
        </w:rPr>
      </w:pPr>
    </w:p>
    <w:p>
      <w:pPr>
        <w:keepNext w:val="0"/>
        <w:keepLines w:val="0"/>
        <w:pageBreakBefore w:val="0"/>
        <w:kinsoku/>
        <w:wordWrap/>
        <w:overflowPunct/>
        <w:topLinePunct w:val="0"/>
        <w:autoSpaceDE/>
        <w:autoSpaceDN/>
        <w:bidi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bCs/>
          <w:color w:val="auto"/>
          <w:kern w:val="0"/>
          <w:sz w:val="21"/>
          <w:szCs w:val="21"/>
          <w:highlight w:val="none"/>
        </w:rPr>
        <w:t>蔬果肉菜类</w:t>
      </w:r>
    </w:p>
    <w:tbl>
      <w:tblPr>
        <w:tblStyle w:val="22"/>
        <w:tblW w:w="0" w:type="auto"/>
        <w:jc w:val="center"/>
        <w:tblLayout w:type="autofit"/>
        <w:tblCellMar>
          <w:top w:w="0" w:type="dxa"/>
          <w:left w:w="108" w:type="dxa"/>
          <w:bottom w:w="0" w:type="dxa"/>
          <w:right w:w="108" w:type="dxa"/>
        </w:tblCellMar>
      </w:tblPr>
      <w:tblGrid>
        <w:gridCol w:w="981"/>
        <w:gridCol w:w="1680"/>
        <w:gridCol w:w="915"/>
        <w:gridCol w:w="1515"/>
        <w:gridCol w:w="960"/>
        <w:gridCol w:w="2117"/>
      </w:tblGrid>
      <w:tr>
        <w:tblPrEx>
          <w:tblCellMar>
            <w:top w:w="0" w:type="dxa"/>
            <w:left w:w="108" w:type="dxa"/>
            <w:bottom w:w="0" w:type="dxa"/>
            <w:right w:w="108" w:type="dxa"/>
          </w:tblCellMar>
        </w:tblPrEx>
        <w:trPr>
          <w:trHeight w:val="379" w:hRule="atLeast"/>
          <w:jc w:val="center"/>
        </w:trPr>
        <w:tc>
          <w:tcPr>
            <w:tcW w:w="981" w:type="dxa"/>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1680" w:type="dxa"/>
            <w:tcBorders>
              <w:top w:val="single" w:color="auto" w:sz="4" w:space="0"/>
              <w:left w:val="nil"/>
              <w:bottom w:val="single" w:color="auto" w:sz="4" w:space="0"/>
              <w:right w:val="single" w:color="auto" w:sz="4" w:space="0"/>
            </w:tcBorders>
            <w:noWrap w:val="0"/>
            <w:vAlign w:val="bottom"/>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物 品 名 称</w:t>
            </w:r>
          </w:p>
        </w:tc>
        <w:tc>
          <w:tcPr>
            <w:tcW w:w="915" w:type="dxa"/>
            <w:tcBorders>
              <w:top w:val="single" w:color="auto" w:sz="4" w:space="0"/>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1515" w:type="dxa"/>
            <w:tcBorders>
              <w:top w:val="single" w:color="auto" w:sz="4" w:space="0"/>
              <w:left w:val="nil"/>
              <w:bottom w:val="single" w:color="auto" w:sz="4" w:space="0"/>
              <w:right w:val="single" w:color="auto" w:sz="4" w:space="0"/>
            </w:tcBorders>
            <w:noWrap w:val="0"/>
            <w:vAlign w:val="bottom"/>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物 品 名 称</w:t>
            </w:r>
          </w:p>
        </w:tc>
        <w:tc>
          <w:tcPr>
            <w:tcW w:w="960" w:type="dxa"/>
            <w:tcBorders>
              <w:top w:val="single" w:color="auto" w:sz="4" w:space="0"/>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2117" w:type="dxa"/>
            <w:tcBorders>
              <w:top w:val="single" w:color="auto" w:sz="4" w:space="0"/>
              <w:left w:val="nil"/>
              <w:bottom w:val="single" w:color="auto" w:sz="4" w:space="0"/>
              <w:right w:val="single" w:color="auto" w:sz="4" w:space="0"/>
            </w:tcBorders>
            <w:noWrap w:val="0"/>
            <w:vAlign w:val="bottom"/>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物 品 名 称</w:t>
            </w: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冬瓜</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花菇</w:t>
            </w:r>
          </w:p>
        </w:tc>
        <w:tc>
          <w:tcPr>
            <w:tcW w:w="96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w:t>
            </w:r>
          </w:p>
        </w:tc>
        <w:tc>
          <w:tcPr>
            <w:tcW w:w="2117"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猪肚</w:t>
            </w: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4</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凉瓜</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5</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茶树菇</w:t>
            </w:r>
          </w:p>
        </w:tc>
        <w:tc>
          <w:tcPr>
            <w:tcW w:w="96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6</w:t>
            </w:r>
          </w:p>
        </w:tc>
        <w:tc>
          <w:tcPr>
            <w:tcW w:w="2117"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猪笋尾</w:t>
            </w: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木瓜</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8</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鲜草菇</w:t>
            </w:r>
          </w:p>
        </w:tc>
        <w:tc>
          <w:tcPr>
            <w:tcW w:w="96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9</w:t>
            </w:r>
          </w:p>
        </w:tc>
        <w:tc>
          <w:tcPr>
            <w:tcW w:w="2117"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明虾</w:t>
            </w: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10</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节瓜</w:t>
            </w:r>
          </w:p>
        </w:tc>
        <w:tc>
          <w:tcPr>
            <w:tcW w:w="915"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11</w:t>
            </w:r>
          </w:p>
        </w:tc>
        <w:tc>
          <w:tcPr>
            <w:tcW w:w="1515" w:type="dxa"/>
            <w:tcBorders>
              <w:top w:val="nil"/>
              <w:left w:val="nil"/>
              <w:bottom w:val="single" w:color="auto" w:sz="4" w:space="0"/>
              <w:right w:val="single" w:color="auto" w:sz="4" w:space="0"/>
            </w:tcBorders>
            <w:noWrap w:val="0"/>
            <w:vAlign w:val="bottom"/>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干金针菇</w:t>
            </w:r>
          </w:p>
        </w:tc>
        <w:tc>
          <w:tcPr>
            <w:tcW w:w="96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12</w:t>
            </w:r>
          </w:p>
        </w:tc>
        <w:tc>
          <w:tcPr>
            <w:tcW w:w="2117"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鲫鱼</w:t>
            </w: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13</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丝瓜</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14</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生葱</w:t>
            </w:r>
          </w:p>
        </w:tc>
        <w:tc>
          <w:tcPr>
            <w:tcW w:w="96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15</w:t>
            </w:r>
          </w:p>
        </w:tc>
        <w:tc>
          <w:tcPr>
            <w:tcW w:w="2117"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鱼饼</w:t>
            </w:r>
          </w:p>
        </w:tc>
      </w:tr>
      <w:tr>
        <w:tblPrEx>
          <w:tblCellMar>
            <w:top w:w="0" w:type="dxa"/>
            <w:left w:w="108" w:type="dxa"/>
            <w:bottom w:w="0" w:type="dxa"/>
            <w:right w:w="108" w:type="dxa"/>
          </w:tblCellMar>
        </w:tblPrEx>
        <w:trPr>
          <w:cantSplit/>
          <w:trHeight w:val="379" w:hRule="atLeast"/>
          <w:jc w:val="center"/>
        </w:trPr>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16</w:t>
            </w:r>
          </w:p>
        </w:tc>
        <w:tc>
          <w:tcPr>
            <w:tcW w:w="168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红豆</w:t>
            </w:r>
          </w:p>
        </w:tc>
        <w:tc>
          <w:tcPr>
            <w:tcW w:w="9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17</w:t>
            </w:r>
          </w:p>
        </w:tc>
        <w:tc>
          <w:tcPr>
            <w:tcW w:w="1515"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洋葱</w:t>
            </w:r>
          </w:p>
        </w:tc>
        <w:tc>
          <w:tcPr>
            <w:tcW w:w="9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18</w:t>
            </w:r>
          </w:p>
        </w:tc>
        <w:tc>
          <w:tcPr>
            <w:tcW w:w="2117"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干鱿鱼</w:t>
            </w: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19</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黄豆</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20</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红葱头</w:t>
            </w:r>
          </w:p>
        </w:tc>
        <w:tc>
          <w:tcPr>
            <w:tcW w:w="96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21</w:t>
            </w:r>
          </w:p>
        </w:tc>
        <w:tc>
          <w:tcPr>
            <w:tcW w:w="2117"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土鱿鱼</w:t>
            </w: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22</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眉豆</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23</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元西</w:t>
            </w:r>
          </w:p>
        </w:tc>
        <w:tc>
          <w:tcPr>
            <w:tcW w:w="96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24</w:t>
            </w:r>
          </w:p>
        </w:tc>
        <w:tc>
          <w:tcPr>
            <w:tcW w:w="2117"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大咸鱼</w:t>
            </w: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25</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荷兰豆</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25</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玉米</w:t>
            </w:r>
          </w:p>
        </w:tc>
        <w:tc>
          <w:tcPr>
            <w:tcW w:w="96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27</w:t>
            </w:r>
          </w:p>
        </w:tc>
        <w:tc>
          <w:tcPr>
            <w:tcW w:w="2117"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咸水鱼</w:t>
            </w: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28</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上海青菜</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29</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椰子</w:t>
            </w:r>
          </w:p>
        </w:tc>
        <w:tc>
          <w:tcPr>
            <w:tcW w:w="96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30</w:t>
            </w:r>
          </w:p>
        </w:tc>
        <w:tc>
          <w:tcPr>
            <w:tcW w:w="2117"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大草鱼</w:t>
            </w: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31</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西洋菜</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32</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苹果</w:t>
            </w:r>
          </w:p>
        </w:tc>
        <w:tc>
          <w:tcPr>
            <w:tcW w:w="960"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33</w:t>
            </w:r>
          </w:p>
        </w:tc>
        <w:tc>
          <w:tcPr>
            <w:tcW w:w="2117" w:type="dxa"/>
            <w:tcBorders>
              <w:top w:val="nil"/>
              <w:left w:val="nil"/>
              <w:bottom w:val="single" w:color="auto" w:sz="4" w:space="0"/>
              <w:right w:val="single" w:color="auto" w:sz="4" w:space="0"/>
            </w:tcBorders>
            <w:noWrap w:val="0"/>
            <w:vAlign w:val="bottom"/>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大鱼头</w:t>
            </w: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34</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菠菜</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35</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菠萝</w:t>
            </w:r>
          </w:p>
        </w:tc>
        <w:tc>
          <w:tcPr>
            <w:tcW w:w="96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36</w:t>
            </w:r>
          </w:p>
        </w:tc>
        <w:tc>
          <w:tcPr>
            <w:tcW w:w="2117"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冰鲜带鱼</w:t>
            </w: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37</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苋菜</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38</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贡梨</w:t>
            </w:r>
          </w:p>
        </w:tc>
        <w:tc>
          <w:tcPr>
            <w:tcW w:w="3077" w:type="dxa"/>
            <w:gridSpan w:val="2"/>
            <w:vMerge w:val="restart"/>
            <w:tcBorders>
              <w:top w:val="nil"/>
              <w:left w:val="nil"/>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39</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大蒜苗</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40</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土茯苓</w:t>
            </w:r>
          </w:p>
        </w:tc>
        <w:tc>
          <w:tcPr>
            <w:tcW w:w="3077" w:type="dxa"/>
            <w:gridSpan w:val="2"/>
            <w:vMerge w:val="continue"/>
            <w:tcBorders>
              <w:left w:val="nil"/>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41</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黄豆苗</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42</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风栗</w:t>
            </w:r>
          </w:p>
        </w:tc>
        <w:tc>
          <w:tcPr>
            <w:tcW w:w="3077" w:type="dxa"/>
            <w:gridSpan w:val="2"/>
            <w:vMerge w:val="continue"/>
            <w:tcBorders>
              <w:left w:val="nil"/>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43</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芥兰</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44</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雪耳</w:t>
            </w:r>
          </w:p>
        </w:tc>
        <w:tc>
          <w:tcPr>
            <w:tcW w:w="3077" w:type="dxa"/>
            <w:gridSpan w:val="2"/>
            <w:vMerge w:val="continue"/>
            <w:tcBorders>
              <w:left w:val="nil"/>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45</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九王</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46</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云耳</w:t>
            </w:r>
          </w:p>
        </w:tc>
        <w:tc>
          <w:tcPr>
            <w:tcW w:w="3077" w:type="dxa"/>
            <w:gridSpan w:val="2"/>
            <w:vMerge w:val="continue"/>
            <w:tcBorders>
              <w:left w:val="nil"/>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47</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辣椒叶</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48</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马蹄肉</w:t>
            </w:r>
          </w:p>
        </w:tc>
        <w:tc>
          <w:tcPr>
            <w:tcW w:w="3077" w:type="dxa"/>
            <w:gridSpan w:val="2"/>
            <w:vMerge w:val="continue"/>
            <w:tcBorders>
              <w:left w:val="nil"/>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49</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番薯叶</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50</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白芝麻</w:t>
            </w:r>
          </w:p>
        </w:tc>
        <w:tc>
          <w:tcPr>
            <w:tcW w:w="3077" w:type="dxa"/>
            <w:gridSpan w:val="2"/>
            <w:vMerge w:val="continue"/>
            <w:tcBorders>
              <w:left w:val="nil"/>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51</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枸杞叶</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52</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甘草</w:t>
            </w:r>
          </w:p>
        </w:tc>
        <w:tc>
          <w:tcPr>
            <w:tcW w:w="3077" w:type="dxa"/>
            <w:gridSpan w:val="2"/>
            <w:vMerge w:val="continue"/>
            <w:tcBorders>
              <w:left w:val="nil"/>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53</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棕叶</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54</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枸杞</w:t>
            </w:r>
          </w:p>
        </w:tc>
        <w:tc>
          <w:tcPr>
            <w:tcW w:w="3077" w:type="dxa"/>
            <w:gridSpan w:val="2"/>
            <w:vMerge w:val="continue"/>
            <w:tcBorders>
              <w:left w:val="nil"/>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435"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55</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红辣椒</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56</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蜜枣</w:t>
            </w:r>
          </w:p>
        </w:tc>
        <w:tc>
          <w:tcPr>
            <w:tcW w:w="3077" w:type="dxa"/>
            <w:gridSpan w:val="2"/>
            <w:vMerge w:val="continue"/>
            <w:tcBorders>
              <w:left w:val="nil"/>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57</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圆椒</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58</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糯米</w:t>
            </w:r>
          </w:p>
        </w:tc>
        <w:tc>
          <w:tcPr>
            <w:tcW w:w="3077" w:type="dxa"/>
            <w:gridSpan w:val="2"/>
            <w:vMerge w:val="continue"/>
            <w:tcBorders>
              <w:left w:val="nil"/>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59</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青椒</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60</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薏米</w:t>
            </w:r>
          </w:p>
        </w:tc>
        <w:tc>
          <w:tcPr>
            <w:tcW w:w="3077" w:type="dxa"/>
            <w:gridSpan w:val="2"/>
            <w:vMerge w:val="continue"/>
            <w:tcBorders>
              <w:left w:val="nil"/>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61</w:t>
            </w:r>
          </w:p>
        </w:tc>
        <w:tc>
          <w:tcPr>
            <w:tcW w:w="1680" w:type="dxa"/>
            <w:tcBorders>
              <w:top w:val="nil"/>
              <w:left w:val="nil"/>
              <w:bottom w:val="single" w:color="auto" w:sz="4" w:space="0"/>
              <w:right w:val="single" w:color="auto" w:sz="4" w:space="0"/>
            </w:tcBorders>
            <w:noWrap w:val="0"/>
            <w:vAlign w:val="bottom"/>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野山椒</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62</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皮蛋</w:t>
            </w:r>
          </w:p>
        </w:tc>
        <w:tc>
          <w:tcPr>
            <w:tcW w:w="3077" w:type="dxa"/>
            <w:gridSpan w:val="2"/>
            <w:vMerge w:val="continue"/>
            <w:tcBorders>
              <w:left w:val="nil"/>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63</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大香芋头</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64</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伊利牛奶</w:t>
            </w:r>
          </w:p>
        </w:tc>
        <w:tc>
          <w:tcPr>
            <w:tcW w:w="3077" w:type="dxa"/>
            <w:gridSpan w:val="2"/>
            <w:vMerge w:val="continue"/>
            <w:tcBorders>
              <w:left w:val="nil"/>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65</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沙葛</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66</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午餐肉</w:t>
            </w:r>
          </w:p>
        </w:tc>
        <w:tc>
          <w:tcPr>
            <w:tcW w:w="3077" w:type="dxa"/>
            <w:gridSpan w:val="2"/>
            <w:vMerge w:val="continue"/>
            <w:tcBorders>
              <w:left w:val="nil"/>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67</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粉葛</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68</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牛腩</w:t>
            </w:r>
          </w:p>
        </w:tc>
        <w:tc>
          <w:tcPr>
            <w:tcW w:w="3077" w:type="dxa"/>
            <w:gridSpan w:val="2"/>
            <w:vMerge w:val="continue"/>
            <w:tcBorders>
              <w:left w:val="nil"/>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69</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莲藕</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70</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羊肉</w:t>
            </w:r>
          </w:p>
        </w:tc>
        <w:tc>
          <w:tcPr>
            <w:tcW w:w="3077" w:type="dxa"/>
            <w:gridSpan w:val="2"/>
            <w:vMerge w:val="continue"/>
            <w:tcBorders>
              <w:left w:val="nil"/>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71</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梅菜</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72</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凤爪</w:t>
            </w:r>
          </w:p>
        </w:tc>
        <w:tc>
          <w:tcPr>
            <w:tcW w:w="3077" w:type="dxa"/>
            <w:gridSpan w:val="2"/>
            <w:vMerge w:val="continue"/>
            <w:tcBorders>
              <w:left w:val="nil"/>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73</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头菜</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74</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光鹅</w:t>
            </w:r>
          </w:p>
        </w:tc>
        <w:tc>
          <w:tcPr>
            <w:tcW w:w="3077" w:type="dxa"/>
            <w:gridSpan w:val="2"/>
            <w:vMerge w:val="continue"/>
            <w:tcBorders>
              <w:left w:val="nil"/>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75</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酸菜</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76</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老母鸡</w:t>
            </w:r>
          </w:p>
        </w:tc>
        <w:tc>
          <w:tcPr>
            <w:tcW w:w="3077" w:type="dxa"/>
            <w:gridSpan w:val="2"/>
            <w:vMerge w:val="continue"/>
            <w:tcBorders>
              <w:left w:val="nil"/>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77</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泡菜</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78</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竹丝鸡</w:t>
            </w:r>
          </w:p>
        </w:tc>
        <w:tc>
          <w:tcPr>
            <w:tcW w:w="3077" w:type="dxa"/>
            <w:gridSpan w:val="2"/>
            <w:vMerge w:val="continue"/>
            <w:tcBorders>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79</w:t>
            </w:r>
          </w:p>
        </w:tc>
        <w:tc>
          <w:tcPr>
            <w:tcW w:w="168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五柳菜</w:t>
            </w:r>
          </w:p>
        </w:tc>
        <w:tc>
          <w:tcPr>
            <w:tcW w:w="9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80</w:t>
            </w:r>
          </w:p>
        </w:tc>
        <w:tc>
          <w:tcPr>
            <w:tcW w:w="1515"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烧鸭</w:t>
            </w:r>
          </w:p>
        </w:tc>
        <w:tc>
          <w:tcPr>
            <w:tcW w:w="3077" w:type="dxa"/>
            <w:gridSpan w:val="2"/>
            <w:vMerge w:val="restart"/>
            <w:tcBorders>
              <w:top w:val="single" w:color="auto" w:sz="4" w:space="0"/>
              <w:left w:val="nil"/>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81</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酸豆角</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82</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烧鹅</w:t>
            </w:r>
          </w:p>
        </w:tc>
        <w:tc>
          <w:tcPr>
            <w:tcW w:w="3077" w:type="dxa"/>
            <w:gridSpan w:val="2"/>
            <w:vMerge w:val="continue"/>
            <w:tcBorders>
              <w:left w:val="nil"/>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83</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菜干</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84</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烧肉</w:t>
            </w:r>
          </w:p>
        </w:tc>
        <w:tc>
          <w:tcPr>
            <w:tcW w:w="3077" w:type="dxa"/>
            <w:gridSpan w:val="2"/>
            <w:vMerge w:val="continue"/>
            <w:tcBorders>
              <w:left w:val="nil"/>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86" w:hRule="atLeast"/>
          <w:jc w:val="center"/>
        </w:trPr>
        <w:tc>
          <w:tcPr>
            <w:tcW w:w="98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85</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紫菜</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86</w:t>
            </w:r>
          </w:p>
        </w:tc>
        <w:tc>
          <w:tcPr>
            <w:tcW w:w="15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排骨</w:t>
            </w:r>
          </w:p>
        </w:tc>
        <w:tc>
          <w:tcPr>
            <w:tcW w:w="3077" w:type="dxa"/>
            <w:gridSpan w:val="2"/>
            <w:vMerge w:val="continue"/>
            <w:tcBorders>
              <w:left w:val="nil"/>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bl>
    <w:p>
      <w:pPr>
        <w:keepNext w:val="0"/>
        <w:keepLines w:val="0"/>
        <w:pageBreakBefore w:val="0"/>
        <w:kinsoku/>
        <w:wordWrap/>
        <w:overflowPunct/>
        <w:topLinePunct w:val="0"/>
        <w:autoSpaceDE/>
        <w:autoSpaceDN/>
        <w:bidi w:val="0"/>
        <w:spacing w:line="360" w:lineRule="auto"/>
        <w:rPr>
          <w:rFonts w:hint="eastAsia" w:ascii="宋体" w:hAnsi="宋体" w:eastAsia="宋体" w:cs="宋体"/>
          <w:b/>
          <w:color w:val="auto"/>
          <w:sz w:val="21"/>
          <w:szCs w:val="21"/>
          <w:highlight w:val="none"/>
        </w:rPr>
      </w:pPr>
    </w:p>
    <w:p>
      <w:pPr>
        <w:keepNext w:val="0"/>
        <w:keepLines w:val="0"/>
        <w:pageBreakBefore w:val="0"/>
        <w:kinsoku/>
        <w:wordWrap/>
        <w:overflowPunct/>
        <w:topLinePunct w:val="0"/>
        <w:autoSpaceDE/>
        <w:autoSpaceDN/>
        <w:bidi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3.豆制品类：</w:t>
      </w:r>
    </w:p>
    <w:tbl>
      <w:tblPr>
        <w:tblStyle w:val="22"/>
        <w:tblW w:w="0" w:type="auto"/>
        <w:tblInd w:w="1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3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0"/>
            <w:vAlign w:val="center"/>
          </w:tcPr>
          <w:p>
            <w:pPr>
              <w:keepNext w:val="0"/>
              <w:keepLines w:val="0"/>
              <w:pageBreakBefore w:val="0"/>
              <w:kinsoku/>
              <w:wordWrap/>
              <w:overflowPunct/>
              <w:topLinePunct w:val="0"/>
              <w:autoSpaceDE/>
              <w:autoSpaceDN/>
              <w:bidi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349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noWrap w:val="0"/>
            <w:vAlign w:val="top"/>
          </w:tcPr>
          <w:p>
            <w:pPr>
              <w:keepNext w:val="0"/>
              <w:keepLines w:val="0"/>
              <w:pageBreakBefore w:val="0"/>
              <w:kinsoku/>
              <w:wordWrap/>
              <w:overflowPunct/>
              <w:topLinePunct w:val="0"/>
              <w:autoSpaceDE/>
              <w:autoSpaceDN/>
              <w:bidi w:val="0"/>
              <w:spacing w:line="360" w:lineRule="auto"/>
              <w:ind w:left="1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3495"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豆腐/板</w:t>
            </w:r>
          </w:p>
        </w:tc>
      </w:tr>
    </w:tbl>
    <w:p>
      <w:pPr>
        <w:keepNext w:val="0"/>
        <w:keepLines w:val="0"/>
        <w:pageBreakBefore w:val="0"/>
        <w:kinsoku/>
        <w:wordWrap/>
        <w:overflowPunct/>
        <w:topLinePunct w:val="0"/>
        <w:autoSpaceDE/>
        <w:autoSpaceDN/>
        <w:bidi w:val="0"/>
        <w:spacing w:line="360" w:lineRule="auto"/>
        <w:rPr>
          <w:rFonts w:hint="eastAsia" w:ascii="宋体" w:hAnsi="宋体" w:eastAsia="宋体" w:cs="宋体"/>
          <w:b/>
          <w:color w:val="auto"/>
          <w:sz w:val="21"/>
          <w:szCs w:val="21"/>
          <w:highlight w:val="none"/>
        </w:rPr>
      </w:pPr>
    </w:p>
    <w:p>
      <w:pPr>
        <w:keepNext w:val="0"/>
        <w:keepLines w:val="0"/>
        <w:pageBreakBefore w:val="0"/>
        <w:kinsoku/>
        <w:wordWrap/>
        <w:overflowPunct/>
        <w:topLinePunct w:val="0"/>
        <w:autoSpaceDE/>
        <w:autoSpaceDN/>
        <w:bidi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4.鱼类:</w:t>
      </w:r>
    </w:p>
    <w:tbl>
      <w:tblPr>
        <w:tblStyle w:val="22"/>
        <w:tblW w:w="0" w:type="auto"/>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935"/>
        <w:gridCol w:w="896"/>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0" w:type="dxa"/>
            <w:noWrap w:val="0"/>
            <w:vAlign w:val="center"/>
          </w:tcPr>
          <w:p>
            <w:pPr>
              <w:keepNext w:val="0"/>
              <w:keepLines w:val="0"/>
              <w:pageBreakBefore w:val="0"/>
              <w:kinsoku/>
              <w:wordWrap/>
              <w:overflowPunct/>
              <w:topLinePunct w:val="0"/>
              <w:autoSpaceDE/>
              <w:autoSpaceDN/>
              <w:bidi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935" w:type="dxa"/>
            <w:noWrap w:val="0"/>
            <w:vAlign w:val="center"/>
          </w:tcPr>
          <w:p>
            <w:pPr>
              <w:keepNext w:val="0"/>
              <w:keepLines w:val="0"/>
              <w:pageBreakBefore w:val="0"/>
              <w:widowControl/>
              <w:kinsoku/>
              <w:wordWrap/>
              <w:overflowPunct/>
              <w:topLinePunct w:val="0"/>
              <w:autoSpaceDE/>
              <w:autoSpaceDN/>
              <w:bidi w:val="0"/>
              <w:spacing w:line="360" w:lineRule="auto"/>
              <w:ind w:firstLine="482"/>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c>
          <w:tcPr>
            <w:tcW w:w="896" w:type="dxa"/>
            <w:noWrap w:val="0"/>
            <w:vAlign w:val="center"/>
          </w:tcPr>
          <w:p>
            <w:pPr>
              <w:keepNext w:val="0"/>
              <w:keepLines w:val="0"/>
              <w:pageBreakBefore w:val="0"/>
              <w:kinsoku/>
              <w:wordWrap/>
              <w:overflowPunct/>
              <w:topLinePunct w:val="0"/>
              <w:autoSpaceDE/>
              <w:autoSpaceDN/>
              <w:bidi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984" w:type="dxa"/>
            <w:noWrap w:val="0"/>
            <w:vAlign w:val="center"/>
          </w:tcPr>
          <w:p>
            <w:pPr>
              <w:keepNext w:val="0"/>
              <w:keepLines w:val="0"/>
              <w:pageBreakBefore w:val="0"/>
              <w:widowControl/>
              <w:kinsoku/>
              <w:wordWrap/>
              <w:overflowPunct/>
              <w:topLinePunct w:val="0"/>
              <w:autoSpaceDE/>
              <w:autoSpaceDN/>
              <w:bidi w:val="0"/>
              <w:spacing w:line="360" w:lineRule="auto"/>
              <w:ind w:firstLine="482"/>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keepNext w:val="0"/>
              <w:keepLines w:val="0"/>
              <w:pageBreakBefore w:val="0"/>
              <w:kinsoku/>
              <w:wordWrap/>
              <w:overflowPunct/>
              <w:topLinePunct w:val="0"/>
              <w:autoSpaceDE/>
              <w:autoSpaceDN/>
              <w:bidi w:val="0"/>
              <w:spacing w:line="360" w:lineRule="auto"/>
              <w:ind w:left="1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935" w:type="dxa"/>
            <w:noWrap w:val="0"/>
            <w:vAlign w:val="top"/>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大福寿鱼/活</w:t>
            </w:r>
          </w:p>
        </w:tc>
        <w:tc>
          <w:tcPr>
            <w:tcW w:w="896" w:type="dxa"/>
            <w:noWrap w:val="0"/>
            <w:vAlign w:val="top"/>
          </w:tcPr>
          <w:p>
            <w:pPr>
              <w:keepNext w:val="0"/>
              <w:keepLines w:val="0"/>
              <w:pageBreakBefore w:val="0"/>
              <w:kinsoku/>
              <w:wordWrap/>
              <w:overflowPunct/>
              <w:topLinePunct w:val="0"/>
              <w:autoSpaceDE/>
              <w:autoSpaceDN/>
              <w:bidi w:val="0"/>
              <w:spacing w:line="360" w:lineRule="auto"/>
              <w:ind w:left="1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984" w:type="dxa"/>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鲈鱼/活</w:t>
            </w:r>
          </w:p>
        </w:tc>
      </w:tr>
    </w:tbl>
    <w:p>
      <w:pPr>
        <w:keepNext w:val="0"/>
        <w:keepLines w:val="0"/>
        <w:pageBreakBefore w:val="0"/>
        <w:kinsoku/>
        <w:wordWrap/>
        <w:overflowPunct/>
        <w:topLinePunct w:val="0"/>
        <w:autoSpaceDE/>
        <w:autoSpaceDN/>
        <w:bidi w:val="0"/>
        <w:spacing w:line="360" w:lineRule="auto"/>
        <w:rPr>
          <w:rFonts w:hint="eastAsia" w:ascii="宋体" w:hAnsi="宋体" w:eastAsia="宋体" w:cs="宋体"/>
          <w:b/>
          <w:color w:val="auto"/>
          <w:sz w:val="21"/>
          <w:szCs w:val="21"/>
          <w:highlight w:val="none"/>
        </w:rPr>
      </w:pPr>
    </w:p>
    <w:p>
      <w:pPr>
        <w:keepNext w:val="0"/>
        <w:keepLines w:val="0"/>
        <w:pageBreakBefore w:val="0"/>
        <w:kinsoku/>
        <w:wordWrap/>
        <w:overflowPunct/>
        <w:topLinePunct w:val="0"/>
        <w:autoSpaceDE/>
        <w:autoSpaceDN/>
        <w:bidi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5.冻品类:</w:t>
      </w:r>
    </w:p>
    <w:tbl>
      <w:tblPr>
        <w:tblStyle w:val="22"/>
        <w:tblW w:w="8190" w:type="dxa"/>
        <w:tblInd w:w="1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085"/>
        <w:gridCol w:w="990"/>
        <w:gridCol w:w="1890"/>
        <w:gridCol w:w="895"/>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208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c>
          <w:tcPr>
            <w:tcW w:w="990"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c>
          <w:tcPr>
            <w:tcW w:w="89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59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18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08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冻鸡胸肉</w:t>
            </w:r>
          </w:p>
        </w:tc>
        <w:tc>
          <w:tcPr>
            <w:tcW w:w="990"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890" w:type="dxa"/>
            <w:noWrap w:val="0"/>
            <w:vAlign w:val="top"/>
          </w:tcPr>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冻无皮花肉</w:t>
            </w:r>
          </w:p>
        </w:tc>
        <w:tc>
          <w:tcPr>
            <w:tcW w:w="89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18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595" w:type="dxa"/>
            <w:noWrap w:val="0"/>
            <w:vAlign w:val="top"/>
          </w:tcPr>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冻前排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18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208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鸡中亦</w:t>
            </w:r>
          </w:p>
        </w:tc>
        <w:tc>
          <w:tcPr>
            <w:tcW w:w="990"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18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890" w:type="dxa"/>
            <w:noWrap w:val="0"/>
            <w:vAlign w:val="top"/>
          </w:tcPr>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鸡亦尖</w:t>
            </w:r>
          </w:p>
        </w:tc>
        <w:tc>
          <w:tcPr>
            <w:tcW w:w="89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18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595" w:type="dxa"/>
            <w:noWrap w:val="0"/>
            <w:vAlign w:val="top"/>
          </w:tcPr>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小鸡腿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18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208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冻鸭胸肉</w:t>
            </w:r>
          </w:p>
        </w:tc>
        <w:tc>
          <w:tcPr>
            <w:tcW w:w="5370" w:type="dxa"/>
            <w:gridSpan w:val="4"/>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1"/>
                <w:szCs w:val="21"/>
                <w:highlight w:val="none"/>
              </w:rPr>
            </w:pPr>
          </w:p>
        </w:tc>
      </w:tr>
    </w:tbl>
    <w:p>
      <w:pPr>
        <w:keepNext w:val="0"/>
        <w:keepLines w:val="0"/>
        <w:pageBreakBefore w:val="0"/>
        <w:kinsoku/>
        <w:wordWrap/>
        <w:overflowPunct/>
        <w:topLinePunct w:val="0"/>
        <w:autoSpaceDE/>
        <w:autoSpaceDN/>
        <w:bidi w:val="0"/>
        <w:spacing w:line="360" w:lineRule="auto"/>
        <w:rPr>
          <w:rFonts w:hint="eastAsia" w:ascii="宋体" w:hAnsi="宋体" w:eastAsia="宋体" w:cs="宋体"/>
          <w:b/>
          <w:color w:val="auto"/>
          <w:sz w:val="21"/>
          <w:szCs w:val="21"/>
          <w:highlight w:val="none"/>
        </w:rPr>
      </w:pPr>
    </w:p>
    <w:p>
      <w:pPr>
        <w:keepNext w:val="0"/>
        <w:keepLines w:val="0"/>
        <w:pageBreakBefore w:val="0"/>
        <w:kinsoku/>
        <w:wordWrap/>
        <w:overflowPunct/>
        <w:topLinePunct w:val="0"/>
        <w:autoSpaceDE/>
        <w:autoSpaceDN/>
        <w:bidi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6.肉类:</w:t>
      </w:r>
    </w:p>
    <w:tbl>
      <w:tblPr>
        <w:tblStyle w:val="22"/>
        <w:tblW w:w="8190" w:type="dxa"/>
        <w:tblInd w:w="1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055"/>
        <w:gridCol w:w="896"/>
        <w:gridCol w:w="1984"/>
        <w:gridCol w:w="895"/>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2055" w:type="dxa"/>
            <w:noWrap w:val="0"/>
            <w:vAlign w:val="center"/>
          </w:tcPr>
          <w:p>
            <w:pPr>
              <w:keepNext w:val="0"/>
              <w:keepLines w:val="0"/>
              <w:pageBreakBefore w:val="0"/>
              <w:widowControl/>
              <w:kinsoku/>
              <w:wordWrap/>
              <w:overflowPunct/>
              <w:topLinePunct w:val="0"/>
              <w:autoSpaceDE/>
              <w:autoSpaceDN/>
              <w:bidi w:val="0"/>
              <w:spacing w:line="360" w:lineRule="auto"/>
              <w:ind w:firstLine="482"/>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c>
          <w:tcPr>
            <w:tcW w:w="896" w:type="dxa"/>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984" w:type="dxa"/>
            <w:noWrap w:val="0"/>
            <w:vAlign w:val="center"/>
          </w:tcPr>
          <w:p>
            <w:pPr>
              <w:keepNext w:val="0"/>
              <w:keepLines w:val="0"/>
              <w:pageBreakBefore w:val="0"/>
              <w:widowControl/>
              <w:kinsoku/>
              <w:wordWrap/>
              <w:overflowPunct/>
              <w:topLinePunct w:val="0"/>
              <w:autoSpaceDE/>
              <w:autoSpaceDN/>
              <w:bidi w:val="0"/>
              <w:spacing w:line="360" w:lineRule="auto"/>
              <w:ind w:firstLine="482"/>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c>
          <w:tcPr>
            <w:tcW w:w="895" w:type="dxa"/>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595" w:type="dxa"/>
            <w:noWrap w:val="0"/>
            <w:vAlign w:val="center"/>
          </w:tcPr>
          <w:p>
            <w:pPr>
              <w:keepNext w:val="0"/>
              <w:keepLines w:val="0"/>
              <w:pageBreakBefore w:val="0"/>
              <w:widowControl/>
              <w:kinsoku/>
              <w:wordWrap/>
              <w:overflowPunct/>
              <w:topLinePunct w:val="0"/>
              <w:autoSpaceDE/>
              <w:autoSpaceDN/>
              <w:bidi w:val="0"/>
              <w:spacing w:line="360" w:lineRule="auto"/>
              <w:ind w:firstLine="482"/>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noWrap w:val="0"/>
            <w:vAlign w:val="center"/>
          </w:tcPr>
          <w:p>
            <w:pPr>
              <w:keepNext w:val="0"/>
              <w:keepLines w:val="0"/>
              <w:pageBreakBefore w:val="0"/>
              <w:kinsoku/>
              <w:wordWrap/>
              <w:overflowPunct/>
              <w:topLinePunct w:val="0"/>
              <w:autoSpaceDE/>
              <w:autoSpaceDN/>
              <w:bidi w:val="0"/>
              <w:spacing w:line="360" w:lineRule="auto"/>
              <w:ind w:left="1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055" w:type="dxa"/>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牛肉</w:t>
            </w:r>
          </w:p>
        </w:tc>
        <w:tc>
          <w:tcPr>
            <w:tcW w:w="896" w:type="dxa"/>
            <w:noWrap w:val="0"/>
            <w:vAlign w:val="center"/>
          </w:tcPr>
          <w:p>
            <w:pPr>
              <w:keepNext w:val="0"/>
              <w:keepLines w:val="0"/>
              <w:pageBreakBefore w:val="0"/>
              <w:kinsoku/>
              <w:wordWrap/>
              <w:overflowPunct/>
              <w:topLinePunct w:val="0"/>
              <w:autoSpaceDE/>
              <w:autoSpaceDN/>
              <w:bidi w:val="0"/>
              <w:spacing w:line="360" w:lineRule="auto"/>
              <w:ind w:left="1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984" w:type="dxa"/>
            <w:noWrap w:val="0"/>
            <w:vAlign w:val="top"/>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牛肉滑</w:t>
            </w:r>
          </w:p>
        </w:tc>
        <w:tc>
          <w:tcPr>
            <w:tcW w:w="895" w:type="dxa"/>
            <w:noWrap w:val="0"/>
            <w:vAlign w:val="center"/>
          </w:tcPr>
          <w:p>
            <w:pPr>
              <w:keepNext w:val="0"/>
              <w:keepLines w:val="0"/>
              <w:pageBreakBefore w:val="0"/>
              <w:kinsoku/>
              <w:wordWrap/>
              <w:overflowPunct/>
              <w:topLinePunct w:val="0"/>
              <w:autoSpaceDE/>
              <w:autoSpaceDN/>
              <w:bidi w:val="0"/>
              <w:spacing w:line="360" w:lineRule="auto"/>
              <w:ind w:left="1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595" w:type="dxa"/>
            <w:noWrap w:val="0"/>
            <w:vAlign w:val="top"/>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鲜猪肉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noWrap w:val="0"/>
            <w:vAlign w:val="center"/>
          </w:tcPr>
          <w:p>
            <w:pPr>
              <w:keepNext w:val="0"/>
              <w:keepLines w:val="0"/>
              <w:pageBreakBefore w:val="0"/>
              <w:kinsoku/>
              <w:wordWrap/>
              <w:overflowPunct/>
              <w:topLinePunct w:val="0"/>
              <w:autoSpaceDE/>
              <w:autoSpaceDN/>
              <w:bidi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2055" w:type="dxa"/>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牛肉丸</w:t>
            </w:r>
          </w:p>
        </w:tc>
        <w:tc>
          <w:tcPr>
            <w:tcW w:w="896" w:type="dxa"/>
            <w:noWrap w:val="0"/>
            <w:vAlign w:val="center"/>
          </w:tcPr>
          <w:p>
            <w:pPr>
              <w:keepNext w:val="0"/>
              <w:keepLines w:val="0"/>
              <w:pageBreakBefore w:val="0"/>
              <w:numPr>
                <w:ilvl w:val="0"/>
                <w:numId w:val="21"/>
              </w:numP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1984" w:type="dxa"/>
            <w:noWrap w:val="0"/>
            <w:vAlign w:val="top"/>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鱼丸</w:t>
            </w:r>
          </w:p>
        </w:tc>
        <w:tc>
          <w:tcPr>
            <w:tcW w:w="895" w:type="dxa"/>
            <w:noWrap w:val="0"/>
            <w:vAlign w:val="center"/>
          </w:tcPr>
          <w:p>
            <w:pPr>
              <w:keepNext w:val="0"/>
              <w:keepLines w:val="0"/>
              <w:pageBreakBefore w:val="0"/>
              <w:numPr>
                <w:ilvl w:val="0"/>
                <w:numId w:val="21"/>
              </w:numP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1595" w:type="dxa"/>
            <w:noWrap w:val="0"/>
            <w:vAlign w:val="top"/>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咸蛋</w:t>
            </w:r>
          </w:p>
        </w:tc>
      </w:tr>
    </w:tbl>
    <w:p>
      <w:pPr>
        <w:keepNext w:val="0"/>
        <w:keepLines w:val="0"/>
        <w:pageBreakBefore w:val="0"/>
        <w:kinsoku/>
        <w:wordWrap/>
        <w:overflowPunct/>
        <w:topLinePunct w:val="0"/>
        <w:autoSpaceDE/>
        <w:autoSpaceDN/>
        <w:bidi w:val="0"/>
        <w:spacing w:line="360" w:lineRule="auto"/>
        <w:rPr>
          <w:rFonts w:hint="eastAsia" w:ascii="宋体" w:hAnsi="宋体" w:eastAsia="宋体" w:cs="宋体"/>
          <w:b/>
          <w:color w:val="auto"/>
          <w:sz w:val="21"/>
          <w:szCs w:val="21"/>
          <w:highlight w:val="none"/>
        </w:rPr>
      </w:pPr>
    </w:p>
    <w:p>
      <w:pPr>
        <w:keepNext w:val="0"/>
        <w:keepLines w:val="0"/>
        <w:pageBreakBefore w:val="0"/>
        <w:kinsoku/>
        <w:wordWrap/>
        <w:overflowPunct/>
        <w:topLinePunct w:val="0"/>
        <w:autoSpaceDE/>
        <w:autoSpaceDN/>
        <w:bidi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7.蛋类:</w:t>
      </w:r>
    </w:p>
    <w:tbl>
      <w:tblPr>
        <w:tblStyle w:val="22"/>
        <w:tblW w:w="0" w:type="auto"/>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070"/>
        <w:gridCol w:w="896"/>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2070" w:type="dxa"/>
            <w:noWrap w:val="0"/>
            <w:vAlign w:val="center"/>
          </w:tcPr>
          <w:p>
            <w:pPr>
              <w:keepNext w:val="0"/>
              <w:keepLines w:val="0"/>
              <w:pageBreakBefore w:val="0"/>
              <w:widowControl/>
              <w:kinsoku/>
              <w:wordWrap/>
              <w:overflowPunct/>
              <w:topLinePunct w:val="0"/>
              <w:autoSpaceDE/>
              <w:autoSpaceDN/>
              <w:bidi w:val="0"/>
              <w:spacing w:line="360" w:lineRule="auto"/>
              <w:ind w:firstLine="482"/>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c>
          <w:tcPr>
            <w:tcW w:w="896" w:type="dxa"/>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984" w:type="dxa"/>
            <w:noWrap w:val="0"/>
            <w:vAlign w:val="center"/>
          </w:tcPr>
          <w:p>
            <w:pPr>
              <w:keepNext w:val="0"/>
              <w:keepLines w:val="0"/>
              <w:pageBreakBefore w:val="0"/>
              <w:widowControl/>
              <w:kinsoku/>
              <w:wordWrap/>
              <w:overflowPunct/>
              <w:topLinePunct w:val="0"/>
              <w:autoSpaceDE/>
              <w:autoSpaceDN/>
              <w:bidi w:val="0"/>
              <w:spacing w:line="360" w:lineRule="auto"/>
              <w:ind w:firstLine="482"/>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noWrap w:val="0"/>
            <w:vAlign w:val="center"/>
          </w:tcPr>
          <w:p>
            <w:pPr>
              <w:keepNext w:val="0"/>
              <w:keepLines w:val="0"/>
              <w:pageBreakBefore w:val="0"/>
              <w:numPr>
                <w:ilvl w:val="0"/>
                <w:numId w:val="22"/>
              </w:numP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2070" w:type="dxa"/>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咸蛋</w:t>
            </w:r>
          </w:p>
        </w:tc>
        <w:tc>
          <w:tcPr>
            <w:tcW w:w="896" w:type="dxa"/>
            <w:noWrap w:val="0"/>
            <w:vAlign w:val="center"/>
          </w:tcPr>
          <w:p>
            <w:pPr>
              <w:keepNext w:val="0"/>
              <w:keepLines w:val="0"/>
              <w:pageBreakBefore w:val="0"/>
              <w:numPr>
                <w:ilvl w:val="0"/>
                <w:numId w:val="22"/>
              </w:numP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1984" w:type="dxa"/>
            <w:noWrap w:val="0"/>
            <w:vAlign w:val="top"/>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鸡蛋</w:t>
            </w:r>
          </w:p>
        </w:tc>
      </w:tr>
    </w:tbl>
    <w:p>
      <w:pPr>
        <w:keepNext w:val="0"/>
        <w:keepLines w:val="0"/>
        <w:pageBreakBefore w:val="0"/>
        <w:kinsoku/>
        <w:wordWrap/>
        <w:overflowPunct/>
        <w:topLinePunct w:val="0"/>
        <w:autoSpaceDE/>
        <w:autoSpaceDN/>
        <w:bidi w:val="0"/>
        <w:snapToGrid w:val="0"/>
        <w:spacing w:line="360" w:lineRule="auto"/>
        <w:rPr>
          <w:rFonts w:hint="eastAsia" w:ascii="宋体" w:hAnsi="宋体" w:eastAsia="宋体" w:cs="宋体"/>
          <w:b/>
          <w:color w:val="auto"/>
          <w:sz w:val="21"/>
          <w:szCs w:val="21"/>
          <w:highlight w:val="none"/>
        </w:rPr>
      </w:pPr>
    </w:p>
    <w:p>
      <w:pPr>
        <w:keepNext w:val="0"/>
        <w:keepLines w:val="0"/>
        <w:pageBreakBefore w:val="0"/>
        <w:kinsoku/>
        <w:wordWrap/>
        <w:overflowPunct/>
        <w:topLinePunct w:val="0"/>
        <w:autoSpaceDE/>
        <w:autoSpaceDN/>
        <w:bidi w:val="0"/>
        <w:snapToGrid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8.粮油类</w:t>
      </w:r>
    </w:p>
    <w:tbl>
      <w:tblPr>
        <w:tblStyle w:val="22"/>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2832"/>
        <w:gridCol w:w="2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696" w:type="dxa"/>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类别</w:t>
            </w:r>
          </w:p>
        </w:tc>
        <w:tc>
          <w:tcPr>
            <w:tcW w:w="5540" w:type="dxa"/>
            <w:gridSpan w:val="2"/>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6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米类</w:t>
            </w:r>
          </w:p>
        </w:tc>
        <w:tc>
          <w:tcPr>
            <w:tcW w:w="28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齐眉米</w:t>
            </w:r>
          </w:p>
        </w:tc>
        <w:tc>
          <w:tcPr>
            <w:tcW w:w="27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大粮虾王米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6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面类</w:t>
            </w:r>
          </w:p>
        </w:tc>
        <w:tc>
          <w:tcPr>
            <w:tcW w:w="28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粤霸米粉</w:t>
            </w:r>
          </w:p>
        </w:tc>
        <w:tc>
          <w:tcPr>
            <w:tcW w:w="27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民味火锅捞面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696"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酱油类</w:t>
            </w:r>
          </w:p>
        </w:tc>
        <w:tc>
          <w:tcPr>
            <w:tcW w:w="28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海天一品鲜</w:t>
            </w:r>
          </w:p>
        </w:tc>
        <w:tc>
          <w:tcPr>
            <w:tcW w:w="27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东古一品鲜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trPr>
        <w:tc>
          <w:tcPr>
            <w:tcW w:w="1696"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28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兰花一品鲜</w:t>
            </w:r>
          </w:p>
        </w:tc>
        <w:tc>
          <w:tcPr>
            <w:tcW w:w="27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美极鲜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696"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28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家乐牌鸡粉</w:t>
            </w:r>
          </w:p>
        </w:tc>
        <w:tc>
          <w:tcPr>
            <w:tcW w:w="27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双桥味精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696"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28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四季宝花生酱</w:t>
            </w:r>
          </w:p>
        </w:tc>
        <w:tc>
          <w:tcPr>
            <w:tcW w:w="27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李锦记豆瓣酱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696"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28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阳江豆豉</w:t>
            </w:r>
          </w:p>
        </w:tc>
        <w:tc>
          <w:tcPr>
            <w:tcW w:w="27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进口风车生粉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696"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28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鹰唛炼奶</w:t>
            </w:r>
          </w:p>
        </w:tc>
        <w:tc>
          <w:tcPr>
            <w:tcW w:w="27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老干妈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696"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28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绍兴南乳</w:t>
            </w:r>
          </w:p>
        </w:tc>
        <w:tc>
          <w:tcPr>
            <w:tcW w:w="27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广合腐乳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696"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28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富源麻油</w:t>
            </w:r>
          </w:p>
        </w:tc>
        <w:tc>
          <w:tcPr>
            <w:tcW w:w="27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海天蚝油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696"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油类</w:t>
            </w:r>
          </w:p>
        </w:tc>
        <w:tc>
          <w:tcPr>
            <w:tcW w:w="28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鲁花牌花生油</w:t>
            </w:r>
          </w:p>
        </w:tc>
        <w:tc>
          <w:tcPr>
            <w:tcW w:w="27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鲁花牌调和油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696"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28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刀唛牌花生油</w:t>
            </w:r>
          </w:p>
        </w:tc>
        <w:tc>
          <w:tcPr>
            <w:tcW w:w="27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刀唛牌调和油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696"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28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红灯牌花生油</w:t>
            </w:r>
          </w:p>
        </w:tc>
        <w:tc>
          <w:tcPr>
            <w:tcW w:w="27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红灯牌调和油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696"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28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金龙鱼花生油</w:t>
            </w:r>
          </w:p>
        </w:tc>
        <w:tc>
          <w:tcPr>
            <w:tcW w:w="27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金龙鱼调和油</w:t>
            </w:r>
          </w:p>
        </w:tc>
      </w:tr>
    </w:tbl>
    <w:p>
      <w:pPr>
        <w:keepNext w:val="0"/>
        <w:keepLines w:val="0"/>
        <w:pageBreakBefore w:val="0"/>
        <w:kinsoku/>
        <w:wordWrap/>
        <w:overflowPunct/>
        <w:topLinePunct w:val="0"/>
        <w:autoSpaceDE/>
        <w:autoSpaceDN/>
        <w:bidi w:val="0"/>
        <w:snapToGrid w:val="0"/>
        <w:spacing w:line="360" w:lineRule="auto"/>
        <w:rPr>
          <w:rFonts w:hint="eastAsia" w:ascii="宋体" w:hAnsi="宋体" w:eastAsia="宋体" w:cs="宋体"/>
          <w:b/>
          <w:color w:val="auto"/>
          <w:sz w:val="21"/>
          <w:szCs w:val="21"/>
          <w:highlight w:val="none"/>
        </w:rPr>
      </w:pPr>
    </w:p>
    <w:p>
      <w:pPr>
        <w:keepNext w:val="0"/>
        <w:keepLines w:val="0"/>
        <w:pageBreakBefore w:val="0"/>
        <w:kinsoku/>
        <w:wordWrap/>
        <w:overflowPunct/>
        <w:topLinePunct w:val="0"/>
        <w:autoSpaceDE/>
        <w:autoSpaceDN/>
        <w:bidi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9.干货、腊味类:</w:t>
      </w:r>
    </w:p>
    <w:tbl>
      <w:tblPr>
        <w:tblStyle w:val="22"/>
        <w:tblW w:w="8310" w:type="dxa"/>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2025"/>
        <w:gridCol w:w="896"/>
        <w:gridCol w:w="1984"/>
        <w:gridCol w:w="895"/>
        <w:gridCol w:w="1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82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202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c>
          <w:tcPr>
            <w:tcW w:w="896"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984"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c>
          <w:tcPr>
            <w:tcW w:w="89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68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noWrap w:val="0"/>
            <w:vAlign w:val="center"/>
          </w:tcPr>
          <w:p>
            <w:pPr>
              <w:keepNext w:val="0"/>
              <w:keepLines w:val="0"/>
              <w:pageBreakBefore w:val="0"/>
              <w:widowControl/>
              <w:numPr>
                <w:ilvl w:val="0"/>
                <w:numId w:val="23"/>
              </w:numP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sz w:val="21"/>
                <w:szCs w:val="21"/>
                <w:highlight w:val="none"/>
              </w:rPr>
            </w:pPr>
          </w:p>
        </w:tc>
        <w:tc>
          <w:tcPr>
            <w:tcW w:w="202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大花生米</w:t>
            </w:r>
          </w:p>
        </w:tc>
        <w:tc>
          <w:tcPr>
            <w:tcW w:w="896" w:type="dxa"/>
            <w:noWrap w:val="0"/>
            <w:vAlign w:val="center"/>
          </w:tcPr>
          <w:p>
            <w:pPr>
              <w:keepNext w:val="0"/>
              <w:keepLines w:val="0"/>
              <w:pageBreakBefore w:val="0"/>
              <w:widowControl/>
              <w:numPr>
                <w:ilvl w:val="0"/>
                <w:numId w:val="23"/>
              </w:numP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sz w:val="21"/>
                <w:szCs w:val="21"/>
                <w:highlight w:val="none"/>
              </w:rPr>
            </w:pPr>
          </w:p>
        </w:tc>
        <w:tc>
          <w:tcPr>
            <w:tcW w:w="1984"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黑木耳</w:t>
            </w:r>
          </w:p>
        </w:tc>
        <w:tc>
          <w:tcPr>
            <w:tcW w:w="895" w:type="dxa"/>
            <w:noWrap w:val="0"/>
            <w:vAlign w:val="center"/>
          </w:tcPr>
          <w:p>
            <w:pPr>
              <w:keepNext w:val="0"/>
              <w:keepLines w:val="0"/>
              <w:pageBreakBefore w:val="0"/>
              <w:widowControl/>
              <w:numPr>
                <w:ilvl w:val="0"/>
                <w:numId w:val="23"/>
              </w:numP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sz w:val="21"/>
                <w:szCs w:val="21"/>
                <w:highlight w:val="none"/>
              </w:rPr>
            </w:pPr>
          </w:p>
        </w:tc>
        <w:tc>
          <w:tcPr>
            <w:tcW w:w="168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绿豆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noWrap w:val="0"/>
            <w:vAlign w:val="center"/>
          </w:tcPr>
          <w:p>
            <w:pPr>
              <w:keepNext w:val="0"/>
              <w:keepLines w:val="0"/>
              <w:pageBreakBefore w:val="0"/>
              <w:widowControl/>
              <w:numPr>
                <w:ilvl w:val="0"/>
                <w:numId w:val="23"/>
              </w:numP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sz w:val="21"/>
                <w:szCs w:val="21"/>
                <w:highlight w:val="none"/>
              </w:rPr>
            </w:pPr>
          </w:p>
        </w:tc>
        <w:tc>
          <w:tcPr>
            <w:tcW w:w="202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胡椒粉</w:t>
            </w:r>
          </w:p>
        </w:tc>
        <w:tc>
          <w:tcPr>
            <w:tcW w:w="896" w:type="dxa"/>
            <w:noWrap w:val="0"/>
            <w:vAlign w:val="center"/>
          </w:tcPr>
          <w:p>
            <w:pPr>
              <w:keepNext w:val="0"/>
              <w:keepLines w:val="0"/>
              <w:pageBreakBefore w:val="0"/>
              <w:widowControl/>
              <w:numPr>
                <w:ilvl w:val="0"/>
                <w:numId w:val="23"/>
              </w:numP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sz w:val="21"/>
                <w:szCs w:val="21"/>
                <w:highlight w:val="none"/>
              </w:rPr>
            </w:pPr>
          </w:p>
        </w:tc>
        <w:tc>
          <w:tcPr>
            <w:tcW w:w="1984"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干海带</w:t>
            </w:r>
          </w:p>
        </w:tc>
        <w:tc>
          <w:tcPr>
            <w:tcW w:w="895" w:type="dxa"/>
            <w:noWrap w:val="0"/>
            <w:vAlign w:val="center"/>
          </w:tcPr>
          <w:p>
            <w:pPr>
              <w:keepNext w:val="0"/>
              <w:keepLines w:val="0"/>
              <w:pageBreakBefore w:val="0"/>
              <w:widowControl/>
              <w:numPr>
                <w:ilvl w:val="0"/>
                <w:numId w:val="23"/>
              </w:numP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sz w:val="21"/>
                <w:szCs w:val="21"/>
                <w:highlight w:val="none"/>
              </w:rPr>
            </w:pPr>
          </w:p>
        </w:tc>
        <w:tc>
          <w:tcPr>
            <w:tcW w:w="168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noWrap w:val="0"/>
            <w:vAlign w:val="center"/>
          </w:tcPr>
          <w:p>
            <w:pPr>
              <w:keepNext w:val="0"/>
              <w:keepLines w:val="0"/>
              <w:pageBreakBefore w:val="0"/>
              <w:widowControl/>
              <w:numPr>
                <w:ilvl w:val="0"/>
                <w:numId w:val="23"/>
              </w:numP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sz w:val="21"/>
                <w:szCs w:val="21"/>
                <w:highlight w:val="none"/>
              </w:rPr>
            </w:pPr>
          </w:p>
        </w:tc>
        <w:tc>
          <w:tcPr>
            <w:tcW w:w="202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陈皮</w:t>
            </w:r>
          </w:p>
        </w:tc>
        <w:tc>
          <w:tcPr>
            <w:tcW w:w="896" w:type="dxa"/>
            <w:noWrap w:val="0"/>
            <w:vAlign w:val="center"/>
          </w:tcPr>
          <w:p>
            <w:pPr>
              <w:keepNext w:val="0"/>
              <w:keepLines w:val="0"/>
              <w:pageBreakBefore w:val="0"/>
              <w:widowControl/>
              <w:numPr>
                <w:ilvl w:val="0"/>
                <w:numId w:val="23"/>
              </w:numP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sz w:val="21"/>
                <w:szCs w:val="21"/>
                <w:highlight w:val="none"/>
              </w:rPr>
            </w:pPr>
          </w:p>
        </w:tc>
        <w:tc>
          <w:tcPr>
            <w:tcW w:w="1984"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干腐皮</w:t>
            </w:r>
          </w:p>
        </w:tc>
        <w:tc>
          <w:tcPr>
            <w:tcW w:w="895" w:type="dxa"/>
            <w:noWrap w:val="0"/>
            <w:vAlign w:val="center"/>
          </w:tcPr>
          <w:p>
            <w:pPr>
              <w:keepNext w:val="0"/>
              <w:keepLines w:val="0"/>
              <w:pageBreakBefore w:val="0"/>
              <w:widowControl/>
              <w:numPr>
                <w:ilvl w:val="0"/>
                <w:numId w:val="23"/>
              </w:numP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sz w:val="21"/>
                <w:szCs w:val="21"/>
                <w:highlight w:val="none"/>
              </w:rPr>
            </w:pPr>
          </w:p>
        </w:tc>
        <w:tc>
          <w:tcPr>
            <w:tcW w:w="168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腊肉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noWrap w:val="0"/>
            <w:vAlign w:val="center"/>
          </w:tcPr>
          <w:p>
            <w:pPr>
              <w:keepNext w:val="0"/>
              <w:keepLines w:val="0"/>
              <w:pageBreakBefore w:val="0"/>
              <w:widowControl/>
              <w:numPr>
                <w:ilvl w:val="0"/>
                <w:numId w:val="23"/>
              </w:numPr>
              <w:kinsoku/>
              <w:wordWrap/>
              <w:overflowPunct/>
              <w:topLinePunct w:val="0"/>
              <w:autoSpaceDE/>
              <w:autoSpaceDN/>
              <w:bidi w:val="0"/>
              <w:adjustRightInd w:val="0"/>
              <w:snapToGrid w:val="0"/>
              <w:spacing w:line="360" w:lineRule="auto"/>
              <w:ind w:firstLine="0"/>
              <w:jc w:val="right"/>
              <w:textAlignment w:val="auto"/>
              <w:rPr>
                <w:rFonts w:hint="eastAsia" w:ascii="宋体" w:hAnsi="宋体" w:eastAsia="宋体" w:cs="宋体"/>
                <w:color w:val="auto"/>
                <w:sz w:val="21"/>
                <w:szCs w:val="21"/>
                <w:highlight w:val="none"/>
              </w:rPr>
            </w:pPr>
          </w:p>
        </w:tc>
        <w:tc>
          <w:tcPr>
            <w:tcW w:w="202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腊肠</w:t>
            </w:r>
          </w:p>
        </w:tc>
        <w:tc>
          <w:tcPr>
            <w:tcW w:w="896" w:type="dxa"/>
            <w:noWrap w:val="0"/>
            <w:vAlign w:val="center"/>
          </w:tcPr>
          <w:p>
            <w:pPr>
              <w:keepNext w:val="0"/>
              <w:keepLines w:val="0"/>
              <w:pageBreakBefore w:val="0"/>
              <w:widowControl/>
              <w:numPr>
                <w:ilvl w:val="0"/>
                <w:numId w:val="23"/>
              </w:numPr>
              <w:kinsoku/>
              <w:wordWrap/>
              <w:overflowPunct/>
              <w:topLinePunct w:val="0"/>
              <w:autoSpaceDE/>
              <w:autoSpaceDN/>
              <w:bidi w:val="0"/>
              <w:adjustRightInd w:val="0"/>
              <w:snapToGrid w:val="0"/>
              <w:spacing w:line="360" w:lineRule="auto"/>
              <w:ind w:firstLine="0"/>
              <w:jc w:val="right"/>
              <w:textAlignment w:val="auto"/>
              <w:rPr>
                <w:rFonts w:hint="eastAsia" w:ascii="宋体" w:hAnsi="宋体" w:eastAsia="宋体" w:cs="宋体"/>
                <w:color w:val="auto"/>
                <w:sz w:val="21"/>
                <w:szCs w:val="21"/>
                <w:highlight w:val="none"/>
              </w:rPr>
            </w:pPr>
          </w:p>
        </w:tc>
        <w:tc>
          <w:tcPr>
            <w:tcW w:w="1984"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黄豆</w:t>
            </w:r>
          </w:p>
        </w:tc>
        <w:tc>
          <w:tcPr>
            <w:tcW w:w="258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kern w:val="0"/>
                <w:sz w:val="21"/>
                <w:szCs w:val="21"/>
                <w:highlight w:val="none"/>
              </w:rPr>
            </w:pPr>
          </w:p>
        </w:tc>
      </w:tr>
    </w:tbl>
    <w:p>
      <w:pPr>
        <w:keepNext w:val="0"/>
        <w:keepLines w:val="0"/>
        <w:pageBreakBefore w:val="0"/>
        <w:kinsoku/>
        <w:wordWrap/>
        <w:overflowPunct/>
        <w:topLinePunct w:val="0"/>
        <w:autoSpaceDE/>
        <w:autoSpaceDN/>
        <w:bidi w:val="0"/>
        <w:spacing w:line="360" w:lineRule="auto"/>
        <w:rPr>
          <w:rFonts w:hint="eastAsia" w:ascii="宋体" w:hAnsi="宋体" w:eastAsia="宋体" w:cs="宋体"/>
          <w:color w:val="auto"/>
          <w:sz w:val="21"/>
          <w:szCs w:val="21"/>
          <w:highlight w:val="none"/>
        </w:rPr>
      </w:pPr>
    </w:p>
    <w:p>
      <w:pPr>
        <w:pStyle w:val="5"/>
        <w:bidi w:val="0"/>
        <w:spacing w:before="0" w:after="0" w:line="360" w:lineRule="auto"/>
        <w:rPr>
          <w:rFonts w:hint="eastAsia" w:eastAsia="宋体" w:asciiTheme="majorAscii" w:hAnsiTheme="majorAscii"/>
          <w:color w:val="auto"/>
          <w:sz w:val="24"/>
          <w:highlight w:val="none"/>
          <w:lang w:val="en-US" w:eastAsia="zh-CN"/>
        </w:rPr>
      </w:pPr>
      <w:bookmarkStart w:id="226" w:name="_Toc257799729"/>
      <w:bookmarkStart w:id="227" w:name="_Toc258595214"/>
      <w:bookmarkStart w:id="228" w:name="_Toc258594150"/>
      <w:bookmarkStart w:id="229" w:name="_Toc373222966"/>
      <w:bookmarkStart w:id="230" w:name="_Toc373223055"/>
      <w:bookmarkStart w:id="231" w:name="_Toc374515874"/>
      <w:bookmarkStart w:id="232" w:name="_Toc255974606"/>
      <w:r>
        <w:rPr>
          <w:rFonts w:hint="eastAsia" w:eastAsia="宋体" w:asciiTheme="majorAscii" w:hAnsiTheme="majorAscii"/>
          <w:color w:val="auto"/>
          <w:sz w:val="24"/>
          <w:highlight w:val="none"/>
          <w:lang w:val="en-US" w:eastAsia="zh-CN"/>
        </w:rPr>
        <w:t>四、产品配送要求</w:t>
      </w:r>
      <w:bookmarkEnd w:id="226"/>
      <w:bookmarkEnd w:id="227"/>
      <w:bookmarkEnd w:id="228"/>
      <w:bookmarkEnd w:id="229"/>
      <w:bookmarkEnd w:id="230"/>
      <w:bookmarkEnd w:id="231"/>
    </w:p>
    <w:p>
      <w:pPr>
        <w:keepNext w:val="0"/>
        <w:keepLines w:val="0"/>
        <w:pageBreakBefore w:val="0"/>
        <w:kinsoku/>
        <w:wordWrap/>
        <w:overflowPunct/>
        <w:topLinePunct w:val="0"/>
        <w:autoSpaceDE/>
        <w:autoSpaceDN/>
        <w:bidi w:val="0"/>
        <w:snapToGrid w:val="0"/>
        <w:spacing w:line="360" w:lineRule="auto"/>
        <w:ind w:left="25" w:leftChars="1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1.送货方式：每次根据采购人的电话或其它方式通知订购品种、数量后，按时运送物品到指定地点，成交供应商随货提供注明货物名称、单位、数量、售价及总金额的商品送货清单，作为采购人入库验收之凭证。</w:t>
      </w:r>
    </w:p>
    <w:p>
      <w:pPr>
        <w:keepNext w:val="0"/>
        <w:keepLines w:val="0"/>
        <w:pageBreakBefore w:val="0"/>
        <w:kinsoku/>
        <w:wordWrap/>
        <w:overflowPunct/>
        <w:topLinePunct w:val="0"/>
        <w:autoSpaceDE/>
        <w:autoSpaceDN/>
        <w:bidi w:val="0"/>
        <w:snapToGrid w:val="0"/>
        <w:spacing w:line="360" w:lineRule="auto"/>
        <w:ind w:left="25" w:leftChars="1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2.交货地点：学校指定地点。</w:t>
      </w:r>
    </w:p>
    <w:p>
      <w:pPr>
        <w:keepNext w:val="0"/>
        <w:keepLines w:val="0"/>
        <w:pageBreakBefore w:val="0"/>
        <w:kinsoku/>
        <w:wordWrap/>
        <w:overflowPunct/>
        <w:topLinePunct w:val="0"/>
        <w:autoSpaceDE/>
        <w:autoSpaceDN/>
        <w:bidi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3.包装与标志要求：包装：容器(框、箱、袋)要求清洁、干燥、牢固、透气，无污染、无异味、无霉变现象。标志：每件包装必须按</w:t>
      </w:r>
      <w:r>
        <w:rPr>
          <w:rFonts w:hint="eastAsia" w:ascii="宋体" w:hAnsi="宋体" w:eastAsia="宋体" w:cs="宋体"/>
          <w:color w:val="auto"/>
          <w:kern w:val="0"/>
          <w:sz w:val="21"/>
          <w:szCs w:val="21"/>
          <w:highlight w:val="none"/>
        </w:rPr>
        <w:t>《农产品包装和标识管理办法》</w:t>
      </w:r>
      <w:r>
        <w:rPr>
          <w:rFonts w:hint="eastAsia" w:ascii="宋体" w:hAnsi="宋体" w:eastAsia="宋体" w:cs="宋体"/>
          <w:color w:val="auto"/>
          <w:sz w:val="21"/>
          <w:szCs w:val="21"/>
          <w:highlight w:val="none"/>
        </w:rPr>
        <w:t>贴标签，并标明产地、品种、净含量、生产单位及地址和采收日期。</w:t>
      </w:r>
    </w:p>
    <w:p>
      <w:pPr>
        <w:keepNext w:val="0"/>
        <w:keepLines w:val="0"/>
        <w:pageBreakBefore w:val="0"/>
        <w:kinsoku/>
        <w:wordWrap/>
        <w:overflowPunct/>
        <w:topLinePunct w:val="0"/>
        <w:autoSpaceDE/>
        <w:autoSpaceDN/>
        <w:bidi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运输要求：运输工具应清洁卫生无污染：食品运输必须采用符合卫生标准的外包装和运载工具，并且要保持清洁和定期消毒。运输车厢的内仓，包括地面、墙面和顶，应使用抗腐蚀、防潮，易清洁消毒的材料。车厢内无不良气味、异味；运输途中严防日晒、雨淋，注意通风散热；蔬菜应小心轻卸，严防机械损伤。食品堆放科学合理，避免造成食品的交叉污染；</w:t>
      </w:r>
      <w:r>
        <w:rPr>
          <w:rFonts w:hint="eastAsia" w:ascii="宋体" w:hAnsi="宋体" w:eastAsia="宋体" w:cs="宋体"/>
          <w:color w:val="auto"/>
          <w:kern w:val="0"/>
          <w:sz w:val="21"/>
          <w:szCs w:val="21"/>
          <w:highlight w:val="none"/>
        </w:rPr>
        <w:t>冷冻品的运输要符合冷冻温度要求，确定食品的温度，</w:t>
      </w:r>
      <w:r>
        <w:rPr>
          <w:rFonts w:hint="eastAsia" w:ascii="宋体" w:hAnsi="宋体" w:eastAsia="宋体" w:cs="宋体"/>
          <w:color w:val="auto"/>
          <w:sz w:val="21"/>
          <w:szCs w:val="21"/>
          <w:highlight w:val="none"/>
        </w:rPr>
        <w:t>记录送货车辆温度，并将记录存档。</w:t>
      </w:r>
    </w:p>
    <w:p>
      <w:pPr>
        <w:keepNext w:val="0"/>
        <w:keepLines w:val="0"/>
        <w:pageBreakBefore w:val="0"/>
        <w:kinsoku/>
        <w:wordWrap/>
        <w:overflowPunct/>
        <w:topLinePunct w:val="0"/>
        <w:autoSpaceDE/>
        <w:autoSpaceDN/>
        <w:bidi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5.数量方面要求：保证配送品种斤两的准确性，以采购人的验货数量为准，成交供应商每次随货送上一式两份的送货清单，供双方验货后签字确认，双方各持一份，作为送、收货的凭证。</w:t>
      </w:r>
    </w:p>
    <w:p>
      <w:pPr>
        <w:keepNext w:val="0"/>
        <w:keepLines w:val="0"/>
        <w:pageBreakBefore w:val="0"/>
        <w:kinsoku/>
        <w:wordWrap/>
        <w:overflowPunct/>
        <w:topLinePunct w:val="0"/>
        <w:autoSpaceDE/>
        <w:autoSpaceDN/>
        <w:bidi w:val="0"/>
        <w:snapToGrid w:val="0"/>
        <w:spacing w:line="360" w:lineRule="auto"/>
        <w:ind w:left="25" w:leftChars="1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每次根据采购用户的通知订购品种和数量后，24小时内送货，具体送货时间由采购用户通知时约定，由采购人指定负责人验收过秤记录。对于不符合质量的品种采购人可退货或换货（由于产品质量而造成员工、师生或其他用餐人员发生安全事故时，成交供应商须承担全部责任）。</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7.对采购人临时的供货要求，需随订随送，至少在2个小时内响应并送到采购人指定食堂。</w:t>
      </w:r>
    </w:p>
    <w:p>
      <w:pPr>
        <w:bidi w:val="0"/>
        <w:rPr>
          <w:rFonts w:hint="eastAsia"/>
          <w:color w:val="auto"/>
          <w:highlight w:val="none"/>
        </w:rPr>
      </w:pPr>
    </w:p>
    <w:p>
      <w:pPr>
        <w:pStyle w:val="5"/>
        <w:bidi w:val="0"/>
        <w:spacing w:before="0" w:after="0" w:line="360" w:lineRule="auto"/>
        <w:rPr>
          <w:rFonts w:hint="eastAsia" w:eastAsia="宋体" w:asciiTheme="majorAscii" w:hAnsiTheme="majorAscii"/>
          <w:color w:val="auto"/>
          <w:sz w:val="24"/>
          <w:highlight w:val="none"/>
          <w:lang w:val="en-US" w:eastAsia="zh-CN"/>
        </w:rPr>
      </w:pPr>
      <w:r>
        <w:rPr>
          <w:rFonts w:hint="eastAsia" w:eastAsia="宋体" w:asciiTheme="majorAscii" w:hAnsiTheme="majorAscii"/>
          <w:color w:val="auto"/>
          <w:sz w:val="24"/>
          <w:highlight w:val="none"/>
          <w:lang w:val="en-US" w:eastAsia="zh-CN"/>
        </w:rPr>
        <w:t>五、相关说明</w:t>
      </w:r>
    </w:p>
    <w:p>
      <w:pPr>
        <w:pStyle w:val="35"/>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成交供应商在供应商服务年限内，履行本招标文件约定的义务过程中出现违反国家法律法规、相关主管部门规章制度、擅自提高价格或提供伪劣服务内容、服务质量低劣造成采购人损失等情况的，采购人有权视情节分别给予警告、没收采购履约担保或取消协议服务资格等处罚。</w:t>
      </w:r>
    </w:p>
    <w:p>
      <w:pPr>
        <w:pStyle w:val="35"/>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因成交供应商被取消配送服务资格而造成服务单位数量不能满足正常食堂食材配送工作需求的，采购人有权按顺序递补本次采购排名在成交供应商之后的候选单位，或通过对该项目服务单位进行补充采购或重新采购的方式，以保证服务单位数量的正常需求。</w:t>
      </w:r>
    </w:p>
    <w:p>
      <w:pPr>
        <w:pStyle w:val="35"/>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3.成交供应商必须清楚理解：采购人无法预计也无法保证服务单位所能获得的服务项目数量；对此服务单位不得向采购人追讨任何费用。</w:t>
      </w:r>
    </w:p>
    <w:p>
      <w:pPr>
        <w:bidi w:val="0"/>
        <w:rPr>
          <w:rFonts w:hint="eastAsia"/>
          <w:color w:val="auto"/>
          <w:highlight w:val="none"/>
        </w:rPr>
      </w:pPr>
    </w:p>
    <w:bookmarkEnd w:id="232"/>
    <w:p>
      <w:pPr>
        <w:pStyle w:val="5"/>
        <w:bidi w:val="0"/>
        <w:spacing w:before="0" w:after="0" w:line="360" w:lineRule="auto"/>
        <w:rPr>
          <w:rFonts w:hint="eastAsia" w:eastAsia="宋体" w:asciiTheme="majorAscii" w:hAnsiTheme="majorAscii"/>
          <w:color w:val="auto"/>
          <w:sz w:val="24"/>
          <w:highlight w:val="none"/>
          <w:lang w:val="en-US" w:eastAsia="zh-CN"/>
        </w:rPr>
      </w:pPr>
      <w:bookmarkStart w:id="233" w:name="_Toc258595216"/>
      <w:bookmarkStart w:id="234" w:name="_Toc258594152"/>
      <w:bookmarkStart w:id="235" w:name="_Toc257799731"/>
      <w:bookmarkStart w:id="236" w:name="_Toc374515876"/>
      <w:bookmarkStart w:id="237" w:name="_Toc373223057"/>
      <w:bookmarkStart w:id="238" w:name="_Toc255974608"/>
      <w:bookmarkStart w:id="239" w:name="_Toc373222968"/>
      <w:r>
        <w:rPr>
          <w:rFonts w:hint="eastAsia" w:eastAsia="宋体" w:asciiTheme="majorAscii" w:hAnsiTheme="majorAscii"/>
          <w:color w:val="auto"/>
          <w:sz w:val="24"/>
          <w:highlight w:val="none"/>
          <w:lang w:val="en-US" w:eastAsia="zh-CN"/>
        </w:rPr>
        <w:t>六、售后服务</w:t>
      </w:r>
      <w:bookmarkEnd w:id="233"/>
      <w:bookmarkEnd w:id="234"/>
      <w:bookmarkEnd w:id="235"/>
      <w:bookmarkEnd w:id="236"/>
      <w:bookmarkEnd w:id="237"/>
      <w:bookmarkEnd w:id="238"/>
      <w:bookmarkEnd w:id="239"/>
    </w:p>
    <w:p>
      <w:pPr>
        <w:keepNext w:val="0"/>
        <w:keepLines w:val="0"/>
        <w:pageBreakBefore w:val="0"/>
        <w:kinsoku/>
        <w:wordWrap/>
        <w:overflowPunct/>
        <w:topLinePunct w:val="0"/>
        <w:autoSpaceDE/>
        <w:autoSpaceDN/>
        <w:bidi w:val="0"/>
        <w:spacing w:line="360" w:lineRule="auto"/>
        <w:ind w:right="-171"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非采购人的人为原因而出现产品质量，由成交供应商负责包换或包退，并承担因此而产生的一切费用。</w:t>
      </w:r>
      <w:bookmarkStart w:id="240" w:name="_Toc373222970"/>
      <w:bookmarkStart w:id="241" w:name="_Toc373223059"/>
      <w:bookmarkStart w:id="242" w:name="_Toc257799733"/>
      <w:bookmarkStart w:id="243" w:name="_Toc255974610"/>
      <w:bookmarkStart w:id="244" w:name="_Toc258594154"/>
      <w:bookmarkStart w:id="245" w:name="_Toc258595218"/>
      <w:bookmarkStart w:id="246" w:name="_Toc374515878"/>
    </w:p>
    <w:p>
      <w:pPr>
        <w:bidi w:val="0"/>
        <w:rPr>
          <w:rFonts w:hint="eastAsia"/>
          <w:color w:val="auto"/>
          <w:highlight w:val="none"/>
        </w:rPr>
      </w:pPr>
    </w:p>
    <w:bookmarkEnd w:id="240"/>
    <w:bookmarkEnd w:id="241"/>
    <w:bookmarkEnd w:id="242"/>
    <w:bookmarkEnd w:id="243"/>
    <w:bookmarkEnd w:id="244"/>
    <w:bookmarkEnd w:id="245"/>
    <w:bookmarkEnd w:id="246"/>
    <w:p>
      <w:pPr>
        <w:bidi w:val="0"/>
        <w:rPr>
          <w:color w:val="auto"/>
          <w:highlight w:val="none"/>
        </w:rPr>
      </w:pPr>
    </w:p>
    <w:p>
      <w:pPr>
        <w:spacing w:after="0" w:line="360" w:lineRule="auto"/>
        <w:ind w:firstLine="422" w:firstLineChars="200"/>
        <w:rPr>
          <w:rFonts w:hint="eastAsia"/>
          <w:color w:val="auto"/>
          <w:sz w:val="28"/>
          <w:szCs w:val="28"/>
          <w:highlight w:val="none"/>
        </w:rPr>
      </w:pPr>
      <w:r>
        <w:rPr>
          <w:rFonts w:hint="eastAsia" w:ascii="宋体" w:hAnsi="宋体" w:eastAsia="宋体" w:cs="Times New Roman"/>
          <w:b/>
          <w:bCs/>
          <w:color w:val="auto"/>
          <w:sz w:val="21"/>
          <w:szCs w:val="21"/>
          <w:highlight w:val="none"/>
        </w:rPr>
        <w:t>注：不满足</w:t>
      </w:r>
      <w:r>
        <w:rPr>
          <w:rFonts w:hint="eastAsia" w:ascii="宋体" w:hAnsi="宋体" w:cs="Times New Roman"/>
          <w:b/>
          <w:bCs/>
          <w:color w:val="auto"/>
          <w:sz w:val="21"/>
          <w:szCs w:val="21"/>
          <w:highlight w:val="none"/>
          <w:lang w:eastAsia="zh-CN"/>
        </w:rPr>
        <w:t>磋商文件</w:t>
      </w:r>
      <w:r>
        <w:rPr>
          <w:rFonts w:hint="eastAsia" w:ascii="宋体" w:hAnsi="宋体" w:eastAsia="宋体" w:cs="Times New Roman"/>
          <w:b/>
          <w:bCs/>
          <w:color w:val="auto"/>
          <w:sz w:val="21"/>
          <w:szCs w:val="21"/>
          <w:highlight w:val="none"/>
        </w:rPr>
        <w:t>中 “★”条款的</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将作无效</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处理。</w:t>
      </w:r>
      <w:bookmarkEnd w:id="205"/>
      <w:bookmarkEnd w:id="206"/>
      <w:bookmarkEnd w:id="207"/>
      <w:bookmarkEnd w:id="208"/>
    </w:p>
    <w:p>
      <w:pPr>
        <w:bidi w:val="0"/>
        <w:rPr>
          <w:rFonts w:hint="eastAsia"/>
          <w:color w:val="auto"/>
          <w:highlight w:val="none"/>
        </w:rPr>
      </w:pPr>
    </w:p>
    <w:p>
      <w:pPr>
        <w:pStyle w:val="7"/>
        <w:rPr>
          <w:rFonts w:hint="eastAsia"/>
          <w:color w:val="auto"/>
          <w:highlight w:val="none"/>
        </w:rPr>
      </w:pPr>
    </w:p>
    <w:p>
      <w:pPr>
        <w:bidi w:val="0"/>
        <w:rPr>
          <w:rFonts w:hint="eastAsia"/>
          <w:color w:val="auto"/>
          <w:highlight w:val="none"/>
        </w:rPr>
      </w:pPr>
    </w:p>
    <w:p>
      <w:pPr>
        <w:rPr>
          <w:rFonts w:hint="eastAsia"/>
          <w:color w:val="auto"/>
          <w:sz w:val="28"/>
          <w:szCs w:val="28"/>
          <w:highlight w:val="none"/>
        </w:rPr>
      </w:pPr>
      <w:bookmarkStart w:id="247" w:name="_Toc17329"/>
      <w:r>
        <w:rPr>
          <w:rFonts w:hint="eastAsia"/>
          <w:color w:val="auto"/>
          <w:sz w:val="28"/>
          <w:szCs w:val="28"/>
          <w:highlight w:val="none"/>
        </w:rPr>
        <w:br w:type="page"/>
      </w:r>
    </w:p>
    <w:p>
      <w:pPr>
        <w:pStyle w:val="2"/>
        <w:spacing w:before="0" w:after="0" w:line="240" w:lineRule="auto"/>
        <w:rPr>
          <w:color w:val="auto"/>
          <w:sz w:val="28"/>
          <w:szCs w:val="28"/>
          <w:highlight w:val="none"/>
        </w:rPr>
      </w:pPr>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195"/>
      <w:bookmarkEnd w:id="196"/>
      <w:bookmarkEnd w:id="247"/>
      <w:bookmarkStart w:id="248" w:name="_Toc13430"/>
      <w:bookmarkStart w:id="249" w:name="_Toc21155"/>
      <w:bookmarkStart w:id="250" w:name="_Toc1534"/>
    </w:p>
    <w:p>
      <w:pPr>
        <w:pStyle w:val="4"/>
        <w:spacing w:before="0" w:after="0" w:line="240" w:lineRule="auto"/>
        <w:jc w:val="center"/>
        <w:rPr>
          <w:rFonts w:ascii="宋体" w:hAnsi="宋体" w:eastAsia="宋体" w:cs="宋体"/>
          <w:color w:val="auto"/>
          <w:highlight w:val="none"/>
        </w:rPr>
      </w:pPr>
      <w:bookmarkStart w:id="251" w:name="_Toc29470"/>
      <w:bookmarkStart w:id="252" w:name="_Toc16730"/>
      <w:bookmarkStart w:id="253" w:name="_Toc19575"/>
      <w:r>
        <w:rPr>
          <w:rFonts w:hint="eastAsia" w:ascii="宋体" w:hAnsi="宋体" w:eastAsia="宋体" w:cs="宋体"/>
          <w:color w:val="auto"/>
          <w:highlight w:val="none"/>
        </w:rPr>
        <w:t>合同格式</w:t>
      </w:r>
      <w:bookmarkEnd w:id="248"/>
      <w:bookmarkEnd w:id="249"/>
      <w:bookmarkEnd w:id="250"/>
      <w:bookmarkEnd w:id="251"/>
      <w:bookmarkEnd w:id="252"/>
      <w:bookmarkEnd w:id="253"/>
    </w:p>
    <w:p>
      <w:pPr>
        <w:widowControl/>
        <w:adjustRightInd w:val="0"/>
        <w:snapToGrid w:val="0"/>
        <w:spacing w:after="200" w:line="420" w:lineRule="atLeast"/>
        <w:ind w:right="56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合同编号：</w:t>
      </w:r>
    </w:p>
    <w:p>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w:t>
      </w:r>
    </w:p>
    <w:p>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乙方：“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受甲方委托，</w:t>
      </w:r>
      <w:r>
        <w:rPr>
          <w:rFonts w:hint="eastAsia" w:ascii="宋体" w:hAnsi="宋体" w:eastAsia="宋体" w:cs="宋体"/>
          <w:color w:val="auto"/>
          <w:kern w:val="0"/>
          <w:sz w:val="21"/>
          <w:szCs w:val="21"/>
          <w:highlight w:val="none"/>
          <w:u w:val="single"/>
        </w:rPr>
        <w:t xml:space="preserve">           (采购代理机构)</w:t>
      </w:r>
      <w:r>
        <w:rPr>
          <w:rFonts w:hint="eastAsia" w:ascii="宋体" w:hAnsi="宋体" w:eastAsia="宋体" w:cs="宋体"/>
          <w:color w:val="auto"/>
          <w:kern w:val="0"/>
          <w:sz w:val="21"/>
          <w:szCs w:val="21"/>
          <w:highlight w:val="none"/>
        </w:rPr>
        <w:t>组织对</w:t>
      </w:r>
      <w:r>
        <w:rPr>
          <w:rFonts w:hint="eastAsia" w:ascii="宋体" w:hAnsi="宋体" w:eastAsia="宋体" w:cs="宋体"/>
          <w:color w:val="auto"/>
          <w:kern w:val="0"/>
          <w:sz w:val="21"/>
          <w:szCs w:val="21"/>
          <w:highlight w:val="none"/>
          <w:u w:val="single"/>
        </w:rPr>
        <w:t xml:space="preserve">         （项目名称）</w:t>
      </w:r>
      <w:r>
        <w:rPr>
          <w:rFonts w:hint="eastAsia" w:ascii="宋体" w:hAnsi="宋体" w:eastAsia="宋体" w:cs="宋体"/>
          <w:color w:val="auto"/>
          <w:kern w:val="0"/>
          <w:sz w:val="21"/>
          <w:szCs w:val="21"/>
          <w:highlight w:val="none"/>
        </w:rPr>
        <w:t>采购项目（采购编号为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）进行采购，于</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日通过磋商，经磋商小组评定乙方</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为成交单位。为了保护甲、乙双方合法权益，根据《中华人民共和国政府采购法》及其实施条例、《中华人民共和国民法典》，在平等自愿的基础上，按照下面的条款和条件，签署本合同。</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第一条 合同项目</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1、项目名称：                              ；</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2、采购编号：                   。</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第二条 合同组成</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1、合同文件组成内容包括：本合同书 、成交通知书、响应文件（含澄清内容）、磋商文件（含磋商文件澄清通知）等。</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第三条 服务内容、标准及要求</w:t>
      </w:r>
    </w:p>
    <w:p>
      <w:pPr>
        <w:widowControl/>
        <w:adjustRightInd w:val="0"/>
        <w:snapToGrid w:val="0"/>
        <w:spacing w:line="360" w:lineRule="auto"/>
        <w:jc w:val="left"/>
        <w:rPr>
          <w:rFonts w:ascii="宋体" w:hAnsi="宋体" w:eastAsia="宋体" w:cs="宋体"/>
          <w:color w:val="auto"/>
          <w:sz w:val="21"/>
          <w:szCs w:val="21"/>
          <w:highlight w:val="none"/>
          <w:u w:val="single"/>
          <w:shd w:val="clear" w:color="auto" w:fill="FFFFFF"/>
        </w:rPr>
      </w:pPr>
      <w:r>
        <w:rPr>
          <w:rFonts w:hint="eastAsia" w:ascii="宋体" w:hAnsi="宋体" w:eastAsia="宋体" w:cs="宋体"/>
          <w:color w:val="auto"/>
          <w:kern w:val="0"/>
          <w:sz w:val="21"/>
          <w:szCs w:val="21"/>
          <w:highlight w:val="none"/>
          <w:shd w:val="clear" w:color="auto" w:fill="FFFFFF"/>
        </w:rPr>
        <w:t>1、采购内容：</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2、采购标准：</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3、采购要求：</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4、具体采购内容采购标准及要求以磋商文件用户需求书及乙方响应文件承诺条款及方案为准。</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第四条 价格</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1、合同总价包含：人工费、材料费、设备使用费、各种税费、保险费及合同实施过程中的不可预见费用等全部费用，按本次招标范围及成交价一次包干，结算时不作调整。</w:t>
      </w:r>
    </w:p>
    <w:p>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2、合同总价：（人民币）大写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3、本合同价为固定不变价。</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第五条 服务期限及地点</w:t>
      </w:r>
    </w:p>
    <w:p>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1、服务期：  年，合同生效之日自       年  月  日至     年  月  日止。</w:t>
      </w:r>
    </w:p>
    <w:p>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2、服务地点：              或甲方指定地点。</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第六条 付款方式</w:t>
      </w:r>
    </w:p>
    <w:p>
      <w:pPr>
        <w:pStyle w:val="2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1、本合同的付款方式为：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cs="宋体"/>
          <w:b/>
          <w:color w:val="auto"/>
          <w:sz w:val="21"/>
          <w:szCs w:val="21"/>
          <w:highlight w:val="none"/>
        </w:rPr>
      </w:pPr>
      <w:r>
        <w:rPr>
          <w:rFonts w:hint="eastAsia" w:ascii="宋体" w:hAnsi="宋体" w:eastAsia="宋体" w:cs="宋体"/>
          <w:b/>
          <w:color w:val="auto"/>
          <w:kern w:val="0"/>
          <w:sz w:val="21"/>
          <w:szCs w:val="21"/>
          <w:highlight w:val="none"/>
        </w:rPr>
        <w:t>第七条 竣工与验收</w:t>
      </w:r>
    </w:p>
    <w:p>
      <w:pPr>
        <w:pStyle w:val="20"/>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w:t>
      </w:r>
      <w:r>
        <w:rPr>
          <w:rFonts w:hint="eastAsia" w:ascii="宋体" w:hAnsi="宋体"/>
          <w:color w:val="auto"/>
          <w:sz w:val="21"/>
          <w:szCs w:val="21"/>
          <w:highlight w:val="none"/>
          <w:lang w:val="en-US" w:eastAsia="zh-CN"/>
        </w:rPr>
        <w:t>采购</w:t>
      </w:r>
      <w:r>
        <w:rPr>
          <w:rFonts w:hint="eastAsia" w:ascii="宋体" w:hAnsi="宋体"/>
          <w:color w:val="auto"/>
          <w:sz w:val="21"/>
          <w:szCs w:val="21"/>
          <w:highlight w:val="none"/>
        </w:rPr>
        <w:t>文件及本合同的有关规定制定的方案进行验收，并按国家有关规定、规范进行。</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w:t>
      </w:r>
      <w:r>
        <w:rPr>
          <w:rFonts w:hint="eastAsia" w:ascii="宋体" w:hAnsi="宋体" w:eastAsia="宋体" w:cs="Times New Roman"/>
          <w:color w:val="auto"/>
          <w:sz w:val="21"/>
          <w:szCs w:val="21"/>
          <w:highlight w:val="none"/>
        </w:rPr>
        <w:t>与验收。</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3、对验收不合格的部分，乙方应在甲方规定时间内及时整改完善直至合格。</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4、乙方</w:t>
      </w:r>
      <w:r>
        <w:rPr>
          <w:rFonts w:hint="eastAsia" w:ascii="宋体" w:hAnsi="宋体" w:eastAsia="宋体" w:cs="Times New Roman"/>
          <w:color w:val="auto"/>
          <w:sz w:val="21"/>
          <w:szCs w:val="21"/>
          <w:highlight w:val="none"/>
        </w:rPr>
        <w:t>保证向</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提供的所有设计文件均自主设计的，不存在知识产权方面的纠纷。</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5、乙方的</w:t>
      </w:r>
      <w:r>
        <w:rPr>
          <w:rFonts w:hint="eastAsia" w:ascii="宋体" w:hAnsi="宋体" w:eastAsia="宋体" w:cs="Times New Roman"/>
          <w:color w:val="auto"/>
          <w:sz w:val="21"/>
          <w:szCs w:val="21"/>
          <w:highlight w:val="none"/>
        </w:rPr>
        <w:t>设计文件应达到一定的高度、深度和广度，应严格按照</w:t>
      </w:r>
      <w:r>
        <w:rPr>
          <w:rFonts w:hint="eastAsia" w:ascii="宋体" w:hAnsi="宋体" w:eastAsia="宋体" w:cs="Times New Roman"/>
          <w:color w:val="auto"/>
          <w:sz w:val="21"/>
          <w:szCs w:val="21"/>
          <w:highlight w:val="none"/>
          <w:lang w:val="en-US" w:eastAsia="zh-CN"/>
        </w:rPr>
        <w:t>采购</w:t>
      </w:r>
      <w:r>
        <w:rPr>
          <w:rFonts w:hint="eastAsia" w:ascii="宋体" w:hAnsi="宋体" w:eastAsia="宋体" w:cs="Times New Roman"/>
          <w:color w:val="auto"/>
          <w:sz w:val="21"/>
          <w:szCs w:val="21"/>
          <w:highlight w:val="none"/>
        </w:rPr>
        <w:t>文件的内容、规模和要求进行设计。设计中必须贯彻 “完整性、统一性、先进性”和“经济、高效、安全”的基本原则，同时应充分考虑智慧道路路网的整体智慧需求及前沿技术的应用。</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6、</w:t>
      </w:r>
      <w:r>
        <w:rPr>
          <w:rFonts w:hint="eastAsia" w:ascii="宋体" w:hAnsi="宋体" w:eastAsia="宋体" w:cs="Times New Roman"/>
          <w:color w:val="auto"/>
          <w:sz w:val="21"/>
          <w:szCs w:val="21"/>
          <w:highlight w:val="none"/>
        </w:rPr>
        <w:t>设计中引用、套用国家和部颁相关专业的设计规范、标准及新的相关专业的技术标准和要求时，应准确引用和套用。</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7、</w:t>
      </w:r>
      <w:r>
        <w:rPr>
          <w:rFonts w:hint="eastAsia" w:ascii="宋体" w:hAnsi="宋体" w:eastAsia="宋体" w:cs="Times New Roman"/>
          <w:color w:val="auto"/>
          <w:sz w:val="21"/>
          <w:szCs w:val="21"/>
          <w:highlight w:val="none"/>
        </w:rPr>
        <w:t>设计文件达到的深度应能全面指导施工。设计说明内容应包括各项设计图纸，设计依据、设计范围、建设地点及现有道路现状等，并说明本工程需要配合及注意解决的问题、并附主要设备及材料表，说明内容应全面。</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8、乙方的</w:t>
      </w:r>
      <w:r>
        <w:rPr>
          <w:rFonts w:hint="eastAsia" w:ascii="宋体" w:hAnsi="宋体" w:eastAsia="宋体" w:cs="Times New Roman"/>
          <w:color w:val="auto"/>
          <w:sz w:val="21"/>
          <w:szCs w:val="21"/>
          <w:highlight w:val="none"/>
        </w:rPr>
        <w:t>设计文件应对施工中的安全注意事项进行说明。</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9、乙方的</w:t>
      </w:r>
      <w:r>
        <w:rPr>
          <w:rFonts w:hint="eastAsia" w:ascii="宋体" w:hAnsi="宋体" w:eastAsia="宋体" w:cs="Times New Roman"/>
          <w:color w:val="auto"/>
          <w:sz w:val="21"/>
          <w:szCs w:val="21"/>
          <w:highlight w:val="none"/>
        </w:rPr>
        <w:t>设计文件的编印应符合规范化、标准化的要求，包括：设计说明书页张篇幅及各号图纸大小篇幅应符合国家标准规定尺寸；设计文件册的封面必须能表示出工程设计项目的全名、分册编号及工程名称。设计文件的分册由</w:t>
      </w:r>
      <w:r>
        <w:rPr>
          <w:rFonts w:hint="eastAsia" w:ascii="宋体" w:hAnsi="宋体" w:eastAsia="宋体" w:cs="Times New Roman"/>
          <w:color w:val="auto"/>
          <w:sz w:val="21"/>
          <w:szCs w:val="21"/>
          <w:highlight w:val="none"/>
          <w:lang w:val="en-US" w:eastAsia="zh-CN"/>
        </w:rPr>
        <w:t>甲乙双方</w:t>
      </w:r>
      <w:r>
        <w:rPr>
          <w:rFonts w:hint="eastAsia" w:ascii="宋体" w:hAnsi="宋体" w:eastAsia="宋体" w:cs="Times New Roman"/>
          <w:color w:val="auto"/>
          <w:sz w:val="21"/>
          <w:szCs w:val="21"/>
          <w:highlight w:val="none"/>
        </w:rPr>
        <w:t>协商后决定。</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10、乙方</w:t>
      </w:r>
      <w:r>
        <w:rPr>
          <w:rFonts w:hint="eastAsia" w:ascii="宋体" w:hAnsi="宋体" w:eastAsia="宋体" w:cs="Times New Roman"/>
          <w:color w:val="auto"/>
          <w:sz w:val="21"/>
          <w:szCs w:val="21"/>
          <w:highlight w:val="none"/>
        </w:rPr>
        <w:t>设计文件的编制和装订应利于</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归档保存及保养。</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11、</w:t>
      </w:r>
      <w:r>
        <w:rPr>
          <w:rFonts w:hint="eastAsia" w:ascii="宋体" w:hAnsi="宋体" w:eastAsia="宋体" w:cs="Times New Roman"/>
          <w:color w:val="auto"/>
          <w:sz w:val="21"/>
          <w:szCs w:val="21"/>
          <w:highlight w:val="none"/>
        </w:rPr>
        <w:t>接到设计任务后，按合同要求工期完成初步设计及施工图设计,并通过</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审核确认。</w:t>
      </w:r>
    </w:p>
    <w:p>
      <w:pPr>
        <w:widowControl/>
        <w:adjustRightInd w:val="0"/>
        <w:snapToGrid w:val="0"/>
        <w:spacing w:line="360" w:lineRule="auto"/>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第八条 税和关税</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1、中国政府根据现行税法对甲方征收的与本合同有关的一切税费均应由甲方承担。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2、中国政府根据现行税法规定对乙方或其雇员征收的与本合同有关的一切税费应由乙方承担。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3、在中国境外发生的与本合同执行有关的一切税费均应由乙方承担。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第九条 其它约定</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1、严禁转包，未经甲方书面同意不得分包。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2、乙方全部工作人员，须符合东莞市政府用工标准要求。</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3、乙方服务人员进行服务期间的过失或故意行为，造成甲方经济损失的，由乙方负责赔偿。</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4、服务人员的劳动关系隶属乙方，乙方负责服务人员的工资、节假日和超时加班补助费、社会保险、住宿、伙食等。</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5、乙方负责本项目服务人员购买因意外身故或伤残和因意外事故住院治疗保险，并负责办理一切保险赔偿手续。</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第十条 违约责任</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1、合同双方任何一方不履行合同条款或不按合同约定履行条款的其它情况，均属违约，由违约方承担违约责任，赔偿因其违约造成的损失，并支付合同价款总额   %的违约金。</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2、由于乙方的原因，导致双方签订的合同终止，乙方因此而遭受的损失，将由乙方独立承担，甲方对此不负任何责任，也不作任何赔偿。</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第十一条 争议的解决</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1、凡与本合同有关而引起的一切争议，甲乙双方应首先通过友好协商解决，如经协商后仍不能达成协议时，任何一方可以向甲方所在地人民法院提出诉讼。</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2、本合同发生的诉讼管辖地为东莞市有管辖权的法院。</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3、在进行法院审理期间，除提交法院审理的事项外，合同其他部分仍继续履行。</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4、本合同按照中华人民共和国的法律进行解释。</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第十二条 合同生效</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1、本合同由双方法定代表人或委托代理人签字盖章后立即生效，具有同等法律效力，合同有效期随服务期结束而自然终止。</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2、本合同一式    份，其中甲方    份、乙方    份，采购代理机构 壹 份（须在合同签订之日起7个工作日内递交）。</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第十三条 其它</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1、本合同未尽事宜，双方可签订补充合同，补充合同与所有附件均为合同的有效组成部分，与本合同具有同等法律效力。</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本合同合计   页A4纸张，缺页之合同为无效合同。</w:t>
      </w:r>
    </w:p>
    <w:p>
      <w:pPr>
        <w:pStyle w:val="7"/>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甲方（盖章）：                      乙方（盖章）：</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法定代表(签字)：                   法定代表(签字)：</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地址：                             地址： </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电话：                             电话：</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传真：</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传真：</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开户银行：</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开户银行：</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账号：                             账号：</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签约时间：</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签约地点：</w:t>
      </w:r>
    </w:p>
    <w:p>
      <w:pPr>
        <w:rPr>
          <w:rFonts w:ascii="宋体" w:hAnsi="宋体" w:eastAsia="宋体"/>
          <w:b/>
          <w:color w:val="auto"/>
          <w:sz w:val="21"/>
          <w:szCs w:val="21"/>
          <w:highlight w:val="none"/>
        </w:rPr>
      </w:pP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此仅为合同书样本，成交供应商需根据实际情况和甲方签订相应的合同！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2"/>
        <w:spacing w:before="0" w:after="0" w:line="240" w:lineRule="auto"/>
        <w:rPr>
          <w:color w:val="auto"/>
          <w:sz w:val="28"/>
          <w:szCs w:val="28"/>
          <w:highlight w:val="none"/>
        </w:rPr>
      </w:pPr>
      <w:bookmarkStart w:id="254" w:name="_Toc23749"/>
      <w:bookmarkStart w:id="255" w:name="_Toc31587"/>
      <w:bookmarkStart w:id="256" w:name="_Toc15158"/>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 xml:space="preserve">部分  </w:t>
      </w:r>
      <w:r>
        <w:rPr>
          <w:rFonts w:hint="eastAsia"/>
          <w:color w:val="auto"/>
          <w:sz w:val="28"/>
          <w:szCs w:val="28"/>
          <w:highlight w:val="none"/>
          <w:lang w:eastAsia="zh-CN"/>
        </w:rPr>
        <w:t>响应文件</w:t>
      </w:r>
      <w:r>
        <w:rPr>
          <w:rFonts w:hint="eastAsia"/>
          <w:color w:val="auto"/>
          <w:sz w:val="28"/>
          <w:szCs w:val="28"/>
          <w:highlight w:val="none"/>
        </w:rPr>
        <w:t>格式</w:t>
      </w:r>
      <w:bookmarkEnd w:id="254"/>
      <w:bookmarkEnd w:id="255"/>
      <w:bookmarkEnd w:id="256"/>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57" w:name="_Toc26830"/>
      <w:bookmarkStart w:id="258" w:name="_Toc6790"/>
      <w:bookmarkStart w:id="259" w:name="_Toc2434"/>
      <w:r>
        <w:rPr>
          <w:rFonts w:hint="eastAsia"/>
          <w:color w:val="auto"/>
          <w:highlight w:val="none"/>
          <w:lang w:eastAsia="zh-CN"/>
        </w:rPr>
        <w:t>响应文件</w:t>
      </w:r>
      <w:r>
        <w:rPr>
          <w:rFonts w:hint="eastAsia"/>
          <w:color w:val="auto"/>
          <w:highlight w:val="none"/>
        </w:rPr>
        <w:t>目录</w:t>
      </w:r>
      <w:bookmarkEnd w:id="257"/>
      <w:bookmarkEnd w:id="258"/>
      <w:bookmarkEnd w:id="259"/>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60" w:name="_Toc18893"/>
      <w:bookmarkStart w:id="261" w:name="_Toc28116"/>
      <w:bookmarkStart w:id="262" w:name="_Toc25502"/>
      <w:r>
        <w:rPr>
          <w:rFonts w:hint="eastAsia"/>
          <w:color w:val="auto"/>
          <w:highlight w:val="none"/>
        </w:rPr>
        <w:t>评分标准索引表</w:t>
      </w:r>
      <w:bookmarkEnd w:id="260"/>
      <w:bookmarkEnd w:id="261"/>
      <w:bookmarkEnd w:id="262"/>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29"/>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24"/>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可按实际情况自行制订评分标准索引表。</w:t>
      </w:r>
    </w:p>
    <w:p>
      <w:pPr>
        <w:pStyle w:val="7"/>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63" w:name="_Toc22080"/>
      <w:bookmarkStart w:id="264" w:name="_Toc19057"/>
      <w:bookmarkStart w:id="265" w:name="_Toc30640"/>
      <w:r>
        <w:rPr>
          <w:rFonts w:hint="eastAsia"/>
          <w:color w:val="auto"/>
          <w:highlight w:val="none"/>
          <w:lang w:val="en-US" w:eastAsia="zh-CN"/>
        </w:rPr>
        <w:t>第一章价格文件</w:t>
      </w:r>
      <w:bookmarkEnd w:id="263"/>
      <w:bookmarkEnd w:id="264"/>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66" w:name="_Toc4168"/>
      <w:bookmarkStart w:id="267" w:name="_Toc29262"/>
      <w:r>
        <w:rPr>
          <w:rFonts w:hint="eastAsia"/>
          <w:color w:val="auto"/>
          <w:highlight w:val="none"/>
          <w:lang w:val="en-US" w:eastAsia="zh-CN"/>
        </w:rPr>
        <w:t>一、报价一览表</w:t>
      </w:r>
      <w:bookmarkEnd w:id="266"/>
      <w:bookmarkEnd w:id="267"/>
    </w:p>
    <w:p>
      <w:pPr>
        <w:spacing w:line="360" w:lineRule="auto"/>
        <w:rPr>
          <w:color w:val="auto"/>
          <w:highlight w:val="none"/>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响应</w:t>
            </w:r>
            <w:r>
              <w:rPr>
                <w:rFonts w:hint="eastAsia" w:ascii="宋体" w:hAnsi="宋体"/>
                <w:color w:val="auto"/>
                <w:sz w:val="21"/>
                <w:szCs w:val="21"/>
                <w:highlight w:val="none"/>
                <w:lang w:val="en-US" w:eastAsia="zh-CN"/>
              </w:rPr>
              <w:t>下浮率</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w:t>
      </w:r>
      <w:r>
        <w:rPr>
          <w:rFonts w:hint="eastAsia" w:ascii="宋体" w:hAnsi="宋体"/>
          <w:color w:val="auto"/>
          <w:sz w:val="21"/>
          <w:szCs w:val="21"/>
          <w:highlight w:val="none"/>
          <w:lang w:eastAsia="zh-CN"/>
        </w:rPr>
        <w:t>响应</w:t>
      </w:r>
      <w:r>
        <w:rPr>
          <w:rFonts w:ascii="宋体" w:hAnsi="宋体" w:eastAsia="宋体"/>
          <w:color w:val="auto"/>
          <w:sz w:val="21"/>
          <w:szCs w:val="21"/>
          <w:highlight w:val="none"/>
        </w:rPr>
        <w:t>总价</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总价大小写不一致，以大写为准。</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总价必须准确唯一且应包含</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7"/>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7"/>
        <w:rPr>
          <w:color w:val="auto"/>
          <w:highlight w:val="none"/>
        </w:rPr>
      </w:pPr>
    </w:p>
    <w:p>
      <w:pPr>
        <w:rPr>
          <w:color w:val="auto"/>
          <w:highlight w:val="none"/>
        </w:rPr>
      </w:pPr>
    </w:p>
    <w:p>
      <w:pPr>
        <w:rPr>
          <w:rFonts w:hint="eastAsia"/>
          <w:color w:val="auto"/>
          <w:highlight w:val="none"/>
          <w:lang w:val="en-US" w:eastAsia="zh-CN"/>
        </w:rPr>
      </w:pPr>
      <w:bookmarkStart w:id="268" w:name="_Toc29258"/>
      <w:bookmarkStart w:id="269" w:name="_Toc31062"/>
      <w:r>
        <w:rPr>
          <w:rFonts w:hint="eastAsia"/>
          <w:color w:val="auto"/>
          <w:highlight w:val="none"/>
          <w:lang w:val="en-US" w:eastAsia="zh-CN"/>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r>
        <w:rPr>
          <w:rFonts w:hint="eastAsia"/>
          <w:color w:val="auto"/>
          <w:highlight w:val="none"/>
          <w:lang w:val="en-US" w:eastAsia="zh-CN"/>
        </w:rPr>
        <w:t>二、报价明细表</w:t>
      </w:r>
      <w:bookmarkEnd w:id="268"/>
      <w:bookmarkEnd w:id="269"/>
    </w:p>
    <w:p>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29"/>
        <w:rPr>
          <w:rFonts w:ascii="黑体" w:eastAsia="黑体"/>
          <w:color w:val="auto"/>
          <w:sz w:val="32"/>
          <w:szCs w:val="32"/>
          <w:highlight w:val="none"/>
        </w:rPr>
      </w:pPr>
    </w:p>
    <w:p>
      <w:pPr>
        <w:pStyle w:val="29"/>
        <w:rPr>
          <w:rFonts w:ascii="黑体" w:eastAsia="黑体"/>
          <w:color w:val="auto"/>
          <w:sz w:val="32"/>
          <w:szCs w:val="32"/>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70" w:name="_Toc14734"/>
      <w:bookmarkStart w:id="271" w:name="_Toc20974"/>
      <w:r>
        <w:rPr>
          <w:rFonts w:hint="eastAsia"/>
          <w:color w:val="auto"/>
          <w:highlight w:val="none"/>
          <w:lang w:val="en-US" w:eastAsia="zh-CN"/>
        </w:rPr>
        <w:t>三、小型或微型企业（货物/服务/承担的工程）明细表</w:t>
      </w:r>
      <w:bookmarkEnd w:id="270"/>
      <w:bookmarkEnd w:id="271"/>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pStyle w:val="32"/>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bidi w:val="0"/>
        <w:rPr>
          <w:rFonts w:hint="eastAsia"/>
          <w:color w:val="auto"/>
          <w:highlight w:val="none"/>
        </w:rPr>
      </w:pPr>
    </w:p>
    <w:p>
      <w:pPr>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2"/>
          <w:rFonts w:hint="eastAsia" w:ascii="宋体" w:hAnsi="宋体" w:eastAsia="宋体" w:cs="宋体"/>
          <w:b/>
          <w:color w:val="auto"/>
          <w:sz w:val="21"/>
          <w:szCs w:val="21"/>
          <w:highlight w:val="none"/>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2"/>
          <w:rFonts w:hint="eastAsia" w:ascii="宋体" w:hAnsi="宋体" w:eastAsia="宋体" w:cs="宋体"/>
          <w:b/>
          <w:color w:val="auto"/>
          <w:sz w:val="21"/>
          <w:szCs w:val="21"/>
          <w:highlight w:val="none"/>
        </w:rPr>
        <w:t>2、</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应该如实填写，如</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所投产品中无小型</w:t>
      </w:r>
      <w:r>
        <w:rPr>
          <w:rStyle w:val="42"/>
          <w:rFonts w:hint="eastAsia" w:ascii="宋体" w:hAnsi="宋体" w:eastAsia="宋体" w:cs="宋体"/>
          <w:b/>
          <w:color w:val="auto"/>
          <w:sz w:val="21"/>
          <w:szCs w:val="21"/>
          <w:highlight w:val="none"/>
          <w:lang w:val="en-US" w:eastAsia="zh-CN"/>
        </w:rPr>
        <w:t>或</w:t>
      </w:r>
      <w:r>
        <w:rPr>
          <w:rStyle w:val="42"/>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72" w:name="_Toc16718"/>
      <w:bookmarkStart w:id="273" w:name="_Toc17483"/>
      <w:r>
        <w:rPr>
          <w:rFonts w:hint="eastAsia"/>
          <w:color w:val="auto"/>
          <w:highlight w:val="none"/>
          <w:lang w:val="en-US" w:eastAsia="zh-CN"/>
        </w:rPr>
        <w:t>四、节能产品或环境标志产品明细表</w:t>
      </w:r>
      <w:bookmarkEnd w:id="272"/>
      <w:bookmarkEnd w:id="273"/>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pStyle w:val="29"/>
        <w:rPr>
          <w:rFonts w:hint="eastAsia"/>
          <w:color w:val="auto"/>
          <w:highlight w:val="none"/>
        </w:rPr>
      </w:pPr>
    </w:p>
    <w:p>
      <w:pPr>
        <w:tabs>
          <w:tab w:val="left" w:pos="284"/>
        </w:tabs>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2"/>
          <w:rFonts w:hint="eastAsia" w:ascii="宋体" w:hAnsi="宋体" w:eastAsia="宋体" w:cs="宋体"/>
          <w:b/>
          <w:color w:val="auto"/>
          <w:sz w:val="21"/>
          <w:szCs w:val="21"/>
          <w:highlight w:val="none"/>
        </w:rPr>
        <w:t>2、</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应该如实填写，如</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所投产品中无节能或环保产品的，请留空或删除此表！</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74" w:name="_Toc8170"/>
      <w:bookmarkStart w:id="275" w:name="_Toc10853"/>
      <w:r>
        <w:rPr>
          <w:rFonts w:hint="eastAsia"/>
          <w:color w:val="auto"/>
          <w:highlight w:val="none"/>
          <w:lang w:val="en-US" w:eastAsia="zh-CN"/>
        </w:rPr>
        <w:t>五、中小企业声明函</w:t>
      </w:r>
      <w:bookmarkEnd w:id="274"/>
      <w:bookmarkEnd w:id="275"/>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7"/>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应该在《报价明细表》中单独列明属于小型和微型企业产品（货物、承担的工程或者服务）的报价，若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76" w:name="_Toc8560"/>
      <w:bookmarkStart w:id="277" w:name="_Toc312"/>
      <w:r>
        <w:rPr>
          <w:rFonts w:hint="eastAsia"/>
          <w:color w:val="auto"/>
          <w:highlight w:val="none"/>
          <w:lang w:val="en-US" w:eastAsia="zh-CN"/>
        </w:rPr>
        <w:t>六、残疾人福利性单位声明函</w:t>
      </w:r>
      <w:bookmarkEnd w:id="276"/>
      <w:bookmarkEnd w:id="277"/>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pPr>
        <w:spacing w:after="0" w:line="480" w:lineRule="auto"/>
        <w:jc w:val="right"/>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78" w:name="_Toc30247"/>
      <w:bookmarkStart w:id="279" w:name="_Toc509844825"/>
      <w:bookmarkStart w:id="280" w:name="_Toc510171693"/>
      <w:bookmarkStart w:id="281" w:name="_Toc30277"/>
      <w:bookmarkStart w:id="282" w:name="_Toc17761"/>
      <w:bookmarkStart w:id="283" w:name="_Toc509927455"/>
      <w:bookmarkStart w:id="284" w:name="_Toc509479530"/>
      <w:bookmarkStart w:id="285" w:name="_Toc22970"/>
      <w:bookmarkStart w:id="286" w:name="_Toc508958703"/>
      <w:bookmarkStart w:id="287" w:name="_Toc508960153"/>
      <w:bookmarkStart w:id="288" w:name="_Toc508898066"/>
      <w:bookmarkStart w:id="289" w:name="_Toc20910"/>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78"/>
      <w:bookmarkEnd w:id="279"/>
      <w:bookmarkEnd w:id="280"/>
      <w:bookmarkEnd w:id="281"/>
      <w:bookmarkEnd w:id="282"/>
      <w:bookmarkEnd w:id="283"/>
      <w:bookmarkEnd w:id="284"/>
      <w:bookmarkEnd w:id="285"/>
      <w:bookmarkEnd w:id="286"/>
      <w:bookmarkEnd w:id="287"/>
      <w:bookmarkEnd w:id="288"/>
      <w:bookmarkEnd w:id="289"/>
    </w:p>
    <w:p>
      <w:pPr>
        <w:pStyle w:val="7"/>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90" w:name="_Toc508960154"/>
      <w:bookmarkStart w:id="291" w:name="_Toc510171694"/>
      <w:bookmarkStart w:id="292" w:name="_Toc26216"/>
      <w:bookmarkStart w:id="293" w:name="_Toc28527"/>
      <w:bookmarkStart w:id="294" w:name="_Toc508958704"/>
      <w:bookmarkStart w:id="295" w:name="_Toc31520"/>
      <w:bookmarkStart w:id="296" w:name="_Toc21053"/>
      <w:bookmarkStart w:id="297" w:name="_Toc509479531"/>
      <w:bookmarkStart w:id="298" w:name="_Toc509927456"/>
      <w:bookmarkStart w:id="299" w:name="_Toc508898067"/>
      <w:bookmarkStart w:id="300" w:name="_Toc5447"/>
      <w:bookmarkStart w:id="301" w:name="_Toc509844826"/>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90"/>
      <w:bookmarkEnd w:id="291"/>
      <w:bookmarkEnd w:id="292"/>
      <w:bookmarkEnd w:id="293"/>
      <w:bookmarkEnd w:id="294"/>
      <w:bookmarkEnd w:id="295"/>
      <w:bookmarkEnd w:id="296"/>
      <w:bookmarkEnd w:id="297"/>
      <w:bookmarkEnd w:id="298"/>
      <w:bookmarkEnd w:id="299"/>
      <w:bookmarkEnd w:id="300"/>
      <w:bookmarkEnd w:id="301"/>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302" w:name="_Toc28126"/>
      <w:bookmarkStart w:id="303" w:name="_Toc14653"/>
      <w:bookmarkStart w:id="304" w:name="_Toc510171695"/>
      <w:bookmarkStart w:id="305" w:name="_Toc509844827"/>
      <w:bookmarkStart w:id="306" w:name="_Toc508958705"/>
      <w:bookmarkStart w:id="307" w:name="_Toc28626"/>
      <w:bookmarkStart w:id="308" w:name="_Toc9148"/>
      <w:bookmarkStart w:id="309" w:name="_Toc509927457"/>
      <w:bookmarkStart w:id="310" w:name="_Toc508960155"/>
      <w:bookmarkStart w:id="311" w:name="_Toc24848"/>
      <w:bookmarkStart w:id="312" w:name="_Toc508898068"/>
      <w:bookmarkStart w:id="313" w:name="_Toc509479532"/>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成交人</w:t>
      </w:r>
      <w:r>
        <w:rPr>
          <w:rFonts w:hint="eastAsia" w:ascii="宋体" w:hAnsi="宋体" w:eastAsia="宋体"/>
          <w:color w:val="auto"/>
          <w:sz w:val="21"/>
          <w:szCs w:val="21"/>
          <w:highlight w:val="none"/>
        </w:rPr>
        <w:t>为残疾人福利性单位的，采购代理机构将随中标结果同时公告其《残疾人福利性单位声明函》，接受社会监督。</w:t>
      </w:r>
      <w:bookmarkEnd w:id="302"/>
      <w:bookmarkEnd w:id="303"/>
      <w:bookmarkEnd w:id="304"/>
      <w:bookmarkEnd w:id="305"/>
      <w:bookmarkEnd w:id="306"/>
      <w:bookmarkEnd w:id="307"/>
      <w:bookmarkEnd w:id="308"/>
      <w:bookmarkEnd w:id="309"/>
      <w:bookmarkEnd w:id="310"/>
      <w:bookmarkEnd w:id="311"/>
      <w:bookmarkEnd w:id="312"/>
      <w:bookmarkEnd w:id="313"/>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314" w:name="_Toc28044"/>
      <w:bookmarkStart w:id="315" w:name="_Toc509479533"/>
      <w:bookmarkStart w:id="316" w:name="_Toc9837"/>
      <w:bookmarkStart w:id="317" w:name="_Toc7858"/>
      <w:bookmarkStart w:id="318" w:name="_Toc509927458"/>
      <w:bookmarkStart w:id="319" w:name="_Toc22981"/>
      <w:bookmarkStart w:id="320" w:name="_Toc508958706"/>
      <w:bookmarkStart w:id="321" w:name="_Toc510171696"/>
      <w:bookmarkStart w:id="322" w:name="_Toc508898069"/>
      <w:bookmarkStart w:id="323" w:name="_Toc508960156"/>
      <w:bookmarkStart w:id="324" w:name="_Toc509844828"/>
      <w:bookmarkStart w:id="325" w:name="_Toc28686"/>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提供的《残疾人福利性单位声明函》与事实不符的，依照《政府采购法》第七十七条第一款的规定追究法律责任。</w:t>
      </w:r>
      <w:bookmarkEnd w:id="314"/>
      <w:bookmarkEnd w:id="315"/>
      <w:bookmarkEnd w:id="316"/>
      <w:bookmarkEnd w:id="317"/>
      <w:bookmarkEnd w:id="318"/>
      <w:bookmarkEnd w:id="319"/>
      <w:bookmarkEnd w:id="320"/>
      <w:bookmarkEnd w:id="321"/>
      <w:bookmarkEnd w:id="322"/>
      <w:bookmarkEnd w:id="323"/>
      <w:bookmarkEnd w:id="324"/>
      <w:bookmarkEnd w:id="325"/>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326" w:name="_Toc509844829"/>
      <w:bookmarkStart w:id="327" w:name="_Toc509927459"/>
      <w:bookmarkStart w:id="328" w:name="_Toc509479534"/>
      <w:bookmarkStart w:id="329" w:name="_Toc508898070"/>
      <w:bookmarkStart w:id="330" w:name="_Toc18843"/>
      <w:bookmarkStart w:id="331" w:name="_Toc508960157"/>
      <w:bookmarkStart w:id="332" w:name="_Toc510171697"/>
      <w:bookmarkStart w:id="333" w:name="_Toc508958707"/>
      <w:bookmarkStart w:id="334" w:name="_Toc5289"/>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326"/>
      <w:bookmarkEnd w:id="327"/>
      <w:bookmarkEnd w:id="328"/>
      <w:bookmarkEnd w:id="329"/>
      <w:bookmarkEnd w:id="330"/>
      <w:bookmarkEnd w:id="331"/>
      <w:bookmarkEnd w:id="332"/>
      <w:bookmarkEnd w:id="333"/>
      <w:bookmarkEnd w:id="334"/>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35" w:name="_Toc2486"/>
      <w:bookmarkStart w:id="336" w:name="_Toc23948"/>
      <w:r>
        <w:rPr>
          <w:rFonts w:hint="eastAsia"/>
          <w:color w:val="auto"/>
          <w:highlight w:val="none"/>
          <w:lang w:val="en-US" w:eastAsia="zh-CN"/>
        </w:rPr>
        <w:t>第二章商务文件</w:t>
      </w:r>
      <w:bookmarkEnd w:id="335"/>
      <w:bookmarkEnd w:id="336"/>
    </w:p>
    <w:bookmarkEnd w:id="265"/>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37" w:name="_Toc23787"/>
      <w:bookmarkStart w:id="338" w:name="_Toc4151"/>
      <w:r>
        <w:rPr>
          <w:rFonts w:hint="eastAsia"/>
          <w:color w:val="auto"/>
          <w:highlight w:val="none"/>
          <w:lang w:val="en-US" w:eastAsia="zh-CN"/>
        </w:rPr>
        <w:t>一、响应函</w:t>
      </w:r>
      <w:bookmarkEnd w:id="337"/>
      <w:bookmarkEnd w:id="338"/>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u w:val="single"/>
        </w:rPr>
        <w:t>（</w:t>
      </w:r>
      <w:r>
        <w:rPr>
          <w:rFonts w:hint="eastAsia" w:ascii="宋体" w:hAnsi="宋体"/>
          <w:color w:val="auto"/>
          <w:sz w:val="21"/>
          <w:szCs w:val="21"/>
          <w:highlight w:val="none"/>
          <w:u w:val="single"/>
          <w:lang w:eastAsia="zh-CN"/>
        </w:rPr>
        <w:t>供应商</w:t>
      </w:r>
      <w:r>
        <w:rPr>
          <w:rFonts w:hint="eastAsia" w:ascii="宋体" w:hAnsi="宋体" w:eastAsia="宋体"/>
          <w:color w:val="auto"/>
          <w:sz w:val="21"/>
          <w:szCs w:val="21"/>
          <w:highlight w:val="none"/>
          <w:u w:val="single"/>
        </w:rPr>
        <w:t>名称、地址）</w:t>
      </w:r>
      <w:r>
        <w:rPr>
          <w:rFonts w:hint="eastAsia" w:ascii="宋体" w:eastAsia="宋体" w:cs="宋体"/>
          <w:color w:val="auto"/>
          <w:sz w:val="22"/>
          <w:szCs w:val="22"/>
          <w:highlight w:val="none"/>
        </w:rPr>
        <w:t>进行有关本次</w:t>
      </w:r>
      <w:r>
        <w:rPr>
          <w:rFonts w:hint="eastAsia" w:ascii="宋体" w:cs="宋体"/>
          <w:color w:val="auto"/>
          <w:sz w:val="22"/>
          <w:szCs w:val="22"/>
          <w:highlight w:val="none"/>
          <w:lang w:eastAsia="zh-CN"/>
        </w:rPr>
        <w:t>磋商</w:t>
      </w:r>
      <w:r>
        <w:rPr>
          <w:rFonts w:hint="eastAsia" w:ascii="宋体" w:eastAsia="宋体" w:cs="宋体"/>
          <w:color w:val="auto"/>
          <w:sz w:val="22"/>
          <w:szCs w:val="22"/>
          <w:highlight w:val="none"/>
        </w:rPr>
        <w:t>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w:t>
      </w:r>
      <w:r>
        <w:rPr>
          <w:rFonts w:hint="eastAsia" w:ascii="宋体" w:cs="宋体"/>
          <w:color w:val="auto"/>
          <w:sz w:val="22"/>
          <w:szCs w:val="22"/>
          <w:highlight w:val="none"/>
          <w:lang w:eastAsia="zh-CN"/>
        </w:rPr>
        <w:t>响应文件</w:t>
      </w:r>
      <w:r>
        <w:rPr>
          <w:rFonts w:hint="eastAsia" w:ascii="宋体" w:eastAsia="宋体" w:cs="宋体"/>
          <w:color w:val="auto"/>
          <w:sz w:val="22"/>
          <w:szCs w:val="22"/>
          <w:highlight w:val="none"/>
        </w:rPr>
        <w:t>，正本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w:t>
      </w:r>
      <w:r>
        <w:rPr>
          <w:rFonts w:hint="eastAsia" w:ascii="宋体" w:cs="宋体"/>
          <w:color w:val="auto"/>
          <w:sz w:val="22"/>
          <w:szCs w:val="22"/>
          <w:highlight w:val="none"/>
          <w:lang w:eastAsia="zh-CN"/>
        </w:rPr>
        <w:t>报价</w:t>
      </w:r>
      <w:r>
        <w:rPr>
          <w:rFonts w:hint="eastAsia" w:ascii="宋体" w:eastAsia="宋体" w:cs="宋体"/>
          <w:color w:val="auto"/>
          <w:sz w:val="22"/>
          <w:szCs w:val="22"/>
          <w:highlight w:val="none"/>
        </w:rPr>
        <w:t>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完全明白磋商文件的所有条款要求，并重申以下几点：</w:t>
      </w:r>
    </w:p>
    <w:p>
      <w:pPr>
        <w:keepNext w:val="0"/>
        <w:keepLines w:val="0"/>
        <w:pageBreakBefore w:val="0"/>
        <w:widowControl w:val="0"/>
        <w:numPr>
          <w:ilvl w:val="0"/>
          <w:numId w:val="25"/>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我方将按</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 xml:space="preserve">的规定履行合同责任和义务。 </w:t>
      </w:r>
    </w:p>
    <w:p>
      <w:pPr>
        <w:keepNext w:val="0"/>
        <w:keepLines w:val="0"/>
        <w:pageBreakBefore w:val="0"/>
        <w:widowControl w:val="0"/>
        <w:numPr>
          <w:ilvl w:val="0"/>
          <w:numId w:val="25"/>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25"/>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有关的任何其它数据、信息或资料。</w:t>
      </w:r>
    </w:p>
    <w:p>
      <w:pPr>
        <w:keepNext w:val="0"/>
        <w:keepLines w:val="0"/>
        <w:pageBreakBefore w:val="0"/>
        <w:widowControl w:val="0"/>
        <w:numPr>
          <w:ilvl w:val="0"/>
          <w:numId w:val="25"/>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25"/>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及其澄清、修改文件（如果有）中的全部责任和义务，按质、按量、按期完成《采购需求书》及《合同书》中的全部任务。</w:t>
      </w:r>
    </w:p>
    <w:p>
      <w:pPr>
        <w:keepNext w:val="0"/>
        <w:keepLines w:val="0"/>
        <w:pageBreakBefore w:val="0"/>
        <w:widowControl w:val="0"/>
        <w:numPr>
          <w:ilvl w:val="0"/>
          <w:numId w:val="25"/>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lang w:eastAsia="zh-CN"/>
        </w:rPr>
        <w:t>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39" w:name="_Toc15719"/>
      <w:bookmarkStart w:id="340" w:name="_Toc27961"/>
      <w:r>
        <w:rPr>
          <w:rFonts w:hint="eastAsia"/>
          <w:color w:val="auto"/>
          <w:highlight w:val="none"/>
          <w:lang w:val="en-US" w:eastAsia="zh-CN"/>
        </w:rPr>
        <w:t>二、资格申明函</w:t>
      </w:r>
      <w:bookmarkEnd w:id="339"/>
      <w:bookmarkEnd w:id="340"/>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hint="eastAsia" w:ascii="宋体" w:hAnsi="宋体"/>
          <w:color w:val="auto"/>
          <w:sz w:val="21"/>
          <w:szCs w:val="21"/>
          <w:highlight w:val="none"/>
          <w:lang w:eastAsia="zh-CN"/>
        </w:rPr>
        <w:t>磋商</w:t>
      </w:r>
      <w:r>
        <w:rPr>
          <w:rFonts w:ascii="宋体" w:hAnsi="宋体" w:eastAsia="宋体"/>
          <w:color w:val="auto"/>
          <w:sz w:val="21"/>
          <w:szCs w:val="21"/>
          <w:highlight w:val="none"/>
        </w:rPr>
        <w:t>邀请，参与</w:t>
      </w:r>
      <w:r>
        <w:rPr>
          <w:rFonts w:hint="eastAsia" w:ascii="宋体" w:hAnsi="宋体"/>
          <w:color w:val="auto"/>
          <w:sz w:val="21"/>
          <w:szCs w:val="21"/>
          <w:highlight w:val="none"/>
          <w:lang w:eastAsia="zh-CN"/>
        </w:rPr>
        <w:t>报价</w:t>
      </w:r>
      <w:r>
        <w:rPr>
          <w:rFonts w:ascii="宋体" w:hAnsi="宋体" w:eastAsia="宋体"/>
          <w:color w:val="auto"/>
          <w:sz w:val="21"/>
          <w:szCs w:val="21"/>
          <w:highlight w:val="none"/>
        </w:rPr>
        <w:t>，提供用户需求书中规定的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w:t>
      </w:r>
      <w:r>
        <w:rPr>
          <w:rFonts w:hint="eastAsia" w:ascii="宋体" w:hAnsi="宋体"/>
          <w:color w:val="auto"/>
          <w:sz w:val="21"/>
          <w:szCs w:val="21"/>
          <w:highlight w:val="none"/>
          <w:lang w:eastAsia="zh-CN"/>
        </w:rPr>
        <w:t>磋商文件</w:t>
      </w:r>
      <w:r>
        <w:rPr>
          <w:rFonts w:ascii="宋体" w:hAnsi="宋体" w:eastAsia="宋体"/>
          <w:color w:val="auto"/>
          <w:sz w:val="21"/>
          <w:szCs w:val="21"/>
          <w:highlight w:val="none"/>
        </w:rPr>
        <w:t>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highlight w:val="none"/>
        </w:rPr>
      </w:pP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color w:val="auto"/>
          <w:highlight w:val="none"/>
        </w:rPr>
      </w:pPr>
    </w:p>
    <w:p>
      <w:pPr>
        <w:rPr>
          <w:color w:val="auto"/>
          <w:highlight w:val="none"/>
        </w:rPr>
      </w:pPr>
      <w:bookmarkStart w:id="341"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42" w:name="_Toc21273"/>
      <w:bookmarkStart w:id="343" w:name="_Toc21335"/>
      <w:r>
        <w:rPr>
          <w:rFonts w:hint="eastAsia"/>
          <w:color w:val="auto"/>
          <w:highlight w:val="none"/>
          <w:lang w:val="en-US" w:eastAsia="zh-CN"/>
        </w:rPr>
        <w:t>三、在参与政府采购活动前三年未有重大违法记录、没有不良信用记录的声明函</w:t>
      </w:r>
      <w:bookmarkEnd w:id="342"/>
      <w:bookmarkEnd w:id="343"/>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截止时间止未被列入“信用中国”网站及“中国政府采购网”失信被执行人、</w:t>
      </w:r>
      <w:r>
        <w:rPr>
          <w:rFonts w:hint="eastAsia" w:ascii="宋体" w:hAnsi="宋体" w:cs="宋体"/>
          <w:color w:val="auto"/>
          <w:sz w:val="21"/>
          <w:szCs w:val="21"/>
          <w:highlight w:val="none"/>
          <w:lang w:eastAsia="zh-CN"/>
        </w:rPr>
        <w:t>税收违法黑名单</w:t>
      </w:r>
      <w:r>
        <w:rPr>
          <w:rFonts w:hint="eastAsia" w:ascii="宋体" w:hAnsi="宋体" w:eastAsia="宋体" w:cs="宋体"/>
          <w:color w:val="auto"/>
          <w:sz w:val="21"/>
          <w:szCs w:val="21"/>
          <w:highlight w:val="none"/>
        </w:rPr>
        <w:t>、政府采购严重违法失信行为记录名单。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lang w:eastAsia="zh-CN"/>
        </w:rPr>
        <w:t>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341"/>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44" w:name="_Toc32128"/>
      <w:bookmarkStart w:id="345" w:name="_Toc13243"/>
      <w:r>
        <w:rPr>
          <w:rFonts w:hint="eastAsia"/>
          <w:color w:val="auto"/>
          <w:highlight w:val="none"/>
          <w:lang w:val="en-US" w:eastAsia="zh-CN"/>
        </w:rPr>
        <w:t>四、法定代表人证明书</w:t>
      </w:r>
      <w:bookmarkEnd w:id="344"/>
      <w:bookmarkEnd w:id="345"/>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pStyle w:val="35"/>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u w:val="single"/>
          <w:lang w:eastAsia="zh-CN"/>
        </w:rPr>
        <w:t>供应商</w:t>
      </w:r>
      <w:r>
        <w:rPr>
          <w:rFonts w:hint="eastAsia" w:ascii="宋体" w:eastAsia="宋体"/>
          <w:color w:val="auto"/>
          <w:sz w:val="21"/>
          <w:szCs w:val="21"/>
          <w:highlight w:val="none"/>
          <w:u w:val="single"/>
        </w:rPr>
        <w:t xml:space="preserve">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46" w:name="_Toc11689"/>
      <w:bookmarkStart w:id="347" w:name="_Toc5918"/>
      <w:r>
        <w:rPr>
          <w:rFonts w:hint="eastAsia"/>
          <w:color w:val="auto"/>
          <w:highlight w:val="none"/>
          <w:lang w:val="en-US" w:eastAsia="zh-CN"/>
        </w:rPr>
        <w:t>五、法定代表人授权书</w:t>
      </w:r>
      <w:bookmarkEnd w:id="346"/>
      <w:bookmarkEnd w:id="347"/>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w:t>
      </w:r>
      <w:r>
        <w:rPr>
          <w:rFonts w:hint="eastAsia" w:ascii="宋体" w:hAnsi="宋体" w:cs="Times New Roman"/>
          <w:color w:val="auto"/>
          <w:sz w:val="21"/>
          <w:szCs w:val="21"/>
          <w:highlight w:val="none"/>
          <w:u w:val="single"/>
          <w:lang w:eastAsia="zh-CN"/>
        </w:rPr>
        <w:t>供应商</w:t>
      </w:r>
      <w:r>
        <w:rPr>
          <w:rFonts w:hint="eastAsia" w:ascii="宋体" w:hAnsi="宋体" w:eastAsia="宋体" w:cs="Times New Roman"/>
          <w:color w:val="auto"/>
          <w:sz w:val="21"/>
          <w:szCs w:val="21"/>
          <w:highlight w:val="none"/>
          <w:u w:val="single"/>
        </w:rPr>
        <w:t xml:space="preserve">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w:t>
      </w:r>
      <w:r>
        <w:rPr>
          <w:rFonts w:hint="eastAsia" w:ascii="宋体" w:hAnsi="宋体" w:cs="Times New Roman"/>
          <w:color w:val="auto"/>
          <w:sz w:val="21"/>
          <w:szCs w:val="21"/>
          <w:highlight w:val="none"/>
          <w:lang w:eastAsia="zh-CN"/>
        </w:rPr>
        <w:t>响应文件</w:t>
      </w:r>
      <w:r>
        <w:rPr>
          <w:rFonts w:hint="eastAsia" w:ascii="宋体" w:hAnsi="宋体" w:eastAsia="宋体" w:cs="Times New Roman"/>
          <w:color w:val="auto"/>
          <w:sz w:val="21"/>
          <w:szCs w:val="21"/>
          <w:highlight w:val="none"/>
        </w:rPr>
        <w:t>、签订合同和处理有关事宜，其法律后果由我方承担。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5"/>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348"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49" w:name="_Toc1197"/>
      <w:bookmarkStart w:id="350" w:name="_Toc24013"/>
      <w:r>
        <w:rPr>
          <w:rFonts w:hint="eastAsia"/>
          <w:color w:val="auto"/>
          <w:highlight w:val="none"/>
          <w:lang w:val="en-US" w:eastAsia="zh-CN"/>
        </w:rPr>
        <w:t>六、供应商基本情况说明</w:t>
      </w:r>
      <w:bookmarkEnd w:id="349"/>
      <w:bookmarkEnd w:id="350"/>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351" w:name="_Toc4926"/>
      <w:bookmarkStart w:id="352" w:name="_Toc5919"/>
      <w:bookmarkStart w:id="353" w:name="_Toc17470"/>
      <w:bookmarkStart w:id="354" w:name="_Toc24210"/>
      <w:bookmarkStart w:id="355" w:name="_Toc1511"/>
      <w:bookmarkStart w:id="356" w:name="_Toc11992"/>
      <w:bookmarkStart w:id="357" w:name="_Toc29995"/>
      <w:r>
        <w:rPr>
          <w:rFonts w:hint="eastAsia"/>
          <w:color w:val="auto"/>
          <w:highlight w:val="none"/>
          <w:lang w:val="en-US" w:eastAsia="zh-CN"/>
        </w:rPr>
        <w:t>七、</w:t>
      </w:r>
      <w:r>
        <w:rPr>
          <w:rFonts w:hint="eastAsia"/>
          <w:color w:val="auto"/>
          <w:highlight w:val="none"/>
        </w:rPr>
        <w:t>营业执照</w:t>
      </w:r>
      <w:bookmarkEnd w:id="351"/>
      <w:bookmarkEnd w:id="352"/>
      <w:bookmarkEnd w:id="353"/>
      <w:bookmarkEnd w:id="354"/>
      <w:bookmarkEnd w:id="355"/>
      <w:bookmarkEnd w:id="356"/>
      <w:bookmarkEnd w:id="357"/>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348"/>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58" w:name="_Toc12706"/>
      <w:bookmarkStart w:id="359" w:name="_Toc29439"/>
      <w:r>
        <w:rPr>
          <w:rFonts w:hint="eastAsia"/>
          <w:color w:val="auto"/>
          <w:highlight w:val="none"/>
          <w:lang w:val="en-US" w:eastAsia="zh-CN"/>
        </w:rPr>
        <w:t>八、</w:t>
      </w:r>
      <w:r>
        <w:rPr>
          <w:rFonts w:hint="eastAsia"/>
          <w:color w:val="auto"/>
          <w:highlight w:val="none"/>
        </w:rPr>
        <w:t>特殊资格要求证明文件</w:t>
      </w:r>
      <w:bookmarkEnd w:id="358"/>
      <w:bookmarkEnd w:id="359"/>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60" w:name="_Toc23341"/>
      <w:bookmarkStart w:id="361" w:name="_Toc14482"/>
      <w:r>
        <w:rPr>
          <w:rFonts w:hint="eastAsia"/>
          <w:color w:val="auto"/>
          <w:highlight w:val="none"/>
          <w:lang w:val="en-US" w:eastAsia="zh-CN"/>
        </w:rPr>
        <w:t>九、</w:t>
      </w:r>
      <w:r>
        <w:rPr>
          <w:rFonts w:hint="eastAsia"/>
          <w:color w:val="auto"/>
          <w:highlight w:val="none"/>
        </w:rPr>
        <w:t>承诺书</w:t>
      </w:r>
      <w:bookmarkEnd w:id="360"/>
      <w:bookmarkEnd w:id="361"/>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5"/>
        <w:spacing w:line="420" w:lineRule="exact"/>
        <w:ind w:firstLine="455"/>
        <w:rPr>
          <w:rFonts w:hint="eastAsia" w:ascii="宋体" w:hAnsi="宋体" w:eastAsia="宋体" w:cs="宋体"/>
          <w:b w:val="0"/>
          <w:bCs w:val="0"/>
          <w:color w:val="auto"/>
          <w:sz w:val="21"/>
          <w:szCs w:val="21"/>
          <w:highlight w:val="none"/>
        </w:rPr>
      </w:pPr>
      <w:bookmarkStart w:id="362"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u w:val="single"/>
        </w:rPr>
        <w:t>（项目名称）</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r>
        <w:rPr>
          <w:rFonts w:hint="eastAsia" w:ascii="宋体" w:eastAsia="宋体" w:cs="宋体"/>
          <w:b w:val="0"/>
          <w:bCs w:val="0"/>
          <w:color w:val="auto"/>
          <w:sz w:val="21"/>
          <w:szCs w:val="21"/>
          <w:highlight w:val="none"/>
          <w:lang w:eastAsia="zh-CN"/>
        </w:rPr>
        <w:t>磋商文件</w:t>
      </w:r>
      <w:r>
        <w:rPr>
          <w:rFonts w:hint="eastAsia" w:ascii="宋体" w:hAnsi="宋体" w:eastAsia="宋体" w:cs="宋体"/>
          <w:b w:val="0"/>
          <w:bCs w:val="0"/>
          <w:color w:val="auto"/>
          <w:sz w:val="21"/>
          <w:szCs w:val="21"/>
          <w:highlight w:val="none"/>
        </w:rPr>
        <w:t>的所有内容（包括澄清，以及所有已提供的参考资料和有关附件），并完全理解上述文件所表达的意思，该项目递交</w:t>
      </w:r>
      <w:r>
        <w:rPr>
          <w:rFonts w:hint="eastAsia" w:ascii="宋体" w:eastAsia="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时间截止后，我方承诺不再对上述文件内容进行询问或质疑。</w:t>
      </w:r>
      <w:bookmarkEnd w:id="362"/>
      <w:r>
        <w:rPr>
          <w:rFonts w:hint="eastAsia" w:ascii="宋体" w:hAnsi="宋体" w:eastAsia="宋体" w:cs="宋体"/>
          <w:b w:val="0"/>
          <w:bCs w:val="0"/>
          <w:color w:val="auto"/>
          <w:sz w:val="21"/>
          <w:szCs w:val="21"/>
          <w:highlight w:val="none"/>
        </w:rPr>
        <w:cr/>
      </w:r>
    </w:p>
    <w:p>
      <w:pPr>
        <w:pStyle w:val="35"/>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color w:val="auto"/>
          <w:sz w:val="21"/>
          <w:szCs w:val="21"/>
          <w:highlight w:val="none"/>
        </w:rPr>
        <w:t>被授权人</w:t>
      </w:r>
      <w:r>
        <w:rPr>
          <w:rFonts w:hint="eastAsia" w:ascii="宋体" w:hAnsi="宋体" w:eastAsia="宋体" w:cs="宋体"/>
          <w:b w:val="0"/>
          <w:bCs w:val="0"/>
          <w:color w:val="auto"/>
          <w:sz w:val="21"/>
          <w:szCs w:val="21"/>
          <w:highlight w:val="none"/>
        </w:rPr>
        <w:t>（签名或盖私章）：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63" w:name="_Toc13653"/>
      <w:bookmarkStart w:id="364" w:name="_Toc31815"/>
      <w:r>
        <w:rPr>
          <w:rFonts w:hint="eastAsia"/>
          <w:color w:val="auto"/>
          <w:highlight w:val="none"/>
          <w:lang w:val="en-US" w:eastAsia="zh-CN"/>
        </w:rPr>
        <w:t>十、招标代理服务费承诺书</w:t>
      </w:r>
      <w:bookmarkEnd w:id="363"/>
      <w:bookmarkEnd w:id="364"/>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w:t>
      </w:r>
      <w:r>
        <w:rPr>
          <w:rFonts w:hint="eastAsia" w:hAnsi="宋体" w:cs="宋体"/>
          <w:b w:val="0"/>
          <w:bCs w:val="0"/>
          <w:color w:val="auto"/>
          <w:sz w:val="21"/>
          <w:szCs w:val="21"/>
          <w:highlight w:val="none"/>
          <w:u w:val="single"/>
          <w:lang w:eastAsia="zh-CN"/>
        </w:rPr>
        <w:t>供应商</w:t>
      </w:r>
      <w:r>
        <w:rPr>
          <w:rFonts w:hint="eastAsia" w:ascii="宋体" w:hAnsi="宋体" w:eastAsia="宋体" w:cs="宋体"/>
          <w:b w:val="0"/>
          <w:bCs w:val="0"/>
          <w:color w:val="auto"/>
          <w:sz w:val="21"/>
          <w:szCs w:val="21"/>
          <w:highlight w:val="none"/>
          <w:u w:val="single"/>
        </w:rPr>
        <w:t xml:space="preserve">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color w:val="auto"/>
          <w:sz w:val="21"/>
          <w:szCs w:val="21"/>
          <w:highlight w:val="none"/>
        </w:rPr>
        <w:t>被授权人</w:t>
      </w:r>
      <w:r>
        <w:rPr>
          <w:rFonts w:hint="eastAsia" w:ascii="宋体" w:hAnsi="宋体" w:eastAsia="宋体" w:cs="宋体"/>
          <w:b w:val="0"/>
          <w:bCs w:val="0"/>
          <w:color w:val="auto"/>
          <w:sz w:val="21"/>
          <w:szCs w:val="21"/>
          <w:highlight w:val="none"/>
        </w:rPr>
        <w:t>（签名或盖私章）：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65" w:name="_Toc1975"/>
      <w:bookmarkStart w:id="366" w:name="_Toc21582"/>
      <w:r>
        <w:rPr>
          <w:rFonts w:hint="eastAsia"/>
          <w:color w:val="auto"/>
          <w:highlight w:val="none"/>
          <w:lang w:val="en-US" w:eastAsia="zh-CN"/>
        </w:rPr>
        <w:t>十一、</w:t>
      </w:r>
      <w:r>
        <w:rPr>
          <w:rFonts w:hint="eastAsia"/>
          <w:color w:val="auto"/>
          <w:highlight w:val="none"/>
        </w:rPr>
        <w:t>商务条款偏离表</w:t>
      </w:r>
      <w:bookmarkEnd w:id="365"/>
      <w:bookmarkEnd w:id="366"/>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的商务内容做出了实质性的响应，并申明与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367"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68" w:name="_Toc25391"/>
      <w:bookmarkStart w:id="369" w:name="_Toc7350"/>
      <w:r>
        <w:rPr>
          <w:rFonts w:hint="eastAsia"/>
          <w:color w:val="auto"/>
          <w:highlight w:val="none"/>
          <w:lang w:val="en-US" w:eastAsia="zh-CN"/>
        </w:rPr>
        <w:t>十二、</w:t>
      </w:r>
      <w:r>
        <w:rPr>
          <w:rFonts w:hint="eastAsia"/>
          <w:color w:val="auto"/>
          <w:highlight w:val="none"/>
        </w:rPr>
        <w:t>业绩表</w:t>
      </w:r>
      <w:bookmarkEnd w:id="368"/>
      <w:bookmarkEnd w:id="369"/>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2"/>
        <w:spacing w:after="0"/>
        <w:rPr>
          <w:rFonts w:ascii="宋体" w:hAnsi="宋体" w:eastAsia="宋体"/>
          <w:color w:val="auto"/>
          <w:sz w:val="21"/>
          <w:szCs w:val="21"/>
          <w:highlight w:val="none"/>
        </w:rPr>
      </w:pPr>
    </w:p>
    <w:p>
      <w:pPr>
        <w:pStyle w:val="32"/>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pStyle w:val="7"/>
        <w:ind w:left="0" w:leftChars="0" w:firstLine="0" w:firstLineChars="0"/>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70" w:name="_Toc25650"/>
      <w:bookmarkStart w:id="371" w:name="_Toc14688"/>
      <w:r>
        <w:rPr>
          <w:rFonts w:hint="eastAsia"/>
          <w:color w:val="auto"/>
          <w:highlight w:val="none"/>
          <w:lang w:val="en-US" w:eastAsia="zh-CN"/>
        </w:rPr>
        <w:t>第三章技术文件</w:t>
      </w:r>
      <w:bookmarkEnd w:id="367"/>
      <w:bookmarkEnd w:id="370"/>
      <w:bookmarkEnd w:id="371"/>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72" w:name="_Toc13588"/>
      <w:bookmarkStart w:id="373" w:name="_Toc7092"/>
      <w:r>
        <w:rPr>
          <w:rFonts w:hint="eastAsia"/>
          <w:color w:val="auto"/>
          <w:highlight w:val="none"/>
          <w:lang w:val="en-US" w:eastAsia="zh-CN"/>
        </w:rPr>
        <w:t>一、</w:t>
      </w:r>
      <w:r>
        <w:rPr>
          <w:rFonts w:hint="eastAsia"/>
          <w:color w:val="auto"/>
          <w:highlight w:val="none"/>
        </w:rPr>
        <w:t>技术规格偏离表</w:t>
      </w:r>
      <w:bookmarkEnd w:id="372"/>
      <w:bookmarkEnd w:id="373"/>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74" w:name="_Toc17691"/>
      <w:r>
        <w:rPr>
          <w:rFonts w:hint="eastAsia" w:ascii="宋体" w:hAnsi="宋体" w:eastAsia="宋体"/>
          <w:color w:val="auto"/>
          <w:sz w:val="21"/>
          <w:szCs w:val="21"/>
          <w:highlight w:val="none"/>
        </w:rPr>
        <w:br w:type="page"/>
      </w:r>
      <w:bookmarkEnd w:id="374"/>
      <w:bookmarkStart w:id="375" w:name="_Toc4827"/>
      <w:bookmarkStart w:id="376" w:name="_Toc1274"/>
      <w:bookmarkStart w:id="377" w:name="_Toc4464"/>
      <w:bookmarkStart w:id="378" w:name="_Toc6080"/>
      <w:bookmarkStart w:id="379" w:name="_Toc18668"/>
      <w:bookmarkStart w:id="380" w:name="_Toc26078"/>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81" w:name="_Toc28702"/>
      <w:bookmarkStart w:id="382" w:name="_Toc10734"/>
      <w:r>
        <w:rPr>
          <w:rFonts w:hint="eastAsia"/>
          <w:color w:val="auto"/>
          <w:highlight w:val="none"/>
          <w:lang w:val="en-US" w:eastAsia="zh-CN"/>
        </w:rPr>
        <w:t>二、</w:t>
      </w:r>
      <w:r>
        <w:rPr>
          <w:rFonts w:hint="eastAsia"/>
          <w:color w:val="auto"/>
          <w:highlight w:val="none"/>
        </w:rPr>
        <w:t>重要技术参数（▲）响应表</w:t>
      </w:r>
      <w:bookmarkEnd w:id="375"/>
      <w:bookmarkEnd w:id="376"/>
      <w:bookmarkEnd w:id="377"/>
      <w:bookmarkEnd w:id="378"/>
      <w:bookmarkEnd w:id="379"/>
      <w:bookmarkEnd w:id="380"/>
      <w:bookmarkEnd w:id="381"/>
      <w:bookmarkEnd w:id="382"/>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83" w:name="_Toc27079"/>
            <w:bookmarkStart w:id="384" w:name="_Toc29560"/>
            <w:bookmarkStart w:id="385" w:name="_Toc29642"/>
            <w:bookmarkStart w:id="386" w:name="_Toc2784"/>
            <w:r>
              <w:rPr>
                <w:rFonts w:hint="eastAsia" w:ascii="宋体" w:hAnsi="宋体" w:eastAsia="宋体" w:cs="宋体"/>
                <w:b w:val="0"/>
                <w:bCs w:val="0"/>
                <w:color w:val="auto"/>
                <w:sz w:val="21"/>
                <w:szCs w:val="21"/>
                <w:highlight w:val="none"/>
                <w:lang w:val="en-US" w:eastAsia="zh-CN"/>
              </w:rPr>
              <w:t>序号</w:t>
            </w:r>
            <w:bookmarkEnd w:id="383"/>
            <w:bookmarkEnd w:id="384"/>
            <w:bookmarkEnd w:id="385"/>
            <w:bookmarkEnd w:id="386"/>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87" w:name="_Toc15903"/>
            <w:bookmarkStart w:id="388" w:name="_Toc22448"/>
            <w:bookmarkStart w:id="389" w:name="_Toc15368"/>
            <w:bookmarkStart w:id="390" w:name="_Toc4304"/>
            <w:bookmarkStart w:id="391" w:name="_Toc12049"/>
            <w:bookmarkStart w:id="392" w:name="_Toc21739"/>
            <w:bookmarkStart w:id="393" w:name="_Toc27090"/>
            <w:bookmarkStart w:id="394" w:name="_Toc1016"/>
            <w:bookmarkStart w:id="395" w:name="_Toc16872"/>
            <w:bookmarkStart w:id="396" w:name="_Toc14815"/>
            <w:bookmarkStart w:id="397" w:name="_Toc10045"/>
            <w:bookmarkStart w:id="398" w:name="_Toc6189"/>
            <w:bookmarkStart w:id="399" w:name="_Toc26124"/>
            <w:bookmarkStart w:id="400" w:name="_Toc2700"/>
            <w:bookmarkStart w:id="401" w:name="_Toc19251"/>
            <w:bookmarkStart w:id="402" w:name="_Toc8490"/>
            <w:bookmarkStart w:id="403" w:name="_Toc22917"/>
            <w:bookmarkStart w:id="404" w:name="_Toc21809"/>
            <w:bookmarkStart w:id="405" w:name="_Toc24662"/>
            <w:bookmarkStart w:id="406" w:name="_Toc7333"/>
            <w:bookmarkStart w:id="407" w:name="_Toc27442"/>
            <w:bookmarkStart w:id="408" w:name="_Toc32531"/>
            <w:bookmarkStart w:id="409" w:name="_Toc22879"/>
            <w:bookmarkStart w:id="410" w:name="_Toc8312"/>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bookmarkEnd w:id="401"/>
          <w:bookmarkEnd w:id="402"/>
          <w:bookmarkEnd w:id="403"/>
          <w:bookmarkEnd w:id="404"/>
          <w:bookmarkEnd w:id="405"/>
          <w:bookmarkEnd w:id="406"/>
          <w:bookmarkEnd w:id="407"/>
          <w:bookmarkEnd w:id="408"/>
          <w:bookmarkEnd w:id="409"/>
          <w:bookmarkEnd w:id="410"/>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411" w:name="_Toc22153"/>
            <w:bookmarkStart w:id="412" w:name="_Toc21496"/>
            <w:bookmarkStart w:id="413" w:name="_Toc10122"/>
            <w:bookmarkStart w:id="414" w:name="_Toc2408"/>
            <w:r>
              <w:rPr>
                <w:rFonts w:hint="eastAsia" w:ascii="宋体" w:hAnsi="宋体" w:eastAsia="宋体" w:cs="宋体"/>
                <w:b w:val="0"/>
                <w:bCs w:val="0"/>
                <w:color w:val="auto"/>
                <w:kern w:val="0"/>
                <w:sz w:val="21"/>
                <w:szCs w:val="21"/>
                <w:highlight w:val="none"/>
                <w:lang w:eastAsia="zh-CN"/>
              </w:rPr>
              <w:t>响应文件</w:t>
            </w:r>
            <w:r>
              <w:rPr>
                <w:rFonts w:hint="eastAsia" w:ascii="宋体" w:hAnsi="宋体" w:eastAsia="宋体" w:cs="宋体"/>
                <w:b w:val="0"/>
                <w:bCs w:val="0"/>
                <w:color w:val="auto"/>
                <w:kern w:val="0"/>
                <w:sz w:val="21"/>
                <w:szCs w:val="21"/>
                <w:highlight w:val="none"/>
              </w:rPr>
              <w:t>响应内容</w:t>
            </w:r>
            <w:bookmarkEnd w:id="411"/>
            <w:bookmarkEnd w:id="412"/>
            <w:bookmarkEnd w:id="413"/>
            <w:bookmarkEnd w:id="414"/>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415" w:name="_Toc16432"/>
            <w:bookmarkStart w:id="416" w:name="_Toc29838"/>
            <w:bookmarkStart w:id="417" w:name="_Toc27285"/>
            <w:bookmarkStart w:id="418" w:name="_Toc16003"/>
            <w:bookmarkStart w:id="419" w:name="_Toc20820"/>
            <w:bookmarkStart w:id="420" w:name="_Toc5563"/>
            <w:bookmarkStart w:id="421" w:name="_Toc20139"/>
            <w:bookmarkStart w:id="422" w:name="_Toc1330"/>
            <w:bookmarkStart w:id="423" w:name="_Toc3701"/>
            <w:bookmarkStart w:id="424" w:name="_Toc17642"/>
            <w:bookmarkStart w:id="425" w:name="_Toc5992"/>
            <w:bookmarkStart w:id="426" w:name="_Toc1912"/>
            <w:bookmarkStart w:id="427" w:name="_Toc17296"/>
            <w:bookmarkStart w:id="428" w:name="_Toc27185"/>
            <w:r>
              <w:rPr>
                <w:rFonts w:hint="eastAsia" w:ascii="宋体" w:hAnsi="宋体" w:eastAsia="宋体" w:cs="宋体"/>
                <w:b w:val="0"/>
                <w:bCs w:val="0"/>
                <w:color w:val="auto"/>
                <w:sz w:val="21"/>
                <w:szCs w:val="21"/>
                <w:highlight w:val="none"/>
                <w:lang w:val="en-US" w:eastAsia="zh-CN"/>
              </w:rPr>
              <w:t>说明</w:t>
            </w:r>
            <w:bookmarkEnd w:id="415"/>
            <w:bookmarkEnd w:id="416"/>
            <w:bookmarkEnd w:id="417"/>
            <w:bookmarkEnd w:id="418"/>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429" w:name="_Toc857"/>
            <w:bookmarkStart w:id="430" w:name="_Toc19105"/>
            <w:bookmarkStart w:id="431" w:name="_Toc31920"/>
            <w:bookmarkStart w:id="432" w:name="_Toc3520"/>
            <w:r>
              <w:rPr>
                <w:rFonts w:hint="eastAsia" w:ascii="宋体" w:hAnsi="宋体" w:eastAsia="宋体" w:cs="宋体"/>
                <w:b w:val="0"/>
                <w:bCs w:val="0"/>
                <w:color w:val="auto"/>
                <w:sz w:val="21"/>
                <w:szCs w:val="21"/>
                <w:highlight w:val="none"/>
              </w:rPr>
              <w:t>页码范围</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bl>
    <w:p>
      <w:pPr>
        <w:pStyle w:val="32"/>
        <w:spacing w:after="0" w:line="360" w:lineRule="auto"/>
        <w:rPr>
          <w:rFonts w:ascii="宋体" w:hAnsi="宋体" w:eastAsia="宋体"/>
          <w:color w:val="auto"/>
          <w:sz w:val="21"/>
          <w:szCs w:val="21"/>
          <w:highlight w:val="none"/>
        </w:rPr>
      </w:pP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color w:val="auto"/>
          <w:sz w:val="21"/>
          <w:szCs w:val="21"/>
          <w:highlight w:val="none"/>
          <w:lang w:val="en-US" w:eastAsia="zh-CN"/>
        </w:rPr>
        <w:t>供应商</w:t>
      </w:r>
      <w:r>
        <w:rPr>
          <w:rFonts w:hint="eastAsia" w:ascii="宋体" w:hAnsi="宋体" w:eastAsia="宋体"/>
          <w:color w:val="auto"/>
          <w:sz w:val="21"/>
          <w:szCs w:val="21"/>
          <w:highlight w:val="none"/>
        </w:rPr>
        <w:t>应逐条对照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重要评分条款，如实地说明响应情况。</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2"/>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磋商文件</w:t>
      </w:r>
      <w:r>
        <w:rPr>
          <w:rFonts w:hint="eastAsia" w:ascii="宋体" w:hAnsi="宋体" w:eastAsia="宋体"/>
          <w:b/>
          <w:bCs/>
          <w:color w:val="auto"/>
          <w:sz w:val="21"/>
          <w:szCs w:val="21"/>
          <w:highlight w:val="none"/>
        </w:rPr>
        <w:t>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2"/>
        <w:spacing w:after="0" w:line="360" w:lineRule="auto"/>
        <w:rPr>
          <w:rFonts w:ascii="宋体" w:hAnsi="宋体" w:eastAsia="宋体"/>
          <w:color w:val="auto"/>
          <w:sz w:val="21"/>
          <w:szCs w:val="21"/>
          <w:highlight w:val="none"/>
        </w:rPr>
      </w:pPr>
    </w:p>
    <w:p>
      <w:pPr>
        <w:pStyle w:val="32"/>
        <w:numPr>
          <w:ilvl w:val="0"/>
          <w:numId w:val="26"/>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433" w:name="_Toc25570"/>
      <w:bookmarkStart w:id="434" w:name="_Toc19349"/>
      <w:r>
        <w:rPr>
          <w:rFonts w:hint="eastAsia"/>
          <w:color w:val="auto"/>
          <w:highlight w:val="none"/>
          <w:lang w:val="en-US" w:eastAsia="zh-CN"/>
        </w:rPr>
        <w:t>三、</w:t>
      </w:r>
      <w:r>
        <w:rPr>
          <w:rFonts w:hint="eastAsia"/>
          <w:color w:val="auto"/>
          <w:highlight w:val="none"/>
        </w:rPr>
        <w:t>实质性条款（标记★）响应表</w:t>
      </w:r>
      <w:bookmarkEnd w:id="433"/>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磋商文件</w:t>
            </w:r>
            <w:r>
              <w:rPr>
                <w:rFonts w:hint="eastAsia" w:ascii="宋体" w:hAnsi="宋体" w:cs="宋体"/>
                <w:color w:val="auto"/>
                <w:kern w:val="0"/>
                <w:sz w:val="24"/>
                <w:szCs w:val="24"/>
                <w:highlight w:val="none"/>
              </w:rPr>
              <w:t>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响应文件</w:t>
            </w:r>
            <w:r>
              <w:rPr>
                <w:rFonts w:hint="eastAsia" w:ascii="宋体" w:hAnsi="宋体" w:cs="宋体"/>
                <w:color w:val="auto"/>
                <w:kern w:val="0"/>
                <w:sz w:val="24"/>
                <w:szCs w:val="24"/>
                <w:highlight w:val="none"/>
              </w:rPr>
              <w:t>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w:t>
      </w:r>
      <w:r>
        <w:rPr>
          <w:rFonts w:hint="eastAsia"/>
          <w:color w:val="auto"/>
          <w:highlight w:val="none"/>
          <w:lang w:eastAsia="zh-CN"/>
        </w:rPr>
        <w:t>磋商文件</w:t>
      </w:r>
      <w:r>
        <w:rPr>
          <w:rFonts w:hint="eastAsia"/>
          <w:color w:val="auto"/>
          <w:highlight w:val="none"/>
        </w:rPr>
        <w:t>实质性条款，如实地说明响应情况。不满足的按无效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w:t>
      </w:r>
      <w:r>
        <w:rPr>
          <w:rFonts w:hint="eastAsia"/>
          <w:color w:val="auto"/>
          <w:highlight w:val="none"/>
          <w:lang w:eastAsia="zh-CN"/>
        </w:rPr>
        <w:t>磋商文件</w:t>
      </w:r>
      <w:r>
        <w:rPr>
          <w:rFonts w:hint="eastAsia"/>
          <w:color w:val="auto"/>
          <w:highlight w:val="none"/>
        </w:rPr>
        <w:t>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435" w:name="_Toc14250"/>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434"/>
      <w:bookmarkEnd w:id="435"/>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436" w:name="_Toc16328"/>
      <w:bookmarkStart w:id="437" w:name="_Toc16875"/>
      <w:r>
        <w:rPr>
          <w:rFonts w:hint="eastAsia"/>
          <w:color w:val="auto"/>
          <w:highlight w:val="none"/>
          <w:lang w:val="en-US" w:eastAsia="zh-CN"/>
        </w:rPr>
        <w:t>五、项目负责人及团队成员资料表</w:t>
      </w:r>
      <w:bookmarkEnd w:id="436"/>
      <w:bookmarkEnd w:id="437"/>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7"/>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438" w:name="_Toc27978"/>
      <w:bookmarkStart w:id="439" w:name="_Toc15431"/>
      <w:r>
        <w:rPr>
          <w:rFonts w:hint="eastAsia"/>
          <w:color w:val="auto"/>
          <w:highlight w:val="none"/>
          <w:lang w:val="en-US" w:eastAsia="zh-CN"/>
        </w:rPr>
        <w:t>六、响应货物明细一览表</w:t>
      </w:r>
      <w:bookmarkEnd w:id="438"/>
      <w:bookmarkEnd w:id="439"/>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盖章：</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440" w:name="_Toc31841"/>
      <w:r>
        <w:rPr>
          <w:rFonts w:hint="eastAsia"/>
          <w:color w:val="auto"/>
          <w:highlight w:val="none"/>
          <w:lang w:val="en-US" w:eastAsia="zh-CN"/>
        </w:rPr>
        <w:t>七、政府采购履约担保函</w:t>
      </w:r>
      <w:bookmarkEnd w:id="440"/>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w:t>
      </w:r>
      <w:r>
        <w:rPr>
          <w:rFonts w:hint="eastAsia" w:ascii="宋体" w:hAnsi="宋体"/>
          <w:color w:val="auto"/>
          <w:sz w:val="21"/>
          <w:szCs w:val="21"/>
          <w:highlight w:val="none"/>
          <w:lang w:eastAsia="zh-CN"/>
        </w:rPr>
        <w:t>响应文件</w:t>
      </w:r>
      <w:r>
        <w:rPr>
          <w:rFonts w:hint="eastAsia" w:ascii="宋体" w:hAnsi="宋体" w:eastAsia="宋体"/>
          <w:color w:val="auto"/>
          <w:sz w:val="21"/>
          <w:szCs w:val="21"/>
          <w:highlight w:val="none"/>
        </w:rPr>
        <w:t>中提供此格式。</w:t>
      </w:r>
    </w:p>
    <w:p>
      <w:pPr>
        <w:pStyle w:val="7"/>
        <w:rPr>
          <w:color w:val="auto"/>
          <w:highlight w:val="none"/>
        </w:rPr>
      </w:pPr>
    </w:p>
    <w:p>
      <w:pPr>
        <w:bidi w:val="0"/>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441" w:name="_Toc26782"/>
      <w:bookmarkStart w:id="442" w:name="_Toc17348"/>
      <w:r>
        <w:rPr>
          <w:rFonts w:hint="eastAsia"/>
          <w:color w:val="auto"/>
          <w:highlight w:val="none"/>
          <w:lang w:val="en-US" w:eastAsia="zh-CN"/>
        </w:rPr>
        <w:t>第四章报价信封（单独封装）</w:t>
      </w:r>
      <w:bookmarkEnd w:id="441"/>
      <w:bookmarkEnd w:id="442"/>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443"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444" w:name="_Toc13881"/>
      <w:bookmarkStart w:id="445" w:name="_Toc22736"/>
      <w:r>
        <w:rPr>
          <w:rFonts w:hint="eastAsia"/>
          <w:color w:val="auto"/>
          <w:highlight w:val="none"/>
          <w:lang w:val="en-US" w:eastAsia="zh-CN"/>
        </w:rPr>
        <w:t>第五章联合体共同报价协议书（如有需要）</w:t>
      </w:r>
      <w:bookmarkEnd w:id="444"/>
      <w:bookmarkEnd w:id="445"/>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w:t>
      </w: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rPr>
        <w:t>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w:t>
      </w:r>
      <w:r>
        <w:rPr>
          <w:rFonts w:hint="eastAsia" w:ascii="宋体" w:hAnsi="宋体" w:cs="宋体"/>
          <w:color w:val="auto"/>
          <w:sz w:val="21"/>
          <w:szCs w:val="21"/>
          <w:highlight w:val="none"/>
          <w:lang w:eastAsia="zh-CN"/>
        </w:rPr>
        <w:t>报价</w:t>
      </w:r>
      <w:r>
        <w:rPr>
          <w:rFonts w:hint="eastAsia" w:ascii="宋体" w:hAnsi="宋体" w:eastAsia="宋体" w:cs="宋体"/>
          <w:color w:val="auto"/>
          <w:sz w:val="21"/>
          <w:szCs w:val="21"/>
          <w:highlight w:val="none"/>
        </w:rPr>
        <w:t>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443"/>
    <w:p>
      <w:pPr>
        <w:spacing w:after="0" w:line="360" w:lineRule="auto"/>
        <w:jc w:val="both"/>
        <w:rPr>
          <w:rFonts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7"/>
        <w:rPr>
          <w:color w:val="auto"/>
          <w:highlight w:val="none"/>
        </w:rPr>
      </w:pPr>
    </w:p>
    <w:p>
      <w:pPr>
        <w:spacing w:after="0" w:line="360" w:lineRule="auto"/>
        <w:rPr>
          <w:color w:val="auto"/>
          <w:highlight w:val="none"/>
        </w:rPr>
      </w:pPr>
    </w:p>
    <w:p>
      <w:pPr>
        <w:pStyle w:val="7"/>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w:t>
      </w:r>
      <w:r>
        <w:rPr>
          <w:rFonts w:hint="eastAsia" w:ascii="黑体" w:hAnsi="黑体" w:eastAsia="黑体" w:cs="黑体"/>
          <w:color w:val="auto"/>
          <w:sz w:val="52"/>
          <w:szCs w:val="52"/>
          <w:highlight w:val="none"/>
        </w:rPr>
        <w:t>磋商文件</w:t>
      </w:r>
      <w:r>
        <w:rPr>
          <w:rFonts w:hint="eastAsia" w:ascii="黑体" w:hAnsi="黑体" w:eastAsia="黑体" w:cs="黑体"/>
          <w:color w:val="auto"/>
          <w:sz w:val="52"/>
          <w:szCs w:val="52"/>
          <w:highlight w:val="none"/>
        </w:rPr>
        <w:t>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440"/>
        <w:gridCol w:w="1955"/>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27"/>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27"/>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27"/>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w:t>
            </w:r>
            <w:r>
              <w:rPr>
                <w:rFonts w:hint="eastAsia" w:ascii="宋体" w:hAnsi="宋体" w:eastAsia="宋体" w:cs="宋体"/>
                <w:i w:val="0"/>
                <w:iCs w:val="0"/>
                <w:color w:val="auto"/>
                <w:kern w:val="0"/>
                <w:sz w:val="28"/>
                <w:szCs w:val="28"/>
                <w:highlight w:val="none"/>
                <w:u w:val="none"/>
                <w:lang w:val="en-US" w:eastAsia="zh-CN" w:bidi="ar"/>
              </w:rPr>
              <w:t>元/份</w:t>
            </w:r>
          </w:p>
        </w:tc>
      </w:tr>
    </w:tbl>
    <w:p>
      <w:pPr>
        <w:pStyle w:val="21"/>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8"/>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pPr>
        <w:pStyle w:val="18"/>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4">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5">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6">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7">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8">
    <w:nsid w:val="CFF174A5"/>
    <w:multiLevelType w:val="singleLevel"/>
    <w:tmpl w:val="CFF174A5"/>
    <w:lvl w:ilvl="0" w:tentative="0">
      <w:start w:val="1"/>
      <w:numFmt w:val="decimal"/>
      <w:suff w:val="nothing"/>
      <w:lvlText w:val="%1、"/>
      <w:lvlJc w:val="left"/>
    </w:lvl>
  </w:abstractNum>
  <w:abstractNum w:abstractNumId="9">
    <w:nsid w:val="F75A158C"/>
    <w:multiLevelType w:val="singleLevel"/>
    <w:tmpl w:val="F75A158C"/>
    <w:lvl w:ilvl="0" w:tentative="0">
      <w:start w:val="1"/>
      <w:numFmt w:val="chineseCounting"/>
      <w:suff w:val="nothing"/>
      <w:lvlText w:val="（%1）"/>
      <w:lvlJc w:val="left"/>
      <w:pPr>
        <w:ind w:left="0" w:firstLine="420"/>
      </w:pPr>
      <w:rPr>
        <w:rFonts w:hint="eastAsia"/>
      </w:rPr>
    </w:lvl>
  </w:abstractNum>
  <w:abstractNum w:abstractNumId="10">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2C14C83"/>
    <w:multiLevelType w:val="multilevel"/>
    <w:tmpl w:val="02C14C83"/>
    <w:lvl w:ilvl="0" w:tentative="0">
      <w:start w:val="5"/>
      <w:numFmt w:val="decimal"/>
      <w:lvlText w:val="%1."/>
      <w:lvlJc w:val="center"/>
      <w:pPr>
        <w:tabs>
          <w:tab w:val="left" w:pos="132"/>
        </w:tabs>
        <w:ind w:left="132" w:hanging="132"/>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9F15884"/>
    <w:multiLevelType w:val="singleLevel"/>
    <w:tmpl w:val="09F15884"/>
    <w:lvl w:ilvl="0" w:tentative="0">
      <w:start w:val="1"/>
      <w:numFmt w:val="chineseCounting"/>
      <w:suff w:val="nothing"/>
      <w:lvlText w:val="（%1）"/>
      <w:lvlJc w:val="left"/>
      <w:pPr>
        <w:ind w:left="0" w:firstLine="420"/>
      </w:pPr>
      <w:rPr>
        <w:rFonts w:hint="eastAsia"/>
      </w:rPr>
    </w:lvl>
  </w:abstractNum>
  <w:abstractNum w:abstractNumId="14">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5">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6">
    <w:nsid w:val="182C096D"/>
    <w:multiLevelType w:val="multilevel"/>
    <w:tmpl w:val="182C096D"/>
    <w:lvl w:ilvl="0" w:tentative="0">
      <w:start w:val="1"/>
      <w:numFmt w:val="decimal"/>
      <w:lvlText w:val="%1."/>
      <w:lvlJc w:val="center"/>
      <w:pPr>
        <w:tabs>
          <w:tab w:val="left" w:pos="420"/>
        </w:tabs>
        <w:ind w:left="420" w:hanging="132"/>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316010E5"/>
    <w:multiLevelType w:val="singleLevel"/>
    <w:tmpl w:val="316010E5"/>
    <w:lvl w:ilvl="0" w:tentative="0">
      <w:start w:val="1"/>
      <w:numFmt w:val="decimal"/>
      <w:suff w:val="nothing"/>
      <w:lvlText w:val="%1．"/>
      <w:lvlJc w:val="left"/>
    </w:lvl>
  </w:abstractNum>
  <w:abstractNum w:abstractNumId="18">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9">
    <w:nsid w:val="3B1B8417"/>
    <w:multiLevelType w:val="singleLevel"/>
    <w:tmpl w:val="3B1B8417"/>
    <w:lvl w:ilvl="0" w:tentative="0">
      <w:start w:val="1"/>
      <w:numFmt w:val="decimal"/>
      <w:suff w:val="nothing"/>
      <w:lvlText w:val="%1、"/>
      <w:lvlJc w:val="left"/>
    </w:lvl>
  </w:abstractNum>
  <w:abstractNum w:abstractNumId="20">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1">
    <w:nsid w:val="4DCD03C5"/>
    <w:multiLevelType w:val="multilevel"/>
    <w:tmpl w:val="4DCD03C5"/>
    <w:lvl w:ilvl="0" w:tentative="0">
      <w:start w:val="1"/>
      <w:numFmt w:val="decimal"/>
      <w:lvlText w:val="%1."/>
      <w:lvlJc w:val="center"/>
      <w:pPr>
        <w:tabs>
          <w:tab w:val="left" w:pos="132"/>
        </w:tabs>
        <w:ind w:left="132" w:hanging="132"/>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4521280"/>
    <w:multiLevelType w:val="multilevel"/>
    <w:tmpl w:val="54521280"/>
    <w:lvl w:ilvl="0" w:tentative="0">
      <w:start w:val="1"/>
      <w:numFmt w:val="decimal"/>
      <w:lvlText w:val="%1."/>
      <w:lvlJc w:val="center"/>
      <w:pPr>
        <w:tabs>
          <w:tab w:val="left" w:pos="132"/>
        </w:tabs>
        <w:ind w:left="132" w:hanging="132"/>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24">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25">
    <w:nsid w:val="6E5CE7BD"/>
    <w:multiLevelType w:val="singleLevel"/>
    <w:tmpl w:val="6E5CE7BD"/>
    <w:lvl w:ilvl="0" w:tentative="0">
      <w:start w:val="1"/>
      <w:numFmt w:val="chineseCounting"/>
      <w:suff w:val="nothing"/>
      <w:lvlText w:val="%1、"/>
      <w:lvlJc w:val="left"/>
      <w:rPr>
        <w:rFonts w:hint="eastAsia"/>
      </w:rPr>
    </w:lvl>
  </w:abstractNum>
  <w:abstractNum w:abstractNumId="26">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5"/>
  </w:num>
  <w:num w:numId="2">
    <w:abstractNumId w:val="19"/>
  </w:num>
  <w:num w:numId="3">
    <w:abstractNumId w:val="10"/>
  </w:num>
  <w:num w:numId="4">
    <w:abstractNumId w:val="26"/>
  </w:num>
  <w:num w:numId="5">
    <w:abstractNumId w:val="20"/>
  </w:num>
  <w:num w:numId="6">
    <w:abstractNumId w:val="4"/>
  </w:num>
  <w:num w:numId="7">
    <w:abstractNumId w:val="5"/>
  </w:num>
  <w:num w:numId="8">
    <w:abstractNumId w:val="0"/>
  </w:num>
  <w:num w:numId="9">
    <w:abstractNumId w:val="1"/>
  </w:num>
  <w:num w:numId="10">
    <w:abstractNumId w:val="18"/>
  </w:num>
  <w:num w:numId="11">
    <w:abstractNumId w:val="15"/>
  </w:num>
  <w:num w:numId="12">
    <w:abstractNumId w:val="7"/>
  </w:num>
  <w:num w:numId="13">
    <w:abstractNumId w:val="6"/>
  </w:num>
  <w:num w:numId="14">
    <w:abstractNumId w:val="23"/>
  </w:num>
  <w:num w:numId="15">
    <w:abstractNumId w:val="3"/>
  </w:num>
  <w:num w:numId="16">
    <w:abstractNumId w:val="9"/>
  </w:num>
  <w:num w:numId="17">
    <w:abstractNumId w:val="13"/>
  </w:num>
  <w:num w:numId="18">
    <w:abstractNumId w:val="14"/>
  </w:num>
  <w:num w:numId="19">
    <w:abstractNumId w:val="24"/>
  </w:num>
  <w:num w:numId="20">
    <w:abstractNumId w:val="16"/>
  </w:num>
  <w:num w:numId="21">
    <w:abstractNumId w:val="12"/>
  </w:num>
  <w:num w:numId="22">
    <w:abstractNumId w:val="21"/>
  </w:num>
  <w:num w:numId="23">
    <w:abstractNumId w:val="22"/>
  </w:num>
  <w:num w:numId="24">
    <w:abstractNumId w:val="8"/>
  </w:num>
  <w:num w:numId="25">
    <w:abstractNumId w:val="11"/>
  </w:num>
  <w:num w:numId="26">
    <w:abstractNumId w:val="2"/>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YzMxYjlkNjI3YTY0NWM4NzJjZGI3NDYxYWQzZjg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DF1036"/>
    <w:rsid w:val="050F6021"/>
    <w:rsid w:val="05A97DEC"/>
    <w:rsid w:val="05C81981"/>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A276E5"/>
    <w:rsid w:val="09061A75"/>
    <w:rsid w:val="09087948"/>
    <w:rsid w:val="09182241"/>
    <w:rsid w:val="09242E62"/>
    <w:rsid w:val="093C069F"/>
    <w:rsid w:val="09417888"/>
    <w:rsid w:val="095909FF"/>
    <w:rsid w:val="09855177"/>
    <w:rsid w:val="09870F93"/>
    <w:rsid w:val="09D658E4"/>
    <w:rsid w:val="09F1637C"/>
    <w:rsid w:val="0A25628F"/>
    <w:rsid w:val="0AA534D5"/>
    <w:rsid w:val="0AA650EB"/>
    <w:rsid w:val="0AB8066A"/>
    <w:rsid w:val="0AF47339"/>
    <w:rsid w:val="0B22594B"/>
    <w:rsid w:val="0B6709D0"/>
    <w:rsid w:val="0B797387"/>
    <w:rsid w:val="0BC044BE"/>
    <w:rsid w:val="0BDF26F7"/>
    <w:rsid w:val="0C264099"/>
    <w:rsid w:val="0C2B4952"/>
    <w:rsid w:val="0C7B2220"/>
    <w:rsid w:val="0D890E47"/>
    <w:rsid w:val="0DC64A00"/>
    <w:rsid w:val="0DFC60BA"/>
    <w:rsid w:val="0DFF4FAE"/>
    <w:rsid w:val="0E4249F1"/>
    <w:rsid w:val="0F6C5A53"/>
    <w:rsid w:val="0F7C5FF6"/>
    <w:rsid w:val="0FC63FBD"/>
    <w:rsid w:val="106C564D"/>
    <w:rsid w:val="107B7B8F"/>
    <w:rsid w:val="107C67CE"/>
    <w:rsid w:val="108F06C9"/>
    <w:rsid w:val="109D68CB"/>
    <w:rsid w:val="10A949B8"/>
    <w:rsid w:val="10C54639"/>
    <w:rsid w:val="11200D07"/>
    <w:rsid w:val="11DA73AF"/>
    <w:rsid w:val="12012882"/>
    <w:rsid w:val="12C60D80"/>
    <w:rsid w:val="131F7A3A"/>
    <w:rsid w:val="132645D0"/>
    <w:rsid w:val="13455ABC"/>
    <w:rsid w:val="1370322B"/>
    <w:rsid w:val="13B27845"/>
    <w:rsid w:val="13BE469F"/>
    <w:rsid w:val="13F87121"/>
    <w:rsid w:val="141A03E1"/>
    <w:rsid w:val="143B2E0B"/>
    <w:rsid w:val="14672B11"/>
    <w:rsid w:val="14892735"/>
    <w:rsid w:val="14CC769D"/>
    <w:rsid w:val="15735E00"/>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90B7894"/>
    <w:rsid w:val="19A2789F"/>
    <w:rsid w:val="1A3109F9"/>
    <w:rsid w:val="1A460CF5"/>
    <w:rsid w:val="1A7F297D"/>
    <w:rsid w:val="1AB16AC1"/>
    <w:rsid w:val="1B034A52"/>
    <w:rsid w:val="1B1F34AD"/>
    <w:rsid w:val="1B8D5DC6"/>
    <w:rsid w:val="1BA7712F"/>
    <w:rsid w:val="1BFE1D3B"/>
    <w:rsid w:val="1C2775EC"/>
    <w:rsid w:val="1C750ECE"/>
    <w:rsid w:val="1CA22168"/>
    <w:rsid w:val="1D0836D7"/>
    <w:rsid w:val="1D196139"/>
    <w:rsid w:val="1D3A2A58"/>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C35213"/>
    <w:rsid w:val="20FC799E"/>
    <w:rsid w:val="22154DDD"/>
    <w:rsid w:val="22213E42"/>
    <w:rsid w:val="22336873"/>
    <w:rsid w:val="23175889"/>
    <w:rsid w:val="238C2182"/>
    <w:rsid w:val="239015D1"/>
    <w:rsid w:val="23BB4E7D"/>
    <w:rsid w:val="23C172D6"/>
    <w:rsid w:val="23F04F64"/>
    <w:rsid w:val="24814CBE"/>
    <w:rsid w:val="24AC168B"/>
    <w:rsid w:val="24B70A22"/>
    <w:rsid w:val="258C3BEC"/>
    <w:rsid w:val="25A92CDD"/>
    <w:rsid w:val="25E44366"/>
    <w:rsid w:val="25E576CC"/>
    <w:rsid w:val="260E3862"/>
    <w:rsid w:val="262569FC"/>
    <w:rsid w:val="26344C98"/>
    <w:rsid w:val="26F56CE2"/>
    <w:rsid w:val="27435D49"/>
    <w:rsid w:val="27A34F71"/>
    <w:rsid w:val="27B36A67"/>
    <w:rsid w:val="27EB0D9B"/>
    <w:rsid w:val="286602C8"/>
    <w:rsid w:val="28665C95"/>
    <w:rsid w:val="28872B17"/>
    <w:rsid w:val="28A64522"/>
    <w:rsid w:val="28CC5B40"/>
    <w:rsid w:val="28FB7971"/>
    <w:rsid w:val="290B3EB9"/>
    <w:rsid w:val="291418C2"/>
    <w:rsid w:val="292F1F16"/>
    <w:rsid w:val="2950768C"/>
    <w:rsid w:val="297A5FC4"/>
    <w:rsid w:val="2A1113BC"/>
    <w:rsid w:val="2A586210"/>
    <w:rsid w:val="2A8D4F8F"/>
    <w:rsid w:val="2A911082"/>
    <w:rsid w:val="2A917B34"/>
    <w:rsid w:val="2AE3766F"/>
    <w:rsid w:val="2B7E4054"/>
    <w:rsid w:val="2BF22742"/>
    <w:rsid w:val="2C987C56"/>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FF27D2"/>
    <w:rsid w:val="311573CF"/>
    <w:rsid w:val="31170995"/>
    <w:rsid w:val="31264A30"/>
    <w:rsid w:val="31884E67"/>
    <w:rsid w:val="31A0275E"/>
    <w:rsid w:val="31B7357A"/>
    <w:rsid w:val="31E14405"/>
    <w:rsid w:val="31ED6B08"/>
    <w:rsid w:val="31F915C9"/>
    <w:rsid w:val="32610CE6"/>
    <w:rsid w:val="328464CE"/>
    <w:rsid w:val="32AB70C5"/>
    <w:rsid w:val="32DC33E0"/>
    <w:rsid w:val="335D0AF5"/>
    <w:rsid w:val="33614D0F"/>
    <w:rsid w:val="3370088C"/>
    <w:rsid w:val="33A3154A"/>
    <w:rsid w:val="33DC2F78"/>
    <w:rsid w:val="3428227C"/>
    <w:rsid w:val="343B1793"/>
    <w:rsid w:val="35260F83"/>
    <w:rsid w:val="35602226"/>
    <w:rsid w:val="356B72E7"/>
    <w:rsid w:val="3572424F"/>
    <w:rsid w:val="35FC3844"/>
    <w:rsid w:val="36794DEF"/>
    <w:rsid w:val="36AD519D"/>
    <w:rsid w:val="36B57705"/>
    <w:rsid w:val="374F1A0B"/>
    <w:rsid w:val="37686D71"/>
    <w:rsid w:val="37A103ED"/>
    <w:rsid w:val="37DC7ABE"/>
    <w:rsid w:val="37EA5E6E"/>
    <w:rsid w:val="37FF016F"/>
    <w:rsid w:val="38427C0B"/>
    <w:rsid w:val="387C5ABE"/>
    <w:rsid w:val="389B3A1E"/>
    <w:rsid w:val="38EB6119"/>
    <w:rsid w:val="39DE33DA"/>
    <w:rsid w:val="39FA5B4A"/>
    <w:rsid w:val="39FE0BE9"/>
    <w:rsid w:val="3A3C1AAF"/>
    <w:rsid w:val="3A4B7CC1"/>
    <w:rsid w:val="3A51228C"/>
    <w:rsid w:val="3A552E60"/>
    <w:rsid w:val="3A5D642F"/>
    <w:rsid w:val="3AB210FC"/>
    <w:rsid w:val="3ACE216B"/>
    <w:rsid w:val="3AD95C13"/>
    <w:rsid w:val="3B261E51"/>
    <w:rsid w:val="3B973F88"/>
    <w:rsid w:val="3BCD72F7"/>
    <w:rsid w:val="3C414142"/>
    <w:rsid w:val="3C9121FF"/>
    <w:rsid w:val="3CE114D9"/>
    <w:rsid w:val="3CF737A2"/>
    <w:rsid w:val="3CF7509A"/>
    <w:rsid w:val="3D10295A"/>
    <w:rsid w:val="3E0572FD"/>
    <w:rsid w:val="3E1A5292"/>
    <w:rsid w:val="3E5A7FE7"/>
    <w:rsid w:val="3EC8179E"/>
    <w:rsid w:val="3EF66B2E"/>
    <w:rsid w:val="3F217914"/>
    <w:rsid w:val="3FD70BB0"/>
    <w:rsid w:val="3FFB55AC"/>
    <w:rsid w:val="401C5F9D"/>
    <w:rsid w:val="401C690C"/>
    <w:rsid w:val="401D7195"/>
    <w:rsid w:val="406C71E8"/>
    <w:rsid w:val="40A51286"/>
    <w:rsid w:val="40CE3DC0"/>
    <w:rsid w:val="40D7455A"/>
    <w:rsid w:val="40E743E5"/>
    <w:rsid w:val="4110038E"/>
    <w:rsid w:val="41734CBA"/>
    <w:rsid w:val="41DD7057"/>
    <w:rsid w:val="420F7A65"/>
    <w:rsid w:val="4216611A"/>
    <w:rsid w:val="423E300F"/>
    <w:rsid w:val="425656C8"/>
    <w:rsid w:val="4257273C"/>
    <w:rsid w:val="425D7213"/>
    <w:rsid w:val="42677B61"/>
    <w:rsid w:val="42756DB0"/>
    <w:rsid w:val="42B21AD2"/>
    <w:rsid w:val="42FD694D"/>
    <w:rsid w:val="434A6D8F"/>
    <w:rsid w:val="4397723B"/>
    <w:rsid w:val="43D522BF"/>
    <w:rsid w:val="43FA5777"/>
    <w:rsid w:val="44044D92"/>
    <w:rsid w:val="441C1611"/>
    <w:rsid w:val="44212CEC"/>
    <w:rsid w:val="443C440B"/>
    <w:rsid w:val="443F7DBF"/>
    <w:rsid w:val="44514F52"/>
    <w:rsid w:val="448965CB"/>
    <w:rsid w:val="44C5497E"/>
    <w:rsid w:val="44FA2D53"/>
    <w:rsid w:val="4571374F"/>
    <w:rsid w:val="458B1BB0"/>
    <w:rsid w:val="45A6776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BB5EC4"/>
    <w:rsid w:val="48F303D7"/>
    <w:rsid w:val="492837FF"/>
    <w:rsid w:val="492E6A57"/>
    <w:rsid w:val="498B570C"/>
    <w:rsid w:val="49B86103"/>
    <w:rsid w:val="4A0030EE"/>
    <w:rsid w:val="4AB75B3A"/>
    <w:rsid w:val="4AC36065"/>
    <w:rsid w:val="4B0479B1"/>
    <w:rsid w:val="4B560086"/>
    <w:rsid w:val="4B7501F5"/>
    <w:rsid w:val="4B8C2DEB"/>
    <w:rsid w:val="4BFA3C9F"/>
    <w:rsid w:val="4C0E3379"/>
    <w:rsid w:val="4C107F48"/>
    <w:rsid w:val="4C3277BC"/>
    <w:rsid w:val="4C686851"/>
    <w:rsid w:val="4CC353EB"/>
    <w:rsid w:val="4CF36F3C"/>
    <w:rsid w:val="4CFC69A5"/>
    <w:rsid w:val="4D4F67BA"/>
    <w:rsid w:val="4D603399"/>
    <w:rsid w:val="4D867EE1"/>
    <w:rsid w:val="4DBC4C65"/>
    <w:rsid w:val="4DF6568D"/>
    <w:rsid w:val="4E2E1A80"/>
    <w:rsid w:val="4E550010"/>
    <w:rsid w:val="4E5F14CB"/>
    <w:rsid w:val="4EED7FC5"/>
    <w:rsid w:val="4F3705F8"/>
    <w:rsid w:val="4FAC3540"/>
    <w:rsid w:val="4FBB12F4"/>
    <w:rsid w:val="4FCF1583"/>
    <w:rsid w:val="4FFA7625"/>
    <w:rsid w:val="501B0BF9"/>
    <w:rsid w:val="507D2599"/>
    <w:rsid w:val="50904151"/>
    <w:rsid w:val="5096229D"/>
    <w:rsid w:val="50B44FCE"/>
    <w:rsid w:val="50DC4184"/>
    <w:rsid w:val="51475B39"/>
    <w:rsid w:val="514C3EA7"/>
    <w:rsid w:val="519849E5"/>
    <w:rsid w:val="51B36892"/>
    <w:rsid w:val="51E44D3C"/>
    <w:rsid w:val="524A036B"/>
    <w:rsid w:val="52506DA7"/>
    <w:rsid w:val="529D471C"/>
    <w:rsid w:val="533B2B84"/>
    <w:rsid w:val="535F3BF1"/>
    <w:rsid w:val="537A7243"/>
    <w:rsid w:val="539C1B81"/>
    <w:rsid w:val="53AA6184"/>
    <w:rsid w:val="53AE750F"/>
    <w:rsid w:val="53EB0895"/>
    <w:rsid w:val="53F263AD"/>
    <w:rsid w:val="54693932"/>
    <w:rsid w:val="549A6BFA"/>
    <w:rsid w:val="54A6423F"/>
    <w:rsid w:val="54E72921"/>
    <w:rsid w:val="55806F07"/>
    <w:rsid w:val="55A44ACC"/>
    <w:rsid w:val="55FA2961"/>
    <w:rsid w:val="565E7F4F"/>
    <w:rsid w:val="56775789"/>
    <w:rsid w:val="56857D06"/>
    <w:rsid w:val="56914056"/>
    <w:rsid w:val="569F0E63"/>
    <w:rsid w:val="56DB613D"/>
    <w:rsid w:val="573810DA"/>
    <w:rsid w:val="5745641C"/>
    <w:rsid w:val="57C94C90"/>
    <w:rsid w:val="57FC2169"/>
    <w:rsid w:val="58096275"/>
    <w:rsid w:val="580E4560"/>
    <w:rsid w:val="581C04F1"/>
    <w:rsid w:val="582E6EF7"/>
    <w:rsid w:val="58434392"/>
    <w:rsid w:val="584E30E6"/>
    <w:rsid w:val="59014D02"/>
    <w:rsid w:val="592E16F6"/>
    <w:rsid w:val="597B384D"/>
    <w:rsid w:val="59996DA8"/>
    <w:rsid w:val="59AC3CE9"/>
    <w:rsid w:val="59C30F1B"/>
    <w:rsid w:val="5A0D5854"/>
    <w:rsid w:val="5A20156F"/>
    <w:rsid w:val="5A2A32CF"/>
    <w:rsid w:val="5A9847F3"/>
    <w:rsid w:val="5AC7121C"/>
    <w:rsid w:val="5AD90B8D"/>
    <w:rsid w:val="5AE12927"/>
    <w:rsid w:val="5B2243E9"/>
    <w:rsid w:val="5B4E1A44"/>
    <w:rsid w:val="5B666742"/>
    <w:rsid w:val="5B6919B0"/>
    <w:rsid w:val="5B873201"/>
    <w:rsid w:val="5B89551D"/>
    <w:rsid w:val="5B967767"/>
    <w:rsid w:val="5B9E55DE"/>
    <w:rsid w:val="5BEB3C95"/>
    <w:rsid w:val="5C1D18D2"/>
    <w:rsid w:val="5C286807"/>
    <w:rsid w:val="5C446BC8"/>
    <w:rsid w:val="5C4C687B"/>
    <w:rsid w:val="5C7C2768"/>
    <w:rsid w:val="5CB23AE6"/>
    <w:rsid w:val="5CF55792"/>
    <w:rsid w:val="5CFD533A"/>
    <w:rsid w:val="5D2F72C2"/>
    <w:rsid w:val="5D893B14"/>
    <w:rsid w:val="5E2810D5"/>
    <w:rsid w:val="5E2B7D62"/>
    <w:rsid w:val="5E71411E"/>
    <w:rsid w:val="5EA06921"/>
    <w:rsid w:val="5ED5006A"/>
    <w:rsid w:val="5F236957"/>
    <w:rsid w:val="5F576E4B"/>
    <w:rsid w:val="5F5D4EDE"/>
    <w:rsid w:val="5F7A2C30"/>
    <w:rsid w:val="5FBE370A"/>
    <w:rsid w:val="5FD62906"/>
    <w:rsid w:val="60292845"/>
    <w:rsid w:val="61027308"/>
    <w:rsid w:val="612E1A5D"/>
    <w:rsid w:val="61816046"/>
    <w:rsid w:val="62182687"/>
    <w:rsid w:val="62391564"/>
    <w:rsid w:val="62816669"/>
    <w:rsid w:val="62BA0953"/>
    <w:rsid w:val="62D03A7C"/>
    <w:rsid w:val="62F16BCB"/>
    <w:rsid w:val="62F648FE"/>
    <w:rsid w:val="63341DB1"/>
    <w:rsid w:val="63447612"/>
    <w:rsid w:val="63907004"/>
    <w:rsid w:val="639A73C1"/>
    <w:rsid w:val="63A10995"/>
    <w:rsid w:val="63C23EFA"/>
    <w:rsid w:val="63E52E10"/>
    <w:rsid w:val="643A070A"/>
    <w:rsid w:val="644C573D"/>
    <w:rsid w:val="648667A7"/>
    <w:rsid w:val="64DB383A"/>
    <w:rsid w:val="65032F85"/>
    <w:rsid w:val="65136B50"/>
    <w:rsid w:val="657E2A35"/>
    <w:rsid w:val="65A94E9D"/>
    <w:rsid w:val="65C60A92"/>
    <w:rsid w:val="65C7105B"/>
    <w:rsid w:val="65F3550D"/>
    <w:rsid w:val="662203DD"/>
    <w:rsid w:val="666B723B"/>
    <w:rsid w:val="6678045A"/>
    <w:rsid w:val="66DD6702"/>
    <w:rsid w:val="679406CB"/>
    <w:rsid w:val="67C35C0B"/>
    <w:rsid w:val="681233D2"/>
    <w:rsid w:val="681D5EE5"/>
    <w:rsid w:val="68652AB3"/>
    <w:rsid w:val="689F1926"/>
    <w:rsid w:val="68AD17BB"/>
    <w:rsid w:val="68D94D22"/>
    <w:rsid w:val="692B2E4A"/>
    <w:rsid w:val="694303FB"/>
    <w:rsid w:val="696A0B34"/>
    <w:rsid w:val="698D6A17"/>
    <w:rsid w:val="69A233E7"/>
    <w:rsid w:val="69EE3535"/>
    <w:rsid w:val="69F954C1"/>
    <w:rsid w:val="6A2031B6"/>
    <w:rsid w:val="6A440C53"/>
    <w:rsid w:val="6A882AD0"/>
    <w:rsid w:val="6AC61F6F"/>
    <w:rsid w:val="6ADE74F0"/>
    <w:rsid w:val="6B1002C0"/>
    <w:rsid w:val="6B1F5CFA"/>
    <w:rsid w:val="6B723594"/>
    <w:rsid w:val="6B805156"/>
    <w:rsid w:val="6BD50977"/>
    <w:rsid w:val="6BEA2A9B"/>
    <w:rsid w:val="6C9C0875"/>
    <w:rsid w:val="6C9D1F03"/>
    <w:rsid w:val="6CAA3931"/>
    <w:rsid w:val="6D3933CA"/>
    <w:rsid w:val="6D587126"/>
    <w:rsid w:val="6D7B61EC"/>
    <w:rsid w:val="6DD049FF"/>
    <w:rsid w:val="6E09491E"/>
    <w:rsid w:val="6E0D3655"/>
    <w:rsid w:val="6E5F4465"/>
    <w:rsid w:val="6E8C54DA"/>
    <w:rsid w:val="6EBC0603"/>
    <w:rsid w:val="6EF11E03"/>
    <w:rsid w:val="6F111C62"/>
    <w:rsid w:val="6F2176E5"/>
    <w:rsid w:val="6F3053CA"/>
    <w:rsid w:val="6F36242A"/>
    <w:rsid w:val="6F592303"/>
    <w:rsid w:val="6F5F5B74"/>
    <w:rsid w:val="6F9B1C65"/>
    <w:rsid w:val="6FD47A25"/>
    <w:rsid w:val="6FF44026"/>
    <w:rsid w:val="6FFB146E"/>
    <w:rsid w:val="701A5C74"/>
    <w:rsid w:val="70645248"/>
    <w:rsid w:val="706516C3"/>
    <w:rsid w:val="70864A71"/>
    <w:rsid w:val="70896E68"/>
    <w:rsid w:val="714556B4"/>
    <w:rsid w:val="715B60E9"/>
    <w:rsid w:val="71E96309"/>
    <w:rsid w:val="71EA1FED"/>
    <w:rsid w:val="72284A0C"/>
    <w:rsid w:val="72854629"/>
    <w:rsid w:val="72C16204"/>
    <w:rsid w:val="730313F6"/>
    <w:rsid w:val="731E1007"/>
    <w:rsid w:val="73370D24"/>
    <w:rsid w:val="7359268C"/>
    <w:rsid w:val="739503EB"/>
    <w:rsid w:val="73A05B28"/>
    <w:rsid w:val="73C07D69"/>
    <w:rsid w:val="749E2255"/>
    <w:rsid w:val="74B42AE4"/>
    <w:rsid w:val="750A429D"/>
    <w:rsid w:val="75167F59"/>
    <w:rsid w:val="755D38A7"/>
    <w:rsid w:val="755F5A0F"/>
    <w:rsid w:val="75614792"/>
    <w:rsid w:val="75784473"/>
    <w:rsid w:val="757E044C"/>
    <w:rsid w:val="75977BC3"/>
    <w:rsid w:val="75B161B3"/>
    <w:rsid w:val="75E470E3"/>
    <w:rsid w:val="76736B32"/>
    <w:rsid w:val="76E3765E"/>
    <w:rsid w:val="76FC2AFA"/>
    <w:rsid w:val="77310AF7"/>
    <w:rsid w:val="773F0836"/>
    <w:rsid w:val="77653671"/>
    <w:rsid w:val="778546CC"/>
    <w:rsid w:val="77B56730"/>
    <w:rsid w:val="77C04A8B"/>
    <w:rsid w:val="77D85DB3"/>
    <w:rsid w:val="780252A0"/>
    <w:rsid w:val="78027772"/>
    <w:rsid w:val="78A50513"/>
    <w:rsid w:val="793B7339"/>
    <w:rsid w:val="796518DD"/>
    <w:rsid w:val="796E0C55"/>
    <w:rsid w:val="79AA0532"/>
    <w:rsid w:val="79F70999"/>
    <w:rsid w:val="79FE1DDD"/>
    <w:rsid w:val="7A075767"/>
    <w:rsid w:val="7A212062"/>
    <w:rsid w:val="7A282A11"/>
    <w:rsid w:val="7AB90FF6"/>
    <w:rsid w:val="7AC21562"/>
    <w:rsid w:val="7AD474A4"/>
    <w:rsid w:val="7B115232"/>
    <w:rsid w:val="7B401C35"/>
    <w:rsid w:val="7B416BDC"/>
    <w:rsid w:val="7B5350AD"/>
    <w:rsid w:val="7B6867EB"/>
    <w:rsid w:val="7B697C89"/>
    <w:rsid w:val="7B8D34C3"/>
    <w:rsid w:val="7B971D84"/>
    <w:rsid w:val="7BF32F03"/>
    <w:rsid w:val="7C1724A5"/>
    <w:rsid w:val="7C4D65EA"/>
    <w:rsid w:val="7C8E3CCF"/>
    <w:rsid w:val="7CA54112"/>
    <w:rsid w:val="7CE50CE4"/>
    <w:rsid w:val="7D2E5ABF"/>
    <w:rsid w:val="7DCA1E7A"/>
    <w:rsid w:val="7E2142A2"/>
    <w:rsid w:val="7E4F5384"/>
    <w:rsid w:val="7E5A6DFA"/>
    <w:rsid w:val="7E7B0BF2"/>
    <w:rsid w:val="7E7C7A78"/>
    <w:rsid w:val="7E8D75B6"/>
    <w:rsid w:val="7EB2417D"/>
    <w:rsid w:val="7EF760EE"/>
    <w:rsid w:val="7F2A21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1"/>
    <w:qFormat/>
    <w:uiPriority w:val="1"/>
    <w:pPr>
      <w:spacing w:before="161"/>
      <w:ind w:left="120"/>
    </w:pPr>
    <w:rPr>
      <w:rFonts w:ascii="宋体" w:hAnsi="宋体" w:eastAsia="宋体" w:cs="宋体"/>
      <w:sz w:val="24"/>
      <w:lang w:val="zh-CN" w:bidi="zh-CN"/>
    </w:rPr>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pPr>
      <w:spacing w:after="0"/>
    </w:pPr>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pPr>
      <w:snapToGrid w:val="0"/>
      <w:jc w:val="left"/>
    </w:pPr>
    <w:rPr>
      <w:sz w:val="18"/>
    </w:rPr>
  </w:style>
  <w:style w:type="paragraph" w:styleId="19">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0">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paragraph" w:styleId="21">
    <w:name w:val="Body Text First Indent"/>
    <w:basedOn w:val="7"/>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2"/>
    <w:qFormat/>
    <w:uiPriority w:val="9"/>
    <w:rPr>
      <w:rFonts w:asciiTheme="majorHAnsi" w:hAnsiTheme="majorHAnsi" w:eastAsiaTheme="majorEastAsia" w:cstheme="majorBidi"/>
      <w:b/>
      <w:bCs/>
      <w:sz w:val="32"/>
      <w:szCs w:val="32"/>
    </w:rPr>
  </w:style>
  <w:style w:type="character" w:customStyle="1" w:styleId="31">
    <w:name w:val="标题 3 Char"/>
    <w:basedOn w:val="24"/>
    <w:link w:val="4"/>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5"/>
    <w:qFormat/>
    <w:uiPriority w:val="9"/>
    <w:rPr>
      <w:rFonts w:asciiTheme="majorHAnsi" w:hAnsiTheme="majorHAnsi" w:eastAsiaTheme="majorEastAsia" w:cstheme="majorBidi"/>
      <w:b/>
      <w:bCs/>
      <w:sz w:val="28"/>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4"/>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 w:type="paragraph" w:customStyle="1" w:styleId="54">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81</Pages>
  <Words>36442</Words>
  <Characters>37485</Characters>
  <Lines>264</Lines>
  <Paragraphs>74</Paragraphs>
  <TotalTime>0</TotalTime>
  <ScaleCrop>false</ScaleCrop>
  <LinksUpToDate>false</LinksUpToDate>
  <CharactersWithSpaces>39913</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2022-08-24T03:21:37Z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F84BD00A57D34286AB797850607E0BAF</vt:lpwstr>
  </property>
</Properties>
</file>