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Relationships xmlns="http://schemas.openxmlformats.org/package/2006/relationships"><Relationship Id="rId1" Target="docProps/app.xml" Type="http://schemas.openxmlformats.org/officeDocument/2006/relationships/extended-properties"/><Relationship Id="rId2" Target="docProps/core.xml" Type="http://schemas.openxmlformats.org/package/2006/relationships/metadata/core-properties"/><Relationship Id="rId3" Target="docProps/custom.xml" Type="http://schemas.openxmlformats.org/officeDocument/2006/relationships/custom-properties"/><Relationship Id="rId4" Target="word/document.xml" Type="http://schemas.openxmlformats.org/officeDocument/2006/relationships/officeDocument"/></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
      <w:pPr>
        <w:rPr>
          <w:rFonts w:hint="eastAsia"/>
          <w:lang w:val="en-US" w:eastAsia="zh-Hans"/>
        </w:rPr>
      </w:pPr>
      <w:r>
        <w:br/>
      </w:r>
    </w:p>
    <w:p/>
    <w:p>
      <w:r>
        <w:br/>
      </w:r>
      <w:r>
        <w:br/>
      </w:r>
      <w:r>
        <w:br/>
      </w:r>
      <w:r>
        <w:br/>
      </w:r>
      <w:r>
        <w:br/>
      </w:r>
    </w:p>
    <w:p>
      <w:pPr>
        <w:jc w:val="center"/>
      </w:pPr>
      <w:r>
        <w:rPr>
          <w:b/>
          <w:sz w:val="48"/>
        </w:rPr>
        <w:t>广东省政府采购</w:t>
      </w:r>
    </w:p>
    <w:p/>
    <w:p>
      <w:pPr>
        <w:jc w:val="center"/>
      </w:pPr>
      <w:r>
        <w:rPr>
          <w:b/>
          <w:sz w:val="48"/>
        </w:rPr>
        <w:t>竞争性谈判文件</w:t>
      </w:r>
      <w:r>
        <w:br/>
      </w:r>
      <w:r>
        <w:br/>
      </w:r>
      <w:r>
        <w:br/>
      </w:r>
      <w:r>
        <w:br/>
      </w:r>
      <w:r>
        <w:br/>
      </w:r>
      <w:r>
        <w:br/>
      </w:r>
      <w:r>
        <w:br/>
      </w:r>
      <w:r>
        <w:br/>
      </w:r>
      <w:r>
        <w:br/>
      </w:r>
      <w:r>
        <w:br/>
      </w:r>
      <w:r>
        <w:br/>
      </w:r>
      <w:r>
        <w:br/>
      </w:r>
      <w:r>
        <w:br/>
      </w:r>
      <w:r>
        <w:br/>
      </w:r>
      <w:r>
        <w:br/>
      </w:r>
      <w:r>
        <w:br/>
      </w:r>
      <w:r>
        <w:br/>
      </w:r>
      <w:r>
        <w:br/>
      </w:r>
      <w:r>
        <w:br/>
      </w:r>
      <w:r>
        <w:br/>
      </w:r>
      <w:r>
        <w:br/>
      </w:r>
    </w:p>
    <w:p>
      <w:pPr>
        <w:jc w:val="center"/>
      </w:pPr>
      <w:r>
        <w:rPr>
          <w:b/>
          <w:sz w:val="24"/>
        </w:rPr>
        <w:t>采购计划编号：</w:t>
      </w:r>
      <w:r>
        <w:rPr>
          <w:b/>
          <w:sz w:val="24"/>
        </w:rPr>
        <w:t>441900021-2022-00314</w:t>
      </w:r>
    </w:p>
    <w:p>
      <w:pPr>
        <w:jc w:val="center"/>
      </w:pPr>
      <w:r>
        <w:rPr>
          <w:b/>
          <w:sz w:val="24"/>
        </w:rPr>
        <w:t>采购项目编号：</w:t>
      </w:r>
      <w:r>
        <w:rPr>
          <w:b/>
          <w:sz w:val="24"/>
        </w:rPr>
        <w:t>441900021-2022-00314</w:t>
      </w:r>
    </w:p>
    <w:p>
      <w:pPr>
        <w:jc w:val="center"/>
      </w:pPr>
      <w:r>
        <w:rPr>
          <w:b/>
          <w:sz w:val="24"/>
        </w:rPr>
        <w:t>项目名称：</w:t>
      </w:r>
      <w:r>
        <w:rPr>
          <w:b/>
          <w:sz w:val="24"/>
        </w:rPr>
        <w:t>东莞市大朗教育管理中心采购2022年公办学校教室灯光照明设备项目</w:t>
      </w:r>
    </w:p>
    <w:p>
      <w:pPr>
        <w:jc w:val="center"/>
      </w:pPr>
      <w:r>
        <w:rPr>
          <w:b/>
          <w:sz w:val="24"/>
        </w:rPr>
        <w:t>采购人：</w:t>
      </w:r>
      <w:r>
        <w:rPr>
          <w:b/>
          <w:sz w:val="24"/>
        </w:rPr>
        <w:t>东莞市大朗镇教育管理中心(东莞市大朗镇教师发展中心)</w:t>
      </w:r>
    </w:p>
    <w:p>
      <w:pPr>
        <w:jc w:val="center"/>
      </w:pPr>
      <w:r>
        <w:rPr>
          <w:b/>
          <w:sz w:val="24"/>
        </w:rPr>
        <w:t>采购代理机构：</w:t>
      </w:r>
      <w:r>
        <w:rPr>
          <w:b/>
          <w:sz w:val="24"/>
        </w:rPr>
        <w:t>广东政通招标有限公司</w:t>
      </w:r>
    </w:p>
    <w:p>
      <w:pPr>
        <w:ind w:firstLine="480"/>
      </w:pPr>
    </w:p>
    <w:p>
      <w:r>
        <w:rPr/>
        <w:t xml:space="preserve"> </w:t>
      </w:r>
    </w:p>
    <w:p/>
    <w:p>
      <w:r>
        <w:rPr>
          <w:b/>
          <w:sz w:val="36"/>
        </w:rPr>
        <w:t>第一章 谈判邀请</w:t>
      </w:r>
    </w:p>
    <w:p>
      <w:pPr>
        <w:ind w:firstLine="480"/>
      </w:pPr>
      <w:r>
        <w:rPr/>
        <w:t>广东政通招标有限公司</w:t>
      </w:r>
      <w:r>
        <w:rPr/>
        <w:t>受</w:t>
      </w:r>
      <w:r>
        <w:rPr/>
        <w:t>东莞市大朗镇教育管理中心(东莞市大朗镇教师发展中心)</w:t>
      </w:r>
      <w:r>
        <w:rPr/>
        <w:t>的委托，采用</w:t>
      </w:r>
      <w:r>
        <w:rPr/>
        <w:t>竞争性谈判</w:t>
      </w:r>
      <w:r>
        <w:rPr/>
        <w:t>方式组织采购</w:t>
      </w:r>
      <w:r>
        <w:rPr/>
        <w:t>东莞市大朗教育管理中心采购2022年公办学校教室灯光照明设备项目</w:t>
      </w:r>
      <w:r>
        <w:rPr/>
        <w:t>。欢迎符合资格条件的供应商参加。</w:t>
      </w:r>
    </w:p>
    <w:p>
      <w:r>
        <w:rPr>
          <w:b/>
          <w:sz w:val="28"/>
        </w:rPr>
        <w:t>一.项目概述</w:t>
      </w:r>
    </w:p>
    <w:p>
      <w:r>
        <w:rPr>
          <w:b/>
          <w:sz w:val="24"/>
        </w:rPr>
        <w:t>1.名称与编号</w:t>
      </w:r>
    </w:p>
    <w:p>
      <w:pPr>
        <w:ind w:firstLine="480"/>
      </w:pPr>
      <w:r>
        <w:rPr/>
        <w:t>项目名称：</w:t>
      </w:r>
      <w:r>
        <w:rPr/>
        <w:t>东莞市大朗教育管理中心采购2022年公办学校教室灯光照明设备项目</w:t>
      </w:r>
    </w:p>
    <w:p>
      <w:pPr>
        <w:ind w:firstLine="480"/>
      </w:pPr>
      <w:r>
        <w:rPr/>
        <w:t>采购计划编号：</w:t>
      </w:r>
      <w:r>
        <w:rPr/>
        <w:t>441900021-2022-00314</w:t>
      </w:r>
    </w:p>
    <w:p>
      <w:pPr>
        <w:ind w:firstLine="480"/>
      </w:pPr>
      <w:r>
        <w:rPr/>
        <w:t>采购项目编号：</w:t>
      </w:r>
      <w:r>
        <w:rPr/>
        <w:t>441900021-2022-00314</w:t>
      </w:r>
    </w:p>
    <w:p>
      <w:pPr>
        <w:ind w:firstLine="480"/>
      </w:pPr>
      <w:r>
        <w:rPr/>
        <w:t>采购方式：</w:t>
      </w:r>
      <w:r>
        <w:rPr/>
        <w:t>竞争性谈判</w:t>
      </w:r>
    </w:p>
    <w:p>
      <w:pPr>
        <w:ind w:firstLine="480"/>
      </w:pPr>
      <w:r>
        <w:rPr/>
        <w:t>预算金额：</w:t>
      </w:r>
      <w:r>
        <w:rPr/>
        <w:t>1,949,943.00</w:t>
      </w:r>
      <w:r>
        <w:rPr/>
        <w:t>元</w:t>
      </w:r>
    </w:p>
    <w:p>
      <w:r>
        <w:rPr>
          <w:b/>
          <w:sz w:val="24"/>
        </w:rPr>
        <w:t>2.项目内容及需求情况（采购项目技术规格、参数及要求）</w:t>
      </w:r>
    </w:p>
    <w:p>
      <w:pPr>
        <w:ind w:firstLine="480"/>
      </w:pPr>
    </w:p>
    <w:p/>
    <w:p>
      <w:r>
        <w:rPr/>
        <w:t>采购包1(东莞市大朗镇教育管理中心采购2022年公办学校教室灯光照明设备项目):</w:t>
      </w:r>
    </w:p>
    <w:p>
      <w:r>
        <w:rPr/>
        <w:t>采购包预算金额：1,949,943.00元</w:t>
      </w:r>
    </w:p>
    <w:tbl>
      <w:tblPr>
        <w:tblW w:w="0" w:type="auto"/>
        <w:tblBorders>
          <w:top w:val="single"/>
          <w:left w:val="single"/>
          <w:bottom w:val="single"/>
          <w:right w:val="single"/>
          <w:insideH w:val="single"/>
          <w:insideV w:val="single"/>
        </w:tblBorders>
      </w:tblPr>
      <w:tblGrid>
        <w:gridCol w:w="977"/>
        <w:gridCol w:w="1368"/>
        <w:gridCol w:w="2052"/>
        <w:gridCol w:w="977"/>
        <w:gridCol w:w="977"/>
        <w:gridCol w:w="977"/>
        <w:gridCol w:w="977"/>
      </w:tblGrid>
      <w:tr>
        <w:tc>
          <w:tcPr>
            <w:tcW w:type="dxa" w:w="977"/>
          </w:tcPr>
          <w:p>
            <w:r>
              <w:rPr/>
              <w:t>品目号</w:t>
            </w:r>
          </w:p>
        </w:tc>
        <w:tc>
          <w:tcPr>
            <w:tcW w:type="dxa" w:w="1368"/>
          </w:tcPr>
          <w:p>
            <w:r>
              <w:rPr/>
              <w:t>品目名称</w:t>
            </w:r>
          </w:p>
        </w:tc>
        <w:tc>
          <w:tcPr>
            <w:tcW w:type="dxa" w:w="2052"/>
          </w:tcPr>
          <w:p>
            <w:r>
              <w:rPr/>
              <w:t>采购标的</w:t>
            </w:r>
          </w:p>
        </w:tc>
        <w:tc>
          <w:tcPr>
            <w:tcW w:type="dxa" w:w="977"/>
          </w:tcPr>
          <w:p>
            <w:r>
              <w:rPr/>
              <w:t>数量（单位）</w:t>
            </w:r>
          </w:p>
        </w:tc>
        <w:tc>
          <w:tcPr>
            <w:tcW w:type="dxa" w:w="977"/>
          </w:tcPr>
          <w:p>
            <w:r>
              <w:rPr/>
              <w:t>技术规格、参数及要求</w:t>
            </w:r>
          </w:p>
        </w:tc>
        <w:tc>
          <w:tcPr>
            <w:tcW w:type="dxa" w:w="977"/>
          </w:tcPr>
          <w:p>
            <w:r>
              <w:rPr/>
              <w:t>品目预算(元)</w:t>
            </w:r>
          </w:p>
        </w:tc>
        <w:tc>
          <w:tcPr>
            <w:tcW w:type="dxa" w:w="977"/>
          </w:tcPr>
          <w:p>
            <w:r>
              <w:rPr/>
              <w:t>是否允许进口产品</w:t>
            </w:r>
          </w:p>
        </w:tc>
      </w:tr>
      <w:tr>
        <w:tc>
          <w:tcPr>
            <w:tcW w:type="dxa" w:w="977"/>
          </w:tcPr>
          <w:p>
            <w:r>
              <w:rPr/>
              <w:t>1-1</w:t>
            </w:r>
          </w:p>
        </w:tc>
        <w:tc>
          <w:tcPr>
            <w:tcW w:type="dxa" w:w="1368"/>
          </w:tcPr>
          <w:p>
            <w:r>
              <w:rPr/>
              <w:t>室内照明灯具</w:t>
            </w:r>
          </w:p>
        </w:tc>
        <w:tc>
          <w:tcPr>
            <w:tcW w:type="dxa" w:w="2052"/>
          </w:tcPr>
          <w:p>
            <w:r>
              <w:rPr/>
              <w:t>采购2022年公办学校教室灯光照明设备项目</w:t>
            </w:r>
          </w:p>
        </w:tc>
        <w:tc>
          <w:tcPr>
            <w:tcW w:type="dxa" w:w="977"/>
          </w:tcPr>
          <w:p>
            <w:r>
              <w:rPr/>
              <w:t>1.0000(批)</w:t>
            </w:r>
          </w:p>
        </w:tc>
        <w:tc>
          <w:tcPr>
            <w:tcW w:type="dxa" w:w="977"/>
          </w:tcPr>
          <w:p>
            <w:r>
              <w:rPr/>
              <w:t>详见第二章</w:t>
            </w:r>
          </w:p>
        </w:tc>
        <w:tc>
          <w:tcPr>
            <w:tcW w:type="dxa" w:w="977"/>
          </w:tcPr>
          <w:p>
            <w:r>
              <w:rPr/>
              <w:t>1,949,943.00</w:t>
            </w:r>
          </w:p>
        </w:tc>
        <w:tc>
          <w:tcPr>
            <w:tcW w:type="dxa" w:w="977"/>
          </w:tcPr>
          <w:p>
            <w:r>
              <w:rPr/>
              <w:t>否</w:t>
            </w:r>
          </w:p>
        </w:tc>
      </w:tr>
    </w:tbl>
    <w:p/>
    <w:p>
      <w:r>
        <w:rPr/>
        <w:t>本采购包不接受联合体响应</w:t>
      </w:r>
    </w:p>
    <w:p/>
    <w:p>
      <w:r>
        <w:rPr/>
        <w:t>合同履行期限：领取中标（成交）通知书后，5个工作日内签订合同，于2022年8月30日前内完成供货、施工、安装调试服务及验收交付采购人使用。（供应商必须承诺，否则视为无效响应文件）</w:t>
      </w:r>
    </w:p>
    <w:p/>
    <w:p>
      <w:r>
        <w:rPr>
          <w:b/>
          <w:sz w:val="28"/>
        </w:rPr>
        <w:t>二.供应商的资格要求</w:t>
      </w:r>
    </w:p>
    <w:p>
      <w:r>
        <w:rPr>
          <w:b/>
          <w:sz w:val="24"/>
        </w:rPr>
        <w:t>1.供应商应具备《中华人民共和国政府采购法》第二十二条规定的条件，提供下列材料：</w:t>
      </w:r>
    </w:p>
    <w:p>
      <w:pPr>
        <w:ind w:firstLine="480"/>
      </w:pPr>
    </w:p>
    <w:p/>
    <w:p>
      <w:r>
        <w:rPr/>
        <w:t>1）具有独立承担民事责任的能力：在中华人民共和国境内注册的法人或其他组织或自然人，投标（响应）时提交有效的营业执照（或事业法人登记证或身份证等相关证明） 副本复印件。分支机构投标的，须提供总公司和分公司营业执照副本复印件，总公司出具给分支机构的授权书。</w:t>
      </w:r>
    </w:p>
    <w:p/>
    <w:p>
      <w:r>
        <w:rPr/>
        <w:t>2）有依法缴纳税收和社会保障资金的良好记录：提供投标截止日前6个月内任意1个月依法缴纳税收和社会保障资金的相关材料。如依法免税或不需要缴纳社会保障资金的， 提供相应证明材料。(或提供相关承诺函）</w:t>
      </w:r>
    </w:p>
    <w:p/>
    <w:p>
      <w:r>
        <w:rPr/>
        <w:t>3）具有良好的商业信誉和健全的财务会计制度：供应商必须具有良好的商业信誉和健全的财务会计制度（提供2020年度或2021年度财务状况报告或基本开户行出具的资信证明）。(或提供相关承诺函)</w:t>
      </w:r>
    </w:p>
    <w:p/>
    <w:p>
      <w:r>
        <w:rPr/>
        <w:t>4）履行合同所必需的设备和专业技术能力：按投标（响应）文件格式填报设备及专业技术能力情况。（或提供相关承诺函）</w:t>
      </w:r>
    </w:p>
    <w:p/>
    <w:p>
      <w:r>
        <w:rPr/>
        <w:t>5）参加采购活动前3年内，在经营活动中没有重大违法记录：在经营活动中没有重大违法记录：参照投标（报价）函相关承诺格式内容。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p/>
    <w:p>
      <w:r>
        <w:rPr>
          <w:b/>
          <w:sz w:val="24"/>
        </w:rPr>
        <w:t>2.落实政府采购政策需满足的资格要求：</w:t>
      </w:r>
    </w:p>
    <w:p>
      <w:pPr>
        <w:ind w:firstLine="480"/>
      </w:pPr>
    </w:p>
    <w:p>
      <w:pPr>
        <w:jc w:val="left"/>
      </w:pPr>
    </w:p>
    <w:p>
      <w:r>
        <w:rPr/>
        <w:t>采购包1（东莞市大朗镇教育管理中心采购2022年公办学校教室灯光照明设备项目）：</w:t>
      </w:r>
      <w:r>
        <w:rPr/>
        <w:t>本项目不属于专门面向中小企业的采购项目。</w:t>
      </w:r>
    </w:p>
    <w:p/>
    <w:p>
      <w:r>
        <w:rPr>
          <w:b/>
          <w:sz w:val="24"/>
        </w:rPr>
        <w:t>3.本项目特定的资格要求：</w:t>
      </w:r>
    </w:p>
    <w:p>
      <w:pPr>
        <w:ind w:firstLine="480"/>
      </w:pPr>
    </w:p>
    <w:p/>
    <w:p>
      <w:r>
        <w:rPr/>
        <w:t>采购包1（东莞市大朗镇教育管理中心采购2022年公办学校教室灯光照明设备项目）：</w:t>
      </w:r>
    </w:p>
    <w:p/>
    <w:p>
      <w:r>
        <w:rPr/>
        <w:t>1)供应商未被列入“信用中国”网站(www.creditchina.gov.cn)“记录失信被执行人或税收违法黑名单”记录名单； 不处于中国政府采购网(www.ccgp.gov.cn)“政府采购严重违法失信行为信息记录”中的禁止参加政府采购活动期间。 （以采购代理机构于投标（响应） 截止时间当天在“信用中国”网站（www.creditchina.gov.cn） 及中国政府采购网（http://www.ccgp.gov.cn/） 查询结果为准， 如相关失信记录已失效， 供应商需提供相关证明资料）。</w:t>
      </w:r>
    </w:p>
    <w:p/>
    <w:p>
      <w:r>
        <w:rPr/>
        <w:t>2)单位负责人为同一人或者存在直接控股、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p/>
    <w:p>
      <w:r>
        <w:rPr>
          <w:b/>
          <w:sz w:val="28"/>
        </w:rPr>
        <w:t>三.获取谈判文件</w:t>
      </w:r>
    </w:p>
    <w:p>
      <w:pPr>
        <w:ind w:firstLine="480"/>
      </w:pPr>
      <w:r>
        <w:rPr/>
        <w:t>时间：详见谈判公告及其变更公告（如有）</w:t>
      </w:r>
    </w:p>
    <w:p>
      <w:pPr>
        <w:ind w:firstLine="480"/>
      </w:pPr>
      <w:r>
        <w:rPr/>
        <w:t>地点：详见谈判公告及其变更公告（如有）</w:t>
      </w:r>
    </w:p>
    <w:p>
      <w:pPr>
        <w:ind w:firstLine="480"/>
      </w:pPr>
      <w:r>
        <w:rPr/>
        <w:t>获取方式：在线获取。供应商应从广东省政府采购网（https://gdgpo.czt.gd.gov.cn/）上广东政府采购智慧云平台（以下简称“云平台”）的政府采购供应商入口进行免费注册后，登录进入项目采购系统完成项目响应登记并在线获取谈判文件（未按上述方式获取谈判文件的供应商，其响应资格将被视为无效）。</w:t>
      </w:r>
    </w:p>
    <w:p>
      <w:pPr>
        <w:ind w:firstLine="480"/>
      </w:pPr>
      <w:r>
        <w:rPr/>
        <w:t>售价：免费</w:t>
      </w:r>
    </w:p>
    <w:p>
      <w:r>
        <w:rPr>
          <w:b/>
          <w:sz w:val="28"/>
        </w:rPr>
        <w:t>四.提交响应文件截止时间、开启时间和地点：</w:t>
      </w:r>
    </w:p>
    <w:p>
      <w:pPr>
        <w:ind w:firstLine="480"/>
      </w:pPr>
      <w:r>
        <w:rPr/>
        <w:t>提交响应文件截止时间和开启时间：详见谈判公告及其变更公告（如有）（自响应文件开始发出之日起至响应供应商提交响应文件截止之日止，不得少于3日）</w:t>
      </w:r>
    </w:p>
    <w:p>
      <w:pPr>
        <w:ind w:firstLine="480"/>
      </w:pPr>
      <w:r>
        <w:rPr/>
        <w:t>地点：详见谈判公告及其变更公告（如有）</w:t>
      </w:r>
    </w:p>
    <w:p>
      <w:r>
        <w:rPr>
          <w:b/>
          <w:sz w:val="28"/>
        </w:rPr>
        <w:t>五.公告期限、发布公告的媒介：</w:t>
      </w:r>
    </w:p>
    <w:p>
      <w:pPr>
        <w:ind w:firstLine="480"/>
      </w:pPr>
      <w:r>
        <w:rPr/>
        <w:t>1、公告期限：自本公告发布之日起不得少于3个工作日。</w:t>
      </w:r>
    </w:p>
    <w:p>
      <w:pPr>
        <w:ind w:firstLine="480"/>
      </w:pPr>
      <w:r>
        <w:rPr/>
        <w:t>2、发布公告的媒介：中国政府采购网(www.ccgp.gov.cn)，广东省政府采购网(https://gdgpo.czt.gd.gov.cn/)；</w:t>
      </w:r>
    </w:p>
    <w:p>
      <w:r>
        <w:rPr>
          <w:b/>
          <w:sz w:val="28"/>
        </w:rPr>
        <w:t>六.本项目联系方式：</w:t>
      </w:r>
    </w:p>
    <w:p>
      <w:r>
        <w:rPr>
          <w:b/>
          <w:sz w:val="24"/>
        </w:rPr>
        <w:t>1.采购人信息</w:t>
      </w:r>
    </w:p>
    <w:p>
      <w:pPr>
        <w:ind w:firstLine="480"/>
      </w:pPr>
      <w:r>
        <w:rPr/>
        <w:t>名称：</w:t>
      </w:r>
      <w:r>
        <w:rPr/>
        <w:t>东莞市大朗镇教育管理中心(东莞市大朗镇教师发展中心)</w:t>
      </w:r>
    </w:p>
    <w:p>
      <w:pPr>
        <w:ind w:firstLine="480"/>
      </w:pPr>
      <w:r>
        <w:rPr/>
        <w:t>地址：</w:t>
      </w:r>
      <w:r>
        <w:rPr/>
        <w:t>广东省东莞市大朗镇政通路1号</w:t>
      </w:r>
    </w:p>
    <w:p>
      <w:pPr>
        <w:ind w:firstLine="480"/>
      </w:pPr>
      <w:r>
        <w:rPr/>
        <w:t>联系方式：</w:t>
      </w:r>
      <w:r>
        <w:rPr/>
        <w:t>0769-81231663</w:t>
      </w:r>
    </w:p>
    <w:p>
      <w:r>
        <w:rPr>
          <w:b/>
          <w:sz w:val="24"/>
        </w:rPr>
        <w:t>2.采购代理机构信息</w:t>
      </w:r>
    </w:p>
    <w:p>
      <w:pPr>
        <w:ind w:firstLine="480"/>
      </w:pPr>
      <w:r>
        <w:rPr/>
        <w:t>名称：</w:t>
      </w:r>
      <w:r>
        <w:rPr/>
        <w:t>广东政通招标有限公司</w:t>
      </w:r>
    </w:p>
    <w:p>
      <w:pPr>
        <w:ind w:firstLine="480"/>
      </w:pPr>
      <w:r>
        <w:rPr/>
        <w:t>地址：</w:t>
      </w:r>
      <w:r>
        <w:rPr/>
        <w:t>东莞市南城街道鸿福路199号（市民服务中心）411室</w:t>
      </w:r>
    </w:p>
    <w:p>
      <w:pPr>
        <w:ind w:firstLine="480"/>
      </w:pPr>
      <w:r>
        <w:rPr/>
        <w:t>联系方式：</w:t>
      </w:r>
      <w:r>
        <w:rPr/>
        <w:t>0769-22881803</w:t>
      </w:r>
    </w:p>
    <w:p>
      <w:r>
        <w:rPr>
          <w:b/>
          <w:sz w:val="24"/>
        </w:rPr>
        <w:t>3.项目联系方式</w:t>
      </w:r>
    </w:p>
    <w:p>
      <w:pPr>
        <w:ind w:firstLine="480"/>
      </w:pPr>
      <w:r>
        <w:rPr/>
        <w:t>项目联系人：</w:t>
      </w:r>
      <w:r>
        <w:rPr/>
        <w:t>杨俊平</w:t>
      </w:r>
    </w:p>
    <w:p>
      <w:pPr>
        <w:ind w:firstLine="480"/>
      </w:pPr>
      <w:r>
        <w:rPr/>
        <w:t>电话：</w:t>
      </w:r>
      <w:r>
        <w:rPr/>
        <w:t>0769-22881803</w:t>
      </w:r>
    </w:p>
    <w:p>
      <w:r>
        <w:rPr>
          <w:b/>
          <w:sz w:val="24"/>
        </w:rPr>
        <w:t>4.技术支持联系方式</w:t>
      </w:r>
    </w:p>
    <w:p>
      <w:pPr>
        <w:ind w:firstLine="480"/>
      </w:pPr>
      <w:r>
        <w:rPr/>
        <w:t>云平台联系方式：400-183-2999</w:t>
      </w:r>
    </w:p>
    <w:p>
      <w:pPr>
        <w:ind w:firstLine="480"/>
      </w:pPr>
      <w:r>
        <w:rPr/>
        <w:t>数字证书CA技术服务热线：400-887-6133</w:t>
      </w:r>
    </w:p>
    <w:p>
      <w:r>
        <w:rPr/>
        <w:t>采购代理机构：</w:t>
      </w:r>
      <w:r>
        <w:rPr/>
        <w:t>广东政通招标有限公司</w:t>
      </w:r>
    </w:p>
    <w:p>
      <w:pPr>
        <w:ind w:firstLine="480"/>
      </w:pPr>
    </w:p>
    <w:p>
      <w:r>
        <w:rPr/>
        <w:t xml:space="preserve"> </w:t>
      </w:r>
    </w:p>
    <w:p/>
    <w:p>
      <w:r>
        <w:rPr>
          <w:b/>
          <w:sz w:val="36"/>
        </w:rPr>
        <w:t>第二章 采购需求</w:t>
      </w:r>
    </w:p>
    <w:p>
      <w:r>
        <w:rPr>
          <w:b/>
          <w:sz w:val="28"/>
        </w:rPr>
        <w:t>一、项目概况：</w:t>
      </w:r>
    </w:p>
    <w:p>
      <w:pPr>
        <w:ind w:firstLine="480"/>
      </w:pPr>
    </w:p>
    <w:p/>
    <w:p>
      <w:r>
        <w:rPr/>
        <w:t>本项目为东莞市大朗教育管理中心采购2022年公办学校教室灯光照明设备项目。</w:t>
      </w:r>
    </w:p>
    <w:p/>
    <w:p>
      <w:pPr>
        <w:ind w:firstLine="480"/>
      </w:pPr>
    </w:p>
    <w:p/>
    <w:p>
      <w:r>
        <w:rPr/>
        <w:t>采购包1（东莞市大朗镇教育管理中心采购2022年公办学校教室灯光照明设备项目）：</w:t>
      </w:r>
    </w:p>
    <w:p>
      <w:r>
        <w:rPr>
          <w:b/>
          <w:sz w:val="24"/>
        </w:rPr>
        <w:t>1.主要商务要求</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标的提供的时间</w:t>
            </w:r>
          </w:p>
        </w:tc>
        <w:tc>
          <w:tcPr>
            <w:tcW w:type="dxa" w:w="4153"/>
          </w:tcPr>
          <w:p>
            <w:pPr>
              <w:jc w:val="left"/>
            </w:pPr>
          </w:p>
          <w:p>
            <w:r>
              <w:rPr/>
              <w:t>领取中标（成交）通知书后，5个工作日内签订合同，于2022年8月30日前内完成供货、施工、安装调试服务及验收交付采购人使用。（供应商必须承诺，否则视为无效响应文件）</w:t>
            </w:r>
          </w:p>
        </w:tc>
      </w:tr>
      <w:tr>
        <w:tc>
          <w:tcPr>
            <w:tcW w:type="dxa" w:w="4153"/>
          </w:tcPr>
          <w:p>
            <w:r>
              <w:rPr/>
              <w:t>标的提供的地点</w:t>
            </w:r>
          </w:p>
        </w:tc>
        <w:tc>
          <w:tcPr>
            <w:tcW w:type="dxa" w:w="4153"/>
          </w:tcPr>
          <w:p>
            <w:pPr>
              <w:jc w:val="left"/>
            </w:pPr>
          </w:p>
          <w:p>
            <w:r>
              <w:rPr/>
              <w:t>采购人指定地点</w:t>
            </w:r>
          </w:p>
        </w:tc>
      </w:tr>
      <w:tr>
        <w:tc>
          <w:tcPr>
            <w:tcW w:type="dxa" w:w="4153"/>
          </w:tcPr>
          <w:p>
            <w:r>
              <w:rPr/>
              <w:t>响应有效期</w:t>
            </w:r>
          </w:p>
        </w:tc>
        <w:tc>
          <w:tcPr>
            <w:tcW w:type="dxa" w:w="4153"/>
          </w:tcPr>
          <w:p>
            <w:pPr>
              <w:jc w:val="left"/>
            </w:pPr>
          </w:p>
          <w:p>
            <w:r>
              <w:rPr/>
              <w:t>从提交投标（响应）文件的截止之日起90日历天</w:t>
            </w:r>
          </w:p>
        </w:tc>
      </w:tr>
      <w:tr>
        <w:tc>
          <w:tcPr>
            <w:tcW w:type="dxa" w:w="4153"/>
          </w:tcPr>
          <w:p>
            <w:r>
              <w:rPr/>
              <w:t>付款方式</w:t>
            </w:r>
          </w:p>
        </w:tc>
        <w:tc>
          <w:tcPr>
            <w:tcW w:type="dxa" w:w="4153"/>
          </w:tcPr>
          <w:p>
            <w:pPr>
              <w:jc w:val="left"/>
            </w:pPr>
          </w:p>
          <w:p/>
          <w:p/>
          <w:p>
            <w:r>
              <w:rPr/>
              <w:t>1期：支付比例100%，★1.成交人所有设备安装完毕并运行使用正常，由具有CMA及CNAS、CAL资质的省级以上法定质量监督检测机构出具139间教室的检测报告后，经采购人验收合格后15个工作日内支付合同总价的100%。 2.成交人收取款项时必须出具相应货物合法的票据，否则采购人有权拒绝付款。  3.采购人应在上述规定时间内向成交人支付款项 ，如无正当理由未按时付款，成交人有权顺延交付使用期。  4.成交人应向采购人提供与应付款等额的增值税发票并按采购人要求提供请款材料，否则采购人有权迟延支付款项而不视为采购人违约。本合同资金来源为财政资金，如因政策影响，拨款未能及时到位，成交人不得以此为由而不履行本合同规定的义务。相关付款程序严格遵守东莞市（或项目所在镇街）政府财政资金支付程序规定。采购人向镇财政提交相关申请文件视为已履行付款手续，政府财政支付部门审核时间等风险不由采购人承担。如果成交人怠于或者拒绝提供资料或者办理手续等原因导致的付款迟延，责任全部由成交人承担，采购人不以违约论。</w:t>
            </w:r>
          </w:p>
        </w:tc>
      </w:tr>
      <w:tr>
        <w:tc>
          <w:tcPr>
            <w:tcW w:type="dxa" w:w="4153"/>
          </w:tcPr>
          <w:p>
            <w:r>
              <w:rPr/>
              <w:t>验收要求</w:t>
            </w:r>
          </w:p>
        </w:tc>
        <w:tc>
          <w:tcPr>
            <w:tcW w:type="dxa" w:w="4153"/>
          </w:tcPr>
          <w:p>
            <w:pPr>
              <w:jc w:val="left"/>
            </w:pPr>
          </w:p>
          <w:p/>
          <w:p/>
          <w:p>
            <w:r>
              <w:rPr/>
              <w:t>1期：1)响应文件中必须列明应具有以下人员：设有安装负责人，负责安装工程的计划、协调、人力调配及工程质量、安全管理等工作。为确保项目能保质保量完成，顺利交付使用。以上员必须每天进驻现场，并每个星期上交一份签到表给予采购人，如采购人发现以上人员3天未到现场，采购人有权开具处罚通知书。 2)验收：响应文件中必须列明应具有1名资料员，负责在项目验收时将全部货物有关的产品说明书、原厂家安装手册、技术文件、资料、及安装、验收报告等文档汇集成册交付采购人。  ★3)采购人有权要求采购的货物在成交人交付使用后邀请具有CMA及CNAS、CAL资质的省级以上法定质量监督检测机构对成交人所提供的货物进行检测，由此所需的一切费用由成交人负责。如出现采购的货物经第三方检测机构出具不合格函或与响应文件中的货物不符，采购人有权拒绝验收及索赔。供应商必须在响应文件中作出承诺，否则视为无效响应文件。</w:t>
            </w:r>
          </w:p>
        </w:tc>
      </w:tr>
      <w:tr>
        <w:tc>
          <w:tcPr>
            <w:tcW w:type="dxa" w:w="4153"/>
          </w:tcPr>
          <w:p>
            <w:r>
              <w:rPr/>
              <w:t>履约保证金</w:t>
            </w:r>
          </w:p>
        </w:tc>
        <w:tc>
          <w:tcPr>
            <w:tcW w:type="dxa" w:w="4153"/>
          </w:tcPr>
          <w:p>
            <w:pPr>
              <w:jc w:val="left"/>
            </w:pPr>
          </w:p>
          <w:p/>
          <w:p/>
          <w:p/>
          <w:p>
            <w:r>
              <w:rPr/>
              <w:t>收取比例：10%,说明：说明：成交人应在领取中标（成交）通知书之后签订合同之前递交履约保证金，履约保证金可采用保证金（银行转账、电汇）方式，或采用履约保函方式。 履约保证金在合同期满后或产品验收合格后，成交人向采购人提交退回履约保证金的申请、履约保证金汇款凭证复印件、采购合同、采购项目验收报告原件、中标（成交）通知书复印件，前往采购人办理履约保证金退还手续。</w:t>
            </w:r>
          </w:p>
        </w:tc>
      </w:tr>
      <w:tr>
        <w:tc>
          <w:tcPr>
            <w:tcW w:type="dxa" w:w="4153"/>
          </w:tcPr>
          <w:p>
            <w:r>
              <w:rPr/>
              <w:t>其他</w:t>
            </w:r>
          </w:p>
        </w:tc>
        <w:tc>
          <w:tcPr>
            <w:tcW w:type="dxa" w:w="4153"/>
          </w:tcPr>
          <w:p>
            <w:pPr>
              <w:jc w:val="left"/>
            </w:pPr>
          </w:p>
          <w:p/>
          <w:p>
            <w:r>
              <w:rPr/>
              <w:t>报价要求:1)本项目报价包括运至交货地的货物、运费、安装调试费、相关部门验收、税费、质保期保障、项目管理及其他完成本项目所需的各项费用，项目实施后不得另行收取其他任何费用，但必须保证满足项目的使用要求，不足部分由成交人负责免费提供。 2）本用户需求书内容中所出现的产品工艺、材料、图片等仅为方便描述而没有限制性，可以在其提供的文件资料中选用替代标准，但这些替代标准必须优于或相当于本用户需求书的标准；用户需求书所描述的货物参数及相关要求为最基本的要求，供应商可选用优于或等于用户需求书要求的货物进行报价。</w:t>
            </w:r>
          </w:p>
          <w:p/>
          <w:p>
            <w:r>
              <w:rPr/>
              <w:t>运输及其它要求（交钥匙项目）:1)负责谈判文件中对成交人要求的一切事宜及责任。包括货物采购、运输、保管、安装、调试、验收、培训、相关部门验收及保修期内的维护保养、相关服务及全部税费等。 2）供应商保证所提供的货物必须是国标产品，且是未使用过的、质量可靠的成熟的全新产品，成交人需随货物装箱提供制造厂的货物检验、测试报告、货物检验合格证书、质量保证书和保修卡等证明文件。 3）必须确保货物及所有配套件的完整性和可靠性。对于文件没有列出，而对该货物的正常使用和维护必不可少的部件、配件等，供应商有责任给予补充，且总报价已包含此部分内容。 4）须保证其提供的货物的任何一部分都达到国家相关安全标准要求，如因货物的质量问题造成事故的，成交人须对此承担责任。 5）须在货物发运前3天将准备发运的货物名称、规格、数量、每件包装箱的号码、毛重及对货物的装卸、储存和特殊要求以书面形式通知采购人。 6）须将所有货物须按采购人的要求搬运至指定位置，货物及安装设备的运输、装卸、现场保管的费用全部由成交人负责。</w:t>
            </w:r>
          </w:p>
          <w:p/>
          <w:p>
            <w:r>
              <w:rPr/>
              <w:t>质量保证及售后服务要求:（1）货物免费保修期：本项目中的主要设备LED黑板灯、LED教室灯等提供不少于5年的免费质保期，保质期自供需双方代表在项目验收报告上签字之日起计算。 保质期内免费提供维护、保修、技术支持等服务，同时若灯具效果未达到要求，需更换灯具以达到《建筑照明设计标准》GB 50034-2013、《中小学学校设计规范》G B 50099-2011、《中小学校教室采光和照明卫生标准》GB 7793-2010、《中小学校及幼儿园教室照明产晶节能认证技术规范》CQC 3155-2016、《中小学校普通教室照明设计安装卫生要求》GB/T36876-2018、《中小学教室照明技术规范》T/JYBZ 005-2018的要求。 （2）保质期内，货物质量及使用效果出现问题，负责提供三包（包修、包换、包退）服务。保修期内，若需要上门服务，由此产生的费用均不再收取。  （3）须具有相应的售后服务能力，包括拥有相应的替代产品和人员。在保修期内，供应商须有可随时上门进行维修及检测的维修技术人员。  （4）保修期内货物各部件发生非人为故障的，成交人应免费上门更换同种品牌规格型号的新部件；货物发生人为故障的，成交人应上门更换同种品牌规格型号的新部件，只收零配件成本，不得加收其它任何费用，提供软件的免费维护和升级服务。  （5）免费提供货物安装、调试、使用培训；免费提供24小时技术支持；永久性免费提供电话技术指导和咨询服务；提供长期上门维修服务；定期进行货物免费检修。  （6）免费质保期内，货物故障报修响应时间为：故障响应时间不超过半小时，到达现场时间不超过24小时；当天无法修复的，需提供同等规格的产品代用，直至故障设备修复，成交人负责所有因设备质量问题而产生的费用。 ★（7）供应商必须承诺，如采购人对供应商的技术回应情况存在疑问的，有权要求预成交人在采购结果公示3个工作日内到采购人单位进行实际环境测试，测试费用由预成交人支付。测试内容为采购人对供应商所投产品有疑问的技术指标，测试范围为用户需求的全部条款。测试工作由采购人组织，地点设在采购人指定地点，产品测试在采购人的业务应用环境中进行，同时邀请行业专家、市公证处进行监督。在规定时间内无法通过测试的，视为虚假应标，按取消中标资格处理，并报市政府采购监管部门进行处理，而且会导致项目中整批货物被拒收和索赔，由此引发的所有损失由预成交人负责，（须在响应文件中提供”承诺函” 对上述内容作出承诺）。</w:t>
            </w:r>
          </w:p>
          <w:p/>
          <w:p>
            <w:r>
              <w:rPr/>
              <w:t>★其他说明:1)教室灯光照明改造完成后，由采购人委托具有CMA及CNAS、CAL资质的省级以上法定质量监督检测机构对教室进行现场检测，139间教室的所有项目检测合格，并通过市教育局验收，方视为验收通过。否则，视为不合格。 2)从第二年至第五年，每年由采购人在139间课室中选取不于少20间的教室进行检测，每年检测的教室不得相同。由成交人委托具有CMA及CNAS、CAL资质的省级以上法定质量监督检测机构对教室进行检测。检测结果为合格，由采购人按合同条款支付质保金。检测结果为不合格，由成交人免费更换设备，由采购人委托第三方检测机构再进行检测，复检结果为合格后，按合同条款支付质保金；若整改三次后，检测结果仍为不合格的，由当年起，采购人有权要求成交人承兑履约保证金，并终止合同。 3)由成交人承担所有的检测费用。 （须在响应文件中提供”承诺函” 对上述内容作出承诺）</w:t>
            </w:r>
          </w:p>
          <w:p/>
          <w:p>
            <w:r>
              <w:rPr/>
              <w:t>★重要条款备注说明:1)★供应商在响应文件必须承诺:为保证产品来源的合法性和可靠性及兼容性,如中标，在采购结果公示后3个工作日内主动向采购人提供主要设备中带“◆”：LED教室灯、LED黑板灯、LED面板灯、紫外杀菌灯等厂家的原厂制造商授权书和售后服务函、原厂技术参数响应表（加盖制造商公章）、提供在招标清单中如需要提供的相关证书、检测报告原件给予招标代理审查，以确保使用单位的正常利益，否则取消其中标资格。如有虚假应标将上报相关部门处理。若第一中标候选人未能按上述时间及要求提供以上相关证明文件，则视为第一中标候选人自动放弃中标资格。（须在响应文件中提供”承诺函” 对上述内容作出承诺） 2)★供应商在响应文件必须承诺: LED黑板灯、LED教室灯产品免费质保5年，5年内必须每年对已改造的139间教室灯光照明情况进行检测，并做好检测记录，对光源不达标教室，要及时查找原因，并进行规范整改合格。（须在响应文件中提供”承诺函” 对上述内容作出承诺） 3)★供应商在响应文件必须承诺: 如中标，在采购结果公示后2个工作日内主动向采购人提供合格样品给采购人核验。所提供样品若不满足设备清单“LED黑板灯”第9条技术要求条款，而成交人在响应文件中针对上述条款作了“无偏离”或“正偏离”或“响应”，则取消其中标资格。若第一中标候选人未能按上述时间及要求提供合格样品给采购人核验，则视为第一中标候选人自动放弃中标资格。（须在响应文件中提供”承诺函” 对上述内容作出承诺） 4)★供应商需对提交资料真实性负责，如提交虚假材料谋取中标，一经发现，采购人有权暂停签订合同，并将报市政府采购监管部门进行处理，由此引发的所有损失由成交人负责，并追究其违规责任。</w:t>
            </w:r>
          </w:p>
          <w:p/>
          <w:p>
            <w:r>
              <w:rPr/>
              <w:t>其他条款:1）用户需求书中打“★”号条款为实质性重要条款，是必须满足的内容，如不满足将作为废标处理。如有虚假应标将上报相关部门处理。 2）用户需求书中标注“◆”条款为重要技术参数，如累计3项（含）不满足，则其响应文件作无效响应处理。 3）供应商须按照重要技术参数“◆”条款的要求逐条响应，并按以下要求提供证明材料：①单项条款中有要求的按要求提供证明材料；否则按不满足条款处理。 4）供应商所投产品不得侵犯他人知识产权，供应商应保证，采购人在中华人民共和国使用该货物或货物的任何一部分，免受第三方提出的侵犯其专利权、商标权、工业设计权、著作权或其它知识产权的起诉。成交后如果任何第三方对此提出起诉，负责与之交涉并承担由此引起的一切法律及经济损失。 5）在《用户需求书》中所提供的货物参数要求，其目的仅仅是为了使供应商更加准确地了解招标要求，不构成对投标单位所报品牌的任何约束；供应商所投货物参数应不低于《用户需求书》中的要求。 6）提供的货物必须是原厂生产的、全新的、未使用过的（包括零部件，专用工具等），并完全符合原厂质量检测标准和国家相关标准、行业标准，所投货物如属于国家强制性产品的必须按国家有关规定提供证书。</w:t>
            </w:r>
          </w:p>
        </w:tc>
      </w:tr>
    </w:tbl>
    <w:p>
      <w:r>
        <w:rPr>
          <w:b/>
          <w:sz w:val="24"/>
        </w:rPr>
        <w:t>2.技术标准与要求</w:t>
      </w:r>
    </w:p>
    <w:tbl>
      <w:tblPr>
        <w:tblW w:w="0" w:type="auto"/>
        <w:tblBorders>
          <w:top w:val="single"/>
          <w:left w:val="single"/>
          <w:bottom w:val="single"/>
          <w:right w:val="single"/>
          <w:insideH w:val="single"/>
          <w:insideV w:val="single"/>
        </w:tblBorders>
      </w:tblPr>
      <w:tblGrid>
        <w:gridCol w:w="231"/>
        <w:gridCol w:w="385"/>
        <w:gridCol w:w="1923"/>
        <w:gridCol w:w="1923"/>
        <w:gridCol w:w="385"/>
        <w:gridCol w:w="769"/>
        <w:gridCol w:w="769"/>
        <w:gridCol w:w="769"/>
        <w:gridCol w:w="769"/>
        <w:gridCol w:w="385"/>
      </w:tblGrid>
      <w:tr>
        <w:tc>
          <w:tcPr>
            <w:tcW w:type="dxa" w:w="231"/>
          </w:tcPr>
          <w:p>
            <w:r>
              <w:rPr/>
              <w:t>序号</w:t>
            </w:r>
          </w:p>
        </w:tc>
        <w:tc>
          <w:tcPr>
            <w:tcW w:type="dxa" w:w="385"/>
          </w:tcPr>
          <w:p>
            <w:r>
              <w:rPr/>
              <w:t>核心产品（“△”）</w:t>
            </w:r>
          </w:p>
        </w:tc>
        <w:tc>
          <w:tcPr>
            <w:tcW w:type="dxa" w:w="1923"/>
          </w:tcPr>
          <w:p>
            <w:r>
              <w:rPr/>
              <w:t>品目名称</w:t>
            </w:r>
          </w:p>
        </w:tc>
        <w:tc>
          <w:tcPr>
            <w:tcW w:type="dxa" w:w="1923"/>
          </w:tcPr>
          <w:p>
            <w:r>
              <w:rPr/>
              <w:t>标的名称</w:t>
            </w:r>
          </w:p>
        </w:tc>
        <w:tc>
          <w:tcPr>
            <w:tcW w:type="dxa" w:w="385"/>
          </w:tcPr>
          <w:p>
            <w:r>
              <w:rPr/>
              <w:t>单位</w:t>
            </w:r>
          </w:p>
        </w:tc>
        <w:tc>
          <w:tcPr>
            <w:tcW w:type="dxa" w:w="769"/>
          </w:tcPr>
          <w:p>
            <w:r>
              <w:rPr/>
              <w:t>数量</w:t>
            </w:r>
          </w:p>
        </w:tc>
        <w:tc>
          <w:tcPr>
            <w:tcW w:type="dxa" w:w="769"/>
          </w:tcPr>
          <w:p>
            <w:r>
              <w:rPr/>
              <w:t>分项预算单价（元）</w:t>
            </w:r>
          </w:p>
        </w:tc>
        <w:tc>
          <w:tcPr>
            <w:tcW w:type="dxa" w:w="769"/>
          </w:tcPr>
          <w:p>
            <w:r>
              <w:rPr/>
              <w:t>分项预算总价（元）</w:t>
            </w:r>
          </w:p>
        </w:tc>
        <w:tc>
          <w:tcPr>
            <w:tcW w:type="dxa" w:w="769"/>
          </w:tcPr>
          <w:p>
            <w:r>
              <w:rPr/>
              <w:t>所属行业</w:t>
            </w:r>
          </w:p>
        </w:tc>
        <w:tc>
          <w:tcPr>
            <w:tcW w:type="dxa" w:w="385"/>
          </w:tcPr>
          <w:p>
            <w:r>
              <w:rPr/>
              <w:t>技术要求</w:t>
            </w:r>
          </w:p>
        </w:tc>
      </w:tr>
      <w:tr>
        <w:tc>
          <w:tcPr>
            <w:tcW w:type="dxa" w:w="231"/>
          </w:tcPr>
          <w:p>
            <w:r>
              <w:rPr/>
              <w:t>1</w:t>
            </w:r>
          </w:p>
        </w:tc>
        <w:tc>
          <w:tcPr>
            <w:tcW w:type="dxa" w:w="385"/>
          </w:tcPr>
          <w:p>
            <w:r>
              <w:rPr/>
              <w:t>△</w:t>
            </w:r>
          </w:p>
        </w:tc>
        <w:tc>
          <w:tcPr>
            <w:tcW w:type="dxa" w:w="1923"/>
          </w:tcPr>
          <w:p>
            <w:r>
              <w:rPr/>
              <w:t>室内照明灯具</w:t>
            </w:r>
          </w:p>
        </w:tc>
        <w:tc>
          <w:tcPr>
            <w:tcW w:type="dxa" w:w="1923"/>
          </w:tcPr>
          <w:p>
            <w:r>
              <w:rPr/>
              <w:t>采购2022年公办学校教室灯光照明设备项目</w:t>
            </w:r>
          </w:p>
        </w:tc>
        <w:tc>
          <w:tcPr>
            <w:tcW w:type="dxa" w:w="385"/>
          </w:tcPr>
          <w:p>
            <w:r>
              <w:rPr/>
              <w:t>批</w:t>
            </w:r>
          </w:p>
        </w:tc>
        <w:tc>
          <w:tcPr>
            <w:tcW w:type="dxa" w:w="769"/>
          </w:tcPr>
          <w:p>
            <w:pPr>
              <w:jc w:val="right"/>
            </w:pPr>
            <w:r>
              <w:rPr/>
              <w:t>1.0000</w:t>
            </w:r>
          </w:p>
        </w:tc>
        <w:tc>
          <w:tcPr>
            <w:tcW w:type="dxa" w:w="769"/>
          </w:tcPr>
          <w:p>
            <w:pPr>
              <w:jc w:val="right"/>
            </w:pPr>
            <w:r>
              <w:rPr/>
              <w:t>1,949,943.00</w:t>
            </w:r>
          </w:p>
        </w:tc>
        <w:tc>
          <w:tcPr>
            <w:tcW w:type="dxa" w:w="769"/>
          </w:tcPr>
          <w:p>
            <w:pPr>
              <w:jc w:val="right"/>
            </w:pPr>
            <w:r>
              <w:rPr/>
              <w:t>1,949,943.00</w:t>
            </w:r>
          </w:p>
        </w:tc>
        <w:tc>
          <w:tcPr>
            <w:tcW w:type="dxa" w:w="769"/>
          </w:tcPr>
          <w:p>
            <w:r>
              <w:rPr/>
              <w:t>工业</w:t>
            </w:r>
          </w:p>
        </w:tc>
        <w:tc>
          <w:tcPr>
            <w:tcW w:type="dxa" w:w="385"/>
          </w:tcPr>
          <w:p>
            <w:r>
              <w:rPr/>
              <w:t>详见附表一</w:t>
            </w:r>
          </w:p>
        </w:tc>
      </w:tr>
    </w:tbl>
    <w:p>
      <w:r>
        <w:rPr/>
        <w:t>注：若存在多项核心产品，当不同供应商提供的任意一项核心产品的品牌相同，则视同其是所响应核心产品品牌相同供应商。</w:t>
      </w:r>
    </w:p>
    <w:p/>
    <w:p/>
    <w:p>
      <w:r>
        <w:rPr>
          <w:b/>
          <w:sz w:val="24"/>
        </w:rPr>
        <w:t>附表</w:t>
      </w:r>
      <w:r>
        <w:rPr>
          <w:b/>
          <w:sz w:val="24"/>
        </w:rPr>
        <w:t>一</w:t>
      </w:r>
      <w:r>
        <w:rPr>
          <w:b/>
          <w:sz w:val="24"/>
        </w:rPr>
        <w:t>：</w:t>
      </w:r>
      <w:r>
        <w:rPr>
          <w:b/>
          <w:sz w:val="24"/>
        </w:rPr>
        <w:t>采购2022年公办学校教室灯光照明设备项目</w:t>
      </w:r>
    </w:p>
    <w:tbl>
      <w:tblPr>
        <w:tblW w:w="0" w:type="auto"/>
        <w:tblBorders>
          <w:top w:val="single"/>
          <w:left w:val="single"/>
          <w:bottom w:val="single"/>
          <w:right w:val="single"/>
          <w:insideH w:val="single"/>
          <w:insideV w:val="single"/>
        </w:tblBorders>
      </w:tblPr>
      <w:tblGrid>
        <w:gridCol w:w="2076"/>
        <w:gridCol w:w="415"/>
        <w:gridCol w:w="5814"/>
      </w:tblGrid>
      <w:tr>
        <w:tc>
          <w:tcPr>
            <w:tcW w:type="dxa" w:w="2076"/>
          </w:tcPr>
          <w:p>
            <w:r>
              <w:rPr/>
              <w:t>参数性质</w:t>
            </w:r>
          </w:p>
        </w:tc>
        <w:tc>
          <w:tcPr>
            <w:tcW w:type="dxa" w:w="415"/>
          </w:tcPr>
          <w:p>
            <w:r>
              <w:rPr/>
              <w:t>序号</w:t>
            </w:r>
          </w:p>
        </w:tc>
        <w:tc>
          <w:tcPr>
            <w:tcW w:type="dxa" w:w="5814"/>
          </w:tcPr>
          <w:p>
            <w:r>
              <w:rPr/>
              <w:t>具体技术(参数)要求</w:t>
            </w:r>
          </w:p>
        </w:tc>
      </w:tr>
      <w:tr>
        <w:tc>
          <w:tcPr>
            <w:tcW w:type="dxa" w:w="2076"/>
          </w:tcPr>
          <w:p/>
        </w:tc>
        <w:tc>
          <w:tcPr>
            <w:tcW w:type="dxa" w:w="415"/>
          </w:tcPr>
          <w:p>
            <w:r>
              <w:rPr/>
              <w:t>1</w:t>
            </w:r>
          </w:p>
        </w:tc>
        <w:tc>
          <w:tcPr>
            <w:tcW w:type="dxa" w:w="5814"/>
          </w:tcPr>
          <w:p>
            <w:r>
              <w:rPr>
                <w:b/>
                <w:sz w:val="24"/>
              </w:rPr>
              <w:t>一、基本要求</w:t>
            </w:r>
          </w:p>
          <w:p>
            <w:pPr>
              <w:ind w:firstLine="460"/>
            </w:pPr>
            <w:r>
              <w:rPr>
                <w:sz w:val="21"/>
              </w:rPr>
              <w:t>1</w:t>
            </w:r>
            <w:r>
              <w:rPr>
                <w:sz w:val="21"/>
              </w:rPr>
              <w:t>、提供的货物必须是原厂生产的、全新的、未使用过的（包括零部件，专用工具等），并完全符合原厂质量检测标准和国家相关标准、行业标准，所投货物如属于国家强制性产品的必须按国家有关规定提供证书。</w:t>
            </w:r>
          </w:p>
          <w:p>
            <w:pPr>
              <w:ind w:firstLine="460"/>
            </w:pPr>
            <w:r>
              <w:rPr>
                <w:sz w:val="21"/>
              </w:rPr>
              <w:t>2</w:t>
            </w:r>
            <w:r>
              <w:rPr>
                <w:sz w:val="21"/>
              </w:rPr>
              <w:t>、本项目产品技术参数及功能要求仅供供应商参考，涉及具体品牌、型号、产地的产品，仅作为项目质量水平与配置的参考，在不低于此基准的前提下，供应商可以同档次或更优的同类产品替代。</w:t>
            </w:r>
          </w:p>
        </w:tc>
      </w:tr>
      <w:tr>
        <w:tc>
          <w:tcPr>
            <w:tcW w:type="dxa" w:w="2076"/>
          </w:tcPr>
          <w:p/>
        </w:tc>
        <w:tc>
          <w:tcPr>
            <w:tcW w:type="dxa" w:w="415"/>
          </w:tcPr>
          <w:p>
            <w:r>
              <w:rPr/>
              <w:t>2</w:t>
            </w:r>
          </w:p>
        </w:tc>
        <w:tc>
          <w:tcPr>
            <w:tcW w:type="dxa" w:w="5814"/>
          </w:tcPr>
          <w:p>
            <w:r>
              <w:rPr>
                <w:b/>
                <w:sz w:val="24"/>
              </w:rPr>
              <w:t>二、项目概述：</w:t>
            </w:r>
          </w:p>
          <w:p>
            <w:pPr>
              <w:ind w:firstLine="422"/>
            </w:pPr>
            <w:r>
              <w:rPr>
                <w:b/>
                <w:sz w:val="21"/>
              </w:rPr>
              <w:t>1、建设背景</w:t>
            </w:r>
          </w:p>
          <w:p>
            <w:pPr>
              <w:ind w:firstLine="420"/>
            </w:pPr>
            <w:r>
              <w:rPr>
                <w:sz w:val="21"/>
              </w:rPr>
              <w:t>2018年下半年，国家卫健委会同教育部、民政部组织开展了2018年全国儿童青少年近视调查工作。本次调查共覆盖了全国1033所幼儿园，3810所中小学校，总筛查111.74万人，包括幼儿园儿童6.92万，各年龄段中小学104.82万。</w:t>
            </w:r>
          </w:p>
          <w:p>
            <w:pPr>
              <w:ind w:firstLine="420"/>
            </w:pPr>
            <w:r>
              <w:rPr>
                <w:sz w:val="21"/>
              </w:rPr>
              <w:t>调查显示，我国儿童青少年总体近视发病形势严峻，低年龄段近视问题比较突出。在小学和初中阶段，近视率随着年级的增高快速增长，小学阶段从一年级的</w:t>
            </w:r>
            <w:r>
              <w:rPr>
                <w:sz w:val="21"/>
              </w:rPr>
              <w:t>15.7%增长到六年级的59%，初中阶段从初一年级的64.9%增长，在初三年级的77.0%，小学和初中阶段是我国近视防控的重点年龄阶段。高度近视问题不容忽视。高三年级学生高度近视，也就是近视度数高于600度，在近视总数中占比达到21.9%，由于高度近视是致盲性眼病之一，容易导致一系列严重的并发症，应该引起高度警惕和重视。</w:t>
            </w:r>
          </w:p>
          <w:p>
            <w:pPr>
              <w:ind w:firstLine="420"/>
            </w:pPr>
            <w:r>
              <w:rPr>
                <w:sz w:val="21"/>
              </w:rPr>
              <w:t>2018年8月28日，习总书记做出重要指示，共同呵护好孩子的眼睛，给孩子一个光明的未来。</w:t>
            </w:r>
          </w:p>
          <w:p>
            <w:pPr>
              <w:ind w:firstLine="420"/>
            </w:pPr>
            <w:r>
              <w:rPr>
                <w:sz w:val="21"/>
              </w:rPr>
              <w:t>2018年8月30日，为贯彻落实习近平总书记重要指示精神，教育部联合国家卫生健康委等八部委研究制定了综合防控儿童青少年近视实施方案，改善视觉环境。改善教学设施和条件，为学生提供符合用眼卫生要求的学习环境，严格按照普通中小学校建设标准，落实教室、宿舍、图书馆（阅览室）等采光和照明要求，使用利于视力健康的照明设备。学校教室照明卫生标准达标率100％。将儿童青少年近视防控工作、总体近视率和体质健康状况纳入政府绩效考核指标，严禁地方各级人民政府单纯以学生考试成绩和学校升学率考核教育行政部门和学校。将视力健康纳入素质教育，将儿童青少年身心健康、课业负担等纳入国家义务教育质量监测评估体系，对儿童青少年体质健康水平连续三年下降的地方政府和学校依法依规予以问责。</w:t>
            </w:r>
          </w:p>
          <w:p>
            <w:pPr>
              <w:ind w:firstLine="422"/>
            </w:pPr>
            <w:r>
              <w:rPr>
                <w:b/>
                <w:sz w:val="21"/>
              </w:rPr>
              <w:t>2、建设目标</w:t>
            </w:r>
          </w:p>
          <w:p>
            <w:pPr>
              <w:ind w:firstLine="420"/>
            </w:pPr>
            <w:r>
              <w:rPr>
                <w:sz w:val="21"/>
              </w:rPr>
              <w:t>在硬件设备方面，照明设备无蓝光危害、无眩光、无频闪、显示性高、光线柔和，符合国家标准的护眼照明产品，为孩子创造一个健康的光环境。</w:t>
            </w:r>
          </w:p>
          <w:p>
            <w:pPr>
              <w:ind w:firstLine="422"/>
            </w:pPr>
            <w:r>
              <w:rPr>
                <w:b/>
                <w:sz w:val="21"/>
              </w:rPr>
              <w:t>3、建设意义</w:t>
            </w:r>
          </w:p>
          <w:p>
            <w:pPr>
              <w:ind w:firstLine="420"/>
            </w:pPr>
            <w:r>
              <w:rPr>
                <w:sz w:val="21"/>
              </w:rPr>
              <w:t>1.社会效益：1、健康护眼：打造健康光环境，保护学生视力健康，一定程度上缓解学生近视率攀升现象，提高学生健康体质。</w:t>
            </w:r>
          </w:p>
          <w:p>
            <w:pPr>
              <w:ind w:firstLine="420"/>
            </w:pPr>
            <w:r>
              <w:rPr>
                <w:sz w:val="21"/>
              </w:rPr>
              <w:t>2.绿色环保：护眼灯具产品为 LED 光源灯具，不含汞、铅等污染物，避免造成环境污染</w:t>
            </w:r>
          </w:p>
          <w:p>
            <w:pPr>
              <w:ind w:firstLine="420"/>
            </w:pPr>
            <w:r>
              <w:rPr>
                <w:sz w:val="21"/>
              </w:rPr>
              <w:t>3.节能：在满足国家标准的基础上，相比原来所采用的荧光灯，节能达 50%以上。</w:t>
            </w:r>
          </w:p>
          <w:p>
            <w:pPr>
              <w:ind w:firstLine="422"/>
            </w:pPr>
            <w:r>
              <w:rPr>
                <w:b/>
                <w:sz w:val="21"/>
              </w:rPr>
              <w:t>4、建设原则</w:t>
            </w:r>
          </w:p>
          <w:p>
            <w:pPr>
              <w:ind w:firstLine="420"/>
            </w:pPr>
            <w:r>
              <w:rPr>
                <w:sz w:val="21"/>
              </w:rPr>
              <w:t>方案根据《中小学校设计规范》、《中小学校教室采光和照明卫生标准》《中小学校及幼儿园教室照明产品节能认证技术规范》等有关标准规定及文件精神，结合学校实际情况，采用专业照明设计软件进行照明方案设计。</w:t>
            </w:r>
          </w:p>
          <w:p/>
        </w:tc>
      </w:tr>
      <w:tr>
        <w:tc>
          <w:tcPr>
            <w:tcW w:type="dxa" w:w="2076"/>
          </w:tcPr>
          <w:p/>
        </w:tc>
        <w:tc>
          <w:tcPr>
            <w:tcW w:type="dxa" w:w="415"/>
          </w:tcPr>
          <w:p>
            <w:r>
              <w:rPr/>
              <w:t>3</w:t>
            </w:r>
          </w:p>
        </w:tc>
        <w:tc>
          <w:tcPr>
            <w:tcW w:type="dxa" w:w="5814"/>
          </w:tcPr>
          <w:p>
            <w:r>
              <w:rPr>
                <w:b/>
                <w:sz w:val="24"/>
              </w:rPr>
              <w:t>二、项目概述：</w:t>
            </w:r>
          </w:p>
          <w:p>
            <w:pPr>
              <w:ind w:firstLine="422"/>
            </w:pPr>
            <w:r>
              <w:rPr>
                <w:b/>
                <w:sz w:val="21"/>
              </w:rPr>
              <w:t>1、建设背景</w:t>
            </w:r>
          </w:p>
          <w:p>
            <w:pPr>
              <w:ind w:firstLine="420"/>
            </w:pPr>
            <w:r>
              <w:rPr>
                <w:sz w:val="21"/>
              </w:rPr>
              <w:t>2018年下半年，国家卫健委会同教育部、民政部组织开展了2018年全国儿童青少年近视调查工作。本次调查共覆盖了全国1033所幼儿园，3810所中小学校，总筛查111.74万人，包括幼儿园儿童6.92万，各年龄段中小学104.82万。</w:t>
            </w:r>
          </w:p>
          <w:p>
            <w:pPr>
              <w:ind w:firstLine="420"/>
            </w:pPr>
            <w:r>
              <w:rPr>
                <w:sz w:val="21"/>
              </w:rPr>
              <w:t>调查显示，我国儿童青少年总体近视发病形势严峻，低年龄段近视问题比较突出。在小学和初中阶段，近视率随着年级的增高快速增长，小学阶段从一年级的</w:t>
            </w:r>
            <w:r>
              <w:rPr>
                <w:sz w:val="21"/>
              </w:rPr>
              <w:t>15.7%增长到六年级的59%，初中阶段从初一年级的64.9%增长，在初三年级的77.0%，小学和初中阶段是我国近视防控的重点年龄阶段。高度近视问题不容忽视。高三年级学生高度近视，也就是近视度数高于600度，在近视总数中占比达到21.9%，由于高度近视是致盲性眼病之一，容易导致一系列严重的并发症，应该引起高度警惕和重视。</w:t>
            </w:r>
          </w:p>
          <w:p>
            <w:pPr>
              <w:ind w:firstLine="420"/>
            </w:pPr>
            <w:r>
              <w:rPr>
                <w:sz w:val="21"/>
              </w:rPr>
              <w:t>2018年8月28日，习总书记做出重要指示，共同呵护好孩子的眼睛，给孩子一个光明的未来。</w:t>
            </w:r>
          </w:p>
          <w:p>
            <w:pPr>
              <w:ind w:firstLine="420"/>
            </w:pPr>
            <w:r>
              <w:rPr>
                <w:sz w:val="21"/>
              </w:rPr>
              <w:t>2018年8月30日，为贯彻落实习近平总书记重要指示精神，教育部联合国家卫生健康委等八部委研究制定了综合防控儿童青少年近视实施方案，改善视觉环境。改善教学设施和条件，为学生提供符合用眼卫生要求的学习环境，严格按照普通中小学校建设标准，落实教室、宿舍、图书馆（阅览室）等采光和照明要求，使用利于视力健康的照明设备。学校教室照明卫生标准达标率100％。将儿童青少年近视防控工作、总体近视率和体质健康状况纳入政府绩效考核指标，严禁地方各级人民政府单纯以学生考试成绩和学校升学率考核教育行政部门和学校。将视力健康纳入素质教育，将儿童青少年身心健康、课业负担等纳入国家义务教育质量监测评估体系，对儿童青少年体质健康水平连续三年下降的地方政府和学校依法依规予以问责。</w:t>
            </w:r>
          </w:p>
          <w:p>
            <w:pPr>
              <w:ind w:firstLine="422"/>
            </w:pPr>
            <w:r>
              <w:rPr>
                <w:b/>
                <w:sz w:val="21"/>
              </w:rPr>
              <w:t>2、建设目标</w:t>
            </w:r>
          </w:p>
          <w:p>
            <w:pPr>
              <w:ind w:firstLine="420"/>
            </w:pPr>
            <w:r>
              <w:rPr>
                <w:sz w:val="21"/>
              </w:rPr>
              <w:t>在硬件设备方面，照明设备无蓝光危害、无眩光、无频闪、显示性高、光线柔和，符合国家标准的护眼照明产品，为孩子创造一个健康的光环境。</w:t>
            </w:r>
          </w:p>
          <w:p>
            <w:pPr>
              <w:ind w:firstLine="422"/>
            </w:pPr>
            <w:r>
              <w:rPr>
                <w:b/>
                <w:sz w:val="21"/>
              </w:rPr>
              <w:t>3、建设意义</w:t>
            </w:r>
          </w:p>
          <w:p>
            <w:pPr>
              <w:ind w:firstLine="420"/>
            </w:pPr>
            <w:r>
              <w:rPr>
                <w:sz w:val="21"/>
              </w:rPr>
              <w:t>1、社会效益：1、健康护眼：打造健康光环境，保护学生视力健康，一定程度上缓解学生近视率攀升现象，提高学生健康体质。</w:t>
            </w:r>
          </w:p>
          <w:p>
            <w:pPr>
              <w:ind w:firstLine="420"/>
            </w:pPr>
            <w:r>
              <w:rPr>
                <w:sz w:val="21"/>
              </w:rPr>
              <w:t>2、绿色环保：护眼灯具产品为 LED 光源灯具，不含汞、铅等污染物，避免造成环境污染</w:t>
            </w:r>
          </w:p>
          <w:p>
            <w:pPr>
              <w:ind w:firstLine="420"/>
            </w:pPr>
            <w:r>
              <w:rPr>
                <w:sz w:val="21"/>
              </w:rPr>
              <w:t>3、节能：在满足国家标准的基础上，相比原来所采用的荧光灯，节能达 50%以上。</w:t>
            </w:r>
          </w:p>
          <w:p>
            <w:pPr>
              <w:ind w:firstLine="422"/>
            </w:pPr>
            <w:r>
              <w:rPr>
                <w:b/>
                <w:sz w:val="21"/>
              </w:rPr>
              <w:t>3、建设原则</w:t>
            </w:r>
          </w:p>
          <w:p>
            <w:pPr>
              <w:ind w:firstLine="420"/>
            </w:pPr>
            <w:r>
              <w:rPr>
                <w:sz w:val="21"/>
              </w:rPr>
              <w:t>方案根据《中小学校设计规范》、《中小学校教室采光和照明卫生标准》《中小学校及幼儿园教室照明产品节能认证技术规范》等有关标准规定及文件精神，结合学校实际情况，采用专业照明设计软件进行照明方案设计。</w:t>
            </w:r>
          </w:p>
          <w:p/>
          <w:p>
            <w:r>
              <w:rPr>
                <w:b/>
                <w:sz w:val="24"/>
              </w:rPr>
              <w:t>三、需求分析</w:t>
            </w:r>
          </w:p>
          <w:p>
            <w:pPr>
              <w:ind w:firstLine="422"/>
            </w:pPr>
            <w:r>
              <w:rPr>
                <w:b/>
                <w:sz w:val="21"/>
              </w:rPr>
              <w:t>1、</w:t>
            </w:r>
            <w:r>
              <w:rPr>
                <w:b/>
                <w:sz w:val="21"/>
              </w:rPr>
              <w:t>近视问题严重威胁中国经济社会可持续发展及国家安全</w:t>
            </w:r>
          </w:p>
          <w:p>
            <w:pPr>
              <w:ind w:firstLine="422"/>
            </w:pPr>
            <w:r>
              <w:rPr/>
              <w:t xml:space="preserve"> </w:t>
            </w:r>
          </w:p>
          <w:p>
            <w:pPr>
              <w:ind w:firstLine="422"/>
            </w:pPr>
            <w:r>
              <w:rPr/>
              <w:t xml:space="preserve"> </w:t>
            </w:r>
          </w:p>
          <w:p>
            <w:pPr>
              <w:jc w:val="center"/>
            </w:pPr>
            <w:r>
              <w:drawing>
                <wp:inline distT="0" distR="0" distB="0" distL="0">
                  <wp:extent cx="3554729" cy="4457700"/>
                  <wp:docPr id="1" name="Drawing 1" descr="img"/>
                  <a:graphic xmlns:a="http://schemas.openxmlformats.org/drawingml/2006/main">
                    <a:graphicData uri="http://schemas.openxmlformats.org/drawingml/2006/picture">
                      <pic:pic xmlns:pic="http://schemas.openxmlformats.org/drawingml/2006/picture">
                        <pic:nvPicPr>
                          <pic:cNvPr id="0" name="Picture 1" descr="img"/>
                          <pic:cNvPicPr>
                            <a:picLocks noChangeAspect="true"/>
                          </pic:cNvPicPr>
                        </pic:nvPicPr>
                        <pic:blipFill>
                          <a:blip r:embed="rId6"/>
                          <a:stretch>
                            <a:fillRect/>
                          </a:stretch>
                        </pic:blipFill>
                        <pic:spPr>
                          <a:xfrm>
                            <a:off x="0" y="0"/>
                            <a:ext cx="3554729" cy="4457700"/>
                          </a:xfrm>
                          <a:prstGeom prst="rect">
                            <a:avLst/>
                          </a:prstGeom>
                        </pic:spPr>
                      </pic:pic>
                    </a:graphicData>
                  </a:graphic>
                </wp:inline>
              </w:drawing>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sz w:val="21"/>
              </w:rPr>
              <w:t>北京大学《国民健康视觉报告》称，到</w:t>
            </w:r>
            <w:r>
              <w:rPr>
                <w:sz w:val="21"/>
              </w:rPr>
              <w:t>2020年，中国5岁以上人口的近视患病率将增长到51%左右，患病人口将达7亿。</w:t>
            </w:r>
          </w:p>
          <w:p>
            <w:pPr>
              <w:ind w:firstLine="480"/>
            </w:pPr>
            <w:r>
              <w:rPr>
                <w:sz w:val="21"/>
              </w:rPr>
              <w:t>在航空航天、精密制造、军事等领域，符合视力要求的劳动者可能出现巨大缺口，将直接威胁中国经济社会可持续发展及国家安全。</w:t>
            </w:r>
          </w:p>
          <w:p>
            <w:pPr>
              <w:ind w:firstLine="480"/>
            </w:pPr>
            <w:r>
              <w:rPr>
                <w:sz w:val="21"/>
              </w:rPr>
              <w:t>相关部门曾多次对《应征公民体格检查标准》进行修订，对征兵的</w:t>
            </w:r>
            <w:r>
              <w:rPr>
                <w:sz w:val="21"/>
              </w:rPr>
              <w:t>“视力要求”不断降低，仅2000年至2008年间就曾3次放宽视力标准要求。</w:t>
            </w:r>
          </w:p>
          <w:p>
            <w:pPr>
              <w:ind w:firstLine="422"/>
            </w:pPr>
            <w:r>
              <w:rPr>
                <w:b/>
                <w:sz w:val="21"/>
              </w:rPr>
              <w:t>2、建设内容</w:t>
            </w:r>
          </w:p>
          <w:p>
            <w:pPr>
              <w:jc w:val="center"/>
            </w:pPr>
            <w:r>
              <w:rPr/>
              <w:t xml:space="preserve"> </w:t>
            </w:r>
          </w:p>
          <w:p>
            <w:pPr>
              <w:jc w:val="center"/>
            </w:pPr>
            <w:r>
              <w:rPr/>
              <w:t xml:space="preserve"> </w:t>
            </w:r>
          </w:p>
          <w:p>
            <w:pPr>
              <w:jc w:val="center"/>
            </w:pPr>
            <w:r>
              <w:rPr/>
              <w:t xml:space="preserve"> </w:t>
            </w:r>
          </w:p>
          <w:p>
            <w:pPr>
              <w:jc w:val="center"/>
            </w:pPr>
            <w:r>
              <w:drawing>
                <wp:inline distT="0" distR="0" distB="0" distL="0">
                  <wp:extent cx="3554729" cy="6867525"/>
                  <wp:docPr id="2" name="Drawing 2" descr="img"/>
                  <a:graphic xmlns:a="http://schemas.openxmlformats.org/drawingml/2006/main">
                    <a:graphicData uri="http://schemas.openxmlformats.org/drawingml/2006/picture">
                      <pic:pic xmlns:pic="http://schemas.openxmlformats.org/drawingml/2006/picture">
                        <pic:nvPicPr>
                          <pic:cNvPr id="0" name="Picture 2" descr="img"/>
                          <pic:cNvPicPr>
                            <a:picLocks noChangeAspect="true"/>
                          </pic:cNvPicPr>
                        </pic:nvPicPr>
                        <pic:blipFill>
                          <a:blip r:embed="rId7"/>
                          <a:stretch>
                            <a:fillRect/>
                          </a:stretch>
                        </pic:blipFill>
                        <pic:spPr>
                          <a:xfrm>
                            <a:off x="0" y="0"/>
                            <a:ext cx="3554729" cy="6867525"/>
                          </a:xfrm>
                          <a:prstGeom prst="rect">
                            <a:avLst/>
                          </a:prstGeom>
                        </pic:spPr>
                      </pic:pic>
                    </a:graphicData>
                  </a:graphic>
                </wp:inline>
              </w:drawing>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sz w:val="21"/>
              </w:rPr>
              <w:t>到</w:t>
            </w:r>
            <w:r>
              <w:rPr>
                <w:sz w:val="21"/>
              </w:rPr>
              <w:t>2023年，力争实现全国儿童青少年总体近视率在2018年的基础上每年降低0.5个百分点以上，近视高发省份每年降低1个百分点以上。严格按照普通中小学校建设标准，落实教室、宿舍、图书馆（阅览室）等采光和照明要求，使用利于视力健康的照明设备。学校教室照明卫生标准达标率100％。</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tc>
      </w:tr>
      <w:tr>
        <w:tc>
          <w:tcPr>
            <w:tcW w:type="dxa" w:w="2076"/>
          </w:tcPr>
          <w:p/>
        </w:tc>
        <w:tc>
          <w:tcPr>
            <w:tcW w:type="dxa" w:w="415"/>
          </w:tcPr>
          <w:p>
            <w:r>
              <w:rPr/>
              <w:t>4</w:t>
            </w:r>
          </w:p>
        </w:tc>
        <w:tc>
          <w:tcPr>
            <w:tcW w:type="dxa" w:w="5814"/>
          </w:tcPr>
          <w:p>
            <w:r>
              <w:rPr>
                <w:b/>
                <w:sz w:val="24"/>
              </w:rPr>
              <w:t>四、教室照明现状及模拟改造后仿真效果对比</w:t>
            </w:r>
          </w:p>
          <w:p>
            <w:pPr>
              <w:ind w:firstLine="422"/>
            </w:pPr>
            <w:r>
              <w:rPr>
                <w:b/>
                <w:sz w:val="21"/>
              </w:rPr>
              <w:t>1、部分学校改造前照明现状</w:t>
            </w:r>
          </w:p>
          <w:p>
            <w:pPr>
              <w:jc w:val="center"/>
            </w:pPr>
            <w:r>
              <w:rPr/>
              <w:t xml:space="preserve"> </w:t>
            </w:r>
          </w:p>
          <w:p>
            <w:pPr>
              <w:jc w:val="center"/>
            </w:pPr>
            <w:r>
              <w:rPr/>
              <w:t xml:space="preserve"> </w:t>
            </w:r>
          </w:p>
          <w:p>
            <w:pPr>
              <w:jc w:val="center"/>
            </w:pPr>
            <w:r>
              <w:rPr/>
              <w:t xml:space="preserve"> </w:t>
            </w:r>
          </w:p>
          <w:p>
            <w:pPr>
              <w:jc w:val="center"/>
            </w:pPr>
            <w:r>
              <w:rPr/>
              <w:t xml:space="preserve"> </w:t>
            </w:r>
          </w:p>
          <w:p>
            <w:pPr>
              <w:jc w:val="center"/>
            </w:pPr>
            <w:r>
              <w:rPr/>
              <w:t xml:space="preserve"> </w:t>
            </w:r>
          </w:p>
          <w:p>
            <w:pPr>
              <w:jc w:val="center"/>
            </w:pPr>
            <w:r>
              <w:drawing>
                <wp:inline distT="0" distR="0" distB="0" distL="0">
                  <wp:extent cx="2505075" cy="1876425"/>
                  <wp:docPr id="3" name="Drawing 3" descr="img"/>
                  <a:graphic xmlns:a="http://schemas.openxmlformats.org/drawingml/2006/main">
                    <a:graphicData uri="http://schemas.openxmlformats.org/drawingml/2006/picture">
                      <pic:pic xmlns:pic="http://schemas.openxmlformats.org/drawingml/2006/picture">
                        <pic:nvPicPr>
                          <pic:cNvPr id="0" name="Picture 3" descr="img"/>
                          <pic:cNvPicPr>
                            <a:picLocks noChangeAspect="true"/>
                          </pic:cNvPicPr>
                        </pic:nvPicPr>
                        <pic:blipFill>
                          <a:blip r:embed="rId8"/>
                          <a:stretch>
                            <a:fillRect/>
                          </a:stretch>
                        </pic:blipFill>
                        <pic:spPr>
                          <a:xfrm>
                            <a:off x="0" y="0"/>
                            <a:ext cx="2505075" cy="1876425"/>
                          </a:xfrm>
                          <a:prstGeom prst="rect">
                            <a:avLst/>
                          </a:prstGeom>
                        </pic:spPr>
                      </pic:pic>
                    </a:graphicData>
                  </a:graphic>
                </wp:inline>
              </w:drawing>
            </w:r>
            <w:r>
              <w:drawing>
                <wp:inline distT="0" distR="0" distB="0" distL="0">
                  <wp:extent cx="2514600" cy="1885950"/>
                  <wp:docPr id="4" name="Drawing 4" descr="img"/>
                  <a:graphic xmlns:a="http://schemas.openxmlformats.org/drawingml/2006/main">
                    <a:graphicData uri="http://schemas.openxmlformats.org/drawingml/2006/picture">
                      <pic:pic xmlns:pic="http://schemas.openxmlformats.org/drawingml/2006/picture">
                        <pic:nvPicPr>
                          <pic:cNvPr id="0" name="Picture 4" descr="img"/>
                          <pic:cNvPicPr>
                            <a:picLocks noChangeAspect="true"/>
                          </pic:cNvPicPr>
                        </pic:nvPicPr>
                        <pic:blipFill>
                          <a:blip r:embed="rId9"/>
                          <a:stretch>
                            <a:fillRect/>
                          </a:stretch>
                        </pic:blipFill>
                        <pic:spPr>
                          <a:xfrm>
                            <a:off x="0" y="0"/>
                            <a:ext cx="2514600" cy="1885950"/>
                          </a:xfrm>
                          <a:prstGeom prst="rect">
                            <a:avLst/>
                          </a:prstGeom>
                        </pic:spPr>
                      </pic:pic>
                    </a:graphicData>
                  </a:graphic>
                </wp:inline>
              </w:drawing>
            </w:r>
          </w:p>
          <w:p>
            <w:pPr>
              <w:jc w:val="center"/>
            </w:pPr>
            <w:r>
              <w:drawing>
                <wp:inline distT="0" distR="0" distB="0" distL="0">
                  <wp:extent cx="3554729" cy="3762375"/>
                  <wp:docPr id="5" name="Drawing 5" descr="img"/>
                  <a:graphic xmlns:a="http://schemas.openxmlformats.org/drawingml/2006/main">
                    <a:graphicData uri="http://schemas.openxmlformats.org/drawingml/2006/picture">
                      <pic:pic xmlns:pic="http://schemas.openxmlformats.org/drawingml/2006/picture">
                        <pic:nvPicPr>
                          <pic:cNvPr id="0" name="Picture 5" descr="img"/>
                          <pic:cNvPicPr>
                            <a:picLocks noChangeAspect="true"/>
                          </pic:cNvPicPr>
                        </pic:nvPicPr>
                        <pic:blipFill>
                          <a:blip r:embed="rId10"/>
                          <a:stretch>
                            <a:fillRect/>
                          </a:stretch>
                        </pic:blipFill>
                        <pic:spPr>
                          <a:xfrm>
                            <a:off x="0" y="0"/>
                            <a:ext cx="3554729" cy="3762375"/>
                          </a:xfrm>
                          <a:prstGeom prst="rect">
                            <a:avLst/>
                          </a:prstGeom>
                        </pic:spPr>
                      </pic:pic>
                    </a:graphicData>
                  </a:graphic>
                </wp:inline>
              </w:drawing>
            </w:r>
          </w:p>
          <w:p>
            <w:pPr>
              <w:jc w:val="center"/>
            </w:pPr>
            <w:r>
              <w:drawing>
                <wp:inline distT="0" distR="0" distB="0" distL="0">
                  <wp:extent cx="2457450" cy="1866900"/>
                  <wp:docPr id="6" name="Drawing 6" descr="img"/>
                  <a:graphic xmlns:a="http://schemas.openxmlformats.org/drawingml/2006/main">
                    <a:graphicData uri="http://schemas.openxmlformats.org/drawingml/2006/picture">
                      <pic:pic xmlns:pic="http://schemas.openxmlformats.org/drawingml/2006/picture">
                        <pic:nvPicPr>
                          <pic:cNvPr id="0" name="Picture 6" descr="img"/>
                          <pic:cNvPicPr>
                            <a:picLocks noChangeAspect="true"/>
                          </pic:cNvPicPr>
                        </pic:nvPicPr>
                        <pic:blipFill>
                          <a:blip r:embed="rId11"/>
                          <a:stretch>
                            <a:fillRect/>
                          </a:stretch>
                        </pic:blipFill>
                        <pic:spPr>
                          <a:xfrm>
                            <a:off x="0" y="0"/>
                            <a:ext cx="2457450" cy="1866900"/>
                          </a:xfrm>
                          <a:prstGeom prst="rect">
                            <a:avLst/>
                          </a:prstGeom>
                        </pic:spPr>
                      </pic:pic>
                    </a:graphicData>
                  </a:graphic>
                </wp:inline>
              </w:drawing>
            </w:r>
            <w:r>
              <w:drawing>
                <wp:inline distT="0" distR="0" distB="0" distL="0">
                  <wp:extent cx="2476500" cy="1876425"/>
                  <wp:docPr id="7" name="Drawing 7" descr="img"/>
                  <a:graphic xmlns:a="http://schemas.openxmlformats.org/drawingml/2006/main">
                    <a:graphicData uri="http://schemas.openxmlformats.org/drawingml/2006/picture">
                      <pic:pic xmlns:pic="http://schemas.openxmlformats.org/drawingml/2006/picture">
                        <pic:nvPicPr>
                          <pic:cNvPr id="0" name="Picture 7" descr="img"/>
                          <pic:cNvPicPr>
                            <a:picLocks noChangeAspect="true"/>
                          </pic:cNvPicPr>
                        </pic:nvPicPr>
                        <pic:blipFill>
                          <a:blip r:embed="rId12"/>
                          <a:stretch>
                            <a:fillRect/>
                          </a:stretch>
                        </pic:blipFill>
                        <pic:spPr>
                          <a:xfrm>
                            <a:off x="0" y="0"/>
                            <a:ext cx="2476500" cy="1876425"/>
                          </a:xfrm>
                          <a:prstGeom prst="rect">
                            <a:avLst/>
                          </a:prstGeom>
                        </pic:spPr>
                      </pic:pic>
                    </a:graphicData>
                  </a:graphic>
                </wp:inline>
              </w:drawing>
            </w:r>
          </w:p>
          <w:p>
            <w:pPr>
              <w:jc w:val="center"/>
            </w:pPr>
            <w:r>
              <w:drawing>
                <wp:inline distT="0" distR="0" distB="0" distL="0">
                  <wp:extent cx="2476500" cy="1905000"/>
                  <wp:docPr id="8" name="Drawing 8" descr="img"/>
                  <a:graphic xmlns:a="http://schemas.openxmlformats.org/drawingml/2006/main">
                    <a:graphicData uri="http://schemas.openxmlformats.org/drawingml/2006/picture">
                      <pic:pic xmlns:pic="http://schemas.openxmlformats.org/drawingml/2006/picture">
                        <pic:nvPicPr>
                          <pic:cNvPr id="0" name="Picture 8" descr="img"/>
                          <pic:cNvPicPr>
                            <a:picLocks noChangeAspect="true"/>
                          </pic:cNvPicPr>
                        </pic:nvPicPr>
                        <pic:blipFill>
                          <a:blip r:embed="rId13"/>
                          <a:stretch>
                            <a:fillRect/>
                          </a:stretch>
                        </pic:blipFill>
                        <pic:spPr>
                          <a:xfrm>
                            <a:off x="0" y="0"/>
                            <a:ext cx="2476500" cy="1905000"/>
                          </a:xfrm>
                          <a:prstGeom prst="rect">
                            <a:avLst/>
                          </a:prstGeom>
                        </pic:spPr>
                      </pic:pic>
                    </a:graphicData>
                  </a:graphic>
                </wp:inline>
              </w:drawing>
            </w:r>
            <w:r>
              <w:drawing>
                <wp:inline distT="0" distR="0" distB="0" distL="0">
                  <wp:extent cx="2495550" cy="1876425"/>
                  <wp:docPr id="9" name="Drawing 9" descr="img"/>
                  <a:graphic xmlns:a="http://schemas.openxmlformats.org/drawingml/2006/main">
                    <a:graphicData uri="http://schemas.openxmlformats.org/drawingml/2006/picture">
                      <pic:pic xmlns:pic="http://schemas.openxmlformats.org/drawingml/2006/picture">
                        <pic:nvPicPr>
                          <pic:cNvPr id="0" name="Picture 9" descr="img"/>
                          <pic:cNvPicPr>
                            <a:picLocks noChangeAspect="true"/>
                          </pic:cNvPicPr>
                        </pic:nvPicPr>
                        <pic:blipFill>
                          <a:blip r:embed="rId14"/>
                          <a:stretch>
                            <a:fillRect/>
                          </a:stretch>
                        </pic:blipFill>
                        <pic:spPr>
                          <a:xfrm>
                            <a:off x="0" y="0"/>
                            <a:ext cx="2495550" cy="1876425"/>
                          </a:xfrm>
                          <a:prstGeom prst="rect">
                            <a:avLst/>
                          </a:prstGeom>
                        </pic:spPr>
                      </pic:pic>
                    </a:graphicData>
                  </a:graphic>
                </wp:inline>
              </w:drawing>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sz w:val="21"/>
              </w:rPr>
              <w:t>通过对改造学校进行现场勘察，教室采用的都是传统荧光灯</w:t>
            </w:r>
            <w:r>
              <w:rPr>
                <w:sz w:val="21"/>
              </w:rPr>
              <w:t>T8灯管和裸露的LED灯管，教室照明存在主要问题：</w:t>
            </w:r>
          </w:p>
          <w:p>
            <w:pPr>
              <w:ind w:firstLine="420"/>
            </w:pPr>
            <w:r>
              <w:rPr>
                <w:sz w:val="21"/>
              </w:rPr>
              <w:t>1、黑板及课桌照度低于国家标准所规定的照度值，学生长期处于低照度环境下学习；</w:t>
            </w:r>
          </w:p>
          <w:p>
            <w:pPr>
              <w:ind w:firstLine="420"/>
            </w:pPr>
            <w:r>
              <w:rPr>
                <w:sz w:val="21"/>
              </w:rPr>
              <w:t>2、没有设专用黑板灯，或黑板灯装设不规范，如用普通的简式荧光灯当做黑板灯，不仅黑板照度低，视见度低，学生在观看黑板时，还可看到灯管的直接眩光，极易引起视觉疲劳；</w:t>
            </w:r>
          </w:p>
          <w:p>
            <w:pPr>
              <w:ind w:firstLine="420"/>
            </w:pPr>
            <w:r>
              <w:rPr>
                <w:sz w:val="21"/>
              </w:rPr>
              <w:t>3、使用质低、价低、能耗高、技术停留在上世纪80、90年代水平的简式荧光灯；</w:t>
            </w:r>
          </w:p>
          <w:p>
            <w:pPr>
              <w:ind w:firstLine="420"/>
            </w:pPr>
            <w:r>
              <w:rPr>
                <w:sz w:val="21"/>
              </w:rPr>
              <w:t>4、使用电感镇流器，存在严重的频闪效应；</w:t>
            </w:r>
          </w:p>
          <w:p>
            <w:pPr>
              <w:ind w:firstLine="420"/>
            </w:pPr>
            <w:r>
              <w:rPr>
                <w:sz w:val="21"/>
              </w:rPr>
              <w:t>5、采用吸顶安装，吊扇又安装在灯具的下方，吊扇与灯光同时开动时，老师反馈存在严重灯光晃动的现象；</w:t>
            </w:r>
          </w:p>
          <w:p>
            <w:pPr>
              <w:ind w:firstLine="420"/>
            </w:pPr>
            <w:r>
              <w:rPr>
                <w:sz w:val="21"/>
              </w:rPr>
              <w:t>6、教室内均采用高色温（6500K）光色偏冷的荧光灯管。</w:t>
            </w:r>
          </w:p>
          <w:p>
            <w:pPr>
              <w:ind w:firstLine="420"/>
            </w:pPr>
            <w:r>
              <w:rPr>
                <w:sz w:val="21"/>
              </w:rPr>
              <w:t>总之，照度低、有眩光、有频闪、有灯光晃动，光色不好的光环境，容易引起视疲劳，严重危害视力健康。</w:t>
            </w:r>
          </w:p>
          <w:p>
            <w:r>
              <w:rPr>
                <w:b/>
                <w:sz w:val="21"/>
              </w:rPr>
              <w:t>2、部分学校改造前教室光环境实测数据</w:t>
            </w:r>
          </w:p>
          <w:p>
            <w:pPr>
              <w:jc w:val="center"/>
            </w:pPr>
            <w:r>
              <w:rPr>
                <w:b/>
                <w:sz w:val="21"/>
              </w:rPr>
              <w:t>黑板平均照度及均匀度测量（单位：</w:t>
            </w:r>
            <w:r>
              <w:rPr>
                <w:b/>
                <w:sz w:val="21"/>
              </w:rPr>
              <w:t>lx）：</w:t>
            </w:r>
          </w:p>
          <w:p>
            <w:pPr>
              <w:jc w:val="center"/>
            </w:pPr>
            <w:r>
              <w:rPr/>
              <w:t xml:space="preserve"> </w:t>
            </w:r>
          </w:p>
          <w:p>
            <w:pPr>
              <w:jc w:val="center"/>
            </w:pPr>
            <w:r>
              <w:rPr/>
              <w:t xml:space="preserve"> </w:t>
            </w:r>
          </w:p>
          <w:tbl>
            <w:tblPr>
              <w:tblBorders>
                <w:top w:val="none" w:color="000000" w:sz="4"/>
                <w:left w:val="none" w:color="000000" w:sz="4"/>
                <w:bottom w:val="none" w:color="000000" w:sz="4"/>
                <w:right w:val="none" w:color="000000" w:sz="4"/>
                <w:insideH w:val="none"/>
                <w:insideV w:val="none"/>
              </w:tblBorders>
            </w:tblPr>
            <w:tblGrid>
              <w:gridCol w:w="373"/>
              <w:gridCol w:w="373"/>
              <w:gridCol w:w="373"/>
              <w:gridCol w:w="373"/>
              <w:gridCol w:w="373"/>
              <w:gridCol w:w="373"/>
              <w:gridCol w:w="373"/>
              <w:gridCol w:w="373"/>
              <w:gridCol w:w="373"/>
              <w:gridCol w:w="373"/>
              <w:gridCol w:w="373"/>
              <w:gridCol w:w="373"/>
              <w:gridCol w:w="373"/>
              <w:gridCol w:w="373"/>
              <w:gridCol w:w="373"/>
            </w:tblGrid>
            <w:tr>
              <w:tc>
                <w:tcPr>
                  <w:tcW w:type="dxa" w:w="373"/>
                  <w:tcBorders>
                    <w:top w:val="single" w:color="000000" w:sz="4"/>
                    <w:left w:val="single" w:color="000000" w:sz="4"/>
                    <w:bottom w:val="single" w:color="000000" w:sz="4"/>
                    <w:right w:val="single" w:color="000000" w:sz="4"/>
                  </w:tcBorders>
                  <w:vAlign w:val="top"/>
                </w:tcPr>
                <w:p>
                  <w:r>
                    <w:rPr>
                      <w:sz w:val="21"/>
                    </w:rPr>
                    <w:t>120</w:t>
                  </w:r>
                </w:p>
              </w:tc>
              <w:tc>
                <w:tcPr>
                  <w:tcW w:type="dxa" w:w="373"/>
                  <w:tcBorders>
                    <w:top w:val="single" w:color="000000" w:sz="4"/>
                    <w:left w:val="single" w:color="000000" w:sz="4"/>
                    <w:bottom w:val="single" w:color="000000" w:sz="4"/>
                    <w:right w:val="single" w:color="000000" w:sz="4"/>
                  </w:tcBorders>
                  <w:vAlign w:val="top"/>
                </w:tcPr>
                <w:p>
                  <w:r>
                    <w:rPr>
                      <w:sz w:val="21"/>
                    </w:rPr>
                    <w:t>152</w:t>
                  </w:r>
                </w:p>
              </w:tc>
              <w:tc>
                <w:tcPr>
                  <w:tcW w:type="dxa" w:w="373"/>
                  <w:tcBorders>
                    <w:top w:val="single" w:color="000000" w:sz="4"/>
                    <w:left w:val="single" w:color="000000" w:sz="4"/>
                    <w:bottom w:val="single" w:color="000000" w:sz="4"/>
                    <w:right w:val="single" w:color="000000" w:sz="4"/>
                  </w:tcBorders>
                  <w:vAlign w:val="top"/>
                </w:tcPr>
                <w:p>
                  <w:r>
                    <w:rPr>
                      <w:sz w:val="21"/>
                    </w:rPr>
                    <w:t>238</w:t>
                  </w:r>
                </w:p>
              </w:tc>
              <w:tc>
                <w:tcPr>
                  <w:tcW w:type="dxa" w:w="373"/>
                  <w:tcBorders>
                    <w:top w:val="single" w:color="000000" w:sz="4"/>
                    <w:left w:val="single" w:color="000000" w:sz="4"/>
                    <w:bottom w:val="single" w:color="000000" w:sz="4"/>
                    <w:right w:val="single" w:color="000000" w:sz="4"/>
                  </w:tcBorders>
                  <w:vAlign w:val="top"/>
                </w:tcPr>
                <w:p>
                  <w:r>
                    <w:rPr>
                      <w:sz w:val="21"/>
                    </w:rPr>
                    <w:t>342</w:t>
                  </w:r>
                </w:p>
              </w:tc>
              <w:tc>
                <w:tcPr>
                  <w:tcW w:type="dxa" w:w="373"/>
                  <w:tcBorders>
                    <w:top w:val="single" w:color="000000" w:sz="4"/>
                    <w:left w:val="single" w:color="000000" w:sz="4"/>
                    <w:bottom w:val="single" w:color="000000" w:sz="4"/>
                    <w:right w:val="single" w:color="000000" w:sz="4"/>
                  </w:tcBorders>
                  <w:vAlign w:val="top"/>
                </w:tcPr>
                <w:p>
                  <w:r>
                    <w:rPr>
                      <w:sz w:val="21"/>
                    </w:rPr>
                    <w:t>370</w:t>
                  </w:r>
                </w:p>
              </w:tc>
              <w:tc>
                <w:tcPr>
                  <w:tcW w:type="dxa" w:w="373"/>
                  <w:tcBorders>
                    <w:top w:val="single" w:color="000000" w:sz="4"/>
                    <w:left w:val="single" w:color="000000" w:sz="4"/>
                    <w:bottom w:val="single" w:color="000000" w:sz="4"/>
                    <w:right w:val="single" w:color="000000" w:sz="4"/>
                  </w:tcBorders>
                  <w:vAlign w:val="top"/>
                </w:tcPr>
                <w:p>
                  <w:r>
                    <w:rPr>
                      <w:sz w:val="21"/>
                    </w:rPr>
                    <w:t>304</w:t>
                  </w:r>
                </w:p>
              </w:tc>
              <w:tc>
                <w:tcPr>
                  <w:tcW w:type="dxa" w:w="373"/>
                  <w:tcBorders>
                    <w:top w:val="single" w:color="000000" w:sz="4"/>
                    <w:left w:val="single" w:color="000000" w:sz="4"/>
                    <w:bottom w:val="single" w:color="000000" w:sz="4"/>
                    <w:right w:val="single" w:color="000000" w:sz="4"/>
                  </w:tcBorders>
                  <w:vAlign w:val="top"/>
                </w:tcPr>
                <w:p>
                  <w:r>
                    <w:rPr>
                      <w:sz w:val="21"/>
                    </w:rPr>
                    <w:t>212</w:t>
                  </w:r>
                </w:p>
              </w:tc>
              <w:tc>
                <w:tcPr>
                  <w:tcW w:type="dxa" w:w="373"/>
                  <w:tcBorders>
                    <w:top w:val="single" w:color="000000" w:sz="4"/>
                    <w:left w:val="single" w:color="000000" w:sz="4"/>
                    <w:bottom w:val="single" w:color="000000" w:sz="4"/>
                    <w:right w:val="single" w:color="000000" w:sz="4"/>
                  </w:tcBorders>
                  <w:vAlign w:val="top"/>
                </w:tcPr>
                <w:p>
                  <w:r>
                    <w:rPr>
                      <w:sz w:val="21"/>
                    </w:rPr>
                    <w:t>150</w:t>
                  </w:r>
                </w:p>
              </w:tc>
              <w:tc>
                <w:tcPr>
                  <w:tcW w:type="dxa" w:w="373"/>
                  <w:tcBorders>
                    <w:top w:val="single" w:color="000000" w:sz="4"/>
                    <w:left w:val="single" w:color="000000" w:sz="4"/>
                    <w:bottom w:val="single" w:color="000000" w:sz="4"/>
                    <w:right w:val="single" w:color="000000" w:sz="4"/>
                  </w:tcBorders>
                  <w:vAlign w:val="top"/>
                </w:tcPr>
                <w:p>
                  <w:r>
                    <w:rPr>
                      <w:sz w:val="21"/>
                    </w:rPr>
                    <w:t>141</w:t>
                  </w:r>
                </w:p>
              </w:tc>
              <w:tc>
                <w:tcPr>
                  <w:tcW w:type="dxa" w:w="373"/>
                  <w:tcBorders>
                    <w:top w:val="single" w:color="000000" w:sz="4"/>
                    <w:left w:val="single" w:color="000000" w:sz="4"/>
                    <w:bottom w:val="single" w:color="000000" w:sz="4"/>
                    <w:right w:val="single" w:color="000000" w:sz="4"/>
                  </w:tcBorders>
                  <w:vAlign w:val="top"/>
                </w:tcPr>
                <w:p>
                  <w:r>
                    <w:rPr>
                      <w:sz w:val="21"/>
                    </w:rPr>
                    <w:t>227</w:t>
                  </w:r>
                </w:p>
              </w:tc>
              <w:tc>
                <w:tcPr>
                  <w:tcW w:type="dxa" w:w="373"/>
                  <w:tcBorders>
                    <w:top w:val="single" w:color="000000" w:sz="4"/>
                    <w:left w:val="single" w:color="000000" w:sz="4"/>
                    <w:bottom w:val="single" w:color="000000" w:sz="4"/>
                    <w:right w:val="single" w:color="000000" w:sz="4"/>
                  </w:tcBorders>
                  <w:vAlign w:val="top"/>
                </w:tcPr>
                <w:p>
                  <w:r>
                    <w:rPr>
                      <w:sz w:val="21"/>
                    </w:rPr>
                    <w:t>344</w:t>
                  </w:r>
                </w:p>
              </w:tc>
              <w:tc>
                <w:tcPr>
                  <w:tcW w:type="dxa" w:w="373"/>
                  <w:tcBorders>
                    <w:top w:val="single" w:color="000000" w:sz="4"/>
                    <w:left w:val="single" w:color="000000" w:sz="4"/>
                    <w:bottom w:val="single" w:color="000000" w:sz="4"/>
                    <w:right w:val="single" w:color="000000" w:sz="4"/>
                  </w:tcBorders>
                  <w:vAlign w:val="top"/>
                </w:tcPr>
                <w:p>
                  <w:r>
                    <w:rPr>
                      <w:sz w:val="21"/>
                    </w:rPr>
                    <w:t>377</w:t>
                  </w:r>
                </w:p>
              </w:tc>
              <w:tc>
                <w:tcPr>
                  <w:tcW w:type="dxa" w:w="373"/>
                  <w:tcBorders>
                    <w:top w:val="single" w:color="000000" w:sz="4"/>
                    <w:left w:val="single" w:color="000000" w:sz="4"/>
                    <w:bottom w:val="single" w:color="000000" w:sz="4"/>
                    <w:right w:val="single" w:color="000000" w:sz="4"/>
                  </w:tcBorders>
                  <w:vAlign w:val="top"/>
                </w:tcPr>
                <w:p>
                  <w:r>
                    <w:rPr>
                      <w:sz w:val="21"/>
                    </w:rPr>
                    <w:t>323</w:t>
                  </w:r>
                </w:p>
              </w:tc>
              <w:tc>
                <w:tcPr>
                  <w:tcW w:type="dxa" w:w="373"/>
                  <w:tcBorders>
                    <w:top w:val="single" w:color="000000" w:sz="4"/>
                    <w:left w:val="single" w:color="000000" w:sz="4"/>
                    <w:bottom w:val="single" w:color="000000" w:sz="4"/>
                    <w:right w:val="single" w:color="000000" w:sz="4"/>
                  </w:tcBorders>
                  <w:vAlign w:val="top"/>
                </w:tcPr>
                <w:p>
                  <w:r>
                    <w:rPr>
                      <w:sz w:val="21"/>
                    </w:rPr>
                    <w:t>200</w:t>
                  </w:r>
                </w:p>
              </w:tc>
              <w:tc>
                <w:tcPr>
                  <w:tcW w:type="dxa" w:w="373"/>
                  <w:tcBorders>
                    <w:top w:val="single" w:color="000000" w:sz="4"/>
                    <w:left w:val="single" w:color="000000" w:sz="4"/>
                    <w:bottom w:val="single" w:color="000000" w:sz="4"/>
                    <w:right w:val="single" w:color="000000" w:sz="4"/>
                  </w:tcBorders>
                  <w:vAlign w:val="top"/>
                </w:tcPr>
                <w:p>
                  <w:r>
                    <w:rPr>
                      <w:sz w:val="21"/>
                    </w:rPr>
                    <w:t>112</w:t>
                  </w:r>
                </w:p>
              </w:tc>
            </w:tr>
            <w:tr>
              <w:tc>
                <w:tcPr>
                  <w:tcW w:type="dxa" w:w="373"/>
                  <w:tcBorders>
                    <w:top w:val="none" w:color="000000" w:sz="4"/>
                    <w:left w:val="single" w:color="000000" w:sz="4"/>
                    <w:bottom w:val="single" w:color="000000" w:sz="4"/>
                    <w:right w:val="single" w:color="000000" w:sz="4"/>
                  </w:tcBorders>
                  <w:vAlign w:val="top"/>
                </w:tcPr>
                <w:p>
                  <w:r>
                    <w:rPr>
                      <w:sz w:val="21"/>
                    </w:rPr>
                    <w:t>128</w:t>
                  </w:r>
                </w:p>
              </w:tc>
              <w:tc>
                <w:tcPr>
                  <w:tcW w:type="dxa" w:w="373"/>
                  <w:tcBorders>
                    <w:top w:val="none" w:color="000000" w:sz="4"/>
                    <w:left w:val="single" w:color="000000" w:sz="4"/>
                    <w:bottom w:val="single" w:color="000000" w:sz="4"/>
                    <w:right w:val="single" w:color="000000" w:sz="4"/>
                  </w:tcBorders>
                  <w:vAlign w:val="top"/>
                </w:tcPr>
                <w:p>
                  <w:r>
                    <w:rPr>
                      <w:sz w:val="21"/>
                    </w:rPr>
                    <w:t>150</w:t>
                  </w:r>
                </w:p>
              </w:tc>
              <w:tc>
                <w:tcPr>
                  <w:tcW w:type="dxa" w:w="373"/>
                  <w:tcBorders>
                    <w:top w:val="none" w:color="000000" w:sz="4"/>
                    <w:left w:val="single" w:color="000000" w:sz="4"/>
                    <w:bottom w:val="single" w:color="000000" w:sz="4"/>
                    <w:right w:val="single" w:color="000000" w:sz="4"/>
                  </w:tcBorders>
                  <w:vAlign w:val="top"/>
                </w:tcPr>
                <w:p>
                  <w:r>
                    <w:rPr>
                      <w:sz w:val="21"/>
                    </w:rPr>
                    <w:t>204</w:t>
                  </w:r>
                </w:p>
              </w:tc>
              <w:tc>
                <w:tcPr>
                  <w:tcW w:type="dxa" w:w="373"/>
                  <w:tcBorders>
                    <w:top w:val="none" w:color="000000" w:sz="4"/>
                    <w:left w:val="single" w:color="000000" w:sz="4"/>
                    <w:bottom w:val="single" w:color="000000" w:sz="4"/>
                    <w:right w:val="single" w:color="000000" w:sz="4"/>
                  </w:tcBorders>
                  <w:vAlign w:val="top"/>
                </w:tcPr>
                <w:p>
                  <w:r>
                    <w:rPr>
                      <w:sz w:val="21"/>
                    </w:rPr>
                    <w:t>263</w:t>
                  </w:r>
                </w:p>
              </w:tc>
              <w:tc>
                <w:tcPr>
                  <w:tcW w:type="dxa" w:w="373"/>
                  <w:tcBorders>
                    <w:top w:val="none" w:color="000000" w:sz="4"/>
                    <w:left w:val="single" w:color="000000" w:sz="4"/>
                    <w:bottom w:val="single" w:color="000000" w:sz="4"/>
                    <w:right w:val="single" w:color="000000" w:sz="4"/>
                  </w:tcBorders>
                  <w:vAlign w:val="top"/>
                </w:tcPr>
                <w:p>
                  <w:r>
                    <w:rPr>
                      <w:sz w:val="21"/>
                    </w:rPr>
                    <w:t>280</w:t>
                  </w:r>
                </w:p>
              </w:tc>
              <w:tc>
                <w:tcPr>
                  <w:tcW w:type="dxa" w:w="373"/>
                  <w:tcBorders>
                    <w:top w:val="none" w:color="000000" w:sz="4"/>
                    <w:left w:val="single" w:color="000000" w:sz="4"/>
                    <w:bottom w:val="single" w:color="000000" w:sz="4"/>
                    <w:right w:val="single" w:color="000000" w:sz="4"/>
                  </w:tcBorders>
                  <w:vAlign w:val="top"/>
                </w:tcPr>
                <w:p>
                  <w:r>
                    <w:rPr>
                      <w:sz w:val="21"/>
                    </w:rPr>
                    <w:t>240</w:t>
                  </w:r>
                </w:p>
              </w:tc>
              <w:tc>
                <w:tcPr>
                  <w:tcW w:type="dxa" w:w="373"/>
                  <w:tcBorders>
                    <w:top w:val="none" w:color="000000" w:sz="4"/>
                    <w:left w:val="single" w:color="000000" w:sz="4"/>
                    <w:bottom w:val="single" w:color="000000" w:sz="4"/>
                    <w:right w:val="single" w:color="000000" w:sz="4"/>
                  </w:tcBorders>
                  <w:vAlign w:val="top"/>
                </w:tcPr>
                <w:p>
                  <w:r>
                    <w:rPr>
                      <w:sz w:val="21"/>
                    </w:rPr>
                    <w:t>190</w:t>
                  </w:r>
                </w:p>
              </w:tc>
              <w:tc>
                <w:tcPr>
                  <w:tcW w:type="dxa" w:w="373"/>
                  <w:tcBorders>
                    <w:top w:val="none" w:color="000000" w:sz="4"/>
                    <w:left w:val="single" w:color="000000" w:sz="4"/>
                    <w:bottom w:val="single" w:color="000000" w:sz="4"/>
                    <w:right w:val="single" w:color="000000" w:sz="4"/>
                  </w:tcBorders>
                  <w:vAlign w:val="top"/>
                </w:tcPr>
                <w:p>
                  <w:r>
                    <w:rPr>
                      <w:sz w:val="21"/>
                    </w:rPr>
                    <w:t>150</w:t>
                  </w:r>
                </w:p>
              </w:tc>
              <w:tc>
                <w:tcPr>
                  <w:tcW w:type="dxa" w:w="373"/>
                  <w:tcBorders>
                    <w:top w:val="none" w:color="000000" w:sz="4"/>
                    <w:left w:val="single" w:color="000000" w:sz="4"/>
                    <w:bottom w:val="single" w:color="000000" w:sz="4"/>
                    <w:right w:val="single" w:color="000000" w:sz="4"/>
                  </w:tcBorders>
                  <w:vAlign w:val="top"/>
                </w:tcPr>
                <w:p>
                  <w:r>
                    <w:rPr>
                      <w:sz w:val="21"/>
                    </w:rPr>
                    <w:t>142</w:t>
                  </w:r>
                </w:p>
              </w:tc>
              <w:tc>
                <w:tcPr>
                  <w:tcW w:type="dxa" w:w="373"/>
                  <w:tcBorders>
                    <w:top w:val="none" w:color="000000" w:sz="4"/>
                    <w:left w:val="single" w:color="000000" w:sz="4"/>
                    <w:bottom w:val="single" w:color="000000" w:sz="4"/>
                    <w:right w:val="single" w:color="000000" w:sz="4"/>
                  </w:tcBorders>
                  <w:vAlign w:val="top"/>
                </w:tcPr>
                <w:p>
                  <w:r>
                    <w:rPr>
                      <w:sz w:val="21"/>
                    </w:rPr>
                    <w:t>176</w:t>
                  </w:r>
                </w:p>
              </w:tc>
              <w:tc>
                <w:tcPr>
                  <w:tcW w:type="dxa" w:w="373"/>
                  <w:tcBorders>
                    <w:top w:val="none" w:color="000000" w:sz="4"/>
                    <w:left w:val="single" w:color="000000" w:sz="4"/>
                    <w:bottom w:val="single" w:color="000000" w:sz="4"/>
                    <w:right w:val="single" w:color="000000" w:sz="4"/>
                  </w:tcBorders>
                  <w:vAlign w:val="top"/>
                </w:tcPr>
                <w:p>
                  <w:r>
                    <w:rPr>
                      <w:sz w:val="21"/>
                    </w:rPr>
                    <w:t>243</w:t>
                  </w:r>
                </w:p>
              </w:tc>
              <w:tc>
                <w:tcPr>
                  <w:tcW w:type="dxa" w:w="373"/>
                  <w:tcBorders>
                    <w:top w:val="none" w:color="000000" w:sz="4"/>
                    <w:left w:val="single" w:color="000000" w:sz="4"/>
                    <w:bottom w:val="single" w:color="000000" w:sz="4"/>
                    <w:right w:val="single" w:color="000000" w:sz="4"/>
                  </w:tcBorders>
                  <w:vAlign w:val="top"/>
                </w:tcPr>
                <w:p>
                  <w:r>
                    <w:rPr>
                      <w:sz w:val="21"/>
                    </w:rPr>
                    <w:t>264</w:t>
                  </w:r>
                </w:p>
              </w:tc>
              <w:tc>
                <w:tcPr>
                  <w:tcW w:type="dxa" w:w="373"/>
                  <w:tcBorders>
                    <w:top w:val="none" w:color="000000" w:sz="4"/>
                    <w:left w:val="single" w:color="000000" w:sz="4"/>
                    <w:bottom w:val="single" w:color="000000" w:sz="4"/>
                    <w:right w:val="single" w:color="000000" w:sz="4"/>
                  </w:tcBorders>
                  <w:vAlign w:val="top"/>
                </w:tcPr>
                <w:p>
                  <w:r>
                    <w:rPr>
                      <w:sz w:val="21"/>
                    </w:rPr>
                    <w:t>238</w:t>
                  </w:r>
                </w:p>
              </w:tc>
              <w:tc>
                <w:tcPr>
                  <w:tcW w:type="dxa" w:w="373"/>
                  <w:tcBorders>
                    <w:top w:val="none" w:color="000000" w:sz="4"/>
                    <w:left w:val="single" w:color="000000" w:sz="4"/>
                    <w:bottom w:val="single" w:color="000000" w:sz="4"/>
                    <w:right w:val="single" w:color="000000" w:sz="4"/>
                  </w:tcBorders>
                  <w:vAlign w:val="top"/>
                </w:tcPr>
                <w:p>
                  <w:r>
                    <w:rPr>
                      <w:sz w:val="21"/>
                    </w:rPr>
                    <w:t>167</w:t>
                  </w:r>
                </w:p>
              </w:tc>
              <w:tc>
                <w:tcPr>
                  <w:tcW w:type="dxa" w:w="373"/>
                  <w:tcBorders>
                    <w:top w:val="none" w:color="000000" w:sz="4"/>
                    <w:left w:val="single" w:color="000000" w:sz="4"/>
                    <w:bottom w:val="single" w:color="000000" w:sz="4"/>
                    <w:right w:val="single" w:color="000000" w:sz="4"/>
                  </w:tcBorders>
                  <w:vAlign w:val="top"/>
                </w:tcPr>
                <w:p>
                  <w:r>
                    <w:rPr>
                      <w:sz w:val="21"/>
                    </w:rPr>
                    <w:t>112</w:t>
                  </w:r>
                </w:p>
              </w:tc>
            </w:tr>
            <w:tr>
              <w:tc>
                <w:tcPr>
                  <w:tcW w:type="dxa" w:w="373"/>
                  <w:tcBorders>
                    <w:top w:val="none" w:color="000000" w:sz="4"/>
                    <w:left w:val="single" w:color="000000" w:sz="4"/>
                    <w:bottom w:val="single" w:color="000000" w:sz="4"/>
                    <w:right w:val="single" w:color="000000" w:sz="4"/>
                  </w:tcBorders>
                  <w:vAlign w:val="top"/>
                </w:tcPr>
                <w:p>
                  <w:r>
                    <w:rPr>
                      <w:sz w:val="21"/>
                    </w:rPr>
                    <w:t>118</w:t>
                  </w:r>
                </w:p>
              </w:tc>
              <w:tc>
                <w:tcPr>
                  <w:tcW w:type="dxa" w:w="373"/>
                  <w:tcBorders>
                    <w:top w:val="none" w:color="000000" w:sz="4"/>
                    <w:left w:val="single" w:color="000000" w:sz="4"/>
                    <w:bottom w:val="single" w:color="000000" w:sz="4"/>
                    <w:right w:val="single" w:color="000000" w:sz="4"/>
                  </w:tcBorders>
                  <w:vAlign w:val="top"/>
                </w:tcPr>
                <w:p>
                  <w:r>
                    <w:rPr>
                      <w:sz w:val="21"/>
                    </w:rPr>
                    <w:t>130</w:t>
                  </w:r>
                </w:p>
              </w:tc>
              <w:tc>
                <w:tcPr>
                  <w:tcW w:type="dxa" w:w="373"/>
                  <w:tcBorders>
                    <w:top w:val="none" w:color="000000" w:sz="4"/>
                    <w:left w:val="single" w:color="000000" w:sz="4"/>
                    <w:bottom w:val="single" w:color="000000" w:sz="4"/>
                    <w:right w:val="single" w:color="000000" w:sz="4"/>
                  </w:tcBorders>
                  <w:vAlign w:val="top"/>
                </w:tcPr>
                <w:p>
                  <w:r>
                    <w:rPr>
                      <w:sz w:val="21"/>
                    </w:rPr>
                    <w:t>157</w:t>
                  </w:r>
                </w:p>
              </w:tc>
              <w:tc>
                <w:tcPr>
                  <w:tcW w:type="dxa" w:w="373"/>
                  <w:tcBorders>
                    <w:top w:val="none" w:color="000000" w:sz="4"/>
                    <w:left w:val="single" w:color="000000" w:sz="4"/>
                    <w:bottom w:val="single" w:color="000000" w:sz="4"/>
                    <w:right w:val="single" w:color="000000" w:sz="4"/>
                  </w:tcBorders>
                  <w:vAlign w:val="top"/>
                </w:tcPr>
                <w:p>
                  <w:r>
                    <w:rPr>
                      <w:sz w:val="21"/>
                    </w:rPr>
                    <w:t>181</w:t>
                  </w:r>
                </w:p>
              </w:tc>
              <w:tc>
                <w:tcPr>
                  <w:tcW w:type="dxa" w:w="373"/>
                  <w:tcBorders>
                    <w:top w:val="none" w:color="000000" w:sz="4"/>
                    <w:left w:val="single" w:color="000000" w:sz="4"/>
                    <w:bottom w:val="single" w:color="000000" w:sz="4"/>
                    <w:right w:val="single" w:color="000000" w:sz="4"/>
                  </w:tcBorders>
                  <w:vAlign w:val="top"/>
                </w:tcPr>
                <w:p>
                  <w:r>
                    <w:rPr>
                      <w:sz w:val="21"/>
                    </w:rPr>
                    <w:t>189</w:t>
                  </w:r>
                </w:p>
              </w:tc>
              <w:tc>
                <w:tcPr>
                  <w:tcW w:type="dxa" w:w="373"/>
                  <w:tcBorders>
                    <w:top w:val="none" w:color="000000" w:sz="4"/>
                    <w:left w:val="single" w:color="000000" w:sz="4"/>
                    <w:bottom w:val="single" w:color="000000" w:sz="4"/>
                    <w:right w:val="single" w:color="000000" w:sz="4"/>
                  </w:tcBorders>
                  <w:vAlign w:val="top"/>
                </w:tcPr>
                <w:p>
                  <w:r>
                    <w:rPr>
                      <w:sz w:val="21"/>
                    </w:rPr>
                    <w:t>156</w:t>
                  </w:r>
                </w:p>
              </w:tc>
              <w:tc>
                <w:tcPr>
                  <w:tcW w:type="dxa" w:w="373"/>
                  <w:tcBorders>
                    <w:top w:val="none" w:color="000000" w:sz="4"/>
                    <w:left w:val="single" w:color="000000" w:sz="4"/>
                    <w:bottom w:val="single" w:color="000000" w:sz="4"/>
                    <w:right w:val="single" w:color="000000" w:sz="4"/>
                  </w:tcBorders>
                  <w:vAlign w:val="top"/>
                </w:tcPr>
                <w:p>
                  <w:r>
                    <w:rPr>
                      <w:sz w:val="21"/>
                    </w:rPr>
                    <w:t>142</w:t>
                  </w:r>
                </w:p>
              </w:tc>
              <w:tc>
                <w:tcPr>
                  <w:tcW w:type="dxa" w:w="373"/>
                  <w:tcBorders>
                    <w:top w:val="none" w:color="000000" w:sz="4"/>
                    <w:left w:val="single" w:color="000000" w:sz="4"/>
                    <w:bottom w:val="single" w:color="000000" w:sz="4"/>
                    <w:right w:val="single" w:color="000000" w:sz="4"/>
                  </w:tcBorders>
                  <w:vAlign w:val="top"/>
                </w:tcPr>
                <w:p>
                  <w:r>
                    <w:rPr>
                      <w:sz w:val="21"/>
                    </w:rPr>
                    <w:t>127</w:t>
                  </w:r>
                </w:p>
              </w:tc>
              <w:tc>
                <w:tcPr>
                  <w:tcW w:type="dxa" w:w="373"/>
                  <w:tcBorders>
                    <w:top w:val="none" w:color="000000" w:sz="4"/>
                    <w:left w:val="single" w:color="000000" w:sz="4"/>
                    <w:bottom w:val="single" w:color="000000" w:sz="4"/>
                    <w:right w:val="single" w:color="000000" w:sz="4"/>
                  </w:tcBorders>
                  <w:vAlign w:val="top"/>
                </w:tcPr>
                <w:p>
                  <w:r>
                    <w:rPr>
                      <w:sz w:val="21"/>
                    </w:rPr>
                    <w:t>121</w:t>
                  </w:r>
                </w:p>
              </w:tc>
              <w:tc>
                <w:tcPr>
                  <w:tcW w:type="dxa" w:w="373"/>
                  <w:tcBorders>
                    <w:top w:val="none" w:color="000000" w:sz="4"/>
                    <w:left w:val="single" w:color="000000" w:sz="4"/>
                    <w:bottom w:val="single" w:color="000000" w:sz="4"/>
                    <w:right w:val="single" w:color="000000" w:sz="4"/>
                  </w:tcBorders>
                  <w:vAlign w:val="top"/>
                </w:tcPr>
                <w:p>
                  <w:r>
                    <w:rPr>
                      <w:sz w:val="21"/>
                    </w:rPr>
                    <w:t>134</w:t>
                  </w:r>
                </w:p>
              </w:tc>
              <w:tc>
                <w:tcPr>
                  <w:tcW w:type="dxa" w:w="373"/>
                  <w:tcBorders>
                    <w:top w:val="none" w:color="000000" w:sz="4"/>
                    <w:left w:val="single" w:color="000000" w:sz="4"/>
                    <w:bottom w:val="single" w:color="000000" w:sz="4"/>
                    <w:right w:val="single" w:color="000000" w:sz="4"/>
                  </w:tcBorders>
                  <w:vAlign w:val="top"/>
                </w:tcPr>
                <w:p>
                  <w:r>
                    <w:rPr>
                      <w:sz w:val="21"/>
                    </w:rPr>
                    <w:t>159</w:t>
                  </w:r>
                </w:p>
              </w:tc>
              <w:tc>
                <w:tcPr>
                  <w:tcW w:type="dxa" w:w="373"/>
                  <w:tcBorders>
                    <w:top w:val="none" w:color="000000" w:sz="4"/>
                    <w:left w:val="single" w:color="000000" w:sz="4"/>
                    <w:bottom w:val="single" w:color="000000" w:sz="4"/>
                    <w:right w:val="single" w:color="000000" w:sz="4"/>
                  </w:tcBorders>
                  <w:vAlign w:val="top"/>
                </w:tcPr>
                <w:p>
                  <w:r>
                    <w:rPr>
                      <w:sz w:val="21"/>
                    </w:rPr>
                    <w:t>177</w:t>
                  </w:r>
                </w:p>
              </w:tc>
              <w:tc>
                <w:tcPr>
                  <w:tcW w:type="dxa" w:w="373"/>
                  <w:tcBorders>
                    <w:top w:val="none" w:color="000000" w:sz="4"/>
                    <w:left w:val="single" w:color="000000" w:sz="4"/>
                    <w:bottom w:val="single" w:color="000000" w:sz="4"/>
                    <w:right w:val="single" w:color="000000" w:sz="4"/>
                  </w:tcBorders>
                  <w:vAlign w:val="top"/>
                </w:tcPr>
                <w:p>
                  <w:r>
                    <w:rPr>
                      <w:sz w:val="21"/>
                    </w:rPr>
                    <w:t>159</w:t>
                  </w:r>
                </w:p>
              </w:tc>
              <w:tc>
                <w:tcPr>
                  <w:tcW w:type="dxa" w:w="373"/>
                  <w:tcBorders>
                    <w:top w:val="none" w:color="000000" w:sz="4"/>
                    <w:left w:val="single" w:color="000000" w:sz="4"/>
                    <w:bottom w:val="single" w:color="000000" w:sz="4"/>
                    <w:right w:val="single" w:color="000000" w:sz="4"/>
                  </w:tcBorders>
                  <w:vAlign w:val="top"/>
                </w:tcPr>
                <w:p>
                  <w:r>
                    <w:rPr>
                      <w:sz w:val="21"/>
                    </w:rPr>
                    <w:t>116</w:t>
                  </w:r>
                </w:p>
              </w:tc>
              <w:tc>
                <w:tcPr>
                  <w:tcW w:type="dxa" w:w="373"/>
                  <w:tcBorders>
                    <w:top w:val="none" w:color="000000" w:sz="4"/>
                    <w:left w:val="single" w:color="000000" w:sz="4"/>
                    <w:bottom w:val="single" w:color="000000" w:sz="4"/>
                    <w:right w:val="single" w:color="000000" w:sz="4"/>
                  </w:tcBorders>
                  <w:vAlign w:val="top"/>
                </w:tcPr>
                <w:p>
                  <w:r>
                    <w:rPr>
                      <w:sz w:val="21"/>
                    </w:rPr>
                    <w:t>100</w:t>
                  </w:r>
                </w:p>
              </w:tc>
            </w:tr>
            <w:tr>
              <w:tc>
                <w:tcPr>
                  <w:tcW w:type="dxa" w:w="373"/>
                  <w:tcBorders>
                    <w:top w:val="none" w:color="000000" w:sz="4"/>
                    <w:left w:val="single" w:color="000000" w:sz="4"/>
                    <w:bottom w:val="single" w:color="000000" w:sz="4"/>
                    <w:right w:val="single" w:color="000000" w:sz="4"/>
                  </w:tcBorders>
                  <w:vAlign w:val="top"/>
                </w:tcPr>
                <w:p>
                  <w:r>
                    <w:rPr>
                      <w:sz w:val="21"/>
                    </w:rPr>
                    <w:t>100</w:t>
                  </w:r>
                </w:p>
              </w:tc>
              <w:tc>
                <w:tcPr>
                  <w:tcW w:type="dxa" w:w="373"/>
                  <w:tcBorders>
                    <w:top w:val="none" w:color="000000" w:sz="4"/>
                    <w:left w:val="single" w:color="000000" w:sz="4"/>
                    <w:bottom w:val="single" w:color="000000" w:sz="4"/>
                    <w:right w:val="single" w:color="000000" w:sz="4"/>
                  </w:tcBorders>
                  <w:vAlign w:val="top"/>
                </w:tcPr>
                <w:p>
                  <w:r>
                    <w:rPr>
                      <w:sz w:val="21"/>
                    </w:rPr>
                    <w:t>110</w:t>
                  </w:r>
                </w:p>
              </w:tc>
              <w:tc>
                <w:tcPr>
                  <w:tcW w:type="dxa" w:w="373"/>
                  <w:tcBorders>
                    <w:top w:val="none" w:color="000000" w:sz="4"/>
                    <w:left w:val="single" w:color="000000" w:sz="4"/>
                    <w:bottom w:val="single" w:color="000000" w:sz="4"/>
                    <w:right w:val="single" w:color="000000" w:sz="4"/>
                  </w:tcBorders>
                  <w:vAlign w:val="top"/>
                </w:tcPr>
                <w:p>
                  <w:r>
                    <w:rPr>
                      <w:sz w:val="21"/>
                    </w:rPr>
                    <w:t>114</w:t>
                  </w:r>
                </w:p>
              </w:tc>
              <w:tc>
                <w:tcPr>
                  <w:tcW w:type="dxa" w:w="373"/>
                  <w:tcBorders>
                    <w:top w:val="none" w:color="000000" w:sz="4"/>
                    <w:left w:val="single" w:color="000000" w:sz="4"/>
                    <w:bottom w:val="single" w:color="000000" w:sz="4"/>
                    <w:right w:val="single" w:color="000000" w:sz="4"/>
                  </w:tcBorders>
                  <w:vAlign w:val="top"/>
                </w:tcPr>
                <w:p>
                  <w:r>
                    <w:rPr>
                      <w:sz w:val="21"/>
                    </w:rPr>
                    <w:t>112</w:t>
                  </w:r>
                </w:p>
              </w:tc>
              <w:tc>
                <w:tcPr>
                  <w:tcW w:type="dxa" w:w="373"/>
                  <w:tcBorders>
                    <w:top w:val="none" w:color="000000" w:sz="4"/>
                    <w:left w:val="single" w:color="000000" w:sz="4"/>
                    <w:bottom w:val="single" w:color="000000" w:sz="4"/>
                    <w:right w:val="single" w:color="000000" w:sz="4"/>
                  </w:tcBorders>
                  <w:vAlign w:val="top"/>
                </w:tcPr>
                <w:p>
                  <w:r>
                    <w:rPr>
                      <w:sz w:val="21"/>
                    </w:rPr>
                    <w:t>120</w:t>
                  </w:r>
                </w:p>
              </w:tc>
              <w:tc>
                <w:tcPr>
                  <w:tcW w:type="dxa" w:w="373"/>
                  <w:tcBorders>
                    <w:top w:val="none" w:color="000000" w:sz="4"/>
                    <w:left w:val="single" w:color="000000" w:sz="4"/>
                    <w:bottom w:val="single" w:color="000000" w:sz="4"/>
                    <w:right w:val="single" w:color="000000" w:sz="4"/>
                  </w:tcBorders>
                  <w:vAlign w:val="top"/>
                </w:tcPr>
                <w:p>
                  <w:r>
                    <w:rPr>
                      <w:sz w:val="21"/>
                    </w:rPr>
                    <w:t>124</w:t>
                  </w:r>
                </w:p>
              </w:tc>
              <w:tc>
                <w:tcPr>
                  <w:tcW w:type="dxa" w:w="373"/>
                  <w:tcBorders>
                    <w:top w:val="none" w:color="000000" w:sz="4"/>
                    <w:left w:val="single" w:color="000000" w:sz="4"/>
                    <w:bottom w:val="single" w:color="000000" w:sz="4"/>
                    <w:right w:val="single" w:color="000000" w:sz="4"/>
                  </w:tcBorders>
                  <w:vAlign w:val="top"/>
                </w:tcPr>
                <w:p>
                  <w:r>
                    <w:rPr>
                      <w:sz w:val="21"/>
                    </w:rPr>
                    <w:t>116</w:t>
                  </w:r>
                </w:p>
              </w:tc>
              <w:tc>
                <w:tcPr>
                  <w:tcW w:type="dxa" w:w="373"/>
                  <w:tcBorders>
                    <w:top w:val="none" w:color="000000" w:sz="4"/>
                    <w:left w:val="single" w:color="000000" w:sz="4"/>
                    <w:bottom w:val="single" w:color="000000" w:sz="4"/>
                    <w:right w:val="single" w:color="000000" w:sz="4"/>
                  </w:tcBorders>
                  <w:vAlign w:val="top"/>
                </w:tcPr>
                <w:p>
                  <w:r>
                    <w:rPr>
                      <w:sz w:val="21"/>
                    </w:rPr>
                    <w:t>108</w:t>
                  </w:r>
                </w:p>
              </w:tc>
              <w:tc>
                <w:tcPr>
                  <w:tcW w:type="dxa" w:w="373"/>
                  <w:tcBorders>
                    <w:top w:val="none" w:color="000000" w:sz="4"/>
                    <w:left w:val="single" w:color="000000" w:sz="4"/>
                    <w:bottom w:val="single" w:color="000000" w:sz="4"/>
                    <w:right w:val="single" w:color="000000" w:sz="4"/>
                  </w:tcBorders>
                  <w:vAlign w:val="top"/>
                </w:tcPr>
                <w:p>
                  <w:r>
                    <w:rPr>
                      <w:sz w:val="21"/>
                    </w:rPr>
                    <w:t>105</w:t>
                  </w:r>
                </w:p>
              </w:tc>
              <w:tc>
                <w:tcPr>
                  <w:tcW w:type="dxa" w:w="373"/>
                  <w:tcBorders>
                    <w:top w:val="none" w:color="000000" w:sz="4"/>
                    <w:left w:val="single" w:color="000000" w:sz="4"/>
                    <w:bottom w:val="single" w:color="000000" w:sz="4"/>
                    <w:right w:val="single" w:color="000000" w:sz="4"/>
                  </w:tcBorders>
                  <w:vAlign w:val="top"/>
                </w:tcPr>
                <w:p>
                  <w:r>
                    <w:rPr>
                      <w:sz w:val="21"/>
                    </w:rPr>
                    <w:t>107</w:t>
                  </w:r>
                </w:p>
              </w:tc>
              <w:tc>
                <w:tcPr>
                  <w:tcW w:type="dxa" w:w="373"/>
                  <w:tcBorders>
                    <w:top w:val="none" w:color="000000" w:sz="4"/>
                    <w:left w:val="single" w:color="000000" w:sz="4"/>
                    <w:bottom w:val="single" w:color="000000" w:sz="4"/>
                    <w:right w:val="single" w:color="000000" w:sz="4"/>
                  </w:tcBorders>
                  <w:vAlign w:val="top"/>
                </w:tcPr>
                <w:p>
                  <w:r>
                    <w:rPr>
                      <w:sz w:val="21"/>
                    </w:rPr>
                    <w:t>111</w:t>
                  </w:r>
                </w:p>
              </w:tc>
              <w:tc>
                <w:tcPr>
                  <w:tcW w:type="dxa" w:w="373"/>
                  <w:tcBorders>
                    <w:top w:val="none" w:color="000000" w:sz="4"/>
                    <w:left w:val="single" w:color="000000" w:sz="4"/>
                    <w:bottom w:val="single" w:color="000000" w:sz="4"/>
                    <w:right w:val="single" w:color="000000" w:sz="4"/>
                  </w:tcBorders>
                  <w:vAlign w:val="top"/>
                </w:tcPr>
                <w:p>
                  <w:r>
                    <w:rPr>
                      <w:sz w:val="21"/>
                    </w:rPr>
                    <w:t>110</w:t>
                  </w:r>
                </w:p>
              </w:tc>
              <w:tc>
                <w:tcPr>
                  <w:tcW w:type="dxa" w:w="373"/>
                  <w:tcBorders>
                    <w:top w:val="none" w:color="000000" w:sz="4"/>
                    <w:left w:val="single" w:color="000000" w:sz="4"/>
                    <w:bottom w:val="single" w:color="000000" w:sz="4"/>
                    <w:right w:val="single" w:color="000000" w:sz="4"/>
                  </w:tcBorders>
                  <w:vAlign w:val="top"/>
                </w:tcPr>
                <w:p>
                  <w:r>
                    <w:rPr>
                      <w:sz w:val="21"/>
                    </w:rPr>
                    <w:t>108</w:t>
                  </w:r>
                </w:p>
              </w:tc>
              <w:tc>
                <w:tcPr>
                  <w:tcW w:type="dxa" w:w="373"/>
                  <w:tcBorders>
                    <w:top w:val="none" w:color="000000" w:sz="4"/>
                    <w:left w:val="single" w:color="000000" w:sz="4"/>
                    <w:bottom w:val="single" w:color="000000" w:sz="4"/>
                    <w:right w:val="single" w:color="000000" w:sz="4"/>
                  </w:tcBorders>
                  <w:vAlign w:val="top"/>
                </w:tcPr>
                <w:p>
                  <w:r>
                    <w:rPr>
                      <w:sz w:val="21"/>
                    </w:rPr>
                    <w:t>100</w:t>
                  </w:r>
                </w:p>
              </w:tc>
              <w:tc>
                <w:tcPr>
                  <w:tcW w:type="dxa" w:w="373"/>
                  <w:tcBorders>
                    <w:top w:val="none" w:color="000000" w:sz="4"/>
                    <w:left w:val="single" w:color="000000" w:sz="4"/>
                    <w:bottom w:val="single" w:color="000000" w:sz="4"/>
                    <w:right w:val="single" w:color="000000" w:sz="4"/>
                  </w:tcBorders>
                  <w:vAlign w:val="top"/>
                </w:tcPr>
                <w:p>
                  <w:r>
                    <w:rPr>
                      <w:sz w:val="21"/>
                    </w:rPr>
                    <w:t>84</w:t>
                  </w:r>
                </w:p>
              </w:tc>
            </w:tr>
          </w:tbl>
          <w:p>
            <w:pPr>
              <w:jc w:val="center"/>
            </w:pPr>
            <w:r>
              <w:rPr/>
              <w:t xml:space="preserve"> </w:t>
            </w:r>
          </w:p>
          <w:p>
            <w:pPr>
              <w:jc w:val="center"/>
            </w:pPr>
            <w:r>
              <w:rPr/>
              <w:t xml:space="preserve"> </w:t>
            </w:r>
          </w:p>
          <w:p>
            <w:pPr>
              <w:jc w:val="center"/>
            </w:pPr>
            <w:r>
              <w:rPr>
                <w:b/>
                <w:sz w:val="21"/>
              </w:rPr>
              <w:t>平均照度</w:t>
            </w:r>
            <w:r>
              <w:rPr>
                <w:b/>
                <w:sz w:val="21"/>
              </w:rPr>
              <w:t>=11328/60=188.8lx，照度均匀度=84/188.8=0.445</w:t>
            </w:r>
          </w:p>
          <w:p>
            <w:r>
              <w:rPr/>
              <w:t xml:space="preserve"> </w:t>
            </w:r>
          </w:p>
          <w:p>
            <w:r>
              <w:rPr/>
              <w:t xml:space="preserve"> </w:t>
            </w:r>
          </w:p>
          <w:p>
            <w:r>
              <w:rPr>
                <w:b/>
                <w:sz w:val="21"/>
              </w:rPr>
              <w:t>课桌平均照度及均匀度测量（单位：</w:t>
            </w:r>
            <w:r>
              <w:rPr>
                <w:b/>
                <w:sz w:val="21"/>
              </w:rPr>
              <w:t>lx）：</w:t>
            </w:r>
          </w:p>
          <w:p>
            <w:r>
              <w:rPr/>
              <w:t xml:space="preserve"> </w:t>
            </w:r>
          </w:p>
          <w:p>
            <w:r>
              <w:rPr/>
              <w:t xml:space="preserve"> </w:t>
            </w:r>
          </w:p>
          <w:tbl>
            <w:tblPr>
              <w:tblBorders>
                <w:top w:val="none" w:color="000000" w:sz="4"/>
                <w:left w:val="none" w:color="000000" w:sz="4"/>
                <w:bottom w:val="none" w:color="000000" w:sz="4"/>
                <w:right w:val="none" w:color="000000" w:sz="4"/>
                <w:insideH w:val="none"/>
                <w:insideV w:val="none"/>
              </w:tblBorders>
            </w:tblPr>
            <w:tblGrid>
              <w:gridCol w:w="798"/>
              <w:gridCol w:w="798"/>
              <w:gridCol w:w="798"/>
              <w:gridCol w:w="798"/>
              <w:gridCol w:w="798"/>
              <w:gridCol w:w="798"/>
              <w:gridCol w:w="798"/>
            </w:tblGrid>
            <w:tr>
              <w:tc>
                <w:tcPr>
                  <w:tcW w:type="dxa" w:w="798"/>
                  <w:tcBorders>
                    <w:top w:val="single" w:color="000000" w:sz="4"/>
                    <w:left w:val="single" w:color="000000" w:sz="4"/>
                    <w:bottom w:val="single" w:color="000000" w:sz="4"/>
                    <w:right w:val="single" w:color="000000" w:sz="4"/>
                  </w:tcBorders>
                  <w:vAlign w:val="top"/>
                </w:tcPr>
                <w:p>
                  <w:r>
                    <w:rPr>
                      <w:sz w:val="21"/>
                    </w:rPr>
                    <w:t>174</w:t>
                  </w:r>
                </w:p>
              </w:tc>
              <w:tc>
                <w:tcPr>
                  <w:tcW w:type="dxa" w:w="798"/>
                  <w:tcBorders>
                    <w:top w:val="single" w:color="000000" w:sz="4"/>
                    <w:left w:val="single" w:color="000000" w:sz="4"/>
                    <w:bottom w:val="single" w:color="000000" w:sz="4"/>
                    <w:right w:val="single" w:color="000000" w:sz="4"/>
                  </w:tcBorders>
                  <w:vAlign w:val="top"/>
                </w:tcPr>
                <w:p>
                  <w:r>
                    <w:rPr>
                      <w:sz w:val="21"/>
                    </w:rPr>
                    <w:t>200</w:t>
                  </w:r>
                </w:p>
              </w:tc>
              <w:tc>
                <w:tcPr>
                  <w:tcW w:type="dxa" w:w="798"/>
                  <w:tcBorders>
                    <w:top w:val="single" w:color="000000" w:sz="4"/>
                    <w:left w:val="single" w:color="000000" w:sz="4"/>
                    <w:bottom w:val="single" w:color="000000" w:sz="4"/>
                    <w:right w:val="single" w:color="000000" w:sz="4"/>
                  </w:tcBorders>
                  <w:vAlign w:val="top"/>
                </w:tcPr>
                <w:p>
                  <w:r>
                    <w:rPr>
                      <w:sz w:val="21"/>
                    </w:rPr>
                    <w:t>176</w:t>
                  </w:r>
                </w:p>
              </w:tc>
              <w:tc>
                <w:tcPr>
                  <w:tcW w:type="dxa" w:w="798"/>
                  <w:tcBorders>
                    <w:top w:val="single" w:color="000000" w:sz="4"/>
                    <w:left w:val="single" w:color="000000" w:sz="4"/>
                    <w:bottom w:val="single" w:color="000000" w:sz="4"/>
                    <w:right w:val="single" w:color="000000" w:sz="4"/>
                  </w:tcBorders>
                  <w:vAlign w:val="top"/>
                </w:tcPr>
                <w:p>
                  <w:r>
                    <w:rPr>
                      <w:sz w:val="21"/>
                    </w:rPr>
                    <w:t>140</w:t>
                  </w:r>
                </w:p>
              </w:tc>
              <w:tc>
                <w:tcPr>
                  <w:tcW w:type="dxa" w:w="798"/>
                  <w:tcBorders>
                    <w:top w:val="single" w:color="000000" w:sz="4"/>
                    <w:left w:val="single" w:color="000000" w:sz="4"/>
                    <w:bottom w:val="single" w:color="000000" w:sz="4"/>
                    <w:right w:val="single" w:color="000000" w:sz="4"/>
                  </w:tcBorders>
                  <w:vAlign w:val="top"/>
                </w:tcPr>
                <w:p>
                  <w:r>
                    <w:rPr>
                      <w:sz w:val="21"/>
                    </w:rPr>
                    <w:t>163</w:t>
                  </w:r>
                </w:p>
              </w:tc>
              <w:tc>
                <w:tcPr>
                  <w:tcW w:type="dxa" w:w="798"/>
                  <w:tcBorders>
                    <w:top w:val="single" w:color="000000" w:sz="4"/>
                    <w:left w:val="single" w:color="000000" w:sz="4"/>
                    <w:bottom w:val="single" w:color="000000" w:sz="4"/>
                    <w:right w:val="single" w:color="000000" w:sz="4"/>
                  </w:tcBorders>
                  <w:vAlign w:val="top"/>
                </w:tcPr>
                <w:p>
                  <w:r>
                    <w:rPr>
                      <w:sz w:val="21"/>
                    </w:rPr>
                    <w:t>120</w:t>
                  </w:r>
                </w:p>
              </w:tc>
              <w:tc>
                <w:tcPr>
                  <w:tcW w:type="dxa" w:w="798"/>
                  <w:tcBorders>
                    <w:top w:val="single" w:color="000000" w:sz="4"/>
                    <w:left w:val="single" w:color="000000" w:sz="4"/>
                    <w:bottom w:val="single" w:color="000000" w:sz="4"/>
                    <w:right w:val="single" w:color="000000" w:sz="4"/>
                  </w:tcBorders>
                  <w:vAlign w:val="top"/>
                </w:tcPr>
                <w:p>
                  <w:r>
                    <w:rPr>
                      <w:sz w:val="21"/>
                    </w:rPr>
                    <w:t>63</w:t>
                  </w:r>
                </w:p>
              </w:tc>
            </w:tr>
            <w:tr>
              <w:tc>
                <w:tcPr>
                  <w:tcW w:type="dxa" w:w="798"/>
                  <w:tcBorders>
                    <w:top w:val="none" w:color="000000" w:sz="4"/>
                    <w:left w:val="single" w:color="000000" w:sz="4"/>
                    <w:bottom w:val="single" w:color="000000" w:sz="4"/>
                    <w:right w:val="single" w:color="000000" w:sz="4"/>
                  </w:tcBorders>
                  <w:vAlign w:val="top"/>
                </w:tcPr>
                <w:p>
                  <w:r>
                    <w:rPr>
                      <w:sz w:val="21"/>
                    </w:rPr>
                    <w:t>154</w:t>
                  </w:r>
                </w:p>
              </w:tc>
              <w:tc>
                <w:tcPr>
                  <w:tcW w:type="dxa" w:w="798"/>
                  <w:tcBorders>
                    <w:top w:val="none" w:color="000000" w:sz="4"/>
                    <w:left w:val="single" w:color="000000" w:sz="4"/>
                    <w:bottom w:val="single" w:color="000000" w:sz="4"/>
                    <w:right w:val="single" w:color="000000" w:sz="4"/>
                  </w:tcBorders>
                  <w:vAlign w:val="top"/>
                </w:tcPr>
                <w:p>
                  <w:r>
                    <w:rPr>
                      <w:sz w:val="21"/>
                    </w:rPr>
                    <w:t>176</w:t>
                  </w:r>
                </w:p>
              </w:tc>
              <w:tc>
                <w:tcPr>
                  <w:tcW w:type="dxa" w:w="798"/>
                  <w:tcBorders>
                    <w:top w:val="none" w:color="000000" w:sz="4"/>
                    <w:left w:val="single" w:color="000000" w:sz="4"/>
                    <w:bottom w:val="single" w:color="000000" w:sz="4"/>
                    <w:right w:val="single" w:color="000000" w:sz="4"/>
                  </w:tcBorders>
                  <w:vAlign w:val="top"/>
                </w:tcPr>
                <w:p>
                  <w:r>
                    <w:rPr>
                      <w:sz w:val="21"/>
                    </w:rPr>
                    <w:t>144</w:t>
                  </w:r>
                </w:p>
              </w:tc>
              <w:tc>
                <w:tcPr>
                  <w:tcW w:type="dxa" w:w="798"/>
                  <w:tcBorders>
                    <w:top w:val="none" w:color="000000" w:sz="4"/>
                    <w:left w:val="single" w:color="000000" w:sz="4"/>
                    <w:bottom w:val="single" w:color="000000" w:sz="4"/>
                    <w:right w:val="single" w:color="000000" w:sz="4"/>
                  </w:tcBorders>
                  <w:vAlign w:val="top"/>
                </w:tcPr>
                <w:p>
                  <w:r>
                    <w:rPr>
                      <w:sz w:val="21"/>
                    </w:rPr>
                    <w:t>172</w:t>
                  </w:r>
                </w:p>
              </w:tc>
              <w:tc>
                <w:tcPr>
                  <w:tcW w:type="dxa" w:w="798"/>
                  <w:tcBorders>
                    <w:top w:val="none" w:color="000000" w:sz="4"/>
                    <w:left w:val="single" w:color="000000" w:sz="4"/>
                    <w:bottom w:val="single" w:color="000000" w:sz="4"/>
                    <w:right w:val="single" w:color="000000" w:sz="4"/>
                  </w:tcBorders>
                  <w:vAlign w:val="top"/>
                </w:tcPr>
                <w:p>
                  <w:r>
                    <w:rPr>
                      <w:sz w:val="21"/>
                    </w:rPr>
                    <w:t>147</w:t>
                  </w:r>
                </w:p>
              </w:tc>
              <w:tc>
                <w:tcPr>
                  <w:tcW w:type="dxa" w:w="798"/>
                  <w:tcBorders>
                    <w:top w:val="none" w:color="000000" w:sz="4"/>
                    <w:left w:val="single" w:color="000000" w:sz="4"/>
                    <w:bottom w:val="single" w:color="000000" w:sz="4"/>
                    <w:right w:val="single" w:color="000000" w:sz="4"/>
                  </w:tcBorders>
                  <w:vAlign w:val="top"/>
                </w:tcPr>
                <w:p>
                  <w:r>
                    <w:rPr>
                      <w:sz w:val="21"/>
                    </w:rPr>
                    <w:t>110</w:t>
                  </w:r>
                </w:p>
              </w:tc>
              <w:tc>
                <w:tcPr>
                  <w:tcW w:type="dxa" w:w="798"/>
                  <w:tcBorders>
                    <w:top w:val="none" w:color="000000" w:sz="4"/>
                    <w:left w:val="single" w:color="000000" w:sz="4"/>
                    <w:bottom w:val="single" w:color="000000" w:sz="4"/>
                    <w:right w:val="single" w:color="000000" w:sz="4"/>
                  </w:tcBorders>
                  <w:vAlign w:val="top"/>
                </w:tcPr>
                <w:p>
                  <w:r>
                    <w:rPr>
                      <w:sz w:val="21"/>
                    </w:rPr>
                    <w:t>83</w:t>
                  </w:r>
                </w:p>
              </w:tc>
            </w:tr>
            <w:tr>
              <w:tc>
                <w:tcPr>
                  <w:tcW w:type="dxa" w:w="798"/>
                  <w:tcBorders>
                    <w:top w:val="none" w:color="000000" w:sz="4"/>
                    <w:left w:val="single" w:color="000000" w:sz="4"/>
                    <w:bottom w:val="single" w:color="000000" w:sz="4"/>
                    <w:right w:val="single" w:color="000000" w:sz="4"/>
                  </w:tcBorders>
                  <w:vAlign w:val="top"/>
                </w:tcPr>
                <w:p>
                  <w:r>
                    <w:rPr>
                      <w:sz w:val="21"/>
                    </w:rPr>
                    <w:t>145</w:t>
                  </w:r>
                </w:p>
              </w:tc>
              <w:tc>
                <w:tcPr>
                  <w:tcW w:type="dxa" w:w="798"/>
                  <w:tcBorders>
                    <w:top w:val="none" w:color="000000" w:sz="4"/>
                    <w:left w:val="single" w:color="000000" w:sz="4"/>
                    <w:bottom w:val="single" w:color="000000" w:sz="4"/>
                    <w:right w:val="single" w:color="000000" w:sz="4"/>
                  </w:tcBorders>
                  <w:vAlign w:val="top"/>
                </w:tcPr>
                <w:p>
                  <w:r>
                    <w:rPr>
                      <w:sz w:val="21"/>
                    </w:rPr>
                    <w:t>170</w:t>
                  </w:r>
                </w:p>
              </w:tc>
              <w:tc>
                <w:tcPr>
                  <w:tcW w:type="dxa" w:w="798"/>
                  <w:tcBorders>
                    <w:top w:val="none" w:color="000000" w:sz="4"/>
                    <w:left w:val="single" w:color="000000" w:sz="4"/>
                    <w:bottom w:val="single" w:color="000000" w:sz="4"/>
                    <w:right w:val="single" w:color="000000" w:sz="4"/>
                  </w:tcBorders>
                  <w:vAlign w:val="top"/>
                </w:tcPr>
                <w:p>
                  <w:r>
                    <w:rPr>
                      <w:sz w:val="21"/>
                    </w:rPr>
                    <w:t>156</w:t>
                  </w:r>
                </w:p>
              </w:tc>
              <w:tc>
                <w:tcPr>
                  <w:tcW w:type="dxa" w:w="798"/>
                  <w:tcBorders>
                    <w:top w:val="none" w:color="000000" w:sz="4"/>
                    <w:left w:val="single" w:color="000000" w:sz="4"/>
                    <w:bottom w:val="single" w:color="000000" w:sz="4"/>
                    <w:right w:val="single" w:color="000000" w:sz="4"/>
                  </w:tcBorders>
                  <w:vAlign w:val="top"/>
                </w:tcPr>
                <w:p>
                  <w:r>
                    <w:rPr>
                      <w:sz w:val="21"/>
                    </w:rPr>
                    <w:t>165</w:t>
                  </w:r>
                </w:p>
              </w:tc>
              <w:tc>
                <w:tcPr>
                  <w:tcW w:type="dxa" w:w="798"/>
                  <w:tcBorders>
                    <w:top w:val="none" w:color="000000" w:sz="4"/>
                    <w:left w:val="single" w:color="000000" w:sz="4"/>
                    <w:bottom w:val="single" w:color="000000" w:sz="4"/>
                    <w:right w:val="single" w:color="000000" w:sz="4"/>
                  </w:tcBorders>
                  <w:vAlign w:val="top"/>
                </w:tcPr>
                <w:p>
                  <w:r>
                    <w:rPr>
                      <w:sz w:val="21"/>
                    </w:rPr>
                    <w:t>135</w:t>
                  </w:r>
                </w:p>
              </w:tc>
              <w:tc>
                <w:tcPr>
                  <w:tcW w:type="dxa" w:w="798"/>
                  <w:tcBorders>
                    <w:top w:val="none" w:color="000000" w:sz="4"/>
                    <w:left w:val="single" w:color="000000" w:sz="4"/>
                    <w:bottom w:val="single" w:color="000000" w:sz="4"/>
                    <w:right w:val="single" w:color="000000" w:sz="4"/>
                  </w:tcBorders>
                  <w:vAlign w:val="top"/>
                </w:tcPr>
                <w:p>
                  <w:r>
                    <w:rPr>
                      <w:sz w:val="21"/>
                    </w:rPr>
                    <w:t>110</w:t>
                  </w:r>
                </w:p>
              </w:tc>
              <w:tc>
                <w:tcPr>
                  <w:tcW w:type="dxa" w:w="798"/>
                  <w:tcBorders>
                    <w:top w:val="none" w:color="000000" w:sz="4"/>
                    <w:left w:val="single" w:color="000000" w:sz="4"/>
                    <w:bottom w:val="single" w:color="000000" w:sz="4"/>
                    <w:right w:val="single" w:color="000000" w:sz="4"/>
                  </w:tcBorders>
                  <w:vAlign w:val="top"/>
                </w:tcPr>
                <w:p>
                  <w:r>
                    <w:rPr>
                      <w:sz w:val="21"/>
                    </w:rPr>
                    <w:t>50</w:t>
                  </w:r>
                </w:p>
              </w:tc>
            </w:tr>
            <w:tr>
              <w:tc>
                <w:tcPr>
                  <w:tcW w:type="dxa" w:w="798"/>
                  <w:tcBorders>
                    <w:top w:val="none" w:color="000000" w:sz="4"/>
                    <w:left w:val="single" w:color="000000" w:sz="4"/>
                    <w:bottom w:val="single" w:color="000000" w:sz="4"/>
                    <w:right w:val="single" w:color="000000" w:sz="4"/>
                  </w:tcBorders>
                  <w:vAlign w:val="top"/>
                </w:tcPr>
                <w:p>
                  <w:r>
                    <w:rPr>
                      <w:sz w:val="21"/>
                    </w:rPr>
                    <w:t>175</w:t>
                  </w:r>
                </w:p>
              </w:tc>
              <w:tc>
                <w:tcPr>
                  <w:tcW w:type="dxa" w:w="798"/>
                  <w:tcBorders>
                    <w:top w:val="none" w:color="000000" w:sz="4"/>
                    <w:left w:val="single" w:color="000000" w:sz="4"/>
                    <w:bottom w:val="single" w:color="000000" w:sz="4"/>
                    <w:right w:val="single" w:color="000000" w:sz="4"/>
                  </w:tcBorders>
                  <w:vAlign w:val="top"/>
                </w:tcPr>
                <w:p>
                  <w:r>
                    <w:rPr>
                      <w:sz w:val="21"/>
                    </w:rPr>
                    <w:t>203</w:t>
                  </w:r>
                </w:p>
              </w:tc>
              <w:tc>
                <w:tcPr>
                  <w:tcW w:type="dxa" w:w="798"/>
                  <w:tcBorders>
                    <w:top w:val="none" w:color="000000" w:sz="4"/>
                    <w:left w:val="single" w:color="000000" w:sz="4"/>
                    <w:bottom w:val="single" w:color="000000" w:sz="4"/>
                    <w:right w:val="single" w:color="000000" w:sz="4"/>
                  </w:tcBorders>
                  <w:vAlign w:val="top"/>
                </w:tcPr>
                <w:p>
                  <w:r>
                    <w:rPr>
                      <w:sz w:val="21"/>
                    </w:rPr>
                    <w:t>181</w:t>
                  </w:r>
                </w:p>
              </w:tc>
              <w:tc>
                <w:tcPr>
                  <w:tcW w:type="dxa" w:w="798"/>
                  <w:tcBorders>
                    <w:top w:val="none" w:color="000000" w:sz="4"/>
                    <w:left w:val="single" w:color="000000" w:sz="4"/>
                    <w:bottom w:val="single" w:color="000000" w:sz="4"/>
                    <w:right w:val="single" w:color="000000" w:sz="4"/>
                  </w:tcBorders>
                  <w:vAlign w:val="top"/>
                </w:tcPr>
                <w:p>
                  <w:r>
                    <w:rPr>
                      <w:sz w:val="21"/>
                    </w:rPr>
                    <w:t>200</w:t>
                  </w:r>
                </w:p>
              </w:tc>
              <w:tc>
                <w:tcPr>
                  <w:tcW w:type="dxa" w:w="798"/>
                  <w:tcBorders>
                    <w:top w:val="none" w:color="000000" w:sz="4"/>
                    <w:left w:val="single" w:color="000000" w:sz="4"/>
                    <w:bottom w:val="single" w:color="000000" w:sz="4"/>
                    <w:right w:val="single" w:color="000000" w:sz="4"/>
                  </w:tcBorders>
                  <w:vAlign w:val="top"/>
                </w:tcPr>
                <w:p>
                  <w:r>
                    <w:rPr>
                      <w:sz w:val="21"/>
                    </w:rPr>
                    <w:t>173</w:t>
                  </w:r>
                </w:p>
              </w:tc>
              <w:tc>
                <w:tcPr>
                  <w:tcW w:type="dxa" w:w="798"/>
                  <w:tcBorders>
                    <w:top w:val="none" w:color="000000" w:sz="4"/>
                    <w:left w:val="single" w:color="000000" w:sz="4"/>
                    <w:bottom w:val="single" w:color="000000" w:sz="4"/>
                    <w:right w:val="single" w:color="000000" w:sz="4"/>
                  </w:tcBorders>
                  <w:vAlign w:val="top"/>
                </w:tcPr>
                <w:p>
                  <w:r>
                    <w:rPr>
                      <w:sz w:val="21"/>
                    </w:rPr>
                    <w:t>169</w:t>
                  </w:r>
                </w:p>
              </w:tc>
              <w:tc>
                <w:tcPr>
                  <w:tcW w:type="dxa" w:w="798"/>
                  <w:tcBorders>
                    <w:top w:val="none" w:color="000000" w:sz="4"/>
                    <w:left w:val="single" w:color="000000" w:sz="4"/>
                    <w:bottom w:val="single" w:color="000000" w:sz="4"/>
                    <w:right w:val="single" w:color="000000" w:sz="4"/>
                  </w:tcBorders>
                  <w:vAlign w:val="top"/>
                </w:tcPr>
                <w:p>
                  <w:r>
                    <w:rPr>
                      <w:sz w:val="21"/>
                    </w:rPr>
                    <w:t>110</w:t>
                  </w:r>
                </w:p>
              </w:tc>
            </w:tr>
            <w:tr>
              <w:tc>
                <w:tcPr>
                  <w:tcW w:type="dxa" w:w="798"/>
                  <w:tcBorders>
                    <w:top w:val="none" w:color="000000" w:sz="4"/>
                    <w:left w:val="single" w:color="000000" w:sz="4"/>
                    <w:bottom w:val="single" w:color="000000" w:sz="4"/>
                    <w:right w:val="single" w:color="000000" w:sz="4"/>
                  </w:tcBorders>
                  <w:vAlign w:val="top"/>
                </w:tcPr>
                <w:p>
                  <w:r>
                    <w:rPr>
                      <w:sz w:val="21"/>
                    </w:rPr>
                    <w:t>169</w:t>
                  </w:r>
                </w:p>
              </w:tc>
              <w:tc>
                <w:tcPr>
                  <w:tcW w:type="dxa" w:w="798"/>
                  <w:tcBorders>
                    <w:top w:val="none" w:color="000000" w:sz="4"/>
                    <w:left w:val="single" w:color="000000" w:sz="4"/>
                    <w:bottom w:val="single" w:color="000000" w:sz="4"/>
                    <w:right w:val="single" w:color="000000" w:sz="4"/>
                  </w:tcBorders>
                  <w:vAlign w:val="top"/>
                </w:tcPr>
                <w:p>
                  <w:r>
                    <w:rPr>
                      <w:sz w:val="21"/>
                    </w:rPr>
                    <w:t>177</w:t>
                  </w:r>
                </w:p>
              </w:tc>
              <w:tc>
                <w:tcPr>
                  <w:tcW w:type="dxa" w:w="798"/>
                  <w:tcBorders>
                    <w:top w:val="none" w:color="000000" w:sz="4"/>
                    <w:left w:val="single" w:color="000000" w:sz="4"/>
                    <w:bottom w:val="single" w:color="000000" w:sz="4"/>
                    <w:right w:val="single" w:color="000000" w:sz="4"/>
                  </w:tcBorders>
                  <w:vAlign w:val="top"/>
                </w:tcPr>
                <w:p>
                  <w:r>
                    <w:rPr>
                      <w:sz w:val="21"/>
                    </w:rPr>
                    <w:t>155</w:t>
                  </w:r>
                </w:p>
              </w:tc>
              <w:tc>
                <w:tcPr>
                  <w:tcW w:type="dxa" w:w="798"/>
                  <w:tcBorders>
                    <w:top w:val="none" w:color="000000" w:sz="4"/>
                    <w:left w:val="single" w:color="000000" w:sz="4"/>
                    <w:bottom w:val="single" w:color="000000" w:sz="4"/>
                    <w:right w:val="single" w:color="000000" w:sz="4"/>
                  </w:tcBorders>
                  <w:vAlign w:val="top"/>
                </w:tcPr>
                <w:p>
                  <w:r>
                    <w:rPr>
                      <w:sz w:val="21"/>
                    </w:rPr>
                    <w:t>180</w:t>
                  </w:r>
                </w:p>
              </w:tc>
              <w:tc>
                <w:tcPr>
                  <w:tcW w:type="dxa" w:w="798"/>
                  <w:tcBorders>
                    <w:top w:val="none" w:color="000000" w:sz="4"/>
                    <w:left w:val="single" w:color="000000" w:sz="4"/>
                    <w:bottom w:val="single" w:color="000000" w:sz="4"/>
                    <w:right w:val="single" w:color="000000" w:sz="4"/>
                  </w:tcBorders>
                  <w:vAlign w:val="top"/>
                </w:tcPr>
                <w:p>
                  <w:r>
                    <w:rPr>
                      <w:sz w:val="21"/>
                    </w:rPr>
                    <w:t>179</w:t>
                  </w:r>
                </w:p>
              </w:tc>
              <w:tc>
                <w:tcPr>
                  <w:tcW w:type="dxa" w:w="798"/>
                  <w:tcBorders>
                    <w:top w:val="none" w:color="000000" w:sz="4"/>
                    <w:left w:val="single" w:color="000000" w:sz="4"/>
                    <w:bottom w:val="single" w:color="000000" w:sz="4"/>
                    <w:right w:val="single" w:color="000000" w:sz="4"/>
                  </w:tcBorders>
                  <w:vAlign w:val="top"/>
                </w:tcPr>
                <w:p>
                  <w:r>
                    <w:rPr>
                      <w:sz w:val="21"/>
                    </w:rPr>
                    <w:t>140</w:t>
                  </w:r>
                </w:p>
              </w:tc>
              <w:tc>
                <w:tcPr>
                  <w:tcW w:type="dxa" w:w="798"/>
                  <w:tcBorders>
                    <w:top w:val="none" w:color="000000" w:sz="4"/>
                    <w:left w:val="single" w:color="000000" w:sz="4"/>
                    <w:bottom w:val="single" w:color="000000" w:sz="4"/>
                    <w:right w:val="single" w:color="000000" w:sz="4"/>
                  </w:tcBorders>
                  <w:vAlign w:val="top"/>
                </w:tcPr>
                <w:p>
                  <w:r>
                    <w:rPr>
                      <w:sz w:val="21"/>
                    </w:rPr>
                    <w:t>120</w:t>
                  </w:r>
                </w:p>
              </w:tc>
            </w:tr>
            <w:tr>
              <w:tc>
                <w:tcPr>
                  <w:tcW w:type="dxa" w:w="798"/>
                  <w:tcBorders>
                    <w:top w:val="none" w:color="000000" w:sz="4"/>
                    <w:left w:val="single" w:color="000000" w:sz="4"/>
                    <w:bottom w:val="single" w:color="000000" w:sz="4"/>
                    <w:right w:val="single" w:color="000000" w:sz="4"/>
                  </w:tcBorders>
                  <w:vAlign w:val="top"/>
                </w:tcPr>
                <w:p>
                  <w:r>
                    <w:rPr>
                      <w:sz w:val="21"/>
                    </w:rPr>
                    <w:t>128</w:t>
                  </w:r>
                </w:p>
              </w:tc>
              <w:tc>
                <w:tcPr>
                  <w:tcW w:type="dxa" w:w="798"/>
                  <w:tcBorders>
                    <w:top w:val="none" w:color="000000" w:sz="4"/>
                    <w:left w:val="single" w:color="000000" w:sz="4"/>
                    <w:bottom w:val="single" w:color="000000" w:sz="4"/>
                    <w:right w:val="single" w:color="000000" w:sz="4"/>
                  </w:tcBorders>
                  <w:vAlign w:val="top"/>
                </w:tcPr>
                <w:p>
                  <w:r>
                    <w:rPr>
                      <w:sz w:val="21"/>
                    </w:rPr>
                    <w:t>165</w:t>
                  </w:r>
                </w:p>
              </w:tc>
              <w:tc>
                <w:tcPr>
                  <w:tcW w:type="dxa" w:w="798"/>
                  <w:tcBorders>
                    <w:top w:val="none" w:color="000000" w:sz="4"/>
                    <w:left w:val="single" w:color="000000" w:sz="4"/>
                    <w:bottom w:val="single" w:color="000000" w:sz="4"/>
                    <w:right w:val="single" w:color="000000" w:sz="4"/>
                  </w:tcBorders>
                  <w:vAlign w:val="top"/>
                </w:tcPr>
                <w:p>
                  <w:r>
                    <w:rPr>
                      <w:sz w:val="21"/>
                    </w:rPr>
                    <w:t>157</w:t>
                  </w:r>
                </w:p>
              </w:tc>
              <w:tc>
                <w:tcPr>
                  <w:tcW w:type="dxa" w:w="798"/>
                  <w:tcBorders>
                    <w:top w:val="none" w:color="000000" w:sz="4"/>
                    <w:left w:val="single" w:color="000000" w:sz="4"/>
                    <w:bottom w:val="single" w:color="000000" w:sz="4"/>
                    <w:right w:val="single" w:color="000000" w:sz="4"/>
                  </w:tcBorders>
                  <w:vAlign w:val="top"/>
                </w:tcPr>
                <w:p>
                  <w:r>
                    <w:rPr>
                      <w:sz w:val="21"/>
                    </w:rPr>
                    <w:t>160</w:t>
                  </w:r>
                </w:p>
              </w:tc>
              <w:tc>
                <w:tcPr>
                  <w:tcW w:type="dxa" w:w="798"/>
                  <w:tcBorders>
                    <w:top w:val="none" w:color="000000" w:sz="4"/>
                    <w:left w:val="single" w:color="000000" w:sz="4"/>
                    <w:bottom w:val="single" w:color="000000" w:sz="4"/>
                    <w:right w:val="single" w:color="000000" w:sz="4"/>
                  </w:tcBorders>
                  <w:vAlign w:val="top"/>
                </w:tcPr>
                <w:p>
                  <w:r>
                    <w:rPr>
                      <w:sz w:val="21"/>
                    </w:rPr>
                    <w:t>164</w:t>
                  </w:r>
                </w:p>
              </w:tc>
              <w:tc>
                <w:tcPr>
                  <w:tcW w:type="dxa" w:w="798"/>
                  <w:tcBorders>
                    <w:top w:val="none" w:color="000000" w:sz="4"/>
                    <w:left w:val="single" w:color="000000" w:sz="4"/>
                    <w:bottom w:val="single" w:color="000000" w:sz="4"/>
                    <w:right w:val="single" w:color="000000" w:sz="4"/>
                  </w:tcBorders>
                  <w:vAlign w:val="top"/>
                </w:tcPr>
                <w:p>
                  <w:r>
                    <w:rPr>
                      <w:sz w:val="21"/>
                    </w:rPr>
                    <w:t>109</w:t>
                  </w:r>
                </w:p>
              </w:tc>
              <w:tc>
                <w:tcPr>
                  <w:tcW w:type="dxa" w:w="798"/>
                  <w:tcBorders>
                    <w:top w:val="none" w:color="000000" w:sz="4"/>
                    <w:left w:val="single" w:color="000000" w:sz="4"/>
                    <w:bottom w:val="single" w:color="000000" w:sz="4"/>
                    <w:right w:val="single" w:color="000000" w:sz="4"/>
                  </w:tcBorders>
                  <w:vAlign w:val="top"/>
                </w:tcPr>
                <w:p>
                  <w:r>
                    <w:rPr>
                      <w:sz w:val="21"/>
                    </w:rPr>
                    <w:t>100</w:t>
                  </w:r>
                </w:p>
              </w:tc>
            </w:tr>
            <w:tr>
              <w:tc>
                <w:tcPr>
                  <w:tcW w:type="dxa" w:w="798"/>
                  <w:tcBorders>
                    <w:top w:val="none" w:color="000000" w:sz="4"/>
                    <w:left w:val="single" w:color="000000" w:sz="4"/>
                    <w:bottom w:val="single" w:color="000000" w:sz="4"/>
                    <w:right w:val="single" w:color="000000" w:sz="4"/>
                  </w:tcBorders>
                  <w:vAlign w:val="top"/>
                </w:tcPr>
                <w:p>
                  <w:r>
                    <w:rPr>
                      <w:sz w:val="21"/>
                    </w:rPr>
                    <w:t>160</w:t>
                  </w:r>
                </w:p>
              </w:tc>
              <w:tc>
                <w:tcPr>
                  <w:tcW w:type="dxa" w:w="798"/>
                  <w:tcBorders>
                    <w:top w:val="none" w:color="000000" w:sz="4"/>
                    <w:left w:val="single" w:color="000000" w:sz="4"/>
                    <w:bottom w:val="single" w:color="000000" w:sz="4"/>
                    <w:right w:val="single" w:color="000000" w:sz="4"/>
                  </w:tcBorders>
                  <w:vAlign w:val="top"/>
                </w:tcPr>
                <w:p>
                  <w:r>
                    <w:rPr>
                      <w:sz w:val="21"/>
                    </w:rPr>
                    <w:t>200</w:t>
                  </w:r>
                </w:p>
              </w:tc>
              <w:tc>
                <w:tcPr>
                  <w:tcW w:type="dxa" w:w="798"/>
                  <w:tcBorders>
                    <w:top w:val="none" w:color="000000" w:sz="4"/>
                    <w:left w:val="single" w:color="000000" w:sz="4"/>
                    <w:bottom w:val="single" w:color="000000" w:sz="4"/>
                    <w:right w:val="single" w:color="000000" w:sz="4"/>
                  </w:tcBorders>
                  <w:vAlign w:val="top"/>
                </w:tcPr>
                <w:p>
                  <w:r>
                    <w:rPr>
                      <w:sz w:val="21"/>
                    </w:rPr>
                    <w:t>183</w:t>
                  </w:r>
                </w:p>
              </w:tc>
              <w:tc>
                <w:tcPr>
                  <w:tcW w:type="dxa" w:w="798"/>
                  <w:tcBorders>
                    <w:top w:val="none" w:color="000000" w:sz="4"/>
                    <w:left w:val="single" w:color="000000" w:sz="4"/>
                    <w:bottom w:val="single" w:color="000000" w:sz="4"/>
                    <w:right w:val="single" w:color="000000" w:sz="4"/>
                  </w:tcBorders>
                  <w:vAlign w:val="top"/>
                </w:tcPr>
                <w:p>
                  <w:r>
                    <w:rPr>
                      <w:sz w:val="21"/>
                    </w:rPr>
                    <w:t>204</w:t>
                  </w:r>
                </w:p>
              </w:tc>
              <w:tc>
                <w:tcPr>
                  <w:tcW w:type="dxa" w:w="798"/>
                  <w:tcBorders>
                    <w:top w:val="none" w:color="000000" w:sz="4"/>
                    <w:left w:val="single" w:color="000000" w:sz="4"/>
                    <w:bottom w:val="single" w:color="000000" w:sz="4"/>
                    <w:right w:val="single" w:color="000000" w:sz="4"/>
                  </w:tcBorders>
                  <w:vAlign w:val="top"/>
                </w:tcPr>
                <w:p>
                  <w:r>
                    <w:rPr>
                      <w:sz w:val="21"/>
                    </w:rPr>
                    <w:t>176</w:t>
                  </w:r>
                </w:p>
              </w:tc>
              <w:tc>
                <w:tcPr>
                  <w:tcW w:type="dxa" w:w="798"/>
                  <w:tcBorders>
                    <w:top w:val="none" w:color="000000" w:sz="4"/>
                    <w:left w:val="single" w:color="000000" w:sz="4"/>
                    <w:bottom w:val="single" w:color="000000" w:sz="4"/>
                    <w:right w:val="single" w:color="000000" w:sz="4"/>
                  </w:tcBorders>
                  <w:vAlign w:val="top"/>
                </w:tcPr>
                <w:p>
                  <w:r>
                    <w:rPr>
                      <w:sz w:val="21"/>
                    </w:rPr>
                    <w:t>185</w:t>
                  </w:r>
                </w:p>
              </w:tc>
              <w:tc>
                <w:tcPr>
                  <w:tcW w:type="dxa" w:w="798"/>
                  <w:tcBorders>
                    <w:top w:val="none" w:color="000000" w:sz="4"/>
                    <w:left w:val="single" w:color="000000" w:sz="4"/>
                    <w:bottom w:val="single" w:color="000000" w:sz="4"/>
                    <w:right w:val="single" w:color="000000" w:sz="4"/>
                  </w:tcBorders>
                  <w:vAlign w:val="top"/>
                </w:tcPr>
                <w:p>
                  <w:r>
                    <w:rPr>
                      <w:sz w:val="21"/>
                    </w:rPr>
                    <w:t>130</w:t>
                  </w:r>
                </w:p>
              </w:tc>
            </w:tr>
          </w:tbl>
          <w:p>
            <w:r>
              <w:rPr/>
              <w:t xml:space="preserve"> </w:t>
            </w:r>
          </w:p>
          <w:p>
            <w:r>
              <w:rPr/>
              <w:t xml:space="preserve"> </w:t>
            </w:r>
          </w:p>
          <w:p>
            <w:r>
              <w:rPr>
                <w:b/>
                <w:sz w:val="21"/>
              </w:rPr>
              <w:t>平均照度</w:t>
            </w:r>
            <w:r>
              <w:rPr>
                <w:b/>
                <w:sz w:val="21"/>
              </w:rPr>
              <w:t>=7505/49=153.2lx，照度均匀度=50/153.2=0.326</w:t>
            </w:r>
          </w:p>
          <w:p>
            <w:pPr>
              <w:ind w:firstLine="420"/>
            </w:pPr>
            <w:r>
              <w:rPr>
                <w:sz w:val="21"/>
              </w:rPr>
              <w:t>根据实地踏勘，教室照明使用的是</w:t>
            </w:r>
            <w:r>
              <w:rPr>
                <w:sz w:val="21"/>
              </w:rPr>
              <w:t>T8荧光灯管，共三行二列6盏。黑板未使用灯具照明。所使用的T8荧光灯管光效过低，使其平均照度远远低于国家标准（国标GB/T36876-2018《中小学校普通教室照明设计安装卫生要求》要求课桌表面平均照度≥300lx，黑板表面平均照度≥500lx）。教室照明布灯位置不合理，使其照度均匀度远远低于国家标准要求的限值（国标GB/T36876-2018《中小学校普通教室照明设计安装卫生要求》要求教室课桌表面照度均匀度≥0.7，黑板表面照度均匀度≥0.8）。</w:t>
            </w:r>
          </w:p>
        </w:tc>
      </w:tr>
      <w:tr>
        <w:tc>
          <w:tcPr>
            <w:tcW w:type="dxa" w:w="2076"/>
          </w:tcPr>
          <w:p/>
        </w:tc>
        <w:tc>
          <w:tcPr>
            <w:tcW w:type="dxa" w:w="415"/>
          </w:tcPr>
          <w:p>
            <w:r>
              <w:rPr/>
              <w:t>5</w:t>
            </w:r>
          </w:p>
        </w:tc>
        <w:tc>
          <w:tcPr>
            <w:tcW w:type="dxa" w:w="5814"/>
          </w:tcPr>
          <w:p>
            <w:r>
              <w:rPr>
                <w:b/>
                <w:sz w:val="24"/>
              </w:rPr>
              <w:t>五、设计依据及标准</w:t>
            </w:r>
          </w:p>
          <w:p>
            <w:r>
              <w:rPr>
                <w:b/>
                <w:sz w:val="21"/>
              </w:rPr>
              <w:t>1、中小学校普通教室照明设计安装卫生要求</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drawing>
                <wp:inline distT="0" distR="0" distB="0" distL="0">
                  <wp:extent cx="3554729" cy="3638550"/>
                  <wp:docPr id="10" name="Drawing 10" descr="img"/>
                  <a:graphic xmlns:a="http://schemas.openxmlformats.org/drawingml/2006/main">
                    <a:graphicData uri="http://schemas.openxmlformats.org/drawingml/2006/picture">
                      <pic:pic xmlns:pic="http://schemas.openxmlformats.org/drawingml/2006/picture">
                        <pic:nvPicPr>
                          <pic:cNvPr id="0" name="Picture 10" descr="img"/>
                          <pic:cNvPicPr>
                            <a:picLocks noChangeAspect="true"/>
                          </pic:cNvPicPr>
                        </pic:nvPicPr>
                        <pic:blipFill>
                          <a:blip r:embed="rId15"/>
                          <a:stretch>
                            <a:fillRect/>
                          </a:stretch>
                        </pic:blipFill>
                        <pic:spPr>
                          <a:xfrm>
                            <a:off x="0" y="0"/>
                            <a:ext cx="3554729" cy="3638550"/>
                          </a:xfrm>
                          <a:prstGeom prst="rect">
                            <a:avLst/>
                          </a:prstGeom>
                        </pic:spPr>
                      </pic:pic>
                    </a:graphicData>
                  </a:graphic>
                </wp:inline>
              </w:drawing>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t xml:space="preserve"> </w:t>
            </w:r>
          </w:p>
          <w:p>
            <w:pPr>
              <w:ind w:firstLine="420"/>
            </w:pPr>
            <w:r>
              <w:rPr>
                <w:sz w:val="21"/>
              </w:rPr>
              <w:t>标准中规定了教室的照明要求：</w:t>
            </w:r>
          </w:p>
          <w:p>
            <w:pPr>
              <w:jc w:val="left"/>
            </w:pPr>
            <w:r>
              <w:rPr>
                <w:b/>
                <w:sz w:val="21"/>
              </w:rPr>
              <w:t>2、依据标准</w:t>
            </w:r>
          </w:p>
          <w:p>
            <w:pPr>
              <w:ind w:firstLine="420"/>
            </w:pPr>
            <w:r>
              <w:rPr>
                <w:sz w:val="21"/>
              </w:rPr>
              <w:t>《建筑照明设计标准》</w:t>
            </w:r>
            <w:r>
              <w:rPr>
                <w:sz w:val="21"/>
              </w:rPr>
              <w:t>GB 50034-2013</w:t>
            </w:r>
          </w:p>
          <w:p>
            <w:pPr>
              <w:ind w:firstLine="420"/>
            </w:pPr>
            <w:r>
              <w:rPr>
                <w:sz w:val="21"/>
              </w:rPr>
              <w:t>《中小学学校设计规范》</w:t>
            </w:r>
            <w:r>
              <w:rPr>
                <w:sz w:val="21"/>
              </w:rPr>
              <w:t>G B 50099-2011</w:t>
            </w:r>
          </w:p>
          <w:p>
            <w:pPr>
              <w:ind w:firstLine="420"/>
            </w:pPr>
            <w:r>
              <w:rPr>
                <w:sz w:val="21"/>
              </w:rPr>
              <w:t>《中小学校教室采光和照明卫生标准》</w:t>
            </w:r>
            <w:r>
              <w:rPr>
                <w:sz w:val="21"/>
              </w:rPr>
              <w:t>GB 7793-2010</w:t>
            </w:r>
          </w:p>
          <w:p>
            <w:pPr>
              <w:ind w:firstLine="420"/>
            </w:pPr>
            <w:r>
              <w:rPr>
                <w:sz w:val="21"/>
              </w:rPr>
              <w:t>《中小学校及幼儿园教室照明产晶节能认证技术规范》</w:t>
            </w:r>
            <w:r>
              <w:rPr>
                <w:sz w:val="21"/>
              </w:rPr>
              <w:t>CQC 3155-2016</w:t>
            </w:r>
          </w:p>
          <w:p>
            <w:pPr>
              <w:ind w:firstLine="420"/>
            </w:pPr>
            <w:r>
              <w:rPr>
                <w:sz w:val="21"/>
              </w:rPr>
              <w:t>《中小学校普通教室照明设计安装卫生要求》</w:t>
            </w:r>
            <w:r>
              <w:rPr>
                <w:sz w:val="21"/>
              </w:rPr>
              <w:t>GB/T36876-2018</w:t>
            </w:r>
          </w:p>
          <w:p>
            <w:pPr>
              <w:ind w:firstLine="420"/>
            </w:pPr>
            <w:r>
              <w:rPr>
                <w:sz w:val="21"/>
              </w:rPr>
              <w:t>《中小学教室照明技术规范》</w:t>
            </w:r>
            <w:r>
              <w:rPr>
                <w:sz w:val="21"/>
              </w:rPr>
              <w:t>T/JYBZ 005-2018</w:t>
            </w:r>
          </w:p>
          <w:p>
            <w:r>
              <w:rPr>
                <w:b/>
                <w:sz w:val="21"/>
              </w:rPr>
              <w:t>3、专业教育照明核心优势</w:t>
            </w:r>
          </w:p>
          <w:p>
            <w:pPr>
              <w:ind w:firstLine="420"/>
            </w:pPr>
            <w:r>
              <w:rPr>
                <w:sz w:val="21"/>
              </w:rPr>
              <w:t>现教室内普遍使用的</w:t>
            </w:r>
            <w:r>
              <w:rPr>
                <w:sz w:val="21"/>
              </w:rPr>
              <w:t>T8支架荧光灯或其他普通的LED支架不能满足学校教室的日常要求。为达到国标要求，必须从照度、均匀度、统一眩光值、频闪深度、显色指数、色温、蓝光危害这7个方面入手。教育照明专业灯具在保证满足国标的同时， 大大提升了照明质量与效果，七项标准具体要求如下表：</w:t>
            </w:r>
          </w:p>
          <w:tbl>
            <w:tblPr>
              <w:tblBorders>
                <w:top w:val="none" w:color="000000" w:sz="4"/>
                <w:left w:val="none" w:color="000000" w:sz="4"/>
                <w:bottom w:val="none" w:color="000000" w:sz="4"/>
                <w:right w:val="none" w:color="000000" w:sz="4"/>
                <w:insideH w:val="none"/>
                <w:insideV w:val="none"/>
              </w:tblBorders>
            </w:tblPr>
            <w:tblGrid>
              <w:gridCol w:w="1994"/>
              <w:gridCol w:w="1673"/>
              <w:gridCol w:w="1929"/>
            </w:tblGrid>
            <w:tr>
              <w:tc>
                <w:tcPr>
                  <w:tcW w:type="dxa" w:w="1994"/>
                  <w:tcBorders>
                    <w:top w:val="single" w:color="000000" w:sz="4"/>
                    <w:left w:val="single" w:color="000000" w:sz="4"/>
                    <w:bottom w:val="single" w:color="000000" w:sz="4"/>
                    <w:right w:val="single" w:color="000000" w:sz="4"/>
                  </w:tcBorders>
                  <w:vAlign w:val="top"/>
                </w:tcPr>
                <w:p>
                  <w:pPr>
                    <w:jc w:val="center"/>
                  </w:pPr>
                  <w:r>
                    <w:rPr>
                      <w:sz w:val="21"/>
                    </w:rPr>
                    <w:t>标准项</w:t>
                  </w:r>
                </w:p>
              </w:tc>
              <w:tc>
                <w:tcPr>
                  <w:tcW w:type="dxa" w:w="1673"/>
                  <w:tcBorders>
                    <w:top w:val="single" w:color="000000" w:sz="4"/>
                    <w:left w:val="single" w:color="000000" w:sz="4"/>
                    <w:bottom w:val="single" w:color="000000" w:sz="4"/>
                    <w:right w:val="single" w:color="000000" w:sz="4"/>
                  </w:tcBorders>
                  <w:vAlign w:val="top"/>
                </w:tcPr>
                <w:p>
                  <w:pPr>
                    <w:jc w:val="center"/>
                  </w:pPr>
                  <w:r>
                    <w:rPr>
                      <w:sz w:val="21"/>
                    </w:rPr>
                    <w:t>标准要求</w:t>
                  </w:r>
                </w:p>
              </w:tc>
              <w:tc>
                <w:tcPr>
                  <w:tcW w:type="dxa" w:w="1929"/>
                  <w:tcBorders>
                    <w:top w:val="single" w:color="000000" w:sz="4"/>
                    <w:left w:val="single" w:color="000000" w:sz="4"/>
                    <w:bottom w:val="single" w:color="000000" w:sz="4"/>
                    <w:right w:val="single" w:color="000000" w:sz="4"/>
                  </w:tcBorders>
                  <w:vAlign w:val="top"/>
                </w:tcPr>
                <w:p>
                  <w:pPr>
                    <w:jc w:val="center"/>
                  </w:pPr>
                  <w:r>
                    <w:rPr>
                      <w:sz w:val="21"/>
                    </w:rPr>
                    <w:t>教室灯</w:t>
                  </w:r>
                </w:p>
              </w:tc>
            </w:tr>
            <w:tr>
              <w:tc>
                <w:tcPr>
                  <w:tcW w:type="dxa" w:w="1994"/>
                  <w:tcBorders>
                    <w:top w:val="none" w:color="000000" w:sz="4"/>
                    <w:left w:val="single" w:color="000000" w:sz="4"/>
                    <w:bottom w:val="single" w:color="000000" w:sz="4"/>
                    <w:right w:val="single" w:color="000000" w:sz="4"/>
                  </w:tcBorders>
                  <w:vAlign w:val="top"/>
                </w:tcPr>
                <w:p>
                  <w:pPr>
                    <w:jc w:val="center"/>
                  </w:pPr>
                  <w:r>
                    <w:rPr>
                      <w:sz w:val="21"/>
                    </w:rPr>
                    <w:t>照度</w:t>
                  </w:r>
                </w:p>
              </w:tc>
              <w:tc>
                <w:tcPr>
                  <w:tcW w:type="dxa" w:w="1673"/>
                  <w:tcBorders>
                    <w:top w:val="none" w:color="000000" w:sz="4"/>
                    <w:left w:val="single" w:color="000000" w:sz="4"/>
                    <w:bottom w:val="single" w:color="000000" w:sz="4"/>
                    <w:right w:val="single" w:color="000000" w:sz="4"/>
                  </w:tcBorders>
                  <w:vAlign w:val="top"/>
                </w:tcPr>
                <w:p>
                  <w:pPr>
                    <w:jc w:val="center"/>
                  </w:pPr>
                  <w:r>
                    <w:rPr>
                      <w:sz w:val="21"/>
                    </w:rPr>
                    <w:t>&gt;300lx</w:t>
                  </w:r>
                </w:p>
              </w:tc>
              <w:tc>
                <w:tcPr>
                  <w:tcW w:type="dxa" w:w="1929"/>
                  <w:tcBorders>
                    <w:top w:val="none" w:color="000000" w:sz="4"/>
                    <w:left w:val="single" w:color="000000" w:sz="4"/>
                    <w:bottom w:val="single" w:color="000000" w:sz="4"/>
                    <w:right w:val="single" w:color="000000" w:sz="4"/>
                  </w:tcBorders>
                  <w:vAlign w:val="top"/>
                </w:tcPr>
                <w:p>
                  <w:pPr>
                    <w:jc w:val="center"/>
                  </w:pPr>
                  <w:r>
                    <w:rPr>
                      <w:sz w:val="21"/>
                    </w:rPr>
                    <w:t>明亮（</w:t>
                  </w:r>
                  <w:r>
                    <w:rPr>
                      <w:sz w:val="21"/>
                    </w:rPr>
                    <w:t>450lx）</w:t>
                  </w:r>
                </w:p>
              </w:tc>
            </w:tr>
            <w:tr>
              <w:tc>
                <w:tcPr>
                  <w:tcW w:type="dxa" w:w="1994"/>
                  <w:tcBorders>
                    <w:top w:val="none" w:color="000000" w:sz="4"/>
                    <w:left w:val="single" w:color="000000" w:sz="4"/>
                    <w:bottom w:val="single" w:color="000000" w:sz="4"/>
                    <w:right w:val="single" w:color="000000" w:sz="4"/>
                  </w:tcBorders>
                  <w:vAlign w:val="top"/>
                </w:tcPr>
                <w:p>
                  <w:pPr>
                    <w:jc w:val="center"/>
                  </w:pPr>
                  <w:r>
                    <w:rPr>
                      <w:sz w:val="21"/>
                    </w:rPr>
                    <w:t>均匀度</w:t>
                  </w:r>
                </w:p>
              </w:tc>
              <w:tc>
                <w:tcPr>
                  <w:tcW w:type="dxa" w:w="1673"/>
                  <w:tcBorders>
                    <w:top w:val="none" w:color="000000" w:sz="4"/>
                    <w:left w:val="single" w:color="000000" w:sz="4"/>
                    <w:bottom w:val="single" w:color="000000" w:sz="4"/>
                    <w:right w:val="single" w:color="000000" w:sz="4"/>
                  </w:tcBorders>
                  <w:vAlign w:val="top"/>
                </w:tcPr>
                <w:p>
                  <w:pPr>
                    <w:jc w:val="center"/>
                  </w:pPr>
                  <w:r>
                    <w:rPr>
                      <w:sz w:val="21"/>
                    </w:rPr>
                    <w:t>&gt;0.7</w:t>
                  </w:r>
                </w:p>
              </w:tc>
              <w:tc>
                <w:tcPr>
                  <w:tcW w:type="dxa" w:w="1929"/>
                  <w:tcBorders>
                    <w:top w:val="none" w:color="000000" w:sz="4"/>
                    <w:left w:val="single" w:color="000000" w:sz="4"/>
                    <w:bottom w:val="single" w:color="000000" w:sz="4"/>
                    <w:right w:val="single" w:color="000000" w:sz="4"/>
                  </w:tcBorders>
                  <w:vAlign w:val="top"/>
                </w:tcPr>
                <w:p>
                  <w:pPr>
                    <w:jc w:val="center"/>
                  </w:pPr>
                  <w:r>
                    <w:rPr>
                      <w:sz w:val="21"/>
                    </w:rPr>
                    <w:t>均匀（＞</w:t>
                  </w:r>
                  <w:r>
                    <w:rPr>
                      <w:sz w:val="21"/>
                    </w:rPr>
                    <w:t>0.8）</w:t>
                  </w:r>
                </w:p>
              </w:tc>
            </w:tr>
            <w:tr>
              <w:tc>
                <w:tcPr>
                  <w:tcW w:type="dxa" w:w="1994"/>
                  <w:tcBorders>
                    <w:top w:val="none" w:color="000000" w:sz="4"/>
                    <w:left w:val="single" w:color="000000" w:sz="4"/>
                    <w:bottom w:val="single" w:color="000000" w:sz="4"/>
                    <w:right w:val="single" w:color="000000" w:sz="4"/>
                  </w:tcBorders>
                  <w:vAlign w:val="top"/>
                </w:tcPr>
                <w:p>
                  <w:pPr>
                    <w:jc w:val="center"/>
                  </w:pPr>
                  <w:r>
                    <w:rPr>
                      <w:sz w:val="21"/>
                    </w:rPr>
                    <w:t>统一眩光值</w:t>
                  </w:r>
                  <w:r>
                    <w:rPr>
                      <w:sz w:val="21"/>
                    </w:rPr>
                    <w:t>UGR</w:t>
                  </w:r>
                </w:p>
              </w:tc>
              <w:tc>
                <w:tcPr>
                  <w:tcW w:type="dxa" w:w="1673"/>
                  <w:tcBorders>
                    <w:top w:val="none" w:color="000000" w:sz="4"/>
                    <w:left w:val="single" w:color="000000" w:sz="4"/>
                    <w:bottom w:val="single" w:color="000000" w:sz="4"/>
                    <w:right w:val="single" w:color="000000" w:sz="4"/>
                  </w:tcBorders>
                  <w:vAlign w:val="top"/>
                </w:tcPr>
                <w:p>
                  <w:pPr>
                    <w:jc w:val="center"/>
                  </w:pPr>
                  <w:r>
                    <w:rPr>
                      <w:sz w:val="21"/>
                    </w:rPr>
                    <w:t>≤16</w:t>
                  </w:r>
                </w:p>
              </w:tc>
              <w:tc>
                <w:tcPr>
                  <w:tcW w:type="dxa" w:w="1929"/>
                  <w:tcBorders>
                    <w:top w:val="none" w:color="000000" w:sz="4"/>
                    <w:left w:val="single" w:color="000000" w:sz="4"/>
                    <w:bottom w:val="single" w:color="000000" w:sz="4"/>
                    <w:right w:val="single" w:color="000000" w:sz="4"/>
                  </w:tcBorders>
                  <w:vAlign w:val="top"/>
                </w:tcPr>
                <w:p>
                  <w:pPr>
                    <w:jc w:val="center"/>
                  </w:pPr>
                  <w:r>
                    <w:rPr>
                      <w:sz w:val="21"/>
                    </w:rPr>
                    <w:t>舒适（</w:t>
                  </w:r>
                  <w:r>
                    <w:rPr>
                      <w:sz w:val="21"/>
                    </w:rPr>
                    <w:t>13.0）</w:t>
                  </w:r>
                </w:p>
              </w:tc>
            </w:tr>
            <w:tr>
              <w:tc>
                <w:tcPr>
                  <w:tcW w:type="dxa" w:w="1994"/>
                  <w:tcBorders>
                    <w:top w:val="none" w:color="000000" w:sz="4"/>
                    <w:left w:val="single" w:color="000000" w:sz="4"/>
                    <w:bottom w:val="single" w:color="000000" w:sz="4"/>
                    <w:right w:val="single" w:color="000000" w:sz="4"/>
                  </w:tcBorders>
                  <w:vAlign w:val="top"/>
                </w:tcPr>
                <w:p>
                  <w:pPr>
                    <w:jc w:val="center"/>
                  </w:pPr>
                  <w:r>
                    <w:rPr>
                      <w:sz w:val="21"/>
                    </w:rPr>
                    <w:t>频闪深度</w:t>
                  </w:r>
                </w:p>
              </w:tc>
              <w:tc>
                <w:tcPr>
                  <w:tcW w:type="dxa" w:w="1673"/>
                  <w:tcBorders>
                    <w:top w:val="none" w:color="000000" w:sz="4"/>
                    <w:left w:val="single" w:color="000000" w:sz="4"/>
                    <w:bottom w:val="single" w:color="000000" w:sz="4"/>
                    <w:right w:val="single" w:color="000000" w:sz="4"/>
                  </w:tcBorders>
                  <w:vAlign w:val="top"/>
                </w:tcPr>
                <w:p>
                  <w:pPr>
                    <w:jc w:val="center"/>
                  </w:pPr>
                  <w:r>
                    <w:rPr>
                      <w:sz w:val="21"/>
                    </w:rPr>
                    <w:t>≤3.2%</w:t>
                  </w:r>
                </w:p>
              </w:tc>
              <w:tc>
                <w:tcPr>
                  <w:tcW w:type="dxa" w:w="1929"/>
                  <w:tcBorders>
                    <w:top w:val="none" w:color="000000" w:sz="4"/>
                    <w:left w:val="single" w:color="000000" w:sz="4"/>
                    <w:bottom w:val="single" w:color="000000" w:sz="4"/>
                    <w:right w:val="single" w:color="000000" w:sz="4"/>
                  </w:tcBorders>
                  <w:vAlign w:val="top"/>
                </w:tcPr>
                <w:p>
                  <w:pPr>
                    <w:jc w:val="center"/>
                  </w:pPr>
                  <w:r>
                    <w:rPr>
                      <w:sz w:val="21"/>
                    </w:rPr>
                    <w:t>双极无频闪</w:t>
                  </w:r>
                </w:p>
              </w:tc>
            </w:tr>
            <w:tr>
              <w:tc>
                <w:tcPr>
                  <w:tcW w:type="dxa" w:w="1994"/>
                  <w:tcBorders>
                    <w:top w:val="none" w:color="000000" w:sz="4"/>
                    <w:left w:val="single" w:color="000000" w:sz="4"/>
                    <w:bottom w:val="single" w:color="000000" w:sz="4"/>
                    <w:right w:val="single" w:color="000000" w:sz="4"/>
                  </w:tcBorders>
                  <w:vAlign w:val="top"/>
                </w:tcPr>
                <w:p>
                  <w:pPr>
                    <w:jc w:val="center"/>
                  </w:pPr>
                  <w:r>
                    <w:rPr>
                      <w:sz w:val="21"/>
                    </w:rPr>
                    <w:t>显色指数</w:t>
                  </w:r>
                </w:p>
              </w:tc>
              <w:tc>
                <w:tcPr>
                  <w:tcW w:type="dxa" w:w="1673"/>
                  <w:tcBorders>
                    <w:top w:val="none" w:color="000000" w:sz="4"/>
                    <w:left w:val="single" w:color="000000" w:sz="4"/>
                    <w:bottom w:val="single" w:color="000000" w:sz="4"/>
                    <w:right w:val="single" w:color="000000" w:sz="4"/>
                  </w:tcBorders>
                  <w:vAlign w:val="top"/>
                </w:tcPr>
                <w:p>
                  <w:pPr>
                    <w:jc w:val="center"/>
                  </w:pPr>
                  <w:r>
                    <w:rPr>
                      <w:sz w:val="21"/>
                    </w:rPr>
                    <w:t>&gt;90</w:t>
                  </w:r>
                </w:p>
              </w:tc>
              <w:tc>
                <w:tcPr>
                  <w:tcW w:type="dxa" w:w="1929"/>
                  <w:tcBorders>
                    <w:top w:val="none" w:color="000000" w:sz="4"/>
                    <w:left w:val="single" w:color="000000" w:sz="4"/>
                    <w:bottom w:val="single" w:color="000000" w:sz="4"/>
                    <w:right w:val="single" w:color="000000" w:sz="4"/>
                  </w:tcBorders>
                  <w:vAlign w:val="top"/>
                </w:tcPr>
                <w:p>
                  <w:pPr>
                    <w:jc w:val="center"/>
                  </w:pPr>
                  <w:r>
                    <w:rPr>
                      <w:sz w:val="21"/>
                    </w:rPr>
                    <w:t>真实（</w:t>
                  </w:r>
                  <w:r>
                    <w:rPr>
                      <w:sz w:val="21"/>
                    </w:rPr>
                    <w:t>92.3）</w:t>
                  </w:r>
                </w:p>
              </w:tc>
            </w:tr>
            <w:tr>
              <w:tc>
                <w:tcPr>
                  <w:tcW w:type="dxa" w:w="1994"/>
                  <w:tcBorders>
                    <w:top w:val="none" w:color="000000" w:sz="4"/>
                    <w:left w:val="single" w:color="000000" w:sz="4"/>
                    <w:bottom w:val="single" w:color="000000" w:sz="4"/>
                    <w:right w:val="single" w:color="000000" w:sz="4"/>
                  </w:tcBorders>
                  <w:vAlign w:val="top"/>
                </w:tcPr>
                <w:p>
                  <w:pPr>
                    <w:jc w:val="center"/>
                  </w:pPr>
                  <w:r>
                    <w:rPr>
                      <w:sz w:val="21"/>
                    </w:rPr>
                    <w:t>色温</w:t>
                  </w:r>
                </w:p>
              </w:tc>
              <w:tc>
                <w:tcPr>
                  <w:tcW w:type="dxa" w:w="1673"/>
                  <w:tcBorders>
                    <w:top w:val="none" w:color="000000" w:sz="4"/>
                    <w:left w:val="single" w:color="000000" w:sz="4"/>
                    <w:bottom w:val="single" w:color="000000" w:sz="4"/>
                    <w:right w:val="single" w:color="000000" w:sz="4"/>
                  </w:tcBorders>
                  <w:vAlign w:val="top"/>
                </w:tcPr>
                <w:p>
                  <w:pPr>
                    <w:jc w:val="center"/>
                  </w:pPr>
                  <w:r>
                    <w:rPr>
                      <w:sz w:val="21"/>
                    </w:rPr>
                    <w:t>3500k-5500k</w:t>
                  </w:r>
                </w:p>
              </w:tc>
              <w:tc>
                <w:tcPr>
                  <w:tcW w:type="dxa" w:w="1929"/>
                  <w:tcBorders>
                    <w:top w:val="none" w:color="000000" w:sz="4"/>
                    <w:left w:val="single" w:color="000000" w:sz="4"/>
                    <w:bottom w:val="single" w:color="000000" w:sz="4"/>
                    <w:right w:val="single" w:color="000000" w:sz="4"/>
                  </w:tcBorders>
                  <w:vAlign w:val="top"/>
                </w:tcPr>
                <w:p>
                  <w:pPr>
                    <w:jc w:val="center"/>
                  </w:pPr>
                  <w:r>
                    <w:rPr>
                      <w:sz w:val="21"/>
                    </w:rPr>
                    <w:t>正白（</w:t>
                  </w:r>
                  <w:r>
                    <w:rPr>
                      <w:sz w:val="21"/>
                    </w:rPr>
                    <w:t>5000k）</w:t>
                  </w:r>
                </w:p>
              </w:tc>
            </w:tr>
          </w:tbl>
          <w:p>
            <w:r>
              <w:rPr/>
              <w:t xml:space="preserve"> </w:t>
            </w:r>
          </w:p>
          <w:p>
            <w:r>
              <w:rPr/>
              <w:t xml:space="preserve"> </w:t>
            </w:r>
          </w:p>
          <w:p>
            <w:r>
              <w:rPr/>
              <w:t xml:space="preserve"> </w:t>
            </w:r>
          </w:p>
          <w:p>
            <w:r>
              <w:rPr/>
              <w:t xml:space="preserve"> </w:t>
            </w:r>
          </w:p>
          <w:p>
            <w:r>
              <w:rPr/>
              <w:t xml:space="preserve"> </w:t>
            </w:r>
          </w:p>
          <w:p>
            <w:r>
              <w:rPr/>
              <w:t xml:space="preserve"> </w:t>
            </w:r>
          </w:p>
          <w:p>
            <w:r>
              <w:rPr/>
              <w:t xml:space="preserve"> </w:t>
            </w:r>
          </w:p>
          <w:p>
            <w:r>
              <w:rPr/>
              <w:t xml:space="preserve"> </w:t>
            </w:r>
          </w:p>
          <w:p>
            <w:r>
              <w:rPr/>
              <w:t xml:space="preserve"> </w:t>
            </w:r>
          </w:p>
          <w:p>
            <w:r>
              <w:rPr/>
              <w:t xml:space="preserve"> </w:t>
            </w:r>
          </w:p>
          <w:p>
            <w:r>
              <w:rPr/>
              <w:t xml:space="preserve"> </w:t>
            </w:r>
          </w:p>
          <w:p/>
        </w:tc>
      </w:tr>
      <w:tr>
        <w:tc>
          <w:tcPr>
            <w:tcW w:type="dxa" w:w="2076"/>
          </w:tcPr>
          <w:p/>
        </w:tc>
        <w:tc>
          <w:tcPr>
            <w:tcW w:type="dxa" w:w="415"/>
          </w:tcPr>
          <w:p>
            <w:r>
              <w:rPr/>
              <w:t>6</w:t>
            </w:r>
          </w:p>
        </w:tc>
        <w:tc>
          <w:tcPr>
            <w:tcW w:type="dxa" w:w="5814"/>
          </w:tcPr>
          <w:p>
            <w:r>
              <w:rPr>
                <w:b/>
                <w:sz w:val="24"/>
              </w:rPr>
              <w:t>六、项目内容</w:t>
            </w:r>
          </w:p>
          <w:p>
            <w:pPr>
              <w:ind w:firstLine="103"/>
            </w:pPr>
            <w:r>
              <w:rPr>
                <w:b/>
                <w:sz w:val="21"/>
              </w:rPr>
              <w:t>1、项目内容：大朗镇第一学、大朗镇三星小学、大朗镇新民小学等6所学校教室改造数量如下：</w:t>
            </w:r>
          </w:p>
          <w:tbl>
            <w:tblPr>
              <w:tblBorders>
                <w:top w:val="none" w:color="000000" w:sz="4"/>
                <w:left w:val="none" w:color="000000" w:sz="4"/>
                <w:bottom w:val="none" w:color="000000" w:sz="4"/>
                <w:right w:val="none" w:color="000000" w:sz="4"/>
                <w:insideH w:val="none"/>
                <w:insideV w:val="none"/>
              </w:tblBorders>
            </w:tblPr>
            <w:tblGrid>
              <w:gridCol w:w="1320"/>
              <w:gridCol w:w="737"/>
              <w:gridCol w:w="590"/>
              <w:gridCol w:w="590"/>
              <w:gridCol w:w="590"/>
              <w:gridCol w:w="884"/>
              <w:gridCol w:w="884"/>
            </w:tblGrid>
            <w:tr>
              <w:tc>
                <w:tcPr>
                  <w:tcW w:type="dxa" w:w="1320"/>
                  <w:tcBorders>
                    <w:top w:val="single" w:color="000000" w:sz="4"/>
                    <w:left w:val="single" w:color="000000" w:sz="4"/>
                    <w:bottom w:val="single" w:color="000000" w:sz="4"/>
                    <w:right w:val="single" w:color="000000" w:sz="4"/>
                  </w:tcBorders>
                  <w:shd w:fill="FFFFFF"/>
                  <w:vAlign w:val="top"/>
                </w:tcPr>
                <w:p>
                  <w:pPr>
                    <w:jc w:val="center"/>
                  </w:pPr>
                  <w:r>
                    <w:rPr>
                      <w:b/>
                      <w:sz w:val="21"/>
                    </w:rPr>
                    <w:t>学校名称</w:t>
                  </w:r>
                </w:p>
              </w:tc>
              <w:tc>
                <w:tcPr>
                  <w:tcW w:type="dxa" w:w="737"/>
                  <w:tcBorders>
                    <w:top w:val="single" w:color="000000" w:sz="4"/>
                    <w:left w:val="single" w:color="000000" w:sz="4"/>
                    <w:bottom w:val="single" w:color="000000" w:sz="4"/>
                    <w:right w:val="single" w:color="000000" w:sz="4"/>
                  </w:tcBorders>
                  <w:shd w:fill="FFFFFF"/>
                  <w:vAlign w:val="top"/>
                </w:tcPr>
                <w:p>
                  <w:pPr>
                    <w:jc w:val="center"/>
                  </w:pPr>
                  <w:r>
                    <w:rPr>
                      <w:b/>
                      <w:sz w:val="21"/>
                    </w:rPr>
                    <w:t>教室数量</w:t>
                  </w:r>
                </w:p>
              </w:tc>
              <w:tc>
                <w:tcPr>
                  <w:tcW w:type="dxa" w:w="590"/>
                  <w:tcBorders>
                    <w:top w:val="single" w:color="000000" w:sz="4"/>
                    <w:left w:val="single" w:color="000000" w:sz="4"/>
                    <w:bottom w:val="single" w:color="000000" w:sz="4"/>
                    <w:right w:val="single" w:color="000000" w:sz="4"/>
                  </w:tcBorders>
                  <w:shd w:fill="FFFFFF"/>
                  <w:vAlign w:val="top"/>
                </w:tcPr>
                <w:p>
                  <w:pPr>
                    <w:jc w:val="center"/>
                  </w:pPr>
                  <w:r>
                    <w:rPr>
                      <w:b/>
                      <w:sz w:val="21"/>
                    </w:rPr>
                    <w:t>教室灯</w:t>
                  </w:r>
                </w:p>
              </w:tc>
              <w:tc>
                <w:tcPr>
                  <w:tcW w:type="dxa" w:w="590"/>
                  <w:tcBorders>
                    <w:top w:val="single" w:color="000000" w:sz="4"/>
                    <w:left w:val="single" w:color="000000" w:sz="4"/>
                    <w:bottom w:val="single" w:color="000000" w:sz="4"/>
                    <w:right w:val="single" w:color="000000" w:sz="4"/>
                  </w:tcBorders>
                  <w:shd w:fill="FFFFFF"/>
                  <w:vAlign w:val="top"/>
                </w:tcPr>
                <w:p>
                  <w:pPr>
                    <w:jc w:val="center"/>
                  </w:pPr>
                  <w:r>
                    <w:rPr>
                      <w:b/>
                      <w:sz w:val="21"/>
                    </w:rPr>
                    <w:t>黑板灯</w:t>
                  </w:r>
                </w:p>
              </w:tc>
              <w:tc>
                <w:tcPr>
                  <w:tcW w:type="dxa" w:w="590"/>
                  <w:tcBorders>
                    <w:top w:val="single" w:color="000000" w:sz="4"/>
                    <w:left w:val="single" w:color="000000" w:sz="4"/>
                    <w:bottom w:val="single" w:color="000000" w:sz="4"/>
                    <w:right w:val="single" w:color="000000" w:sz="4"/>
                  </w:tcBorders>
                  <w:shd w:fill="FFFFFF"/>
                  <w:vAlign w:val="top"/>
                </w:tcPr>
                <w:p>
                  <w:pPr>
                    <w:jc w:val="center"/>
                  </w:pPr>
                  <w:r>
                    <w:rPr>
                      <w:b/>
                      <w:sz w:val="21"/>
                    </w:rPr>
                    <w:t>杀菌灯</w:t>
                  </w:r>
                </w:p>
              </w:tc>
              <w:tc>
                <w:tcPr>
                  <w:tcW w:type="dxa" w:w="884"/>
                  <w:tcBorders>
                    <w:top w:val="single" w:color="000000" w:sz="4"/>
                    <w:left w:val="single" w:color="000000" w:sz="4"/>
                    <w:bottom w:val="single" w:color="000000" w:sz="4"/>
                    <w:right w:val="single" w:color="000000" w:sz="4"/>
                  </w:tcBorders>
                  <w:shd w:fill="FFFFFF"/>
                  <w:vAlign w:val="top"/>
                </w:tcPr>
                <w:p>
                  <w:pPr>
                    <w:jc w:val="center"/>
                  </w:pPr>
                  <w:r>
                    <w:rPr>
                      <w:b/>
                      <w:sz w:val="21"/>
                    </w:rPr>
                    <w:t>吸顶摇头扇</w:t>
                  </w:r>
                </w:p>
              </w:tc>
              <w:tc>
                <w:tcPr>
                  <w:tcW w:type="dxa" w:w="884"/>
                  <w:tcBorders>
                    <w:top w:val="single" w:color="000000" w:sz="4"/>
                    <w:left w:val="single" w:color="000000" w:sz="4"/>
                    <w:bottom w:val="single" w:color="000000" w:sz="4"/>
                    <w:right w:val="single" w:color="000000" w:sz="4"/>
                  </w:tcBorders>
                  <w:shd w:fill="FFFFFF"/>
                  <w:vAlign w:val="top"/>
                </w:tcPr>
                <w:p>
                  <w:pPr>
                    <w:jc w:val="center"/>
                  </w:pPr>
                  <w:r>
                    <w:rPr>
                      <w:b/>
                      <w:sz w:val="21"/>
                    </w:rPr>
                    <w:t>壁挂摇头扇</w:t>
                  </w:r>
                </w:p>
              </w:tc>
            </w:tr>
            <w:tr>
              <w:tc>
                <w:tcPr>
                  <w:tcW w:type="dxa" w:w="1320"/>
                  <w:tcBorders>
                    <w:top w:val="none" w:color="000000" w:sz="4"/>
                    <w:left w:val="single" w:color="000000" w:sz="4"/>
                    <w:bottom w:val="single" w:color="000000" w:sz="4"/>
                    <w:right w:val="single" w:color="000000" w:sz="4"/>
                  </w:tcBorders>
                  <w:shd w:fill="FFFFFF"/>
                  <w:vAlign w:val="top"/>
                </w:tcPr>
                <w:p>
                  <w:pPr>
                    <w:jc w:val="center"/>
                  </w:pPr>
                  <w:r>
                    <w:rPr>
                      <w:sz w:val="21"/>
                    </w:rPr>
                    <w:t>大朗镇长塘小学</w:t>
                  </w:r>
                </w:p>
              </w:tc>
              <w:tc>
                <w:tcPr>
                  <w:tcW w:type="dxa" w:w="737"/>
                  <w:tcBorders>
                    <w:top w:val="none" w:color="000000" w:sz="4"/>
                    <w:left w:val="single" w:color="000000" w:sz="4"/>
                    <w:bottom w:val="single" w:color="000000" w:sz="4"/>
                    <w:right w:val="single" w:color="000000" w:sz="4"/>
                  </w:tcBorders>
                  <w:shd w:fill="FFFFFF"/>
                  <w:vAlign w:val="top"/>
                </w:tcPr>
                <w:p>
                  <w:pPr>
                    <w:jc w:val="center"/>
                  </w:pPr>
                  <w:r>
                    <w:rPr>
                      <w:sz w:val="21"/>
                    </w:rPr>
                    <w:t>18</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162</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54</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0</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126</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0</w:t>
                  </w:r>
                </w:p>
              </w:tc>
            </w:tr>
            <w:tr>
              <w:tc>
                <w:tcPr>
                  <w:tcW w:type="dxa" w:w="1320"/>
                  <w:tcBorders>
                    <w:top w:val="none" w:color="000000" w:sz="4"/>
                    <w:left w:val="single" w:color="000000" w:sz="4"/>
                    <w:bottom w:val="single" w:color="000000" w:sz="4"/>
                    <w:right w:val="single" w:color="000000" w:sz="4"/>
                  </w:tcBorders>
                  <w:shd w:fill="FFFFFF"/>
                  <w:vAlign w:val="top"/>
                </w:tcPr>
                <w:p>
                  <w:pPr>
                    <w:jc w:val="center"/>
                  </w:pPr>
                  <w:r>
                    <w:rPr>
                      <w:sz w:val="21"/>
                    </w:rPr>
                    <w:t>大朗镇中心幼儿园</w:t>
                  </w:r>
                </w:p>
              </w:tc>
              <w:tc>
                <w:tcPr>
                  <w:tcW w:type="dxa" w:w="737"/>
                  <w:tcBorders>
                    <w:top w:val="none" w:color="000000" w:sz="4"/>
                    <w:left w:val="single" w:color="000000" w:sz="4"/>
                    <w:bottom w:val="single" w:color="000000" w:sz="4"/>
                    <w:right w:val="single" w:color="000000" w:sz="4"/>
                  </w:tcBorders>
                  <w:shd w:fill="FFFFFF"/>
                  <w:vAlign w:val="top"/>
                </w:tcPr>
                <w:p>
                  <w:pPr>
                    <w:jc w:val="center"/>
                  </w:pPr>
                  <w:r>
                    <w:rPr>
                      <w:sz w:val="21"/>
                    </w:rPr>
                    <w:t>18</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274</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0</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137</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0</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0</w:t>
                  </w:r>
                </w:p>
              </w:tc>
            </w:tr>
            <w:tr>
              <w:tc>
                <w:tcPr>
                  <w:tcW w:type="dxa" w:w="1320"/>
                  <w:tcBorders>
                    <w:top w:val="none" w:color="000000" w:sz="4"/>
                    <w:left w:val="single" w:color="000000" w:sz="4"/>
                    <w:bottom w:val="single" w:color="000000" w:sz="4"/>
                    <w:right w:val="single" w:color="000000" w:sz="4"/>
                  </w:tcBorders>
                  <w:shd w:fill="FFFFFF"/>
                  <w:vAlign w:val="top"/>
                </w:tcPr>
                <w:p>
                  <w:pPr>
                    <w:jc w:val="center"/>
                  </w:pPr>
                  <w:r>
                    <w:rPr>
                      <w:sz w:val="21"/>
                    </w:rPr>
                    <w:t>大朗镇宏育学校</w:t>
                  </w:r>
                </w:p>
              </w:tc>
              <w:tc>
                <w:tcPr>
                  <w:tcW w:type="dxa" w:w="737"/>
                  <w:tcBorders>
                    <w:top w:val="none" w:color="000000" w:sz="4"/>
                    <w:left w:val="single" w:color="000000" w:sz="4"/>
                    <w:bottom w:val="single" w:color="000000" w:sz="4"/>
                    <w:right w:val="single" w:color="000000" w:sz="4"/>
                  </w:tcBorders>
                  <w:shd w:fill="FFFFFF"/>
                  <w:vAlign w:val="top"/>
                </w:tcPr>
                <w:p>
                  <w:pPr>
                    <w:jc w:val="center"/>
                  </w:pPr>
                  <w:r>
                    <w:rPr>
                      <w:sz w:val="21"/>
                    </w:rPr>
                    <w:t>26</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283</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78</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0</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91</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127</w:t>
                  </w:r>
                </w:p>
              </w:tc>
            </w:tr>
            <w:tr>
              <w:tc>
                <w:tcPr>
                  <w:tcW w:type="dxa" w:w="1320"/>
                  <w:tcBorders>
                    <w:top w:val="none" w:color="000000" w:sz="4"/>
                    <w:left w:val="single" w:color="000000" w:sz="4"/>
                    <w:bottom w:val="single" w:color="000000" w:sz="4"/>
                    <w:right w:val="single" w:color="000000" w:sz="4"/>
                  </w:tcBorders>
                  <w:shd w:fill="FFFFFF"/>
                  <w:vAlign w:val="top"/>
                </w:tcPr>
                <w:p>
                  <w:pPr>
                    <w:jc w:val="center"/>
                  </w:pPr>
                  <w:r>
                    <w:rPr>
                      <w:sz w:val="21"/>
                    </w:rPr>
                    <w:t>大朗镇三星小学</w:t>
                  </w:r>
                </w:p>
              </w:tc>
              <w:tc>
                <w:tcPr>
                  <w:tcW w:type="dxa" w:w="737"/>
                  <w:tcBorders>
                    <w:top w:val="none" w:color="000000" w:sz="4"/>
                    <w:left w:val="single" w:color="000000" w:sz="4"/>
                    <w:bottom w:val="single" w:color="000000" w:sz="4"/>
                    <w:right w:val="single" w:color="000000" w:sz="4"/>
                  </w:tcBorders>
                  <w:shd w:fill="FFFFFF"/>
                  <w:vAlign w:val="top"/>
                </w:tcPr>
                <w:p>
                  <w:pPr>
                    <w:jc w:val="center"/>
                  </w:pPr>
                  <w:r>
                    <w:rPr>
                      <w:sz w:val="21"/>
                    </w:rPr>
                    <w:t>26</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312</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78</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0</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260</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0</w:t>
                  </w:r>
                </w:p>
              </w:tc>
            </w:tr>
            <w:tr>
              <w:tc>
                <w:tcPr>
                  <w:tcW w:type="dxa" w:w="1320"/>
                  <w:tcBorders>
                    <w:top w:val="none" w:color="000000" w:sz="4"/>
                    <w:left w:val="single" w:color="000000" w:sz="4"/>
                    <w:bottom w:val="single" w:color="000000" w:sz="4"/>
                    <w:right w:val="single" w:color="000000" w:sz="4"/>
                  </w:tcBorders>
                  <w:shd w:fill="FFFFFF"/>
                  <w:vAlign w:val="top"/>
                </w:tcPr>
                <w:p>
                  <w:pPr>
                    <w:jc w:val="center"/>
                  </w:pPr>
                  <w:r>
                    <w:rPr>
                      <w:sz w:val="21"/>
                    </w:rPr>
                    <w:t>大朗镇新民小学</w:t>
                  </w:r>
                </w:p>
              </w:tc>
              <w:tc>
                <w:tcPr>
                  <w:tcW w:type="dxa" w:w="737"/>
                  <w:tcBorders>
                    <w:top w:val="none" w:color="000000" w:sz="4"/>
                    <w:left w:val="single" w:color="000000" w:sz="4"/>
                    <w:bottom w:val="single" w:color="000000" w:sz="4"/>
                    <w:right w:val="single" w:color="000000" w:sz="4"/>
                  </w:tcBorders>
                  <w:shd w:fill="FFFFFF"/>
                  <w:vAlign w:val="top"/>
                </w:tcPr>
                <w:p>
                  <w:pPr>
                    <w:jc w:val="center"/>
                  </w:pPr>
                  <w:r>
                    <w:rPr>
                      <w:sz w:val="21"/>
                    </w:rPr>
                    <w:t>27</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265</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81</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0</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210</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0</w:t>
                  </w:r>
                </w:p>
              </w:tc>
            </w:tr>
            <w:tr>
              <w:tc>
                <w:tcPr>
                  <w:tcW w:type="dxa" w:w="1320"/>
                  <w:tcBorders>
                    <w:top w:val="none" w:color="000000" w:sz="4"/>
                    <w:left w:val="single" w:color="000000" w:sz="4"/>
                    <w:bottom w:val="single" w:color="000000" w:sz="4"/>
                    <w:right w:val="single" w:color="000000" w:sz="4"/>
                  </w:tcBorders>
                  <w:shd w:fill="FFFFFF"/>
                  <w:vAlign w:val="top"/>
                </w:tcPr>
                <w:p>
                  <w:pPr>
                    <w:jc w:val="center"/>
                  </w:pPr>
                  <w:r>
                    <w:rPr>
                      <w:sz w:val="21"/>
                    </w:rPr>
                    <w:t>大朗镇第一小学</w:t>
                  </w:r>
                </w:p>
              </w:tc>
              <w:tc>
                <w:tcPr>
                  <w:tcW w:type="dxa" w:w="737"/>
                  <w:tcBorders>
                    <w:top w:val="none" w:color="000000" w:sz="4"/>
                    <w:left w:val="single" w:color="000000" w:sz="4"/>
                    <w:bottom w:val="single" w:color="000000" w:sz="4"/>
                    <w:right w:val="single" w:color="000000" w:sz="4"/>
                  </w:tcBorders>
                  <w:shd w:fill="FFFFFF"/>
                  <w:vAlign w:val="top"/>
                </w:tcPr>
                <w:p>
                  <w:pPr>
                    <w:jc w:val="center"/>
                  </w:pPr>
                  <w:r>
                    <w:rPr>
                      <w:sz w:val="21"/>
                    </w:rPr>
                    <w:t>24</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216</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72</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sz w:val="21"/>
                    </w:rPr>
                    <w:t>0</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168</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sz w:val="21"/>
                    </w:rPr>
                    <w:t>0</w:t>
                  </w:r>
                </w:p>
              </w:tc>
            </w:tr>
            <w:tr>
              <w:tc>
                <w:tcPr>
                  <w:tcW w:type="dxa" w:w="1320"/>
                  <w:tcBorders>
                    <w:top w:val="none" w:color="000000" w:sz="4"/>
                    <w:left w:val="single" w:color="000000" w:sz="4"/>
                    <w:bottom w:val="single" w:color="000000" w:sz="4"/>
                    <w:right w:val="single" w:color="000000" w:sz="4"/>
                  </w:tcBorders>
                  <w:shd w:fill="FFFFFF"/>
                  <w:vAlign w:val="top"/>
                </w:tcPr>
                <w:p>
                  <w:pPr>
                    <w:jc w:val="center"/>
                  </w:pPr>
                  <w:r>
                    <w:rPr>
                      <w:b/>
                      <w:sz w:val="21"/>
                    </w:rPr>
                    <w:t>合计：</w:t>
                  </w:r>
                </w:p>
              </w:tc>
              <w:tc>
                <w:tcPr>
                  <w:tcW w:type="dxa" w:w="737"/>
                  <w:tcBorders>
                    <w:top w:val="none" w:color="000000" w:sz="4"/>
                    <w:left w:val="single" w:color="000000" w:sz="4"/>
                    <w:bottom w:val="single" w:color="000000" w:sz="4"/>
                    <w:right w:val="single" w:color="000000" w:sz="4"/>
                  </w:tcBorders>
                  <w:shd w:fill="FFFFFF"/>
                  <w:vAlign w:val="top"/>
                </w:tcPr>
                <w:p>
                  <w:pPr>
                    <w:jc w:val="center"/>
                  </w:pPr>
                  <w:r>
                    <w:rPr>
                      <w:b/>
                      <w:sz w:val="21"/>
                    </w:rPr>
                    <w:t>139</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b/>
                      <w:sz w:val="21"/>
                    </w:rPr>
                    <w:t>1512</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b/>
                      <w:sz w:val="21"/>
                    </w:rPr>
                    <w:t>366</w:t>
                  </w:r>
                </w:p>
              </w:tc>
              <w:tc>
                <w:tcPr>
                  <w:tcW w:type="dxa" w:w="590"/>
                  <w:tcBorders>
                    <w:top w:val="none" w:color="000000" w:sz="4"/>
                    <w:left w:val="single" w:color="000000" w:sz="4"/>
                    <w:bottom w:val="single" w:color="000000" w:sz="4"/>
                    <w:right w:val="single" w:color="000000" w:sz="4"/>
                  </w:tcBorders>
                  <w:shd w:fill="FFFFFF"/>
                  <w:vAlign w:val="top"/>
                </w:tcPr>
                <w:p>
                  <w:pPr>
                    <w:jc w:val="center"/>
                  </w:pPr>
                  <w:r>
                    <w:rPr>
                      <w:b/>
                      <w:sz w:val="21"/>
                    </w:rPr>
                    <w:t>137</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b/>
                      <w:sz w:val="21"/>
                    </w:rPr>
                    <w:t>855</w:t>
                  </w:r>
                </w:p>
              </w:tc>
              <w:tc>
                <w:tcPr>
                  <w:tcW w:type="dxa" w:w="884"/>
                  <w:tcBorders>
                    <w:top w:val="none" w:color="000000" w:sz="4"/>
                    <w:left w:val="single" w:color="000000" w:sz="4"/>
                    <w:bottom w:val="single" w:color="000000" w:sz="4"/>
                    <w:right w:val="single" w:color="000000" w:sz="4"/>
                  </w:tcBorders>
                  <w:shd w:fill="FFFFFF"/>
                  <w:vAlign w:val="top"/>
                </w:tcPr>
                <w:p>
                  <w:pPr>
                    <w:jc w:val="center"/>
                  </w:pPr>
                  <w:r>
                    <w:rPr>
                      <w:b/>
                      <w:sz w:val="21"/>
                    </w:rPr>
                    <w:t>127</w:t>
                  </w:r>
                </w:p>
              </w:tc>
            </w:tr>
          </w:tbl>
          <w:p>
            <w:pPr>
              <w:ind w:firstLine="103"/>
            </w:pPr>
            <w:r>
              <w:rPr>
                <w:b/>
                <w:sz w:val="21"/>
              </w:rPr>
              <w:t>2、各个学校的灯具数量排布如下：</w:t>
            </w:r>
          </w:p>
          <w:tbl>
            <w:tblPr>
              <w:tblBorders>
                <w:top w:val="none" w:color="000000" w:sz="4"/>
                <w:left w:val="none" w:color="000000" w:sz="4"/>
                <w:bottom w:val="none" w:color="000000" w:sz="4"/>
                <w:right w:val="none" w:color="000000" w:sz="4"/>
                <w:insideH w:val="none"/>
                <w:insideV w:val="none"/>
              </w:tblBorders>
            </w:tblPr>
            <w:tblGrid>
              <w:gridCol w:w="465"/>
              <w:gridCol w:w="1726"/>
              <w:gridCol w:w="727"/>
              <w:gridCol w:w="1736"/>
              <w:gridCol w:w="911"/>
            </w:tblGrid>
            <w:tr>
              <w:tc>
                <w:tcPr>
                  <w:tcW w:type="dxa" w:w="465"/>
                  <w:tcBorders>
                    <w:top w:val="single" w:color="000000" w:sz="4"/>
                    <w:left w:val="single" w:color="000000" w:sz="4"/>
                    <w:bottom w:val="single" w:color="000000" w:sz="4"/>
                    <w:right w:val="single" w:color="000000" w:sz="4"/>
                  </w:tcBorders>
                  <w:shd w:fill="FFFFFF"/>
                  <w:vAlign w:val="top"/>
                </w:tcPr>
                <w:p>
                  <w:pPr>
                    <w:jc w:val="center"/>
                  </w:pPr>
                  <w:r>
                    <w:rPr>
                      <w:sz w:val="21"/>
                    </w:rPr>
                    <w:t>序号</w:t>
                  </w:r>
                </w:p>
              </w:tc>
              <w:tc>
                <w:tcPr>
                  <w:tcW w:type="dxa" w:w="1726"/>
                  <w:tcBorders>
                    <w:top w:val="single" w:color="000000" w:sz="4"/>
                    <w:left w:val="single" w:color="000000" w:sz="4"/>
                    <w:bottom w:val="single" w:color="000000" w:sz="4"/>
                    <w:right w:val="single" w:color="000000" w:sz="4"/>
                  </w:tcBorders>
                  <w:shd w:fill="FFFFFF"/>
                  <w:vAlign w:val="top"/>
                </w:tcPr>
                <w:p>
                  <w:pPr>
                    <w:jc w:val="center"/>
                  </w:pPr>
                  <w:r>
                    <w:rPr>
                      <w:sz w:val="21"/>
                    </w:rPr>
                    <w:t>学校名称</w:t>
                  </w:r>
                </w:p>
              </w:tc>
              <w:tc>
                <w:tcPr>
                  <w:tcW w:type="dxa" w:w="727"/>
                  <w:tcBorders>
                    <w:top w:val="single" w:color="000000" w:sz="4"/>
                    <w:left w:val="single" w:color="000000" w:sz="4"/>
                    <w:bottom w:val="single" w:color="000000" w:sz="4"/>
                    <w:right w:val="single" w:color="000000" w:sz="4"/>
                  </w:tcBorders>
                  <w:shd w:fill="FFFFFF"/>
                  <w:vAlign w:val="top"/>
                </w:tcPr>
                <w:p>
                  <w:pPr>
                    <w:jc w:val="center"/>
                  </w:pPr>
                  <w:r>
                    <w:rPr>
                      <w:sz w:val="21"/>
                    </w:rPr>
                    <w:t>改造数量</w:t>
                  </w:r>
                </w:p>
              </w:tc>
              <w:tc>
                <w:tcPr>
                  <w:tcW w:type="dxa" w:w="2647"/>
                  <w:gridSpan w:val="2"/>
                  <w:tcBorders>
                    <w:top w:val="single" w:color="000000" w:sz="4"/>
                    <w:left w:val="single" w:color="000000" w:sz="4"/>
                    <w:bottom w:val="single" w:color="000000" w:sz="4"/>
                    <w:right w:val="single" w:color="000000" w:sz="4"/>
                  </w:tcBorders>
                  <w:shd w:fill="FFFFFF"/>
                  <w:vAlign w:val="top"/>
                </w:tcPr>
                <w:p>
                  <w:pPr>
                    <w:jc w:val="center"/>
                  </w:pPr>
                  <w:r>
                    <w:rPr>
                      <w:sz w:val="21"/>
                    </w:rPr>
                    <w:t>改造规格</w:t>
                  </w:r>
                </w:p>
              </w:tc>
            </w:tr>
            <w:tr>
              <w:tc>
                <w:tcPr>
                  <w:tcW w:type="dxa" w:w="465"/>
                  <w:tcBorders>
                    <w:top w:val="none" w:color="000000" w:sz="4"/>
                    <w:left w:val="single" w:color="000000" w:sz="4"/>
                    <w:bottom w:val="single" w:color="000000" w:sz="4"/>
                    <w:right w:val="single" w:color="000000" w:sz="4"/>
                  </w:tcBorders>
                  <w:shd w:fill="FFFFFF"/>
                  <w:vAlign w:val="top"/>
                </w:tcPr>
                <w:p>
                  <w:pPr>
                    <w:jc w:val="center"/>
                  </w:pPr>
                  <w:r>
                    <w:rPr>
                      <w:sz w:val="21"/>
                    </w:rPr>
                    <w:t>1</w:t>
                  </w:r>
                </w:p>
              </w:tc>
              <w:tc>
                <w:tcPr>
                  <w:tcW w:type="dxa" w:w="1726"/>
                  <w:tcBorders>
                    <w:top w:val="none" w:color="000000" w:sz="4"/>
                    <w:left w:val="single" w:color="000000" w:sz="4"/>
                    <w:bottom w:val="single" w:color="000000" w:sz="4"/>
                    <w:right w:val="single" w:color="000000" w:sz="4"/>
                  </w:tcBorders>
                  <w:shd w:fill="FFFFFF"/>
                  <w:vAlign w:val="top"/>
                </w:tcPr>
                <w:p>
                  <w:pPr>
                    <w:jc w:val="center"/>
                  </w:pPr>
                  <w:r>
                    <w:rPr>
                      <w:sz w:val="21"/>
                    </w:rPr>
                    <w:t>大朗镇长塘小学</w:t>
                  </w:r>
                </w:p>
              </w:tc>
              <w:tc>
                <w:tcPr>
                  <w:tcW w:type="dxa" w:w="727"/>
                  <w:tcBorders>
                    <w:top w:val="none" w:color="000000" w:sz="4"/>
                    <w:left w:val="single" w:color="000000" w:sz="4"/>
                    <w:bottom w:val="single" w:color="000000" w:sz="4"/>
                    <w:right w:val="single" w:color="000000" w:sz="4"/>
                  </w:tcBorders>
                  <w:shd w:fill="FFFFFF"/>
                  <w:vAlign w:val="top"/>
                </w:tcPr>
                <w:p>
                  <w:pPr>
                    <w:jc w:val="center"/>
                  </w:pPr>
                  <w:r>
                    <w:rPr>
                      <w:sz w:val="21"/>
                    </w:rPr>
                    <w:t>18</w:t>
                  </w:r>
                </w:p>
              </w:tc>
              <w:tc>
                <w:tcPr>
                  <w:tcW w:type="dxa" w:w="1736"/>
                  <w:tcBorders>
                    <w:top w:val="none" w:color="000000" w:sz="4"/>
                    <w:left w:val="single" w:color="000000" w:sz="4"/>
                    <w:bottom w:val="single" w:color="000000" w:sz="4"/>
                    <w:right w:val="single" w:color="000000" w:sz="4"/>
                  </w:tcBorders>
                  <w:shd w:fill="FFFFFF"/>
                  <w:vAlign w:val="top"/>
                </w:tcPr>
                <w:p>
                  <w:pPr>
                    <w:jc w:val="center"/>
                  </w:pPr>
                  <w:r>
                    <w:rPr>
                      <w:sz w:val="21"/>
                    </w:rPr>
                    <w:t>9+3</w:t>
                  </w:r>
                </w:p>
              </w:tc>
              <w:tc>
                <w:tcPr>
                  <w:tcW w:type="dxa" w:w="911"/>
                  <w:tcBorders>
                    <w:top w:val="single" w:color="000000" w:sz="4"/>
                    <w:left w:val="single" w:color="000000" w:sz="4"/>
                    <w:bottom w:val="single" w:color="000000" w:sz="4"/>
                    <w:right w:val="single" w:color="000000" w:sz="4"/>
                  </w:tcBorders>
                  <w:shd w:fill="FFFFFF"/>
                  <w:vAlign w:val="top"/>
                </w:tcPr>
                <w:p>
                  <w:pPr>
                    <w:jc w:val="center"/>
                  </w:pPr>
                  <w:r>
                    <w:rPr>
                      <w:sz w:val="21"/>
                    </w:rPr>
                    <w:t>18</w:t>
                  </w:r>
                </w:p>
              </w:tc>
            </w:tr>
            <w:tr>
              <w:tc>
                <w:tcPr>
                  <w:tcW w:type="dxa" w:w="465"/>
                  <w:vMerge w:val="restart"/>
                  <w:tcBorders>
                    <w:top w:val="none" w:color="000000" w:sz="4"/>
                    <w:left w:val="single" w:color="000000" w:sz="4"/>
                    <w:bottom w:val="single" w:color="000000" w:sz="4"/>
                    <w:right w:val="single" w:color="000000" w:sz="4"/>
                  </w:tcBorders>
                  <w:shd w:fill="FFFFFF"/>
                  <w:vAlign w:val="top"/>
                </w:tcPr>
                <w:p>
                  <w:pPr>
                    <w:jc w:val="center"/>
                  </w:pPr>
                  <w:r>
                    <w:rPr>
                      <w:sz w:val="21"/>
                    </w:rPr>
                    <w:t>2</w:t>
                  </w:r>
                </w:p>
              </w:tc>
              <w:tc>
                <w:tcPr>
                  <w:tcW w:type="dxa" w:w="1726"/>
                  <w:vMerge w:val="restart"/>
                  <w:tcBorders>
                    <w:top w:val="none" w:color="000000" w:sz="4"/>
                    <w:left w:val="single" w:color="000000" w:sz="4"/>
                    <w:bottom w:val="single" w:color="000000" w:sz="4"/>
                    <w:right w:val="single" w:color="000000" w:sz="4"/>
                  </w:tcBorders>
                  <w:shd w:fill="FFFFFF"/>
                  <w:vAlign w:val="top"/>
                </w:tcPr>
                <w:p>
                  <w:pPr>
                    <w:jc w:val="center"/>
                  </w:pPr>
                  <w:r>
                    <w:rPr>
                      <w:sz w:val="21"/>
                    </w:rPr>
                    <w:t>大朗镇中心幼儿园</w:t>
                  </w:r>
                </w:p>
              </w:tc>
              <w:tc>
                <w:tcPr>
                  <w:tcW w:type="dxa" w:w="727"/>
                  <w:vMerge w:val="restart"/>
                  <w:tcBorders>
                    <w:top w:val="none" w:color="000000" w:sz="4"/>
                    <w:left w:val="single" w:color="000000" w:sz="4"/>
                    <w:bottom w:val="single" w:color="000000" w:sz="4"/>
                    <w:right w:val="single" w:color="000000" w:sz="4"/>
                  </w:tcBorders>
                  <w:shd w:fill="FFFFFF"/>
                  <w:vAlign w:val="top"/>
                </w:tcPr>
                <w:p>
                  <w:pPr>
                    <w:jc w:val="center"/>
                  </w:pPr>
                  <w:r>
                    <w:rPr>
                      <w:sz w:val="21"/>
                    </w:rPr>
                    <w:t>18</w:t>
                  </w:r>
                </w:p>
              </w:tc>
              <w:tc>
                <w:tcPr>
                  <w:tcW w:type="dxa" w:w="1736"/>
                  <w:tcBorders>
                    <w:top w:val="none" w:color="000000" w:sz="4"/>
                    <w:left w:val="single" w:color="000000" w:sz="4"/>
                    <w:bottom w:val="single" w:color="000000" w:sz="4"/>
                    <w:right w:val="single" w:color="000000" w:sz="4"/>
                  </w:tcBorders>
                  <w:shd w:fill="FFFFFF"/>
                  <w:vAlign w:val="top"/>
                </w:tcPr>
                <w:p>
                  <w:pPr>
                    <w:jc w:val="center"/>
                  </w:pPr>
                  <w:r>
                    <w:rPr>
                      <w:sz w:val="21"/>
                    </w:rPr>
                    <w:t>15</w:t>
                  </w:r>
                </w:p>
              </w:tc>
              <w:tc>
                <w:tcPr>
                  <w:tcW w:type="dxa" w:w="911"/>
                  <w:tcBorders>
                    <w:top w:val="none" w:color="000000" w:sz="4"/>
                    <w:left w:val="single" w:color="000000" w:sz="4"/>
                    <w:bottom w:val="single" w:color="000000" w:sz="4"/>
                    <w:right w:val="single" w:color="000000" w:sz="4"/>
                  </w:tcBorders>
                  <w:shd w:fill="FFFFFF"/>
                  <w:vAlign w:val="top"/>
                </w:tcPr>
                <w:p>
                  <w:pPr>
                    <w:jc w:val="center"/>
                  </w:pPr>
                  <w:r>
                    <w:rPr>
                      <w:sz w:val="21"/>
                    </w:rPr>
                    <w:t>14</w:t>
                  </w:r>
                </w:p>
              </w:tc>
            </w:tr>
            <w:tr>
              <w:tc>
                <w:tcPr>
                  <w:tcW w:type="dxa" w:w="465"/>
                  <w:vMerge/>
                  <w:tcBorders>
                    <w:top w:val="none" w:color="000000" w:sz="4"/>
                    <w:left w:val="single" w:color="000000" w:sz="4"/>
                    <w:bottom w:val="single" w:color="000000" w:sz="4"/>
                    <w:right w:val="single" w:color="000000" w:sz="4"/>
                  </w:tcBorders>
                </w:tcPr>
                <w:p/>
              </w:tc>
              <w:tc>
                <w:tcPr>
                  <w:tcW w:type="dxa" w:w="1726"/>
                  <w:vMerge/>
                  <w:tcBorders>
                    <w:top w:val="none" w:color="000000" w:sz="4"/>
                    <w:left w:val="single" w:color="000000" w:sz="4"/>
                    <w:bottom w:val="single" w:color="000000" w:sz="4"/>
                    <w:right w:val="single" w:color="000000" w:sz="4"/>
                  </w:tcBorders>
                </w:tcPr>
                <w:p/>
              </w:tc>
              <w:tc>
                <w:tcPr>
                  <w:tcW w:type="dxa" w:w="727"/>
                  <w:vMerge/>
                  <w:tcBorders>
                    <w:top w:val="none" w:color="000000" w:sz="4"/>
                    <w:left w:val="single" w:color="000000" w:sz="4"/>
                    <w:bottom w:val="single" w:color="000000" w:sz="4"/>
                    <w:right w:val="single" w:color="000000" w:sz="4"/>
                  </w:tcBorders>
                </w:tcPr>
                <w:p/>
              </w:tc>
              <w:tc>
                <w:tcPr>
                  <w:tcW w:type="dxa" w:w="1736"/>
                  <w:tcBorders>
                    <w:top w:val="none" w:color="000000" w:sz="4"/>
                    <w:left w:val="single" w:color="000000" w:sz="4"/>
                    <w:bottom w:val="single" w:color="000000" w:sz="4"/>
                    <w:right w:val="single" w:color="000000" w:sz="4"/>
                  </w:tcBorders>
                  <w:shd w:fill="FFFFFF"/>
                  <w:vAlign w:val="top"/>
                </w:tcPr>
                <w:p>
                  <w:pPr>
                    <w:jc w:val="center"/>
                  </w:pPr>
                  <w:r>
                    <w:rPr>
                      <w:sz w:val="21"/>
                    </w:rPr>
                    <w:t>16</w:t>
                  </w:r>
                </w:p>
              </w:tc>
              <w:tc>
                <w:tcPr>
                  <w:tcW w:type="dxa" w:w="911"/>
                  <w:tcBorders>
                    <w:top w:val="none" w:color="000000" w:sz="4"/>
                    <w:left w:val="single" w:color="000000" w:sz="4"/>
                    <w:bottom w:val="single" w:color="000000" w:sz="4"/>
                    <w:right w:val="single" w:color="000000" w:sz="4"/>
                  </w:tcBorders>
                  <w:shd w:fill="FFFFFF"/>
                  <w:vAlign w:val="top"/>
                </w:tcPr>
                <w:p>
                  <w:pPr>
                    <w:jc w:val="center"/>
                  </w:pPr>
                  <w:r>
                    <w:rPr>
                      <w:sz w:val="21"/>
                    </w:rPr>
                    <w:t>4</w:t>
                  </w:r>
                </w:p>
              </w:tc>
            </w:tr>
            <w:tr>
              <w:tc>
                <w:tcPr>
                  <w:tcW w:type="dxa" w:w="465"/>
                  <w:vMerge w:val="restart"/>
                  <w:tcBorders>
                    <w:top w:val="none" w:color="000000" w:sz="4"/>
                    <w:left w:val="single" w:color="000000" w:sz="4"/>
                    <w:bottom w:val="single" w:color="000000" w:sz="4"/>
                    <w:right w:val="single" w:color="000000" w:sz="4"/>
                  </w:tcBorders>
                  <w:shd w:fill="FFFFFF"/>
                  <w:vAlign w:val="top"/>
                </w:tcPr>
                <w:p>
                  <w:pPr>
                    <w:jc w:val="center"/>
                  </w:pPr>
                  <w:r>
                    <w:rPr>
                      <w:sz w:val="21"/>
                    </w:rPr>
                    <w:t>3</w:t>
                  </w:r>
                </w:p>
              </w:tc>
              <w:tc>
                <w:tcPr>
                  <w:tcW w:type="dxa" w:w="1726"/>
                  <w:vMerge w:val="restart"/>
                  <w:tcBorders>
                    <w:top w:val="none" w:color="000000" w:sz="4"/>
                    <w:left w:val="single" w:color="000000" w:sz="4"/>
                    <w:bottom w:val="single" w:color="000000" w:sz="4"/>
                    <w:right w:val="single" w:color="000000" w:sz="4"/>
                  </w:tcBorders>
                  <w:shd w:fill="FFFFFF"/>
                  <w:vAlign w:val="top"/>
                </w:tcPr>
                <w:p>
                  <w:pPr>
                    <w:jc w:val="center"/>
                  </w:pPr>
                  <w:r>
                    <w:rPr>
                      <w:sz w:val="21"/>
                    </w:rPr>
                    <w:t>大朗镇宏育学校</w:t>
                  </w:r>
                </w:p>
              </w:tc>
              <w:tc>
                <w:tcPr>
                  <w:tcW w:type="dxa" w:w="727"/>
                  <w:vMerge w:val="restart"/>
                  <w:tcBorders>
                    <w:top w:val="none" w:color="000000" w:sz="4"/>
                    <w:left w:val="single" w:color="000000" w:sz="4"/>
                    <w:bottom w:val="single" w:color="000000" w:sz="4"/>
                    <w:right w:val="single" w:color="000000" w:sz="4"/>
                  </w:tcBorders>
                  <w:shd w:fill="FFFFFF"/>
                  <w:vAlign w:val="top"/>
                </w:tcPr>
                <w:p>
                  <w:pPr>
                    <w:jc w:val="center"/>
                  </w:pPr>
                  <w:r>
                    <w:rPr>
                      <w:sz w:val="21"/>
                    </w:rPr>
                    <w:t>26</w:t>
                  </w:r>
                </w:p>
              </w:tc>
              <w:tc>
                <w:tcPr>
                  <w:tcW w:type="dxa" w:w="1736"/>
                  <w:tcBorders>
                    <w:top w:val="none" w:color="000000" w:sz="4"/>
                    <w:left w:val="single" w:color="000000" w:sz="4"/>
                    <w:bottom w:val="single" w:color="000000" w:sz="4"/>
                    <w:right w:val="single" w:color="000000" w:sz="4"/>
                  </w:tcBorders>
                  <w:shd w:fill="FFFFFF"/>
                  <w:vAlign w:val="top"/>
                </w:tcPr>
                <w:p>
                  <w:pPr>
                    <w:jc w:val="center"/>
                  </w:pPr>
                  <w:r>
                    <w:rPr>
                      <w:sz w:val="21"/>
                    </w:rPr>
                    <w:t>9+3</w:t>
                  </w:r>
                </w:p>
              </w:tc>
              <w:tc>
                <w:tcPr>
                  <w:tcW w:type="dxa" w:w="911"/>
                  <w:tcBorders>
                    <w:top w:val="none" w:color="000000" w:sz="4"/>
                    <w:left w:val="single" w:color="000000" w:sz="4"/>
                    <w:bottom w:val="single" w:color="000000" w:sz="4"/>
                    <w:right w:val="single" w:color="000000" w:sz="4"/>
                  </w:tcBorders>
                  <w:shd w:fill="FFFFFF"/>
                  <w:vAlign w:val="top"/>
                </w:tcPr>
                <w:p>
                  <w:pPr>
                    <w:jc w:val="center"/>
                  </w:pPr>
                  <w:r>
                    <w:rPr>
                      <w:sz w:val="21"/>
                    </w:rPr>
                    <w:t>19</w:t>
                  </w:r>
                </w:p>
              </w:tc>
            </w:tr>
            <w:tr>
              <w:tc>
                <w:tcPr>
                  <w:tcW w:type="dxa" w:w="465"/>
                  <w:vMerge/>
                  <w:tcBorders>
                    <w:top w:val="none" w:color="000000" w:sz="4"/>
                    <w:left w:val="single" w:color="000000" w:sz="4"/>
                    <w:bottom w:val="single" w:color="000000" w:sz="4"/>
                    <w:right w:val="single" w:color="000000" w:sz="4"/>
                  </w:tcBorders>
                </w:tcPr>
                <w:p/>
              </w:tc>
              <w:tc>
                <w:tcPr>
                  <w:tcW w:type="dxa" w:w="1726"/>
                  <w:vMerge/>
                  <w:tcBorders>
                    <w:top w:val="none" w:color="000000" w:sz="4"/>
                    <w:left w:val="single" w:color="000000" w:sz="4"/>
                    <w:bottom w:val="single" w:color="000000" w:sz="4"/>
                    <w:right w:val="single" w:color="000000" w:sz="4"/>
                  </w:tcBorders>
                </w:tcPr>
                <w:p/>
              </w:tc>
              <w:tc>
                <w:tcPr>
                  <w:tcW w:type="dxa" w:w="727"/>
                  <w:vMerge/>
                  <w:tcBorders>
                    <w:top w:val="none" w:color="000000" w:sz="4"/>
                    <w:left w:val="single" w:color="000000" w:sz="4"/>
                    <w:bottom w:val="single" w:color="000000" w:sz="4"/>
                    <w:right w:val="single" w:color="000000" w:sz="4"/>
                  </w:tcBorders>
                </w:tcPr>
                <w:p/>
              </w:tc>
              <w:tc>
                <w:tcPr>
                  <w:tcW w:type="dxa" w:w="1736"/>
                  <w:tcBorders>
                    <w:top w:val="none" w:color="000000" w:sz="4"/>
                    <w:left w:val="single" w:color="000000" w:sz="4"/>
                    <w:bottom w:val="single" w:color="000000" w:sz="4"/>
                    <w:right w:val="single" w:color="000000" w:sz="4"/>
                  </w:tcBorders>
                  <w:shd w:fill="FFFFFF"/>
                  <w:vAlign w:val="top"/>
                </w:tcPr>
                <w:p>
                  <w:pPr>
                    <w:jc w:val="center"/>
                  </w:pPr>
                  <w:r>
                    <w:rPr>
                      <w:sz w:val="21"/>
                    </w:rPr>
                    <w:t>16+3</w:t>
                  </w:r>
                </w:p>
              </w:tc>
              <w:tc>
                <w:tcPr>
                  <w:tcW w:type="dxa" w:w="911"/>
                  <w:tcBorders>
                    <w:top w:val="none" w:color="000000" w:sz="4"/>
                    <w:left w:val="single" w:color="000000" w:sz="4"/>
                    <w:bottom w:val="single" w:color="000000" w:sz="4"/>
                    <w:right w:val="single" w:color="000000" w:sz="4"/>
                  </w:tcBorders>
                  <w:shd w:fill="FFFFFF"/>
                  <w:vAlign w:val="top"/>
                </w:tcPr>
                <w:p>
                  <w:pPr>
                    <w:jc w:val="center"/>
                  </w:pPr>
                  <w:r>
                    <w:rPr>
                      <w:sz w:val="21"/>
                    </w:rPr>
                    <w:t>7</w:t>
                  </w:r>
                </w:p>
              </w:tc>
            </w:tr>
            <w:tr>
              <w:tc>
                <w:tcPr>
                  <w:tcW w:type="dxa" w:w="465"/>
                  <w:tcBorders>
                    <w:top w:val="none" w:color="000000" w:sz="4"/>
                    <w:left w:val="single" w:color="000000" w:sz="4"/>
                    <w:bottom w:val="single" w:color="000000" w:sz="4"/>
                    <w:right w:val="single" w:color="000000" w:sz="4"/>
                  </w:tcBorders>
                  <w:shd w:fill="FFFFFF"/>
                  <w:vAlign w:val="top"/>
                </w:tcPr>
                <w:p>
                  <w:pPr>
                    <w:jc w:val="center"/>
                  </w:pPr>
                  <w:r>
                    <w:rPr>
                      <w:sz w:val="21"/>
                    </w:rPr>
                    <w:t>4</w:t>
                  </w:r>
                </w:p>
              </w:tc>
              <w:tc>
                <w:tcPr>
                  <w:tcW w:type="dxa" w:w="1726"/>
                  <w:tcBorders>
                    <w:top w:val="none" w:color="000000" w:sz="4"/>
                    <w:left w:val="single" w:color="000000" w:sz="4"/>
                    <w:bottom w:val="single" w:color="000000" w:sz="4"/>
                    <w:right w:val="single" w:color="000000" w:sz="4"/>
                  </w:tcBorders>
                  <w:shd w:fill="FFFFFF"/>
                  <w:vAlign w:val="top"/>
                </w:tcPr>
                <w:p>
                  <w:pPr>
                    <w:jc w:val="center"/>
                  </w:pPr>
                  <w:r>
                    <w:rPr>
                      <w:sz w:val="21"/>
                    </w:rPr>
                    <w:t>大朗镇三星小学</w:t>
                  </w:r>
                </w:p>
              </w:tc>
              <w:tc>
                <w:tcPr>
                  <w:tcW w:type="dxa" w:w="727"/>
                  <w:tcBorders>
                    <w:top w:val="none" w:color="000000" w:sz="4"/>
                    <w:left w:val="single" w:color="000000" w:sz="4"/>
                    <w:bottom w:val="single" w:color="000000" w:sz="4"/>
                    <w:right w:val="single" w:color="000000" w:sz="4"/>
                  </w:tcBorders>
                  <w:shd w:fill="FFFFFF"/>
                  <w:vAlign w:val="top"/>
                </w:tcPr>
                <w:p>
                  <w:pPr>
                    <w:jc w:val="center"/>
                  </w:pPr>
                  <w:r>
                    <w:rPr>
                      <w:sz w:val="21"/>
                    </w:rPr>
                    <w:t>26</w:t>
                  </w:r>
                </w:p>
              </w:tc>
              <w:tc>
                <w:tcPr>
                  <w:tcW w:type="dxa" w:w="1736"/>
                  <w:tcBorders>
                    <w:top w:val="none" w:color="000000" w:sz="4"/>
                    <w:left w:val="single" w:color="000000" w:sz="4"/>
                    <w:bottom w:val="single" w:color="000000" w:sz="4"/>
                    <w:right w:val="single" w:color="000000" w:sz="4"/>
                  </w:tcBorders>
                  <w:shd w:fill="FFFFFF"/>
                  <w:vAlign w:val="top"/>
                </w:tcPr>
                <w:p>
                  <w:pPr>
                    <w:jc w:val="center"/>
                  </w:pPr>
                  <w:r>
                    <w:rPr>
                      <w:sz w:val="21"/>
                    </w:rPr>
                    <w:t>12+3</w:t>
                  </w:r>
                </w:p>
              </w:tc>
              <w:tc>
                <w:tcPr>
                  <w:tcW w:type="dxa" w:w="911"/>
                  <w:tcBorders>
                    <w:top w:val="none" w:color="000000" w:sz="4"/>
                    <w:left w:val="single" w:color="000000" w:sz="4"/>
                    <w:bottom w:val="single" w:color="000000" w:sz="4"/>
                    <w:right w:val="single" w:color="000000" w:sz="4"/>
                  </w:tcBorders>
                  <w:shd w:fill="FFFFFF"/>
                  <w:vAlign w:val="top"/>
                </w:tcPr>
                <w:p>
                  <w:pPr>
                    <w:jc w:val="center"/>
                  </w:pPr>
                  <w:r>
                    <w:rPr>
                      <w:sz w:val="21"/>
                    </w:rPr>
                    <w:t>26</w:t>
                  </w:r>
                </w:p>
              </w:tc>
            </w:tr>
            <w:tr>
              <w:tc>
                <w:tcPr>
                  <w:tcW w:type="dxa" w:w="465"/>
                  <w:vMerge w:val="restart"/>
                  <w:tcBorders>
                    <w:top w:val="none" w:color="000000" w:sz="4"/>
                    <w:left w:val="single" w:color="000000" w:sz="4"/>
                    <w:bottom w:val="single" w:color="000000" w:sz="4"/>
                    <w:right w:val="single" w:color="000000" w:sz="4"/>
                  </w:tcBorders>
                  <w:shd w:fill="FFFFFF"/>
                  <w:vAlign w:val="top"/>
                </w:tcPr>
                <w:p>
                  <w:pPr>
                    <w:jc w:val="center"/>
                  </w:pPr>
                  <w:r>
                    <w:rPr>
                      <w:sz w:val="21"/>
                    </w:rPr>
                    <w:t>5</w:t>
                  </w:r>
                </w:p>
              </w:tc>
              <w:tc>
                <w:tcPr>
                  <w:tcW w:type="dxa" w:w="1726"/>
                  <w:vMerge w:val="restart"/>
                  <w:tcBorders>
                    <w:top w:val="none" w:color="000000" w:sz="4"/>
                    <w:left w:val="single" w:color="000000" w:sz="4"/>
                    <w:bottom w:val="single" w:color="000000" w:sz="4"/>
                    <w:right w:val="single" w:color="000000" w:sz="4"/>
                  </w:tcBorders>
                  <w:shd w:fill="FFFFFF"/>
                  <w:vAlign w:val="top"/>
                </w:tcPr>
                <w:p>
                  <w:pPr>
                    <w:jc w:val="center"/>
                  </w:pPr>
                  <w:r>
                    <w:rPr>
                      <w:sz w:val="21"/>
                    </w:rPr>
                    <w:t>大朗镇新民小学</w:t>
                  </w:r>
                </w:p>
              </w:tc>
              <w:tc>
                <w:tcPr>
                  <w:tcW w:type="dxa" w:w="727"/>
                  <w:vMerge w:val="restart"/>
                  <w:tcBorders>
                    <w:top w:val="none" w:color="000000" w:sz="4"/>
                    <w:left w:val="single" w:color="000000" w:sz="4"/>
                    <w:bottom w:val="single" w:color="000000" w:sz="4"/>
                    <w:right w:val="single" w:color="000000" w:sz="4"/>
                  </w:tcBorders>
                  <w:shd w:fill="FFFFFF"/>
                  <w:vAlign w:val="top"/>
                </w:tcPr>
                <w:p>
                  <w:pPr>
                    <w:jc w:val="center"/>
                  </w:pPr>
                  <w:r>
                    <w:rPr>
                      <w:sz w:val="21"/>
                    </w:rPr>
                    <w:t>27</w:t>
                  </w:r>
                </w:p>
              </w:tc>
              <w:tc>
                <w:tcPr>
                  <w:tcW w:type="dxa" w:w="1736"/>
                  <w:tcBorders>
                    <w:top w:val="none" w:color="000000" w:sz="4"/>
                    <w:left w:val="single" w:color="000000" w:sz="4"/>
                    <w:bottom w:val="single" w:color="000000" w:sz="4"/>
                    <w:right w:val="single" w:color="000000" w:sz="4"/>
                  </w:tcBorders>
                  <w:shd w:fill="FFFFFF"/>
                  <w:vAlign w:val="top"/>
                </w:tcPr>
                <w:p>
                  <w:pPr>
                    <w:jc w:val="center"/>
                  </w:pPr>
                  <w:r>
                    <w:rPr>
                      <w:sz w:val="21"/>
                    </w:rPr>
                    <w:t>9+3</w:t>
                  </w:r>
                </w:p>
              </w:tc>
              <w:tc>
                <w:tcPr>
                  <w:tcW w:type="dxa" w:w="911"/>
                  <w:tcBorders>
                    <w:top w:val="none" w:color="000000" w:sz="4"/>
                    <w:left w:val="single" w:color="000000" w:sz="4"/>
                    <w:bottom w:val="single" w:color="000000" w:sz="4"/>
                    <w:right w:val="single" w:color="000000" w:sz="4"/>
                  </w:tcBorders>
                  <w:shd w:fill="FFFFFF"/>
                  <w:vAlign w:val="top"/>
                </w:tcPr>
                <w:p>
                  <w:pPr>
                    <w:jc w:val="center"/>
                  </w:pPr>
                  <w:r>
                    <w:rPr>
                      <w:sz w:val="21"/>
                    </w:rPr>
                    <w:t>21</w:t>
                  </w:r>
                </w:p>
              </w:tc>
            </w:tr>
            <w:tr>
              <w:tc>
                <w:tcPr>
                  <w:tcW w:type="dxa" w:w="465"/>
                  <w:vMerge/>
                  <w:tcBorders>
                    <w:top w:val="none" w:color="000000" w:sz="4"/>
                    <w:left w:val="single" w:color="000000" w:sz="4"/>
                    <w:bottom w:val="single" w:color="000000" w:sz="4"/>
                    <w:right w:val="single" w:color="000000" w:sz="4"/>
                  </w:tcBorders>
                </w:tcPr>
                <w:p/>
              </w:tc>
              <w:tc>
                <w:tcPr>
                  <w:tcW w:type="dxa" w:w="1726"/>
                  <w:vMerge/>
                  <w:tcBorders>
                    <w:top w:val="none" w:color="000000" w:sz="4"/>
                    <w:left w:val="single" w:color="000000" w:sz="4"/>
                    <w:bottom w:val="single" w:color="000000" w:sz="4"/>
                    <w:right w:val="single" w:color="000000" w:sz="4"/>
                  </w:tcBorders>
                </w:tcPr>
                <w:p/>
              </w:tc>
              <w:tc>
                <w:tcPr>
                  <w:tcW w:type="dxa" w:w="727"/>
                  <w:vMerge/>
                  <w:tcBorders>
                    <w:top w:val="none" w:color="000000" w:sz="4"/>
                    <w:left w:val="single" w:color="000000" w:sz="4"/>
                    <w:bottom w:val="single" w:color="000000" w:sz="4"/>
                    <w:right w:val="single" w:color="000000" w:sz="4"/>
                  </w:tcBorders>
                </w:tcPr>
                <w:p/>
              </w:tc>
              <w:tc>
                <w:tcPr>
                  <w:tcW w:type="dxa" w:w="1736"/>
                  <w:tcBorders>
                    <w:top w:val="none" w:color="000000" w:sz="4"/>
                    <w:left w:val="single" w:color="000000" w:sz="4"/>
                    <w:bottom w:val="single" w:color="000000" w:sz="4"/>
                    <w:right w:val="single" w:color="000000" w:sz="4"/>
                  </w:tcBorders>
                  <w:shd w:fill="FFFFFF"/>
                  <w:vAlign w:val="top"/>
                </w:tcPr>
                <w:p>
                  <w:pPr>
                    <w:jc w:val="center"/>
                  </w:pPr>
                  <w:r>
                    <w:rPr>
                      <w:sz w:val="21"/>
                    </w:rPr>
                    <w:t>12+3</w:t>
                  </w:r>
                </w:p>
              </w:tc>
              <w:tc>
                <w:tcPr>
                  <w:tcW w:type="dxa" w:w="911"/>
                  <w:tcBorders>
                    <w:top w:val="none" w:color="000000" w:sz="4"/>
                    <w:left w:val="single" w:color="000000" w:sz="4"/>
                    <w:bottom w:val="single" w:color="000000" w:sz="4"/>
                    <w:right w:val="single" w:color="000000" w:sz="4"/>
                  </w:tcBorders>
                  <w:shd w:fill="FFFFFF"/>
                  <w:vAlign w:val="top"/>
                </w:tcPr>
                <w:p>
                  <w:pPr>
                    <w:jc w:val="center"/>
                  </w:pPr>
                  <w:r>
                    <w:rPr>
                      <w:sz w:val="21"/>
                    </w:rPr>
                    <w:t>5</w:t>
                  </w:r>
                </w:p>
              </w:tc>
            </w:tr>
            <w:tr>
              <w:tc>
                <w:tcPr>
                  <w:tcW w:type="dxa" w:w="465"/>
                  <w:vMerge/>
                  <w:tcBorders>
                    <w:top w:val="none" w:color="000000" w:sz="4"/>
                    <w:left w:val="single" w:color="000000" w:sz="4"/>
                    <w:bottom w:val="single" w:color="000000" w:sz="4"/>
                    <w:right w:val="single" w:color="000000" w:sz="4"/>
                  </w:tcBorders>
                </w:tcPr>
                <w:p/>
              </w:tc>
              <w:tc>
                <w:tcPr>
                  <w:tcW w:type="dxa" w:w="1726"/>
                  <w:vMerge/>
                  <w:tcBorders>
                    <w:top w:val="none" w:color="000000" w:sz="4"/>
                    <w:left w:val="single" w:color="000000" w:sz="4"/>
                    <w:bottom w:val="single" w:color="000000" w:sz="4"/>
                    <w:right w:val="single" w:color="000000" w:sz="4"/>
                  </w:tcBorders>
                </w:tcPr>
                <w:p/>
              </w:tc>
              <w:tc>
                <w:tcPr>
                  <w:tcW w:type="dxa" w:w="727"/>
                  <w:vMerge/>
                  <w:tcBorders>
                    <w:top w:val="none" w:color="000000" w:sz="4"/>
                    <w:left w:val="single" w:color="000000" w:sz="4"/>
                    <w:bottom w:val="single" w:color="000000" w:sz="4"/>
                    <w:right w:val="single" w:color="000000" w:sz="4"/>
                  </w:tcBorders>
                </w:tcPr>
                <w:p/>
              </w:tc>
              <w:tc>
                <w:tcPr>
                  <w:tcW w:type="dxa" w:w="1736"/>
                  <w:tcBorders>
                    <w:top w:val="none" w:color="000000" w:sz="4"/>
                    <w:left w:val="single" w:color="000000" w:sz="4"/>
                    <w:bottom w:val="single" w:color="000000" w:sz="4"/>
                    <w:right w:val="single" w:color="000000" w:sz="4"/>
                  </w:tcBorders>
                  <w:shd w:fill="FFFFFF"/>
                  <w:vAlign w:val="top"/>
                </w:tcPr>
                <w:p>
                  <w:pPr>
                    <w:jc w:val="center"/>
                  </w:pPr>
                  <w:r>
                    <w:rPr>
                      <w:sz w:val="21"/>
                    </w:rPr>
                    <w:t>16+3</w:t>
                  </w:r>
                </w:p>
              </w:tc>
              <w:tc>
                <w:tcPr>
                  <w:tcW w:type="dxa" w:w="911"/>
                  <w:tcBorders>
                    <w:top w:val="none" w:color="000000" w:sz="4"/>
                    <w:left w:val="single" w:color="000000" w:sz="4"/>
                    <w:bottom w:val="single" w:color="000000" w:sz="4"/>
                    <w:right w:val="single" w:color="000000" w:sz="4"/>
                  </w:tcBorders>
                  <w:shd w:fill="FFFFFF"/>
                  <w:vAlign w:val="top"/>
                </w:tcPr>
                <w:p>
                  <w:pPr>
                    <w:jc w:val="center"/>
                  </w:pPr>
                  <w:r>
                    <w:rPr>
                      <w:sz w:val="21"/>
                    </w:rPr>
                    <w:t>1</w:t>
                  </w:r>
                </w:p>
              </w:tc>
            </w:tr>
            <w:tr>
              <w:tc>
                <w:tcPr>
                  <w:tcW w:type="dxa" w:w="465"/>
                  <w:tcBorders>
                    <w:top w:val="none" w:color="000000" w:sz="4"/>
                    <w:left w:val="single" w:color="000000" w:sz="4"/>
                    <w:bottom w:val="single" w:color="000000" w:sz="4"/>
                    <w:right w:val="single" w:color="000000" w:sz="4"/>
                  </w:tcBorders>
                  <w:shd w:fill="FFFFFF"/>
                  <w:vAlign w:val="top"/>
                </w:tcPr>
                <w:p>
                  <w:pPr>
                    <w:jc w:val="center"/>
                  </w:pPr>
                  <w:r>
                    <w:rPr>
                      <w:sz w:val="21"/>
                    </w:rPr>
                    <w:t>6</w:t>
                  </w:r>
                </w:p>
              </w:tc>
              <w:tc>
                <w:tcPr>
                  <w:tcW w:type="dxa" w:w="1726"/>
                  <w:tcBorders>
                    <w:top w:val="none" w:color="000000" w:sz="4"/>
                    <w:left w:val="single" w:color="000000" w:sz="4"/>
                    <w:bottom w:val="single" w:color="000000" w:sz="4"/>
                    <w:right w:val="single" w:color="000000" w:sz="4"/>
                  </w:tcBorders>
                  <w:shd w:fill="FFFFFF"/>
                  <w:vAlign w:val="top"/>
                </w:tcPr>
                <w:p>
                  <w:pPr>
                    <w:jc w:val="center"/>
                  </w:pPr>
                  <w:r>
                    <w:rPr>
                      <w:sz w:val="21"/>
                    </w:rPr>
                    <w:t>大朗镇第一小学</w:t>
                  </w:r>
                </w:p>
              </w:tc>
              <w:tc>
                <w:tcPr>
                  <w:tcW w:type="dxa" w:w="727"/>
                  <w:tcBorders>
                    <w:top w:val="none" w:color="000000" w:sz="4"/>
                    <w:left w:val="single" w:color="000000" w:sz="4"/>
                    <w:bottom w:val="single" w:color="000000" w:sz="4"/>
                    <w:right w:val="single" w:color="000000" w:sz="4"/>
                  </w:tcBorders>
                  <w:shd w:fill="FFFFFF"/>
                  <w:vAlign w:val="top"/>
                </w:tcPr>
                <w:p>
                  <w:pPr>
                    <w:jc w:val="center"/>
                  </w:pPr>
                  <w:r>
                    <w:rPr>
                      <w:sz w:val="21"/>
                    </w:rPr>
                    <w:t>24</w:t>
                  </w:r>
                </w:p>
              </w:tc>
              <w:tc>
                <w:tcPr>
                  <w:tcW w:type="dxa" w:w="1736"/>
                  <w:tcBorders>
                    <w:top w:val="none" w:color="000000" w:sz="4"/>
                    <w:left w:val="single" w:color="000000" w:sz="4"/>
                    <w:bottom w:val="single" w:color="000000" w:sz="4"/>
                    <w:right w:val="single" w:color="000000" w:sz="4"/>
                  </w:tcBorders>
                  <w:shd w:fill="FFFFFF"/>
                  <w:vAlign w:val="top"/>
                </w:tcPr>
                <w:p>
                  <w:pPr>
                    <w:jc w:val="center"/>
                  </w:pPr>
                  <w:r>
                    <w:rPr>
                      <w:sz w:val="21"/>
                    </w:rPr>
                    <w:t>9+3</w:t>
                  </w:r>
                </w:p>
              </w:tc>
              <w:tc>
                <w:tcPr>
                  <w:tcW w:type="dxa" w:w="911"/>
                  <w:tcBorders>
                    <w:top w:val="none" w:color="000000" w:sz="4"/>
                    <w:left w:val="single" w:color="000000" w:sz="4"/>
                    <w:bottom w:val="single" w:color="000000" w:sz="4"/>
                    <w:right w:val="single" w:color="000000" w:sz="4"/>
                  </w:tcBorders>
                  <w:shd w:fill="FFFFFF"/>
                  <w:vAlign w:val="top"/>
                </w:tcPr>
                <w:p>
                  <w:pPr>
                    <w:jc w:val="center"/>
                  </w:pPr>
                  <w:r>
                    <w:rPr>
                      <w:sz w:val="21"/>
                    </w:rPr>
                    <w:t>24</w:t>
                  </w:r>
                </w:p>
              </w:tc>
            </w:tr>
            <w:tr>
              <w:tc>
                <w:tcPr>
                  <w:tcW w:type="dxa" w:w="2191"/>
                  <w:gridSpan w:val="2"/>
                  <w:tcBorders>
                    <w:top w:val="none" w:color="000000" w:sz="4"/>
                    <w:left w:val="single" w:color="000000" w:sz="4"/>
                    <w:bottom w:val="single" w:color="000000" w:sz="4"/>
                    <w:right w:val="single" w:color="000000" w:sz="4"/>
                  </w:tcBorders>
                  <w:shd w:fill="FFFFFF"/>
                  <w:vAlign w:val="top"/>
                </w:tcPr>
                <w:p>
                  <w:pPr>
                    <w:jc w:val="center"/>
                  </w:pPr>
                  <w:r>
                    <w:rPr>
                      <w:sz w:val="21"/>
                    </w:rPr>
                    <w:t>合计：</w:t>
                  </w:r>
                </w:p>
              </w:tc>
              <w:tc>
                <w:tcPr>
                  <w:tcW w:type="dxa" w:w="727"/>
                  <w:tcBorders>
                    <w:top w:val="none" w:color="000000" w:sz="4"/>
                    <w:left w:val="single" w:color="000000" w:sz="4"/>
                    <w:bottom w:val="single" w:color="000000" w:sz="4"/>
                    <w:right w:val="single" w:color="000000" w:sz="4"/>
                  </w:tcBorders>
                  <w:shd w:fill="FFFFFF"/>
                  <w:vAlign w:val="top"/>
                </w:tcPr>
                <w:p>
                  <w:pPr>
                    <w:jc w:val="center"/>
                  </w:pPr>
                  <w:r>
                    <w:rPr>
                      <w:sz w:val="21"/>
                    </w:rPr>
                    <w:t>139</w:t>
                  </w:r>
                </w:p>
              </w:tc>
              <w:tc>
                <w:tcPr>
                  <w:tcW w:type="dxa" w:w="1736"/>
                  <w:tcBorders>
                    <w:top w:val="none" w:color="000000" w:sz="4"/>
                    <w:left w:val="single" w:color="000000" w:sz="4"/>
                    <w:bottom w:val="single" w:color="000000" w:sz="4"/>
                    <w:right w:val="single" w:color="000000" w:sz="4"/>
                  </w:tcBorders>
                  <w:shd w:fill="FFFFFF"/>
                  <w:vAlign w:val="top"/>
                </w:tcPr>
                <w:p>
                  <w:pPr>
                    <w:jc w:val="center"/>
                  </w:pPr>
                </w:p>
              </w:tc>
              <w:tc>
                <w:tcPr>
                  <w:tcW w:type="dxa" w:w="911"/>
                  <w:tcBorders>
                    <w:top w:val="none" w:color="000000" w:sz="4"/>
                    <w:left w:val="single" w:color="000000" w:sz="4"/>
                    <w:bottom w:val="single" w:color="000000" w:sz="4"/>
                    <w:right w:val="single" w:color="000000" w:sz="4"/>
                  </w:tcBorders>
                  <w:shd w:fill="FFFFFF"/>
                  <w:vAlign w:val="top"/>
                </w:tcPr>
                <w:p>
                  <w:pPr>
                    <w:jc w:val="center"/>
                  </w:pPr>
                </w:p>
              </w:tc>
            </w:tr>
          </w:tbl>
          <w:p>
            <w:r>
              <w:rPr/>
              <w:t xml:space="preserve"> </w:t>
            </w:r>
          </w:p>
          <w:p>
            <w:r>
              <w:rPr/>
              <w:t xml:space="preserve"> </w:t>
            </w:r>
          </w:p>
          <w:p>
            <w:r>
              <w:rPr/>
              <w:t xml:space="preserve"> </w:t>
            </w:r>
          </w:p>
          <w:p>
            <w:r>
              <w:rPr/>
              <w:t xml:space="preserve"> </w:t>
            </w:r>
          </w:p>
          <w:p>
            <w:r>
              <w:rPr/>
              <w:t xml:space="preserve"> </w:t>
            </w:r>
          </w:p>
          <w:p/>
        </w:tc>
      </w:tr>
      <w:tr>
        <w:tc>
          <w:tcPr>
            <w:tcW w:type="dxa" w:w="2076"/>
          </w:tcPr>
          <w:p/>
        </w:tc>
        <w:tc>
          <w:tcPr>
            <w:tcW w:type="dxa" w:w="415"/>
          </w:tcPr>
          <w:p>
            <w:r>
              <w:rPr/>
              <w:t>7</w:t>
            </w:r>
          </w:p>
        </w:tc>
        <w:tc>
          <w:tcPr>
            <w:tcW w:type="dxa" w:w="5814"/>
          </w:tcPr>
          <w:p>
            <w:r>
              <w:rPr>
                <w:b/>
                <w:sz w:val="24"/>
              </w:rPr>
              <w:t xml:space="preserve"> </w:t>
            </w:r>
          </w:p>
          <w:p>
            <w:r>
              <w:rPr>
                <w:b/>
                <w:sz w:val="24"/>
              </w:rPr>
              <w:t xml:space="preserve"> </w:t>
            </w:r>
          </w:p>
          <w:p>
            <w:r>
              <w:rPr>
                <w:b/>
                <w:sz w:val="24"/>
              </w:rPr>
              <w:t xml:space="preserve"> </w:t>
            </w:r>
          </w:p>
          <w:p>
            <w:r>
              <w:rPr>
                <w:b/>
                <w:sz w:val="24"/>
              </w:rPr>
              <w:t xml:space="preserve"> </w:t>
            </w:r>
          </w:p>
          <w:p>
            <w:r>
              <w:rPr>
                <w:b/>
                <w:sz w:val="24"/>
              </w:rPr>
              <w:t xml:space="preserve"> </w:t>
            </w:r>
          </w:p>
          <w:p>
            <w:r>
              <w:rPr>
                <w:b/>
                <w:sz w:val="24"/>
              </w:rPr>
              <w:t xml:space="preserve"> </w:t>
            </w:r>
          </w:p>
          <w:p>
            <w:r>
              <w:rPr>
                <w:b/>
                <w:sz w:val="24"/>
              </w:rPr>
              <w:t xml:space="preserve"> </w:t>
            </w:r>
          </w:p>
          <w:p>
            <w:r>
              <w:rPr>
                <w:b/>
                <w:sz w:val="24"/>
              </w:rPr>
              <w:t>七、设备清单</w:t>
            </w:r>
          </w:p>
          <w:tbl>
            <w:tblPr>
              <w:tblBorders>
                <w:top w:val="none" w:color="000000" w:sz="4"/>
                <w:left w:val="none" w:color="000000" w:sz="4"/>
                <w:bottom w:val="none" w:color="000000" w:sz="4"/>
                <w:right w:val="none" w:color="000000" w:sz="4"/>
                <w:insideH w:val="none"/>
                <w:insideV w:val="none"/>
              </w:tblBorders>
            </w:tblPr>
            <w:tblGrid>
              <w:gridCol w:w="297"/>
              <w:gridCol w:w="495"/>
              <w:gridCol w:w="3313"/>
              <w:gridCol w:w="487"/>
              <w:gridCol w:w="296"/>
              <w:gridCol w:w="711"/>
            </w:tblGrid>
            <w:tr>
              <w:tc>
                <w:tcPr>
                  <w:tcW w:type="dxa" w:w="297"/>
                  <w:tcBorders>
                    <w:top w:val="single" w:color="000000" w:sz="4"/>
                    <w:left w:val="single" w:color="000000" w:sz="4"/>
                    <w:bottom w:val="single" w:color="000000" w:sz="4"/>
                    <w:right w:val="single" w:color="000000" w:sz="4"/>
                  </w:tcBorders>
                  <w:vAlign w:val="top"/>
                </w:tcPr>
                <w:p>
                  <w:pPr>
                    <w:jc w:val="center"/>
                  </w:pPr>
                  <w:r>
                    <w:rPr>
                      <w:b/>
                      <w:sz w:val="21"/>
                    </w:rPr>
                    <w:t>序号</w:t>
                  </w:r>
                </w:p>
              </w:tc>
              <w:tc>
                <w:tcPr>
                  <w:tcW w:type="dxa" w:w="495"/>
                  <w:tcBorders>
                    <w:top w:val="single" w:color="000000" w:sz="4"/>
                    <w:left w:val="single" w:color="000000" w:sz="4"/>
                    <w:bottom w:val="single" w:color="000000" w:sz="4"/>
                    <w:right w:val="single" w:color="000000" w:sz="4"/>
                  </w:tcBorders>
                  <w:vAlign w:val="top"/>
                </w:tcPr>
                <w:p>
                  <w:pPr>
                    <w:jc w:val="center"/>
                  </w:pPr>
                  <w:r>
                    <w:rPr>
                      <w:b/>
                      <w:sz w:val="21"/>
                    </w:rPr>
                    <w:t>货物名称</w:t>
                  </w:r>
                </w:p>
              </w:tc>
              <w:tc>
                <w:tcPr>
                  <w:tcW w:type="dxa" w:w="3313"/>
                  <w:tcBorders>
                    <w:top w:val="single" w:color="000000" w:sz="4"/>
                    <w:left w:val="single" w:color="000000" w:sz="4"/>
                    <w:bottom w:val="single" w:color="000000" w:sz="4"/>
                    <w:right w:val="single" w:color="000000" w:sz="4"/>
                  </w:tcBorders>
                  <w:vAlign w:val="top"/>
                </w:tcPr>
                <w:p>
                  <w:pPr>
                    <w:jc w:val="center"/>
                  </w:pPr>
                  <w:r>
                    <w:rPr>
                      <w:b/>
                      <w:sz w:val="21"/>
                    </w:rPr>
                    <w:t>技术参数要求规格</w:t>
                  </w:r>
                </w:p>
              </w:tc>
              <w:tc>
                <w:tcPr>
                  <w:tcW w:type="dxa" w:w="487"/>
                  <w:tcBorders>
                    <w:top w:val="single" w:color="000000" w:sz="4"/>
                    <w:left w:val="single" w:color="000000" w:sz="4"/>
                    <w:bottom w:val="single" w:color="000000" w:sz="4"/>
                    <w:right w:val="single" w:color="000000" w:sz="4"/>
                  </w:tcBorders>
                  <w:vAlign w:val="top"/>
                </w:tcPr>
                <w:p>
                  <w:pPr>
                    <w:jc w:val="center"/>
                  </w:pPr>
                  <w:r>
                    <w:rPr>
                      <w:b/>
                      <w:sz w:val="21"/>
                    </w:rPr>
                    <w:t>数量</w:t>
                  </w:r>
                </w:p>
              </w:tc>
              <w:tc>
                <w:tcPr>
                  <w:tcW w:type="dxa" w:w="296"/>
                  <w:tcBorders>
                    <w:top w:val="single" w:color="000000" w:sz="4"/>
                    <w:left w:val="single" w:color="000000" w:sz="4"/>
                    <w:bottom w:val="single" w:color="000000" w:sz="4"/>
                    <w:right w:val="single" w:color="000000" w:sz="4"/>
                  </w:tcBorders>
                  <w:vAlign w:val="top"/>
                </w:tcPr>
                <w:p>
                  <w:pPr>
                    <w:jc w:val="center"/>
                  </w:pPr>
                  <w:r>
                    <w:rPr>
                      <w:b/>
                      <w:sz w:val="21"/>
                    </w:rPr>
                    <w:t>单位</w:t>
                  </w:r>
                </w:p>
              </w:tc>
              <w:tc>
                <w:tcPr>
                  <w:tcW w:type="dxa" w:w="711"/>
                  <w:tcBorders>
                    <w:top w:val="single" w:color="000000" w:sz="4"/>
                    <w:left w:val="single" w:color="000000" w:sz="4"/>
                    <w:bottom w:val="single" w:color="000000" w:sz="4"/>
                    <w:right w:val="single" w:color="000000" w:sz="4"/>
                  </w:tcBorders>
                  <w:vAlign w:val="top"/>
                </w:tcPr>
                <w:p>
                  <w:pPr>
                    <w:jc w:val="center"/>
                  </w:pPr>
                  <w:r>
                    <w:rPr>
                      <w:b/>
                      <w:sz w:val="21"/>
                    </w:rPr>
                    <w:t>备注</w:t>
                  </w: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LED黑板灯</w:t>
                  </w:r>
                </w:p>
              </w:tc>
              <w:tc>
                <w:tcPr>
                  <w:tcW w:type="dxa" w:w="3313"/>
                  <w:tcBorders>
                    <w:top w:val="none" w:color="000000" w:sz="4"/>
                    <w:left w:val="single" w:color="000000" w:sz="4"/>
                    <w:bottom w:val="single" w:color="000000" w:sz="4"/>
                    <w:right w:val="single" w:color="000000" w:sz="4"/>
                  </w:tcBorders>
                  <w:vAlign w:val="top"/>
                </w:tcPr>
                <w:p>
                  <w:r>
                    <w:rPr>
                      <w:sz w:val="21"/>
                    </w:rPr>
                    <w:t>1、</w:t>
                  </w:r>
                  <w:r>
                    <w:rPr>
                      <w:sz w:val="21"/>
                    </w:rPr>
                    <w:t>LED黑板灯功率36±5W，功率因数≥0.98。</w:t>
                  </w:r>
                  <w:r>
                    <w:br/>
                  </w:r>
                  <w:r>
                    <w:rPr>
                      <w:sz w:val="21"/>
                    </w:rPr>
                    <w:t>2、LED黑板灯光通量≥2800LM，光效≥80LM/W。</w:t>
                  </w:r>
                  <w:r>
                    <w:br/>
                  </w:r>
                  <w:r>
                    <w:rPr>
                      <w:sz w:val="21"/>
                    </w:rPr>
                    <w:t>3、LED黑板灯色温在5000±200K区间。</w:t>
                  </w:r>
                  <w:r>
                    <w:br/>
                  </w:r>
                  <w:r>
                    <w:rPr>
                      <w:sz w:val="21"/>
                    </w:rPr>
                    <w:t>4、LED黑板灯显色指数≥95，特殊显色指数R9≥70，</w:t>
                  </w:r>
                </w:p>
                <w:p>
                  <w:r>
                    <w:rPr>
                      <w:sz w:val="21"/>
                    </w:rPr>
                    <w:t>★5、为使黑板面达到最佳照度均匀度与防眩效果，LED黑板灯半峰边角（50%）或1/2峰值光强夹角在C0-180面限于119°±2°；在C90-270面限于26°±2°,</w:t>
                  </w:r>
                  <w:r>
                    <w:rPr>
                      <w:sz w:val="21"/>
                    </w:rPr>
                    <w:t>供应商</w:t>
                  </w:r>
                  <w:r>
                    <w:rPr>
                      <w:sz w:val="21"/>
                    </w:rPr>
                    <w:t>须提供具有</w:t>
                  </w:r>
                  <w:r>
                    <w:rPr>
                      <w:sz w:val="21"/>
                    </w:rPr>
                    <w:t>CMA或CNAS资质的检测机构出具的检测报告复印件，要求内容能体现满足上述参数要求，并加盖供应商公章。</w:t>
                  </w:r>
                  <w:r>
                    <w:br/>
                  </w:r>
                  <w:r>
                    <w:rPr>
                      <w:sz w:val="21"/>
                    </w:rPr>
                    <w:t>6、LED黑板灯“闪烁”项目检测结论为“无显著影响”，且光输出波形频率≥4200Hz且波动深度≤1%。</w:t>
                  </w:r>
                  <w:r>
                    <w:br/>
                  </w:r>
                  <w:r>
                    <w:rPr>
                      <w:sz w:val="21"/>
                    </w:rPr>
                    <w:t>7、LED黑板灯光生物安全检测为“无危险类”。</w:t>
                  </w:r>
                  <w:r>
                    <w:br/>
                  </w:r>
                  <w:r>
                    <w:rPr>
                      <w:sz w:val="21"/>
                    </w:rPr>
                    <w:t>8、LED黑板灯蓝光危害等级RG0。</w:t>
                  </w:r>
                  <w:r>
                    <w:br/>
                  </w:r>
                  <w:r>
                    <w:rPr>
                      <w:sz w:val="21"/>
                    </w:rPr>
                    <w:t>◆</w:t>
                  </w:r>
                  <w:r>
                    <w:rPr>
                      <w:sz w:val="21"/>
                    </w:rPr>
                    <w:t>9、LED黑板灯驱动电源采用外置方案，并采用弹出式设计，便于产品免工具维护及升级安全操作。弹出按钮直径9～11MM，便于人手操作。LED黑板灯外置驱动电源盒分外盒、内盒；内盒与外盒通过内盒触片与外盒弹片接触方式实现电流传导。为避免外盒弹片与内盒触片接触面过小，要求输入输出4个内盒触片单个触片接触面不得小于9mm×5mm。</w:t>
                  </w:r>
                  <w:r>
                    <w:rPr>
                      <w:sz w:val="21"/>
                    </w:rPr>
                    <w:t>供应商</w:t>
                  </w:r>
                  <w:r>
                    <w:rPr>
                      <w:sz w:val="21"/>
                    </w:rPr>
                    <w:t>须提供技术规格书复印件及实物照片复印件（照片清晰可见相关尺寸）证明，并加盖供应商公章</w:t>
                  </w:r>
                  <w:r>
                    <w:rPr>
                      <w:sz w:val="21"/>
                    </w:rPr>
                    <w:t>。</w:t>
                  </w:r>
                  <w:r>
                    <w:br/>
                  </w:r>
                  <w:r>
                    <w:rPr>
                      <w:sz w:val="21"/>
                    </w:rPr>
                    <w:t>◆</w:t>
                  </w:r>
                  <w:r>
                    <w:rPr>
                      <w:sz w:val="21"/>
                    </w:rPr>
                    <w:t>10、LED黑板灯须通过国家强制性CCC认证；认证证书委托人、生产者、生产企业必须为同一公司名称。且为了保证产品的寿命及稳定性，要求LED模块颗数乘以LED模块额定功率之积是灯具额定功率的三倍以上（含三倍）提供CCC认证证书复印件，并加盖供应商公章。</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366</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盏</w:t>
                  </w:r>
                </w:p>
              </w:tc>
              <w:tc>
                <w:tcPr>
                  <w:tcW w:type="dxa" w:w="711"/>
                  <w:tcBorders>
                    <w:top w:val="none" w:color="000000" w:sz="4"/>
                    <w:left w:val="single" w:color="000000" w:sz="4"/>
                    <w:bottom w:val="single" w:color="000000" w:sz="4"/>
                    <w:right w:val="single" w:color="000000" w:sz="4"/>
                  </w:tcBorders>
                  <w:vAlign w:val="top"/>
                </w:tcPr>
                <w:p>
                  <w:pPr>
                    <w:jc w:val="center"/>
                  </w:pPr>
                  <w:r>
                    <w:rPr>
                      <w:sz w:val="21"/>
                    </w:rPr>
                    <w:t>免费质保五年</w:t>
                  </w: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2</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LED面板灯</w:t>
                  </w:r>
                </w:p>
              </w:tc>
              <w:tc>
                <w:tcPr>
                  <w:tcW w:type="dxa" w:w="3313"/>
                  <w:tcBorders>
                    <w:top w:val="none" w:color="000000" w:sz="4"/>
                    <w:left w:val="single" w:color="000000" w:sz="4"/>
                    <w:bottom w:val="single" w:color="000000" w:sz="4"/>
                    <w:right w:val="single" w:color="000000" w:sz="4"/>
                  </w:tcBorders>
                  <w:vAlign w:val="top"/>
                </w:tcPr>
                <w:p>
                  <w:r>
                    <w:rPr>
                      <w:sz w:val="21"/>
                    </w:rPr>
                    <w:t>1、LED面板灯功率36±5W，功率因数≥0.90。</w:t>
                  </w:r>
                </w:p>
                <w:p>
                  <w:r>
                    <w:rPr>
                      <w:sz w:val="21"/>
                    </w:rPr>
                    <w:t>2、LED面板灯光通量≥2800LM，光效≥80LM/W。</w:t>
                  </w:r>
                </w:p>
                <w:p>
                  <w:r>
                    <w:rPr>
                      <w:sz w:val="21"/>
                    </w:rPr>
                    <w:t>3、LED面板灯色温在5000±200K区间。</w:t>
                  </w:r>
                </w:p>
                <w:p>
                  <w:r>
                    <w:rPr>
                      <w:sz w:val="21"/>
                    </w:rPr>
                    <w:t>4、LED面板灯显色指数≥90，特殊显色指数R9≥50。</w:t>
                  </w:r>
                </w:p>
                <w:p>
                  <w:r>
                    <w:rPr>
                      <w:sz w:val="21"/>
                    </w:rPr>
                    <w:t>★5、为使课桌面达到最佳照度均匀度与防眩效果，LED面板灯半峰边角（50%）或1/2峰值光强夹角在C0-180面满足97°±2°；在C90-270面满足104°±2°°,</w:t>
                  </w:r>
                  <w:r>
                    <w:rPr>
                      <w:sz w:val="21"/>
                    </w:rPr>
                    <w:t>供应商</w:t>
                  </w:r>
                  <w:r>
                    <w:rPr>
                      <w:sz w:val="21"/>
                    </w:rPr>
                    <w:t>须提供具有</w:t>
                  </w:r>
                  <w:r>
                    <w:rPr>
                      <w:sz w:val="21"/>
                    </w:rPr>
                    <w:t>CMA或CNAS资质的检测机构出具的检测报告复印件，要求内容能体现满足上述参数要求，并加盖供应商公章）</w:t>
                  </w:r>
                </w:p>
                <w:p>
                  <w:r>
                    <w:rPr>
                      <w:sz w:val="21"/>
                    </w:rPr>
                    <w:t>6、LED面板灯光生物安全检测为“无危险类”。</w:t>
                  </w:r>
                </w:p>
                <w:p>
                  <w:r>
                    <w:rPr>
                      <w:sz w:val="21"/>
                    </w:rPr>
                    <w:t>7、LED面板灯频闪质量特性认证结果为无危害频闪或无频闪危害。</w:t>
                  </w:r>
                </w:p>
                <w:p>
                  <w:r>
                    <w:rPr>
                      <w:sz w:val="21"/>
                    </w:rPr>
                    <w:t>8、LED面板灯蓝光危害等级为RG0。</w:t>
                  </w:r>
                </w:p>
                <w:p>
                  <w:r>
                    <w:rPr>
                      <w:sz w:val="21"/>
                    </w:rPr>
                    <w:t>◆</w:t>
                  </w:r>
                  <w:r>
                    <w:rPr>
                      <w:sz w:val="21"/>
                    </w:rPr>
                    <w:t>9、LED面板灯须通过国家强制性CCC认证；认证证书委托人、生产者、生产企业必须为同一公司。提供CCC认证证书复印件，并加盖供应商公章。</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1238</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盏</w:t>
                  </w:r>
                </w:p>
              </w:tc>
              <w:tc>
                <w:tcPr>
                  <w:tcW w:type="dxa" w:w="711"/>
                  <w:tcBorders>
                    <w:top w:val="none" w:color="000000" w:sz="4"/>
                    <w:left w:val="single" w:color="000000" w:sz="4"/>
                    <w:bottom w:val="single" w:color="000000" w:sz="4"/>
                    <w:right w:val="single" w:color="000000" w:sz="4"/>
                  </w:tcBorders>
                  <w:vAlign w:val="top"/>
                </w:tcPr>
                <w:p>
                  <w:pPr>
                    <w:jc w:val="center"/>
                  </w:pPr>
                  <w:r>
                    <w:rPr>
                      <w:sz w:val="21"/>
                    </w:rPr>
                    <w:t>免费质保五年</w:t>
                  </w: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3</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LED教室灯</w:t>
                  </w:r>
                </w:p>
              </w:tc>
              <w:tc>
                <w:tcPr>
                  <w:tcW w:type="dxa" w:w="3313"/>
                  <w:tcBorders>
                    <w:top w:val="none" w:color="000000" w:sz="4"/>
                    <w:left w:val="single" w:color="000000" w:sz="4"/>
                    <w:bottom w:val="single" w:color="000000" w:sz="4"/>
                    <w:right w:val="single" w:color="000000" w:sz="4"/>
                  </w:tcBorders>
                  <w:vAlign w:val="top"/>
                </w:tcPr>
                <w:p>
                  <w:r>
                    <w:rPr>
                      <w:sz w:val="21"/>
                    </w:rPr>
                    <w:t>1、LED教室灯功率36±5W，功率因数≥0.90。</w:t>
                  </w:r>
                </w:p>
                <w:p>
                  <w:r>
                    <w:rPr>
                      <w:sz w:val="21"/>
                    </w:rPr>
                    <w:t>2、LED教室灯光通量≥3200LM，光效≥90LM/W。</w:t>
                  </w:r>
                </w:p>
                <w:p>
                  <w:r>
                    <w:rPr>
                      <w:sz w:val="21"/>
                    </w:rPr>
                    <w:t>3、LED教室灯色温在5000±200K区间。</w:t>
                  </w:r>
                </w:p>
                <w:p>
                  <w:r>
                    <w:rPr>
                      <w:sz w:val="21"/>
                    </w:rPr>
                    <w:t>4、LED教室灯显色指数≥90，特殊显色指数R9≥50。</w:t>
                  </w:r>
                </w:p>
                <w:p>
                  <w:r>
                    <w:rPr>
                      <w:sz w:val="21"/>
                    </w:rPr>
                    <w:t>◆</w:t>
                  </w:r>
                  <w:r>
                    <w:rPr>
                      <w:sz w:val="21"/>
                    </w:rPr>
                    <w:t>5、为使课桌面达到最佳照度均匀度与防眩效果，LED教室灯半峰边角（50%）或1/2峰值光强夹角在C0-180面满足70°±2°；在C90-270面满足68°±2°；</w:t>
                  </w:r>
                  <w:r>
                    <w:rPr>
                      <w:sz w:val="21"/>
                    </w:rPr>
                    <w:t>供应商</w:t>
                  </w:r>
                  <w:r>
                    <w:rPr>
                      <w:sz w:val="21"/>
                    </w:rPr>
                    <w:t>须提供具有</w:t>
                  </w:r>
                  <w:r>
                    <w:rPr>
                      <w:sz w:val="21"/>
                    </w:rPr>
                    <w:t>CMA或CNAS资质的检测机构出具的检测报告复印件，要求内容能体现满足上述参数要求，并加盖供应商公章）</w:t>
                  </w:r>
                </w:p>
                <w:p>
                  <w:r>
                    <w:rPr>
                      <w:sz w:val="21"/>
                    </w:rPr>
                    <w:t>6、LED教室灯“闪烁”项目检测结论为“无显著影响”。</w:t>
                  </w:r>
                </w:p>
                <w:p>
                  <w:r>
                    <w:rPr>
                      <w:sz w:val="21"/>
                    </w:rPr>
                    <w:t>7、LED教室灯蓝光危害等级RG0。</w:t>
                  </w:r>
                </w:p>
                <w:p>
                  <w:r>
                    <w:rPr>
                      <w:sz w:val="21"/>
                    </w:rPr>
                    <w:t>8、LED教室灯光生物安全检测为“无危险类”。</w:t>
                  </w:r>
                </w:p>
                <w:p>
                  <w:r>
                    <w:rPr>
                      <w:sz w:val="21"/>
                    </w:rPr>
                    <w:t>◆</w:t>
                  </w:r>
                  <w:r>
                    <w:rPr>
                      <w:sz w:val="21"/>
                    </w:rPr>
                    <w:t>9、LED教室灯应为一体式灯具，不接受组合式灯具，边框材料应采用银色铝型材；LED教室灯应采用格栅防眩光处理；格栅网面内侧应有防尘板（膜）；LED教室灯应实现背部透光，提高教室照明舒适度；LED教室灯采用吊杆式安装时，吊杆应采用铝型材质管。需提供技术规格书复印件和实物图复印件证明，并加盖供应商公章。</w:t>
                  </w:r>
                </w:p>
                <w:p>
                  <w:r>
                    <w:rPr>
                      <w:sz w:val="21"/>
                    </w:rPr>
                    <w:t>★10、LED教室灯驱动电源采用外置方案，并采用弹出式设计，便于产品免工具维护及升级安全操作。弹出按钮直径9～11MM，便于人手操作。LED教室灯外置驱动电源盒分外盒、内盒；内盒与外盒通过内盒触片与外盒弹片接触方式实现电流传导。为避免外盒弹片与内盒触片接触面过小，要求输入输出4个内盒触片单个触片接触面不得小于9mm×5mm。</w:t>
                  </w:r>
                </w:p>
                <w:p>
                  <w:r>
                    <w:rPr>
                      <w:sz w:val="21"/>
                    </w:rPr>
                    <w:t>供应商必须提供技术规格书复印件及实物照片复印件（照片清晰可见相关尺寸）证明，并加盖供应商公章。</w:t>
                  </w:r>
                </w:p>
                <w:p>
                  <w:r>
                    <w:rPr>
                      <w:sz w:val="21"/>
                    </w:rPr>
                    <w:t>◆</w:t>
                  </w:r>
                  <w:r>
                    <w:rPr>
                      <w:sz w:val="21"/>
                    </w:rPr>
                    <w:t>11、LED教室灯须通过国家强制性CCC认证；认证证书委托人、生产者、生产企业必须为同一公司名称。且为了保证产品的寿命及稳定性，要求LED模块颗数乘以LED模块额定功率之积是灯具额定功率的三倍以上（含三倍）提供CCC认证证书复印件，并加盖供应商公章。</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274</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盏</w:t>
                  </w:r>
                </w:p>
              </w:tc>
              <w:tc>
                <w:tcPr>
                  <w:tcW w:type="dxa" w:w="711"/>
                  <w:tcBorders>
                    <w:top w:val="none" w:color="000000" w:sz="4"/>
                    <w:left w:val="single" w:color="000000" w:sz="4"/>
                    <w:bottom w:val="single" w:color="000000" w:sz="4"/>
                    <w:right w:val="single" w:color="000000" w:sz="4"/>
                  </w:tcBorders>
                  <w:vAlign w:val="top"/>
                </w:tcPr>
                <w:p>
                  <w:pPr>
                    <w:jc w:val="center"/>
                  </w:pPr>
                  <w:r>
                    <w:rPr>
                      <w:sz w:val="21"/>
                    </w:rPr>
                    <w:t>幼儿园专用灯</w:t>
                  </w: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4</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杀菌灯</w:t>
                  </w:r>
                </w:p>
              </w:tc>
              <w:tc>
                <w:tcPr>
                  <w:tcW w:type="dxa" w:w="3313"/>
                  <w:tcBorders>
                    <w:top w:val="none" w:color="000000" w:sz="4"/>
                    <w:left w:val="single" w:color="000000" w:sz="4"/>
                    <w:bottom w:val="single" w:color="000000" w:sz="4"/>
                    <w:right w:val="single" w:color="000000" w:sz="4"/>
                  </w:tcBorders>
                  <w:vAlign w:val="top"/>
                </w:tcPr>
                <w:p>
                  <w:r>
                    <w:rPr>
                      <w:sz w:val="21"/>
                    </w:rPr>
                    <w:t>1、套接式紫外杀菌灯额定功率：2*11W</w:t>
                  </w:r>
                </w:p>
                <w:p>
                  <w:r>
                    <w:rPr>
                      <w:sz w:val="21"/>
                    </w:rPr>
                    <w:t>2、套接式紫外杀菌灯工作电压：AC220V</w:t>
                  </w:r>
                </w:p>
                <w:p>
                  <w:r>
                    <w:rPr>
                      <w:sz w:val="21"/>
                    </w:rPr>
                    <w:t>3、套接式紫外杀菌灯功率因数≥0.80</w:t>
                  </w:r>
                </w:p>
                <w:p>
                  <w:r>
                    <w:rPr>
                      <w:sz w:val="21"/>
                    </w:rPr>
                    <w:t>4、套接式紫外杀菌灯光谱波长：253.7nm</w:t>
                  </w:r>
                </w:p>
                <w:p>
                  <w:r>
                    <w:rPr>
                      <w:sz w:val="21"/>
                    </w:rPr>
                    <w:t>5、套接式紫外杀菌灯具有红外人体感应功能，人在现场杀菌灯不工作。感应无人启动延时30秒，启动后检测有人误闯入立即关灯，防止紫外线伤人，保证人体安全。</w:t>
                  </w:r>
                </w:p>
                <w:p>
                  <w:r>
                    <w:rPr>
                      <w:sz w:val="21"/>
                    </w:rPr>
                    <w:t>◆</w:t>
                  </w:r>
                  <w:r>
                    <w:rPr>
                      <w:sz w:val="21"/>
                    </w:rPr>
                    <w:t>6、紫外杀菌灯套接于教室灯。紫外杀菌灯整体（含接线端子等小部件）尺寸：长度328±3mm；宽度312±3mm。为了保证紫外杀菌灯（照明灯套接式）与LED照明灯能稳固套接，紫外杀菌灯用于套接LED照明灯的套接槽内尺寸必须保证槽内宽度18±2mm；槽内深度17±2mm。为了保证紫外杀菌灯（照明灯套接式）套接槽承重能力，要求套接槽厚度≥0.8mm。为了实现良好的杀菌效果并方便杀菌灯维修更换，紫外杀菌灯必须水平横向套接在照明灯一端，紫外杀菌灯的出光口必须直接朝下设计，供应商必须提供加盖供应商公章的技术规格书复印件及实物照片复印件(照片清晰可见相关尺寸)证明。</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137</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个</w:t>
                  </w:r>
                </w:p>
              </w:tc>
              <w:tc>
                <w:tcPr>
                  <w:tcW w:type="dxa" w:w="711"/>
                  <w:tcBorders>
                    <w:top w:val="none" w:color="000000" w:sz="4"/>
                    <w:left w:val="single" w:color="000000" w:sz="4"/>
                    <w:bottom w:val="single" w:color="000000" w:sz="4"/>
                    <w:right w:val="single" w:color="000000" w:sz="4"/>
                  </w:tcBorders>
                  <w:vAlign w:val="top"/>
                </w:tcPr>
                <w:p>
                  <w:pPr>
                    <w:jc w:val="center"/>
                  </w:pPr>
                  <w:r>
                    <w:rPr>
                      <w:sz w:val="21"/>
                    </w:rPr>
                    <w:t>平均</w:t>
                  </w:r>
                  <w:r>
                    <w:rPr>
                      <w:sz w:val="21"/>
                    </w:rPr>
                    <w:t>2盏灯布设1盏杀菌灯，杀菌灯和灯具一体</w:t>
                  </w: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5</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吊杆</w:t>
                  </w:r>
                </w:p>
              </w:tc>
              <w:tc>
                <w:tcPr>
                  <w:tcW w:type="dxa" w:w="3313"/>
                  <w:tcBorders>
                    <w:top w:val="none" w:color="000000" w:sz="4"/>
                    <w:left w:val="single" w:color="000000" w:sz="4"/>
                    <w:bottom w:val="single" w:color="000000" w:sz="4"/>
                    <w:right w:val="single" w:color="000000" w:sz="4"/>
                  </w:tcBorders>
                  <w:vAlign w:val="top"/>
                </w:tcPr>
                <w:p>
                  <w:r>
                    <w:rPr>
                      <w:sz w:val="21"/>
                    </w:rPr>
                    <w:t>吊杆式安装，吊杆应采用铝型材质管，灯具安装吊杆外径不小于</w:t>
                  </w:r>
                  <w:r>
                    <w:rPr>
                      <w:sz w:val="21"/>
                    </w:rPr>
                    <w:t>11.5mm，壁厚不小于0.95mm；表面阳极氧化本色。</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3750</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根</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6</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藏线盒</w:t>
                  </w:r>
                </w:p>
              </w:tc>
              <w:tc>
                <w:tcPr>
                  <w:tcW w:type="dxa" w:w="3313"/>
                  <w:tcBorders>
                    <w:top w:val="none" w:color="000000" w:sz="4"/>
                    <w:left w:val="single" w:color="000000" w:sz="4"/>
                    <w:bottom w:val="single" w:color="000000" w:sz="4"/>
                    <w:right w:val="single" w:color="000000" w:sz="4"/>
                  </w:tcBorders>
                  <w:vAlign w:val="top"/>
                </w:tcPr>
                <w:p>
                  <w:r>
                    <w:rPr>
                      <w:sz w:val="21"/>
                    </w:rPr>
                    <w:t>藏线盒</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3750</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个</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7</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双联单控开关</w:t>
                  </w:r>
                </w:p>
              </w:tc>
              <w:tc>
                <w:tcPr>
                  <w:tcW w:type="dxa" w:w="3313"/>
                  <w:tcBorders>
                    <w:top w:val="none" w:color="000000" w:sz="4"/>
                    <w:left w:val="single" w:color="000000" w:sz="4"/>
                    <w:bottom w:val="single" w:color="000000" w:sz="4"/>
                    <w:right w:val="single" w:color="000000" w:sz="4"/>
                  </w:tcBorders>
                  <w:vAlign w:val="top"/>
                </w:tcPr>
                <w:p>
                  <w:r>
                    <w:rPr>
                      <w:sz w:val="21"/>
                    </w:rPr>
                    <w:t>双联单控开关</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175</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个</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8</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电源线</w:t>
                  </w:r>
                </w:p>
              </w:tc>
              <w:tc>
                <w:tcPr>
                  <w:tcW w:type="dxa" w:w="3313"/>
                  <w:tcBorders>
                    <w:top w:val="none" w:color="000000" w:sz="4"/>
                    <w:left w:val="single" w:color="000000" w:sz="4"/>
                    <w:bottom w:val="single" w:color="000000" w:sz="4"/>
                    <w:right w:val="single" w:color="000000" w:sz="4"/>
                  </w:tcBorders>
                  <w:vAlign w:val="top"/>
                </w:tcPr>
                <w:p>
                  <w:r>
                    <w:rPr>
                      <w:sz w:val="21"/>
                    </w:rPr>
                    <w:t>1.名称:管内穿线；2.配线形式:主干照明线路；3.规格:3*2.5；4.材质:铜芯</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4100</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米</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9</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电源线</w:t>
                  </w:r>
                </w:p>
              </w:tc>
              <w:tc>
                <w:tcPr>
                  <w:tcW w:type="dxa" w:w="3313"/>
                  <w:tcBorders>
                    <w:top w:val="none" w:color="000000" w:sz="4"/>
                    <w:left w:val="single" w:color="000000" w:sz="4"/>
                    <w:bottom w:val="single" w:color="000000" w:sz="4"/>
                    <w:right w:val="single" w:color="000000" w:sz="4"/>
                  </w:tcBorders>
                  <w:vAlign w:val="top"/>
                </w:tcPr>
                <w:p>
                  <w:r>
                    <w:rPr>
                      <w:sz w:val="21"/>
                    </w:rPr>
                    <w:t>1.名称:管内穿线；2.配线形式:分支照明线路；3.规格:RVB-2*1.5；4.材质:铜芯</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15417</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米</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10</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电源线</w:t>
                  </w:r>
                </w:p>
              </w:tc>
              <w:tc>
                <w:tcPr>
                  <w:tcW w:type="dxa" w:w="3313"/>
                  <w:tcBorders>
                    <w:top w:val="none" w:color="000000" w:sz="4"/>
                    <w:left w:val="single" w:color="000000" w:sz="4"/>
                    <w:bottom w:val="single" w:color="000000" w:sz="4"/>
                    <w:right w:val="single" w:color="000000" w:sz="4"/>
                  </w:tcBorders>
                  <w:vAlign w:val="top"/>
                </w:tcPr>
                <w:p>
                  <w:r>
                    <w:rPr>
                      <w:sz w:val="21"/>
                    </w:rPr>
                    <w:t>1.名称:管内穿线；2.配线形式:风扇线路改造和新增；3.规格:RVV2*2.5；4.材质:铜芯</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9560</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米</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w:t>
                  </w:r>
                  <w:r>
                    <w:rPr>
                      <w:sz w:val="21"/>
                    </w:rPr>
                    <w:t>1</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线槽</w:t>
                  </w:r>
                </w:p>
              </w:tc>
              <w:tc>
                <w:tcPr>
                  <w:tcW w:type="dxa" w:w="3313"/>
                  <w:tcBorders>
                    <w:top w:val="none" w:color="000000" w:sz="4"/>
                    <w:left w:val="single" w:color="000000" w:sz="4"/>
                    <w:bottom w:val="single" w:color="000000" w:sz="4"/>
                    <w:right w:val="single" w:color="000000" w:sz="4"/>
                  </w:tcBorders>
                  <w:vAlign w:val="top"/>
                </w:tcPr>
                <w:p>
                  <w:r>
                    <w:rPr>
                      <w:sz w:val="21"/>
                    </w:rPr>
                    <w:t>1.名称:刚性难燃管；2.规格:PC20；3.配置形式:明配</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7010</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米</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w:t>
                  </w:r>
                  <w:r>
                    <w:rPr>
                      <w:sz w:val="21"/>
                    </w:rPr>
                    <w:t>2</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灯具拆除费用</w:t>
                  </w:r>
                </w:p>
              </w:tc>
              <w:tc>
                <w:tcPr>
                  <w:tcW w:type="dxa" w:w="3313"/>
                  <w:tcBorders>
                    <w:top w:val="none" w:color="000000" w:sz="4"/>
                    <w:left w:val="single" w:color="000000" w:sz="4"/>
                    <w:bottom w:val="single" w:color="000000" w:sz="4"/>
                    <w:right w:val="single" w:color="000000" w:sz="4"/>
                  </w:tcBorders>
                  <w:vAlign w:val="top"/>
                </w:tcPr>
                <w:p>
                  <w:r>
                    <w:rPr>
                      <w:sz w:val="21"/>
                    </w:rPr>
                    <w:t>把学校原有的旧灯具及线路拆除，并把旧灯具及垃圾搬运放置学校指定的地点。</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121</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w:t>
                  </w:r>
                  <w:r>
                    <w:rPr>
                      <w:sz w:val="21"/>
                    </w:rPr>
                    <w:t>3</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灯具及杀菌灯拆除费用</w:t>
                  </w:r>
                </w:p>
              </w:tc>
              <w:tc>
                <w:tcPr>
                  <w:tcW w:type="dxa" w:w="3313"/>
                  <w:tcBorders>
                    <w:top w:val="none" w:color="000000" w:sz="4"/>
                    <w:left w:val="single" w:color="000000" w:sz="4"/>
                    <w:bottom w:val="single" w:color="000000" w:sz="4"/>
                    <w:right w:val="single" w:color="000000" w:sz="4"/>
                  </w:tcBorders>
                  <w:vAlign w:val="top"/>
                </w:tcPr>
                <w:p>
                  <w:r>
                    <w:rPr>
                      <w:sz w:val="21"/>
                    </w:rPr>
                    <w:t>把学校原有的旧灯具、杀菌灯及线路拆除，并把旧灯具</w:t>
                  </w:r>
                  <w:r>
                    <w:rPr>
                      <w:sz w:val="21"/>
                    </w:rPr>
                    <w:t>/杀菌灯及垃圾搬运放置学校指定的地点，并把教室现有的玩具和物品搬迁放置安全位置</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18</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w:t>
                  </w:r>
                  <w:r>
                    <w:rPr>
                      <w:sz w:val="21"/>
                    </w:rPr>
                    <w:t>4</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更换吸顶摇头扇</w:t>
                  </w:r>
                </w:p>
              </w:tc>
              <w:tc>
                <w:tcPr>
                  <w:tcW w:type="dxa" w:w="3313"/>
                  <w:tcBorders>
                    <w:top w:val="none" w:color="000000" w:sz="4"/>
                    <w:left w:val="single" w:color="000000" w:sz="4"/>
                    <w:bottom w:val="single" w:color="000000" w:sz="4"/>
                    <w:right w:val="single" w:color="000000" w:sz="4"/>
                  </w:tcBorders>
                  <w:vAlign w:val="top"/>
                </w:tcPr>
                <w:p>
                  <w:r>
                    <w:rPr>
                      <w:sz w:val="21"/>
                    </w:rPr>
                    <w:t>定频，风力档位：</w:t>
                  </w:r>
                  <w:r>
                    <w:rPr>
                      <w:sz w:val="21"/>
                    </w:rPr>
                    <w:t>3档，机械式，扇叶片数：3-5叶</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855</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台</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w:t>
                  </w:r>
                  <w:r>
                    <w:rPr>
                      <w:sz w:val="21"/>
                    </w:rPr>
                    <w:t>5</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更换壁挂摇头扇</w:t>
                  </w:r>
                </w:p>
              </w:tc>
              <w:tc>
                <w:tcPr>
                  <w:tcW w:type="dxa" w:w="3313"/>
                  <w:tcBorders>
                    <w:top w:val="none" w:color="000000" w:sz="4"/>
                    <w:left w:val="single" w:color="000000" w:sz="4"/>
                    <w:bottom w:val="single" w:color="000000" w:sz="4"/>
                    <w:right w:val="single" w:color="000000" w:sz="4"/>
                  </w:tcBorders>
                  <w:vAlign w:val="top"/>
                </w:tcPr>
                <w:p>
                  <w:r>
                    <w:rPr>
                      <w:sz w:val="21"/>
                    </w:rPr>
                    <w:t>定频，风力档位：</w:t>
                  </w:r>
                  <w:r>
                    <w:rPr>
                      <w:sz w:val="21"/>
                    </w:rPr>
                    <w:t>3档，机械式，扇叶片数：3-5叶</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127</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台</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w:t>
                  </w:r>
                  <w:r>
                    <w:rPr>
                      <w:sz w:val="21"/>
                    </w:rPr>
                    <w:t>6</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配件</w:t>
                  </w:r>
                </w:p>
              </w:tc>
              <w:tc>
                <w:tcPr>
                  <w:tcW w:type="dxa" w:w="3313"/>
                  <w:tcBorders>
                    <w:top w:val="none" w:color="000000" w:sz="4"/>
                    <w:left w:val="single" w:color="000000" w:sz="4"/>
                    <w:bottom w:val="single" w:color="000000" w:sz="4"/>
                    <w:right w:val="single" w:color="000000" w:sz="4"/>
                  </w:tcBorders>
                  <w:vAlign w:val="top"/>
                </w:tcPr>
                <w:p>
                  <w:r>
                    <w:rPr>
                      <w:sz w:val="21"/>
                    </w:rPr>
                    <w:t>风扇插座，底盒，开关等其它小配件辅材</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856</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个</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w:t>
                  </w:r>
                  <w:r>
                    <w:rPr>
                      <w:sz w:val="21"/>
                    </w:rPr>
                    <w:t>7</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吊扇拆除及安装</w:t>
                  </w:r>
                </w:p>
              </w:tc>
              <w:tc>
                <w:tcPr>
                  <w:tcW w:type="dxa" w:w="3313"/>
                  <w:tcBorders>
                    <w:top w:val="none" w:color="000000" w:sz="4"/>
                    <w:left w:val="single" w:color="000000" w:sz="4"/>
                    <w:bottom w:val="single" w:color="000000" w:sz="4"/>
                    <w:right w:val="single" w:color="000000" w:sz="4"/>
                  </w:tcBorders>
                  <w:vAlign w:val="top"/>
                </w:tcPr>
                <w:p>
                  <w:r>
                    <w:rPr>
                      <w:sz w:val="21"/>
                    </w:rPr>
                    <w:t>1：原教室旧风扇、线路拆除及改造，并把施工产生垃圾搬运清理干净、重新安装新风扇和调整风扇位置和线路改造及敷设。</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121</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w:t>
                  </w:r>
                  <w:r>
                    <w:rPr>
                      <w:sz w:val="21"/>
                    </w:rPr>
                    <w:t>8</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安装人工费</w:t>
                  </w:r>
                </w:p>
              </w:tc>
              <w:tc>
                <w:tcPr>
                  <w:tcW w:type="dxa" w:w="3313"/>
                  <w:tcBorders>
                    <w:top w:val="none" w:color="000000" w:sz="4"/>
                    <w:left w:val="single" w:color="000000" w:sz="4"/>
                    <w:bottom w:val="single" w:color="000000" w:sz="4"/>
                    <w:right w:val="single" w:color="000000" w:sz="4"/>
                  </w:tcBorders>
                  <w:vAlign w:val="top"/>
                </w:tcPr>
                <w:p>
                  <w:r>
                    <w:rPr>
                      <w:sz w:val="21"/>
                    </w:rPr>
                    <w:t>人工安装费及辅材配件施工，电源，线槽线路敷设垃圾清运。</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121</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1</w:t>
                  </w:r>
                  <w:r>
                    <w:rPr>
                      <w:sz w:val="21"/>
                    </w:rPr>
                    <w:t>9</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旧教室护眼灯迁移和恢复</w:t>
                  </w:r>
                </w:p>
              </w:tc>
              <w:tc>
                <w:tcPr>
                  <w:tcW w:type="dxa" w:w="3313"/>
                  <w:tcBorders>
                    <w:top w:val="none" w:color="000000" w:sz="4"/>
                    <w:left w:val="single" w:color="000000" w:sz="4"/>
                    <w:bottom w:val="single" w:color="000000" w:sz="4"/>
                    <w:right w:val="single" w:color="000000" w:sz="4"/>
                  </w:tcBorders>
                  <w:vAlign w:val="top"/>
                </w:tcPr>
                <w:p>
                  <w:r>
                    <w:rPr>
                      <w:sz w:val="21"/>
                    </w:rPr>
                    <w:t>把原有的教室护眼等及其它配件线路迁移到学校指定的教室并重新安装敷设</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24</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20</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修补及人工</w:t>
                  </w:r>
                </w:p>
              </w:tc>
              <w:tc>
                <w:tcPr>
                  <w:tcW w:type="dxa" w:w="3313"/>
                  <w:tcBorders>
                    <w:top w:val="none" w:color="000000" w:sz="4"/>
                    <w:left w:val="single" w:color="000000" w:sz="4"/>
                    <w:bottom w:val="single" w:color="000000" w:sz="4"/>
                    <w:right w:val="single" w:color="000000" w:sz="4"/>
                  </w:tcBorders>
                  <w:vAlign w:val="top"/>
                </w:tcPr>
                <w:p>
                  <w:r>
                    <w:rPr>
                      <w:sz w:val="21"/>
                    </w:rPr>
                    <w:t>旧线槽拆除后需要补灰，修补回复美化</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项</w:t>
                  </w:r>
                </w:p>
              </w:tc>
              <w:tc>
                <w:tcPr>
                  <w:tcW w:type="dxa" w:w="711"/>
                  <w:tcBorders>
                    <w:top w:val="none" w:color="000000" w:sz="4"/>
                    <w:left w:val="single" w:color="000000" w:sz="4"/>
                    <w:bottom w:val="single" w:color="000000" w:sz="4"/>
                    <w:right w:val="single" w:color="000000" w:sz="4"/>
                  </w:tcBorders>
                  <w:vAlign w:val="top"/>
                </w:tcPr>
                <w:p>
                  <w:pPr>
                    <w:jc w:val="center"/>
                  </w:p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2</w:t>
                  </w:r>
                  <w:r>
                    <w:rPr>
                      <w:sz w:val="21"/>
                    </w:rPr>
                    <w:t>1</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杀菌灯安装</w:t>
                  </w:r>
                </w:p>
              </w:tc>
              <w:tc>
                <w:tcPr>
                  <w:tcW w:type="dxa" w:w="3313"/>
                  <w:tcBorders>
                    <w:top w:val="none" w:color="000000" w:sz="4"/>
                    <w:left w:val="single" w:color="000000" w:sz="4"/>
                    <w:bottom w:val="single" w:color="000000" w:sz="4"/>
                    <w:right w:val="single" w:color="000000" w:sz="4"/>
                  </w:tcBorders>
                  <w:vAlign w:val="top"/>
                </w:tcPr>
                <w:p>
                  <w:r>
                    <w:rPr>
                      <w:sz w:val="21"/>
                    </w:rPr>
                    <w:t>1：原教室线路拆除及改造，并把施工产生垃圾搬运清理干净、重新安装新杀菌灯和调整杀菌灯位置和线路改造及敷设。</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18</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711"/>
                  <w:tcBorders>
                    <w:top w:val="none" w:color="000000" w:sz="4"/>
                    <w:left w:val="single" w:color="000000" w:sz="4"/>
                    <w:bottom w:val="single" w:color="000000" w:sz="4"/>
                    <w:right w:val="single" w:color="000000" w:sz="4"/>
                  </w:tcBorders>
                  <w:vAlign w:val="top"/>
                </w:tcPr>
                <w:p/>
              </w:tc>
            </w:tr>
            <w:tr>
              <w:tc>
                <w:tcPr>
                  <w:tcW w:type="dxa" w:w="297"/>
                  <w:tcBorders>
                    <w:top w:val="none" w:color="000000" w:sz="4"/>
                    <w:left w:val="single" w:color="000000" w:sz="4"/>
                    <w:bottom w:val="single" w:color="000000" w:sz="4"/>
                    <w:right w:val="single" w:color="000000" w:sz="4"/>
                  </w:tcBorders>
                  <w:vAlign w:val="top"/>
                </w:tcPr>
                <w:p>
                  <w:pPr>
                    <w:jc w:val="center"/>
                  </w:pPr>
                  <w:r>
                    <w:rPr>
                      <w:sz w:val="21"/>
                    </w:rPr>
                    <w:t>2</w:t>
                  </w:r>
                  <w:r>
                    <w:rPr>
                      <w:sz w:val="21"/>
                    </w:rPr>
                    <w:t>2</w:t>
                  </w:r>
                </w:p>
              </w:tc>
              <w:tc>
                <w:tcPr>
                  <w:tcW w:type="dxa" w:w="495"/>
                  <w:tcBorders>
                    <w:top w:val="none" w:color="000000" w:sz="4"/>
                    <w:left w:val="single" w:color="000000" w:sz="4"/>
                    <w:bottom w:val="single" w:color="000000" w:sz="4"/>
                    <w:right w:val="single" w:color="000000" w:sz="4"/>
                  </w:tcBorders>
                  <w:vAlign w:val="top"/>
                </w:tcPr>
                <w:p>
                  <w:pPr>
                    <w:jc w:val="center"/>
                  </w:pPr>
                  <w:r>
                    <w:rPr>
                      <w:sz w:val="21"/>
                    </w:rPr>
                    <w:t>安装人工费</w:t>
                  </w:r>
                </w:p>
              </w:tc>
              <w:tc>
                <w:tcPr>
                  <w:tcW w:type="dxa" w:w="3313"/>
                  <w:tcBorders>
                    <w:top w:val="none" w:color="000000" w:sz="4"/>
                    <w:left w:val="single" w:color="000000" w:sz="4"/>
                    <w:bottom w:val="single" w:color="000000" w:sz="4"/>
                    <w:right w:val="single" w:color="000000" w:sz="4"/>
                  </w:tcBorders>
                  <w:vAlign w:val="top"/>
                </w:tcPr>
                <w:p>
                  <w:r>
                    <w:rPr>
                      <w:sz w:val="21"/>
                    </w:rPr>
                    <w:t>人工安装费及辅材配件施工，电源，线槽线路敷设垃圾清运。</w:t>
                  </w:r>
                </w:p>
              </w:tc>
              <w:tc>
                <w:tcPr>
                  <w:tcW w:type="dxa" w:w="487"/>
                  <w:tcBorders>
                    <w:top w:val="none" w:color="000000" w:sz="4"/>
                    <w:left w:val="single" w:color="000000" w:sz="4"/>
                    <w:bottom w:val="single" w:color="000000" w:sz="4"/>
                    <w:right w:val="single" w:color="000000" w:sz="4"/>
                  </w:tcBorders>
                  <w:vAlign w:val="top"/>
                </w:tcPr>
                <w:p>
                  <w:pPr>
                    <w:jc w:val="center"/>
                  </w:pPr>
                  <w:r>
                    <w:rPr>
                      <w:sz w:val="21"/>
                    </w:rPr>
                    <w:t>18</w:t>
                  </w:r>
                </w:p>
              </w:tc>
              <w:tc>
                <w:tcPr>
                  <w:tcW w:type="dxa" w:w="296"/>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711"/>
                  <w:tcBorders>
                    <w:top w:val="none" w:color="000000" w:sz="4"/>
                    <w:left w:val="single" w:color="000000" w:sz="4"/>
                    <w:bottom w:val="single" w:color="000000" w:sz="4"/>
                    <w:right w:val="single" w:color="000000" w:sz="4"/>
                  </w:tcBorders>
                  <w:vAlign w:val="top"/>
                </w:tcPr>
                <w:p>
                  <w:pPr>
                    <w:jc w:val="center"/>
                  </w:pPr>
                </w:p>
              </w:tc>
            </w:tr>
          </w:tbl>
          <w:p>
            <w:r>
              <w:rPr/>
              <w:t xml:space="preserve"> </w:t>
            </w:r>
          </w:p>
          <w:p>
            <w:r>
              <w:rPr/>
              <w:t xml:space="preserve"> </w:t>
            </w:r>
          </w:p>
          <w:p>
            <w:r>
              <w:rPr/>
              <w:t xml:space="preserve"> </w:t>
            </w:r>
          </w:p>
          <w:p>
            <w:r>
              <w:rPr/>
              <w:t xml:space="preserve"> </w:t>
            </w:r>
          </w:p>
          <w:p>
            <w:r>
              <w:rPr/>
              <w:t xml:space="preserve"> </w:t>
            </w:r>
          </w:p>
          <w:p>
            <w:pPr>
              <w:ind w:firstLine="422"/>
            </w:pPr>
          </w:p>
          <w:p/>
          <w:p/>
        </w:tc>
      </w:tr>
      <w:tr>
        <w:tc>
          <w:tcPr>
            <w:tcW w:type="dxa" w:w="2076"/>
          </w:tcPr>
          <w:p>
            <w:r>
              <w:rPr/>
              <w:t>说明</w:t>
            </w:r>
          </w:p>
        </w:tc>
        <w:tc>
          <w:tcPr>
            <w:tcW w:type="dxa" w:w="6229"/>
            <w:gridSpan w:val="2"/>
          </w:tcPr>
          <w:p>
            <w:pPr>
              <w:jc w:val="left"/>
            </w:pPr>
            <w:r>
              <w:rPr/>
              <w:t>打“★”号条款为实质性条款，若有任何一条负偏离或不满足则导致投标（响应）无效。</w:t>
            </w:r>
            <w:r>
              <w:br/>
            </w:r>
            <w:r>
              <w:rPr/>
              <w:t>打“▲”号条款为重要技术参数（如有），若有部分“▲”条款未响应或不满足，将根据评审要求影响其得分，但不作为无效投标（响应）条款。</w:t>
            </w:r>
          </w:p>
        </w:tc>
      </w:tr>
    </w:tbl>
    <w:p/>
    <w:p>
      <w:pPr>
        <w:ind w:firstLine="480"/>
      </w:pPr>
    </w:p>
    <w:p>
      <w:r>
        <w:rPr/>
        <w:t xml:space="preserve"> </w:t>
      </w:r>
    </w:p>
    <w:p/>
    <w:p>
      <w:r>
        <w:rPr>
          <w:b/>
          <w:sz w:val="36"/>
        </w:rPr>
        <w:t>第三章 供应商须知</w:t>
      </w:r>
    </w:p>
    <w:p>
      <w:pPr>
        <w:ind w:firstLine="480"/>
      </w:pPr>
      <w:r>
        <w:rPr/>
        <w:t>供应商必须认真阅读谈判文件中所有的事项、格式、条款和采购需求等。供应商没有按照谈判文件要求提交全部资料，或者响应文件没有对谈判文件在各方面都做出实质性响应的可能导致其响应无效或被拒绝。</w:t>
      </w:r>
    </w:p>
    <w:p>
      <w:pPr>
        <w:ind w:firstLine="480"/>
      </w:pPr>
      <w:r>
        <w:rPr/>
        <w:t>请注意：供应商需在响应文件截止时间前，将加密响应文件上传至云平台项目采购系统中并取得回执，逾期上传或错误方式投递送达将导致响应无效。</w:t>
      </w:r>
    </w:p>
    <w:p>
      <w:r>
        <w:rPr>
          <w:b/>
          <w:sz w:val="24"/>
        </w:rPr>
        <w:t>一、名词解释</w:t>
      </w:r>
    </w:p>
    <w:p>
      <w:pPr>
        <w:ind w:firstLine="480"/>
      </w:pPr>
      <w:r>
        <w:rPr/>
        <w:t>1.采购代理机构：本项目是指广东政通招标有限公司，负责整个采购活动的组织，依法负责编制和发布谈判文件，对谈判文件拥有最终的解释权，不以任何身份出任谈判小组成员。</w:t>
      </w:r>
    </w:p>
    <w:p>
      <w:pPr>
        <w:ind w:firstLine="480"/>
      </w:pPr>
      <w:r>
        <w:rPr/>
        <w:t>2.采购人：本项目是指</w:t>
      </w:r>
      <w:r>
        <w:rPr/>
        <w:t>东莞市大朗镇教育管理中心(东莞市大朗镇教师发展中心)</w:t>
      </w:r>
      <w:r>
        <w:rPr/>
        <w:t>，是采购活动当事人之一，负责项目的整体规划、技术方案可行性设计论证与实施，作为合同采购方（用户）的主体承担质疑回复、履行合同、验收与评价等义务。</w:t>
      </w:r>
    </w:p>
    <w:p>
      <w:pPr>
        <w:ind w:firstLine="480"/>
      </w:pPr>
      <w:r>
        <w:rPr/>
        <w:t>3.供应商：是指在云平台项目采购系统完成本项目响应登记并提交电子响应文件的供应商。</w:t>
      </w:r>
    </w:p>
    <w:p>
      <w:pPr>
        <w:ind w:firstLine="480"/>
      </w:pPr>
      <w:r>
        <w:rPr/>
        <w:t>4.“谈判小组”是指根据《中华人民共和国政府采购法》等法律法规规定，由采购人代表和有关专家组成以确定成交供应商或者推荐成交候选供应商的临时组织。</w:t>
      </w:r>
    </w:p>
    <w:p>
      <w:pPr>
        <w:ind w:firstLine="480"/>
      </w:pPr>
      <w:r>
        <w:rPr/>
        <w:t>5.“成交供应商”是指经谈判小组评审确定的对谈判文件做出实质性响应，经采购人按照规定在谈判小组推荐的成交候选供应商中确定的或谈判小组受采购人委托直接确认的供应商。</w:t>
      </w:r>
    </w:p>
    <w:p>
      <w:pPr>
        <w:ind w:firstLine="480"/>
      </w:pPr>
      <w:r>
        <w:rPr/>
        <w:t>6.谈判文件：是指包括谈判公告和谈判文件及其补充、变更和澄清等一系列文件。</w:t>
      </w:r>
    </w:p>
    <w:p>
      <w:pPr>
        <w:ind w:firstLine="480"/>
      </w:pPr>
      <w:r>
        <w:rPr/>
        <w:t>7.电子响应文件：是指使用云平台提供的投标客户端制作加密并上传到系统的响应文件。（投标客户端制作响应文件时，生成的后缀为“.标书”的文件）</w:t>
      </w:r>
    </w:p>
    <w:p>
      <w:pPr>
        <w:ind w:firstLine="480"/>
      </w:pPr>
      <w:r>
        <w:rPr/>
        <w:t>8.备用电子响应文件：是指使用云平台提供的投标客户端制作电子响应文件时，同时生成的同一版本的备用响应文件。（投标客户端制作响应文件时，生成的后缀为“.备用标书”的文件）</w:t>
      </w:r>
    </w:p>
    <w:p>
      <w:pPr>
        <w:ind w:firstLine="480"/>
      </w:pPr>
      <w:r>
        <w:rPr/>
        <w:t>9.电子签名和电子印章：是指获得国家工业和信息化部颁发的《电子认证服务许可证》、国家密码管理局颁发的《电子认证服务使用密码许可证》的资质，具备承担因数字证书原因产生纠纷的相关责任的能力，且在广东省内具有数量基础和服务能力的依法设立的电子认证服务机构签发的电子签名和电子签章认证证书（即CA数字证书）。供应商应当到相关服务机构办理并取得数字证书介质和应用。电子签名包括单位法定代表人、被委托人及其他个人的电子形式签名；电子印章包括机构法人电子形式印章。电子签名及电子印章与手写签名或者盖章具有同等的法律效力。签名（含电子签名）和盖章（含电子印章）是不同使用场景，应按招标文件要求在投标（响应）文件指定位置进行签名（含电子签名）和盖章（含电子印章），对允许采用手写签名的文件，应在纸质文件手写签名后，提供文件的彩色扫描电子文档进行后续操作。</w:t>
      </w:r>
    </w:p>
    <w:p>
      <w:pPr>
        <w:ind w:firstLine="480"/>
      </w:pPr>
      <w:r>
        <w:rPr/>
        <w:t>10.“全称”、“公司全称”、“加盖单位公章”及“公章”：在电子投标（响应）文件及相关的其他电子资料中，涉及“全称”或“公司全称”的应在对应文件编辑时使用文本录入方式，或在纸质投标（响应）文件上进行手写签名，或通过投标客户端使用电子印章完成；涉及“加盖单位公章”和“公章”应使用投标人单位的数字证书并通过投标客户端使用电子印章完成。</w:t>
      </w:r>
    </w:p>
    <w:p>
      <w:pPr>
        <w:ind w:firstLine="480"/>
      </w:pPr>
      <w:r>
        <w:rPr/>
        <w:t>11.“投标人代表签字”及“授权代表”：在电子投标（响应）文件及相关的其他电子资料中，涉及“投标人代表签字”或“授权代表”应在投标（响应）文件编辑时使用文本录入方式，或在纸质投标（响应）文件上进行手写签名，或通过投标客户端使用电子签名完成。</w:t>
      </w:r>
    </w:p>
    <w:p>
      <w:pPr>
        <w:ind w:firstLine="480"/>
      </w:pPr>
      <w:r>
        <w:rPr/>
        <w:t>12.“法定代表人”：在电子投标（响应）文件及相关的其他电子资料中，涉及“法定代表人”应在纸质投标（响应）文件上进行手写签名，或通过投标客户端使用电子签名完成。</w:t>
      </w:r>
    </w:p>
    <w:p>
      <w:pPr>
        <w:ind w:firstLine="480"/>
      </w:pPr>
      <w:r>
        <w:rPr/>
        <w:t>13.日期、天数、时间：未有特别说明时，均为公历日（天）及北京时间。</w:t>
      </w:r>
    </w:p>
    <w:p>
      <w:r>
        <w:rPr>
          <w:b/>
          <w:sz w:val="28"/>
        </w:rPr>
        <w:t>二、须知前附表</w:t>
      </w:r>
    </w:p>
    <w:tbl>
      <w:tblPr>
        <w:tblW w:w="0" w:type="auto"/>
        <w:tblBorders>
          <w:top w:val="single"/>
          <w:left w:val="single"/>
          <w:bottom w:val="single"/>
          <w:right w:val="single"/>
          <w:insideH w:val="single"/>
          <w:insideV w:val="single"/>
        </w:tblBorders>
      </w:tblPr>
      <w:tblGrid>
        <w:gridCol w:w="1051"/>
        <w:gridCol w:w="2252"/>
        <w:gridCol w:w="5004"/>
      </w:tblGrid>
      <w:tr>
        <w:tc>
          <w:tcPr>
            <w:tcW w:type="dxa" w:w="8307"/>
            <w:gridSpan w:val="3"/>
          </w:tcPr>
          <w:p>
            <w:r>
              <w:rPr/>
              <w:t>本表与谈判文件对应章节的内容若不一致，以本表为准。</w:t>
            </w:r>
          </w:p>
        </w:tc>
      </w:tr>
      <w:tr>
        <w:tc>
          <w:tcPr>
            <w:tcW w:type="dxa" w:w="1051"/>
          </w:tcPr>
          <w:p>
            <w:r>
              <w:rPr/>
              <w:t>序号</w:t>
            </w:r>
          </w:p>
        </w:tc>
        <w:tc>
          <w:tcPr>
            <w:tcW w:type="dxa" w:w="2252"/>
          </w:tcPr>
          <w:p>
            <w:r>
              <w:rPr/>
              <w:t>条款名称</w:t>
            </w:r>
          </w:p>
        </w:tc>
        <w:tc>
          <w:tcPr>
            <w:tcW w:type="dxa" w:w="5004"/>
          </w:tcPr>
          <w:p>
            <w:r>
              <w:rPr/>
              <w:t>内容及要求</w:t>
            </w:r>
          </w:p>
        </w:tc>
      </w:tr>
      <w:tr>
        <w:tc>
          <w:tcPr>
            <w:tcW w:type="dxa" w:w="1051"/>
          </w:tcPr>
          <w:p>
            <w:pPr>
              <w:jc w:val="center"/>
            </w:pPr>
            <w:r>
              <w:rPr/>
              <w:t>1</w:t>
            </w:r>
          </w:p>
        </w:tc>
        <w:tc>
          <w:tcPr>
            <w:tcW w:type="dxa" w:w="2252"/>
          </w:tcPr>
          <w:p>
            <w:r>
              <w:rPr/>
              <w:t>采购包情况</w:t>
            </w:r>
          </w:p>
        </w:tc>
        <w:tc>
          <w:tcPr>
            <w:tcW w:type="dxa" w:w="5004"/>
          </w:tcPr>
          <w:p>
            <w:r>
              <w:rPr/>
              <w:t>本项目共</w:t>
            </w:r>
            <w:r>
              <w:rPr/>
              <w:t>1</w:t>
            </w:r>
            <w:r>
              <w:rPr/>
              <w:t>个采购包</w:t>
            </w:r>
          </w:p>
        </w:tc>
      </w:tr>
      <w:tr>
        <w:tc>
          <w:tcPr>
            <w:tcW w:type="dxa" w:w="1051"/>
          </w:tcPr>
          <w:p>
            <w:pPr>
              <w:jc w:val="center"/>
            </w:pPr>
            <w:r>
              <w:rPr/>
              <w:t>2</w:t>
            </w:r>
          </w:p>
        </w:tc>
        <w:tc>
          <w:tcPr>
            <w:tcW w:type="dxa" w:w="2252"/>
          </w:tcPr>
          <w:p>
            <w:r>
              <w:rPr/>
              <w:t>开启方式</w:t>
            </w:r>
          </w:p>
        </w:tc>
        <w:tc>
          <w:tcPr>
            <w:tcW w:type="dxa" w:w="5004"/>
          </w:tcPr>
          <w:p>
            <w:r>
              <w:rPr/>
              <w:t>现场电子开标</w:t>
            </w:r>
          </w:p>
        </w:tc>
      </w:tr>
      <w:tr>
        <w:tc>
          <w:tcPr>
            <w:tcW w:type="dxa" w:w="1051"/>
          </w:tcPr>
          <w:p>
            <w:pPr>
              <w:jc w:val="center"/>
            </w:pPr>
            <w:r>
              <w:rPr/>
              <w:t>3</w:t>
            </w:r>
          </w:p>
        </w:tc>
        <w:tc>
          <w:tcPr>
            <w:tcW w:type="dxa" w:w="2252"/>
          </w:tcPr>
          <w:p>
            <w:r>
              <w:rPr/>
              <w:t>评审方式</w:t>
            </w:r>
          </w:p>
        </w:tc>
        <w:tc>
          <w:tcPr>
            <w:tcW w:type="dxa" w:w="5004"/>
          </w:tcPr>
          <w:p>
            <w:r>
              <w:rPr/>
              <w:t>现场电子评标</w:t>
            </w:r>
          </w:p>
        </w:tc>
      </w:tr>
      <w:tr>
        <w:tc>
          <w:tcPr>
            <w:tcW w:type="dxa" w:w="1051"/>
          </w:tcPr>
          <w:p>
            <w:pPr>
              <w:jc w:val="center"/>
            </w:pPr>
            <w:r>
              <w:rPr/>
              <w:t>4</w:t>
            </w:r>
          </w:p>
        </w:tc>
        <w:tc>
          <w:tcPr>
            <w:tcW w:type="dxa" w:w="2252"/>
          </w:tcPr>
          <w:p>
            <w:r>
              <w:rPr/>
              <w:t>评审办法</w:t>
            </w:r>
          </w:p>
        </w:tc>
        <w:tc>
          <w:tcPr>
            <w:tcW w:type="dxa" w:w="5004"/>
          </w:tcPr>
          <w:p>
            <w:r>
              <w:rPr/>
              <w:t>采购包1：最低评标价法</w:t>
            </w:r>
          </w:p>
        </w:tc>
      </w:tr>
      <w:tr>
        <w:tc>
          <w:tcPr>
            <w:tcW w:type="dxa" w:w="1051"/>
          </w:tcPr>
          <w:p>
            <w:pPr>
              <w:jc w:val="center"/>
            </w:pPr>
            <w:r>
              <w:rPr/>
              <w:t>5</w:t>
            </w:r>
          </w:p>
        </w:tc>
        <w:tc>
          <w:tcPr>
            <w:tcW w:type="dxa" w:w="2252"/>
          </w:tcPr>
          <w:p>
            <w:r>
              <w:rPr/>
              <w:t>报价形式</w:t>
            </w:r>
          </w:p>
        </w:tc>
        <w:tc>
          <w:tcPr>
            <w:tcW w:type="dxa" w:w="5004"/>
          </w:tcPr>
          <w:p/>
          <w:p>
            <w:r>
              <w:rPr/>
              <w:t>采购包1：总价</w:t>
            </w:r>
          </w:p>
        </w:tc>
      </w:tr>
      <w:tr>
        <w:tc>
          <w:tcPr>
            <w:tcW w:type="dxa" w:w="1051"/>
          </w:tcPr>
          <w:p>
            <w:pPr>
              <w:jc w:val="center"/>
            </w:pPr>
            <w:r>
              <w:rPr/>
              <w:t>6</w:t>
            </w:r>
          </w:p>
        </w:tc>
        <w:tc>
          <w:tcPr>
            <w:tcW w:type="dxa" w:w="2252"/>
          </w:tcPr>
          <w:p>
            <w:r>
              <w:rPr/>
              <w:t>报价要求</w:t>
            </w:r>
          </w:p>
        </w:tc>
        <w:tc>
          <w:tcPr>
            <w:tcW w:type="dxa" w:w="5004"/>
          </w:tcPr>
          <w:p>
            <w:r>
              <w:rPr/>
              <w:t>各采购包报价不超过预算总价</w:t>
            </w:r>
          </w:p>
        </w:tc>
      </w:tr>
      <w:tr>
        <w:tc>
          <w:tcPr>
            <w:tcW w:type="dxa" w:w="1051"/>
          </w:tcPr>
          <w:p>
            <w:pPr>
              <w:jc w:val="center"/>
            </w:pPr>
            <w:r>
              <w:rPr/>
              <w:t>7</w:t>
            </w:r>
          </w:p>
        </w:tc>
        <w:tc>
          <w:tcPr>
            <w:tcW w:type="dxa" w:w="2252"/>
          </w:tcPr>
          <w:p>
            <w:r>
              <w:rPr/>
              <w:t>现场踏勘</w:t>
            </w:r>
          </w:p>
        </w:tc>
        <w:tc>
          <w:tcPr>
            <w:tcW w:type="dxa" w:w="5004"/>
          </w:tcPr>
          <w:p/>
          <w:p>
            <w:r>
              <w:rPr/>
              <w:t>否</w:t>
            </w:r>
          </w:p>
        </w:tc>
      </w:tr>
      <w:tr>
        <w:tc>
          <w:tcPr>
            <w:tcW w:type="dxa" w:w="1051"/>
          </w:tcPr>
          <w:p>
            <w:pPr>
              <w:jc w:val="center"/>
            </w:pPr>
            <w:r>
              <w:rPr/>
              <w:t>8</w:t>
            </w:r>
          </w:p>
        </w:tc>
        <w:tc>
          <w:tcPr>
            <w:tcW w:type="dxa" w:w="2252"/>
          </w:tcPr>
          <w:p>
            <w:r>
              <w:rPr/>
              <w:t>响应有效期</w:t>
            </w:r>
          </w:p>
        </w:tc>
        <w:tc>
          <w:tcPr>
            <w:tcW w:type="dxa" w:w="5004"/>
          </w:tcPr>
          <w:p>
            <w:r>
              <w:rPr/>
              <w:t>从提交投标（响应）文件的截止之日起90日历天</w:t>
            </w:r>
          </w:p>
        </w:tc>
      </w:tr>
      <w:tr>
        <w:tc>
          <w:tcPr>
            <w:tcW w:type="dxa" w:w="1051"/>
          </w:tcPr>
          <w:p>
            <w:pPr>
              <w:jc w:val="center"/>
            </w:pPr>
            <w:r>
              <w:rPr/>
              <w:t>9</w:t>
            </w:r>
          </w:p>
        </w:tc>
        <w:tc>
          <w:tcPr>
            <w:tcW w:type="dxa" w:w="2252"/>
          </w:tcPr>
          <w:p>
            <w:r>
              <w:rPr/>
              <w:t>响应保证金</w:t>
            </w:r>
          </w:p>
        </w:tc>
        <w:tc>
          <w:tcPr>
            <w:tcW w:type="dxa" w:w="5004"/>
          </w:tcPr>
          <w:p/>
          <w:p>
            <w:r>
              <w:rPr/>
              <w:t>采购包1：保证金人民币：0.00元整。</w:t>
            </w:r>
          </w:p>
          <w:p>
            <w:r>
              <w:rPr/>
              <w:t>开户单位：</w:t>
            </w:r>
            <w:r>
              <w:rPr/>
              <w:t>无</w:t>
            </w:r>
          </w:p>
          <w:p>
            <w:r>
              <w:rPr/>
              <w:t>开户账号：</w:t>
            </w:r>
            <w:r>
              <w:rPr/>
              <w:t>无</w:t>
            </w:r>
          </w:p>
          <w:p>
            <w:r>
              <w:rPr/>
              <w:t>开户银行：</w:t>
            </w:r>
            <w:r>
              <w:rPr/>
              <w:t>无</w:t>
            </w:r>
          </w:p>
          <w:p>
            <w:r>
              <w:rPr/>
              <w:t>支票提交方式：</w:t>
            </w:r>
            <w:r>
              <w:rPr/>
              <w:t>无</w:t>
            </w:r>
          </w:p>
          <w:p>
            <w:r>
              <w:rPr/>
              <w:t>汇票、本票提交方式：</w:t>
            </w:r>
            <w:r>
              <w:rPr/>
              <w:t>无</w:t>
            </w:r>
          </w:p>
          <w:p/>
          <w:p>
            <w:r>
              <w:rPr/>
              <w:t>响应保证金有效期∶与响应有效期一致。</w:t>
            </w:r>
          </w:p>
          <w:p>
            <w:r>
              <w:rPr/>
              <w:t>响应保函提交方式：供应商可通过"广东政府采购智慧云平台金融服务中心"(http://gdgpo.czt.gd.gov.cn/zcdservice/zcd/guangdong/)，申请办理响应担保函、保险（保证）凭证，成功出函的等效于现金缴纳响应保证金。</w:t>
            </w:r>
          </w:p>
        </w:tc>
      </w:tr>
      <w:tr>
        <w:tc>
          <w:tcPr>
            <w:tcW w:type="dxa" w:w="1051"/>
          </w:tcPr>
          <w:p>
            <w:pPr>
              <w:jc w:val="center"/>
            </w:pPr>
            <w:r>
              <w:rPr/>
              <w:t>10</w:t>
            </w:r>
          </w:p>
        </w:tc>
        <w:tc>
          <w:tcPr>
            <w:tcW w:type="dxa" w:w="2252"/>
          </w:tcPr>
          <w:p>
            <w:r>
              <w:rPr/>
              <w:t>成交候选供应商推荐家数</w:t>
            </w:r>
          </w:p>
        </w:tc>
        <w:tc>
          <w:tcPr>
            <w:tcW w:type="dxa" w:w="5004"/>
          </w:tcPr>
          <w:p>
            <w:r>
              <w:rPr/>
              <w:t>采购包1：</w:t>
            </w:r>
            <w:r>
              <w:rPr/>
              <w:t>3家</w:t>
            </w:r>
          </w:p>
        </w:tc>
      </w:tr>
      <w:tr>
        <w:tc>
          <w:tcPr>
            <w:tcW w:type="dxa" w:w="1051"/>
          </w:tcPr>
          <w:p>
            <w:pPr>
              <w:jc w:val="center"/>
            </w:pPr>
            <w:r>
              <w:rPr/>
              <w:t>11</w:t>
            </w:r>
          </w:p>
        </w:tc>
        <w:tc>
          <w:tcPr>
            <w:tcW w:type="dxa" w:w="2252"/>
          </w:tcPr>
          <w:p>
            <w:r>
              <w:rPr/>
              <w:t>成交供应商家数</w:t>
            </w:r>
          </w:p>
        </w:tc>
        <w:tc>
          <w:tcPr>
            <w:tcW w:type="dxa" w:w="5004"/>
          </w:tcPr>
          <w:p>
            <w:r>
              <w:rPr/>
              <w:t>采购包1：</w:t>
            </w:r>
            <w:r>
              <w:rPr/>
              <w:t>1家</w:t>
            </w:r>
          </w:p>
        </w:tc>
      </w:tr>
      <w:tr>
        <w:tc>
          <w:tcPr>
            <w:tcW w:type="dxa" w:w="1051"/>
          </w:tcPr>
          <w:p>
            <w:pPr>
              <w:jc w:val="center"/>
            </w:pPr>
            <w:r>
              <w:rPr/>
              <w:t>12</w:t>
            </w:r>
          </w:p>
        </w:tc>
        <w:tc>
          <w:tcPr>
            <w:tcW w:type="dxa" w:w="2252"/>
          </w:tcPr>
          <w:p>
            <w:r>
              <w:rPr/>
              <w:t>有效供应商家数</w:t>
            </w:r>
          </w:p>
        </w:tc>
        <w:tc>
          <w:tcPr>
            <w:tcW w:type="dxa" w:w="5004"/>
          </w:tcPr>
          <w:p>
            <w:pPr>
              <w:ind w:firstLine="480"/>
            </w:pPr>
          </w:p>
          <w:p>
            <w:pPr>
              <w:jc w:val="left"/>
            </w:pPr>
          </w:p>
          <w:p>
            <w:r>
              <w:rPr/>
              <w:t>采购包1：3家</w:t>
            </w:r>
          </w:p>
          <w:p/>
          <w:p>
            <w:pPr>
              <w:ind w:firstLine="480"/>
            </w:pPr>
            <w:r>
              <w:rPr/>
              <w:t>此人数约定了开启与评审过程中的最低有效供应商家数，当家数不足时项目将不得开启、不得评审或直接终止采购。</w:t>
            </w:r>
          </w:p>
        </w:tc>
      </w:tr>
      <w:tr>
        <w:tc>
          <w:tcPr>
            <w:tcW w:type="dxa" w:w="1051"/>
          </w:tcPr>
          <w:p>
            <w:pPr>
              <w:jc w:val="center"/>
            </w:pPr>
            <w:r>
              <w:rPr/>
              <w:t>13</w:t>
            </w:r>
          </w:p>
        </w:tc>
        <w:tc>
          <w:tcPr>
            <w:tcW w:type="dxa" w:w="2252"/>
          </w:tcPr>
          <w:p>
            <w:r>
              <w:rPr/>
              <w:t>成交供应商确定方式</w:t>
            </w:r>
          </w:p>
        </w:tc>
        <w:tc>
          <w:tcPr>
            <w:tcW w:type="dxa" w:w="5004"/>
          </w:tcPr>
          <w:p>
            <w:r>
              <w:rPr/>
              <w:t>采购人按照评审报告中推荐的成交候选人确定中标（成交）人。</w:t>
            </w:r>
          </w:p>
        </w:tc>
      </w:tr>
      <w:tr>
        <w:tc>
          <w:tcPr>
            <w:tcW w:type="dxa" w:w="1051"/>
          </w:tcPr>
          <w:p>
            <w:pPr>
              <w:jc w:val="center"/>
            </w:pPr>
            <w:r>
              <w:rPr/>
              <w:t>14</w:t>
            </w:r>
          </w:p>
        </w:tc>
        <w:tc>
          <w:tcPr>
            <w:tcW w:type="dxa" w:w="2252"/>
          </w:tcPr>
          <w:p>
            <w:r>
              <w:rPr/>
              <w:t>兼投不兼中规则</w:t>
            </w:r>
          </w:p>
        </w:tc>
        <w:tc>
          <w:tcPr>
            <w:tcW w:type="dxa" w:w="5004"/>
          </w:tcPr>
          <w:p>
            <w:r>
              <w:rPr/>
              <w:t>无：-</w:t>
            </w:r>
          </w:p>
        </w:tc>
      </w:tr>
      <w:tr>
        <w:tc>
          <w:tcPr>
            <w:tcW w:type="dxa" w:w="1051"/>
          </w:tcPr>
          <w:p>
            <w:pPr>
              <w:jc w:val="center"/>
            </w:pPr>
            <w:r>
              <w:rPr/>
              <w:t>15</w:t>
            </w:r>
          </w:p>
        </w:tc>
        <w:tc>
          <w:tcPr>
            <w:tcW w:type="dxa" w:w="2252"/>
          </w:tcPr>
          <w:p>
            <w:r>
              <w:rPr/>
              <w:t>代理服务费</w:t>
            </w:r>
          </w:p>
        </w:tc>
        <w:tc>
          <w:tcPr>
            <w:tcW w:type="dxa" w:w="5004"/>
          </w:tcPr>
          <w:p>
            <w:r>
              <w:rPr/>
              <w:t>收取。</w:t>
            </w:r>
            <w:r>
              <w:rPr/>
              <w:t>采购机构代理服务收费标准：中标服务费根据国家计委[计价格[2002]1980号]文和国家发改委[发改价格[2011]534号]文及相关规定向中标单位收取，按差额定率累进法计算，以中标（成交）通知书中确定的中标（成交）总金额作为收费的计算依据。</w:t>
            </w:r>
          </w:p>
        </w:tc>
      </w:tr>
      <w:tr>
        <w:tc>
          <w:tcPr>
            <w:tcW w:type="dxa" w:w="1051"/>
          </w:tcPr>
          <w:p>
            <w:pPr>
              <w:jc w:val="center"/>
            </w:pPr>
            <w:r>
              <w:rPr/>
              <w:t>16</w:t>
            </w:r>
          </w:p>
        </w:tc>
        <w:tc>
          <w:tcPr>
            <w:tcW w:type="dxa" w:w="2252"/>
          </w:tcPr>
          <w:p>
            <w:r>
              <w:rPr/>
              <w:t>代理服务费收取方式</w:t>
            </w:r>
          </w:p>
        </w:tc>
        <w:tc>
          <w:tcPr>
            <w:tcW w:type="dxa" w:w="5004"/>
          </w:tcPr>
          <w:p>
            <w:r>
              <w:rPr/>
              <w:t>向中标/成交供应商收取</w:t>
            </w:r>
          </w:p>
        </w:tc>
      </w:tr>
      <w:tr>
        <w:tc>
          <w:tcPr>
            <w:tcW w:type="dxa" w:w="1051"/>
          </w:tcPr>
          <w:p>
            <w:pPr>
              <w:jc w:val="center"/>
            </w:pPr>
            <w:r>
              <w:rPr/>
              <w:t>17</w:t>
            </w:r>
          </w:p>
        </w:tc>
        <w:tc>
          <w:tcPr>
            <w:tcW w:type="dxa" w:w="2252"/>
          </w:tcPr>
          <w:p>
            <w:r>
              <w:rPr/>
              <w:t>响应文件要求</w:t>
            </w:r>
          </w:p>
        </w:tc>
        <w:tc>
          <w:tcPr>
            <w:tcW w:type="dxa" w:w="5004"/>
          </w:tcPr>
          <w:p>
            <w:pPr>
              <w:ind w:firstLine="480"/>
            </w:pPr>
            <w:r>
              <w:rPr/>
              <w:t>一、电子响应文件：</w:t>
            </w:r>
          </w:p>
          <w:p>
            <w:pPr>
              <w:ind w:firstLine="480"/>
            </w:pPr>
            <w:r>
              <w:rPr/>
              <w:t>（1）加密的电子响应文件 1 份（需在递交响应文件截止时间前成功上传至“云平台项目采购系统”），供应商应保证该优先步骤。</w:t>
            </w:r>
          </w:p>
          <w:p>
            <w:pPr>
              <w:ind w:firstLine="480"/>
            </w:pPr>
            <w:r>
              <w:rPr/>
              <w:t>（2）若现场无法使用系统进行电子开启/协商的，供应商须在开启现场递交非加密电子版响应文件U盘（或光盘）</w:t>
            </w:r>
            <w:r>
              <w:rPr/>
              <w:t>1</w:t>
            </w:r>
            <w:r>
              <w:rPr/>
              <w:t>份。供应商保证该后备步骤。</w:t>
            </w:r>
          </w:p>
          <w:p>
            <w:pPr>
              <w:ind w:firstLine="480"/>
            </w:pPr>
            <w:r>
              <w:rPr/>
              <w:t>二、纸质响应文件：</w:t>
            </w:r>
          </w:p>
          <w:p>
            <w:pPr>
              <w:ind w:firstLine="480"/>
            </w:pPr>
            <w:r>
              <w:rPr/>
              <w:t>（3）纸质响应文件正本</w:t>
            </w:r>
            <w:r>
              <w:rPr/>
              <w:t>1</w:t>
            </w:r>
            <w:r>
              <w:rPr/>
              <w:t>份，纸质响应文件副本</w:t>
            </w:r>
            <w:r>
              <w:rPr/>
              <w:t>1</w:t>
            </w:r>
            <w:r>
              <w:rPr/>
              <w:t>份。</w:t>
            </w:r>
          </w:p>
          <w:p>
            <w:pPr>
              <w:ind w:firstLine="480"/>
            </w:pPr>
            <w:r>
              <w:rPr/>
              <w:t>供应商须满足上述事项“一、电子响应文件”中（1）或（2）的要求，和“二、纸质响应文件”的要求。请保证电子响应文件应与纸质响应文件（如有）一致，如不一致时以电子投标文件为准。</w:t>
            </w:r>
          </w:p>
        </w:tc>
      </w:tr>
      <w:tr>
        <w:tc>
          <w:tcPr>
            <w:tcW w:type="dxa" w:w="1051"/>
          </w:tcPr>
          <w:p>
            <w:pPr>
              <w:jc w:val="center"/>
            </w:pPr>
            <w:r>
              <w:rPr/>
              <w:t>18</w:t>
            </w:r>
          </w:p>
        </w:tc>
        <w:tc>
          <w:tcPr>
            <w:tcW w:type="dxa" w:w="2252"/>
          </w:tcPr>
          <w:p>
            <w:r>
              <w:rPr/>
              <w:t>其他</w:t>
            </w:r>
          </w:p>
        </w:tc>
        <w:tc>
          <w:tcPr>
            <w:tcW w:type="dxa" w:w="5004"/>
          </w:tcPr>
          <w:p/>
        </w:tc>
      </w:tr>
      <w:tr>
        <w:tc>
          <w:tcPr>
            <w:tcW w:type="dxa" w:w="1051"/>
          </w:tcPr>
          <w:p>
            <w:pPr>
              <w:jc w:val="center"/>
            </w:pPr>
            <w:r>
              <w:rPr/>
              <w:t>19</w:t>
            </w:r>
          </w:p>
        </w:tc>
        <w:tc>
          <w:tcPr>
            <w:tcW w:type="dxa" w:w="2252"/>
          </w:tcPr>
          <w:p>
            <w:r>
              <w:rPr/>
              <w:t>开标解密时长</w:t>
            </w:r>
          </w:p>
        </w:tc>
        <w:tc>
          <w:tcPr>
            <w:tcW w:type="dxa" w:w="5004"/>
          </w:tcPr>
          <w:p/>
          <w:p>
            <w:r>
              <w:rPr/>
              <w:t>说明：具体情况根据开标时现场代理机构人员设置为准</w:t>
            </w:r>
          </w:p>
        </w:tc>
      </w:tr>
      <w:tr>
        <w:tc>
          <w:tcPr>
            <w:tcW w:type="dxa" w:w="1051"/>
          </w:tcPr>
          <w:p>
            <w:pPr>
              <w:jc w:val="center"/>
            </w:pPr>
            <w:r>
              <w:rPr/>
              <w:t>20</w:t>
            </w:r>
          </w:p>
        </w:tc>
        <w:tc>
          <w:tcPr>
            <w:tcW w:type="dxa" w:w="2252"/>
          </w:tcPr>
          <w:p>
            <w:r>
              <w:rPr/>
              <w:t>专门面向中小企业采购</w:t>
            </w:r>
          </w:p>
        </w:tc>
        <w:tc>
          <w:tcPr>
            <w:tcW w:type="dxa" w:w="5004"/>
          </w:tcPr>
          <w:p>
            <w:pPr>
              <w:jc w:val="left"/>
            </w:pPr>
            <w:r>
              <w:rPr/>
              <w:t>采购包1：否</w:t>
            </w:r>
          </w:p>
        </w:tc>
      </w:tr>
    </w:tbl>
    <w:p>
      <w:r>
        <w:rPr>
          <w:b/>
          <w:sz w:val="28"/>
        </w:rPr>
        <w:t>三、说明</w:t>
      </w:r>
    </w:p>
    <w:p>
      <w:r>
        <w:rPr>
          <w:b/>
          <w:sz w:val="24"/>
        </w:rPr>
        <w:t>1.总则</w:t>
      </w:r>
    </w:p>
    <w:p>
      <w:pPr>
        <w:ind w:firstLine="480"/>
      </w:pPr>
      <w:r>
        <w:rPr/>
        <w:t>本谈判文件依据《中华人民共和国政府采购法》、《中华人民共和国政府采购法实施条例》（国务院令第658号）和《政府采购非招标采购方式管理办法》（财政部令第74号）及国家和广东省有关法律、法规、规章制度编制。</w:t>
      </w:r>
    </w:p>
    <w:p>
      <w:pPr>
        <w:ind w:firstLine="480"/>
      </w:pPr>
      <w:r>
        <w:rPr/>
        <w:t>供应商应仔细阅读本项目信息公告及谈判文件的所有内容（包括变更、补充、澄清以及修改等，且均为谈判文件的组成部分），按照谈判文件要求以及格式编制响应文件，并保证其真实性，否则一切后果自负。</w:t>
      </w:r>
    </w:p>
    <w:p>
      <w:pPr>
        <w:ind w:firstLine="480"/>
      </w:pPr>
      <w:r>
        <w:rPr/>
        <w:t>本次竞争性谈判项目，是以谈判公告的方式邀请非特定的供应商参加谈判。</w:t>
      </w:r>
    </w:p>
    <w:p>
      <w:r>
        <w:rPr>
          <w:b/>
          <w:sz w:val="24"/>
        </w:rPr>
        <w:t>2.适用范围</w:t>
      </w:r>
    </w:p>
    <w:p>
      <w:pPr>
        <w:ind w:firstLine="480"/>
      </w:pPr>
      <w:r>
        <w:rPr/>
        <w:t>本谈判文件仅适用于本次谈判公告中所涉及的项目和内容。</w:t>
      </w:r>
    </w:p>
    <w:p>
      <w:r>
        <w:rPr>
          <w:b/>
          <w:sz w:val="24"/>
        </w:rPr>
        <w:t>3.进口产品</w:t>
      </w:r>
    </w:p>
    <w:p>
      <w:pPr>
        <w:ind w:firstLine="480"/>
      </w:pPr>
      <w:r>
        <w:rPr/>
        <w:t>若本项目允许采购进口产品，供应商应保证所投产品可履行合法报通关手续进入中国关境内。</w:t>
      </w:r>
    </w:p>
    <w:p>
      <w:pPr>
        <w:ind w:firstLine="480"/>
      </w:pPr>
      <w:r>
        <w:rPr/>
        <w:t>若本项目不允许采购进口产品，如供应商所投产品为进口产品，其响应将被认定为响应无效。</w:t>
      </w:r>
    </w:p>
    <w:p>
      <w:r>
        <w:rPr>
          <w:b/>
          <w:sz w:val="24"/>
        </w:rPr>
        <w:t>4.谈判的费用</w:t>
      </w:r>
    </w:p>
    <w:p>
      <w:pPr>
        <w:ind w:firstLine="480"/>
      </w:pPr>
      <w:r>
        <w:rPr/>
        <w:t>不论谈判结果如何，供应商应承担所有与准备和参加谈判有关的费用。采购代理机构和采购人均无义务和责任承担相关费用。</w:t>
      </w:r>
    </w:p>
    <w:p>
      <w:r>
        <w:rPr>
          <w:b/>
          <w:sz w:val="24"/>
        </w:rPr>
        <w:t>5.以联合体形式参加谈判的，应符合以下规定：</w:t>
      </w:r>
    </w:p>
    <w:p>
      <w:pPr>
        <w:ind w:firstLine="480"/>
      </w:pPr>
      <w:r>
        <w:rPr/>
        <w:t>5.1 联合体各方均应当满足《政府采购法》第二十二条规定的条件，并在响应文件中提供联合体各方的相关证明材料。</w:t>
      </w:r>
    </w:p>
    <w:p>
      <w:pPr>
        <w:ind w:firstLine="480"/>
      </w:pPr>
      <w:r>
        <w:rPr/>
        <w:t>5.2</w:t>
        <w:tab/>
        <w:tab/>
        <w:t xml:space="preserve"> 联合体各方之间应签订联合体共同响应协议书并在响应文件中提交，明确约定联合体各方承担的工作和相应的责任。联合体各方签订联合体共同响应协议书后，不得再以自己名义单独在同一项目（采购包）中响应，也不得组成新的联合体参加同一项目（采购包）响应，若违反规定则其参与的所有响应将视为无效响应。</w:t>
      </w:r>
    </w:p>
    <w:p>
      <w:pPr>
        <w:ind w:firstLine="480"/>
      </w:pPr>
      <w:r>
        <w:rPr/>
        <w:t>5.3</w:t>
        <w:tab/>
        <w:tab/>
        <w:t xml:space="preserve"> 联合体应以联合协议中确定的牵头方名义登录云平台项目采购系统进行项目响应登记，录入联合体所有成员单位的全称并使用成员单位的电子印章进行联投确认，联合体名称需与联合体共同响应协议书签署方一致。对于需交响应保证金的，以牵头方名义缴纳。</w:t>
      </w:r>
    </w:p>
    <w:p>
      <w:pPr>
        <w:ind w:firstLine="480"/>
      </w:pPr>
      <w:r>
        <w:rPr/>
        <w:t>5.4 联合体成员存在不良信用记录的，视同联合体存在不良信用记录。</w:t>
      </w:r>
    </w:p>
    <w:p>
      <w:pPr>
        <w:ind w:firstLine="480"/>
      </w:pPr>
      <w:r>
        <w:rPr/>
        <w:t>5.5 联合体各方均应满足中华人民共和国政府采购法第二十二条规定的条件。根据《中华人民共和国政府采购法实施条例》第二十二条，联合体中有同类资质的供应商按照联合体分工承担相同工作的，应当按照资质等级较低的供应商确定资质等级。</w:t>
      </w:r>
    </w:p>
    <w:p>
      <w:pPr>
        <w:ind w:firstLine="480"/>
      </w:pPr>
      <w:r>
        <w:rPr/>
        <w:t>5.6 联合体各方应当共同与采购人签订采购合同，就合同约定的事项对采购人承担连带责任。</w:t>
      </w:r>
    </w:p>
    <w:p>
      <w:pPr>
        <w:ind w:firstLine="480"/>
      </w:pPr>
      <w:r>
        <w:rPr/>
        <w:t>5.7</w:t>
        <w:tab/>
        <w:tab/>
        <w:t xml:space="preserve"> 联合体各方均为小型、微型企业的，各方均应提供《中小微企业声明函》；中小微企业作为联合体一方参与政府采购活动，且联合体共同响应协议书中约定，小型、微型企业的协议合同金额占到联合体协议合同总金额30%以上的，应附中小微企业的《中小微企业声明函》。</w:t>
      </w:r>
    </w:p>
    <w:p>
      <w:r>
        <w:rPr>
          <w:b/>
          <w:sz w:val="24"/>
        </w:rPr>
        <w:t>6.关联企业响应说明</w:t>
      </w:r>
    </w:p>
    <w:p>
      <w:pPr>
        <w:ind w:firstLine="480"/>
      </w:pPr>
      <w:r>
        <w:rPr/>
        <w:t>6.1</w:t>
        <w:tab/>
        <w:tab/>
        <w:t xml:space="preserve"> 对于不接受联合体响应的采购项目（采购包）：法定代表人或单位负责人为同一个人或者存在直接控股、管理关系的不同供应商，不得同时参加同一项目或同一采购包的响应。如同时参加，则评审时将同时被拒绝。</w:t>
      </w:r>
    </w:p>
    <w:p>
      <w:pPr>
        <w:ind w:firstLine="480"/>
      </w:pPr>
      <w:r>
        <w:rPr/>
        <w:t>6.2</w:t>
        <w:tab/>
        <w:tab/>
        <w:t xml:space="preserve"> 对于接受联合体响应的采购项目（采购包）：除联合体外，法定代表人或单位负责人为同一个人或者存在直接控股、管理关系的不同供应商，不得同时参加同一项目或同一采购包的响应。如同时参加，则评审时将同时被拒绝。</w:t>
      </w:r>
    </w:p>
    <w:p>
      <w:r>
        <w:rPr>
          <w:b/>
          <w:sz w:val="24"/>
        </w:rPr>
        <w:t>7.关于中小微企业响应</w:t>
      </w:r>
    </w:p>
    <w:p>
      <w:pPr>
        <w:ind w:firstLine="480"/>
      </w:pPr>
      <w:r>
        <w:rPr/>
        <w:t>中小微企业响应是指在政府采购活动中，供应商提供的货物均由中小微企业制造、工程均由中小微企业承建或者服务均由中小微企业承接，并在响应文件中提供《中小企业声明函》。本条款所称中小微企业，是指在中华人民共和国境内依法设立，依据国务院批准的中小企业划分标准确定的中型企业、小型企业和微型企业，但与大企业的负责人为同一人，或者与大企业存在直接控股、管理关系的除外。符合中小企业划分标准的个体工商户，在政府采购活动中视同中小企业。</w:t>
        <w:tab/>
        <w:tab/>
        <w:t xml:space="preserve"> 中小企业划分见《关于印发中小企业划型标准规定的通知》（工信部联企业〔2011〕300号) 。</w:t>
      </w:r>
    </w:p>
    <w:p>
      <w:pPr>
        <w:ind w:firstLine="480"/>
      </w:pPr>
      <w:r>
        <w:rPr/>
        <w:t>根据财库〔2014〕68号《财政部</w:t>
        <w:tab/>
        <w:tab/>
        <w:t xml:space="preserve"> 司法部关于政府采购支持监狱企业发展有关问题的通知》，监狱企业视同小微企业。监狱企业是指由司法部认定的为罪犯、戒毒人员提供生产项目和劳动对象，且全部产权属于司法部监狱管理局、戒毒管理局、直属煤矿管理局，各省、自治区、直辖市监狱管理局、戒毒管理局，各地(设区的市)监狱、强制隔离戒毒所、戒毒康复所，以及新疆生产建设兵团监狱管理局、戒毒管理局的企业。监狱企业响应时，提供由省级以上监狱管理局、戒毒管理局(含新疆生产建设兵团)出具的属于监狱企业的证明文件，不再提供《中小微企业声明函》。</w:t>
      </w:r>
    </w:p>
    <w:p>
      <w:pPr>
        <w:ind w:firstLine="480"/>
      </w:pPr>
      <w:r>
        <w:rPr/>
        <w:t>根据财库〔2017〕141号《财政部 民政部</w:t>
        <w:tab/>
        <w:tab/>
        <w:t xml:space="preserve"> 中国残疾人联合会关于促进残疾人就业政府采购政策的通知》，在政府采购活动中，残疾人福利性单位视同小型、微型企业，享受政府采购支持政策的残疾人福利性单位应当同时满足《财政部 民政部</w:t>
        <w:tab/>
        <w:tab/>
        <w:t xml:space="preserve"> 中国残疾人联合会关于促进残疾人就业政府采购政策的通知》所列条件。残疾人福利性单位属于小型、微型企业的，不重复享受政策。符合条件的残疾人福利性单位在参加政府采购活动时，应当提供《残疾人福利性单位声明函》，并对声明的真实性负责。</w:t>
      </w:r>
    </w:p>
    <w:p>
      <w:r>
        <w:rPr>
          <w:b/>
          <w:sz w:val="24"/>
        </w:rPr>
        <w:t>8.纪律与保密事项</w:t>
      </w:r>
    </w:p>
    <w:p>
      <w:pPr>
        <w:ind w:firstLine="480"/>
      </w:pPr>
      <w:r>
        <w:rPr/>
        <w:t>8.1供应商不得相互串通响应报价，不得妨碍其他供应商的公平竞争，不得损害采购人或其他供应商的合法权益，供应商不得以向采购人、谈判小组成员行贿或者采取其他不正当手段谋取成交。</w:t>
      </w:r>
    </w:p>
    <w:p>
      <w:pPr>
        <w:ind w:firstLine="480"/>
      </w:pPr>
      <w:r>
        <w:rPr/>
        <w:t>8.2供应商不得与采购人就响应价格、响应方案等实质性内容进行谈判，也不得私下接触谈判小组成员。</w:t>
      </w:r>
    </w:p>
    <w:p>
      <w:pPr>
        <w:ind w:firstLine="480"/>
      </w:pPr>
      <w:r>
        <w:rPr/>
        <w:t>8.3在确定成交人之前，供应商试图在响应文件审查、澄清、比较和评价时对谈判小组、采购人和采购代理机构施加任何影响都可能导致其响应无效。</w:t>
      </w:r>
    </w:p>
    <w:p>
      <w:pPr>
        <w:ind w:firstLine="480"/>
      </w:pPr>
      <w:r>
        <w:rPr/>
        <w:t>8.4获得本谈判文件者，须履行本谈判项目下保密义务，不得将因本次谈判获得的信息向第三人外传，不得将谈判文件用作本次响应以外的任何用途。</w:t>
      </w:r>
    </w:p>
    <w:p>
      <w:pPr>
        <w:ind w:firstLine="480"/>
      </w:pPr>
      <w:r>
        <w:rPr/>
        <w:t>8.5由采购人向供应商提供的图纸、详细资料、样品、模型、模件和所有其它资料，均为保密资料，仅被用于它所规定的用途。除非得到采购人的同意，不能向任何第三方透露。开启结束后，应采购人要求，供应商应归还所有从采购人处获得的保密资料。</w:t>
      </w:r>
    </w:p>
    <w:p>
      <w:pPr>
        <w:ind w:firstLine="480"/>
      </w:pPr>
      <w:r>
        <w:rPr/>
        <w:t>8.6采购人或采购代理机构有权将供应商提供的所有资料向有关政府部门或询价小组披露。</w:t>
      </w:r>
    </w:p>
    <w:p>
      <w:pPr>
        <w:ind w:firstLine="480"/>
      </w:pPr>
      <w:r>
        <w:rPr/>
        <w:t>8.7在采购人或采购代理机构认为适当时、国家机关调查、审查、审计时以及其他符合法律规定的情形下，采购人或采购代理机构无须事先征求供应商同意而可以披露关于采购过程、合同文本、签署情况的资料、供应商的名称及地址、响应文件的有关信息以及补充条款等，但应当在合理的必要范围内。对任何已经公布过的内容或与之内容相同的资料，以及供应商已经泄露或公开的，无须再承担保密责任。</w:t>
      </w:r>
    </w:p>
    <w:p>
      <w:r>
        <w:rPr>
          <w:b/>
          <w:sz w:val="24"/>
        </w:rPr>
        <w:t>9.语言文字以及度量衡单位</w:t>
      </w:r>
    </w:p>
    <w:p>
      <w:pPr>
        <w:ind w:firstLine="480"/>
      </w:pPr>
      <w:r>
        <w:rPr/>
        <w:t>9.1除谈判文件另有规定外，响应文件应使用中文文本，若有不同文本，以中文文本为准。响应文件提供的全部资料中，若原件属于非中文描述，应提供具有翻译资质的机构翻译的中文译本。前述翻译机构应为中国翻译协会成员单位，翻译的中文译本应由翻译人员签名并加盖翻译机构公章，同时提供翻译人员翻译资格证书。中文译本、翻译机构的成员单位证书及翻译人员的资格证书可为复印件。</w:t>
      </w:r>
    </w:p>
    <w:p>
      <w:pPr>
        <w:ind w:firstLine="480"/>
      </w:pPr>
      <w:r>
        <w:rPr/>
        <w:t>9.2除非谈判文件的技术规格中另有规定，供应商在响应文件中及其与采购人和采购代理机构的所有往来文件中的计量单位均应采用中华人民共和国法定计量单位。</w:t>
      </w:r>
    </w:p>
    <w:p>
      <w:pPr>
        <w:ind w:firstLine="480"/>
      </w:pPr>
      <w:r>
        <w:rPr/>
        <w:t>9.3供应商所提供的货物和服务均应以人民币报价，货币单位：元。</w:t>
      </w:r>
    </w:p>
    <w:p>
      <w:r>
        <w:rPr>
          <w:b/>
          <w:sz w:val="24"/>
        </w:rPr>
        <w:t>10. 现场踏勘（如有）</w:t>
      </w:r>
    </w:p>
    <w:p>
      <w:pPr>
        <w:ind w:firstLine="480"/>
      </w:pPr>
      <w:r>
        <w:rPr/>
        <w:t>10.1谈判文件规定组织踏勘现场的，采购人按谈判文件规定的时间、地点组织供应商踏勘项目现场。</w:t>
      </w:r>
    </w:p>
    <w:p>
      <w:pPr>
        <w:ind w:firstLine="480"/>
      </w:pPr>
      <w:r>
        <w:rPr/>
        <w:t>10.2供应商自行承担踏勘现场发生的责任、风险和自身费用。</w:t>
      </w:r>
    </w:p>
    <w:p>
      <w:pPr>
        <w:ind w:firstLine="480"/>
      </w:pPr>
      <w:r>
        <w:rPr/>
        <w:t>10.3采购人在踏勘现场中介绍的资料和数据等，不构成对谈判文件的修改或不作为供应商编制响应文件的依据。</w:t>
      </w:r>
    </w:p>
    <w:p>
      <w:r>
        <w:rPr>
          <w:b/>
          <w:sz w:val="28"/>
        </w:rPr>
        <w:t>四、谈判文件的澄清和修改</w:t>
      </w:r>
    </w:p>
    <w:p>
      <w:pPr>
        <w:ind w:firstLine="480"/>
      </w:pPr>
      <w:r>
        <w:rPr/>
        <w:t>1.采购代理机构对谈判文件进行必要的澄清或者修改的，在指定媒体上发布更正公告。澄清或者修改的内容可能影响响应文件编制的，更正公告在响应截止时间至少3个工作日前发出；不足3个工作日的，代理机构顺延提交响应文件截止时间。</w:t>
      </w:r>
    </w:p>
    <w:p>
      <w:pPr>
        <w:ind w:firstLine="480"/>
      </w:pPr>
      <w:r>
        <w:rPr/>
        <w:t>2.更正公告及其所发布的内容或信息（包括但不限于：谈判文件的澄清或修改、现场考察或答疑会的有关事宜等）作为谈判文件的组成部分，对供应商具有约束力。一经在指定媒体上发布后，更正公告将作为通知所有谈判文件收受人的书面形式。</w:t>
      </w:r>
    </w:p>
    <w:p>
      <w:pPr>
        <w:ind w:firstLine="480"/>
      </w:pPr>
      <w:r>
        <w:rPr/>
        <w:t>3.如更正公告有重新发布电子谈判文件的，供应商应登录云平台项目采购系统下载最新发布的电子谈判文件制作响应文件。</w:t>
      </w:r>
    </w:p>
    <w:p>
      <w:pPr>
        <w:ind w:firstLine="480"/>
      </w:pPr>
      <w:r>
        <w:rPr/>
        <w:t>4.供应商在规定的时间内未对谈判文件提出疑问、质疑或要求澄清的，将视其为无异议。对谈判文件中描述有歧义或前后不一致的地方，谈判小组有权进行评判，但对同一条款的评判应适用于每个供应商。</w:t>
      </w:r>
    </w:p>
    <w:p>
      <w:r>
        <w:rPr>
          <w:b/>
          <w:sz w:val="28"/>
        </w:rPr>
        <w:t>五、响应要求</w:t>
      </w:r>
    </w:p>
    <w:p>
      <w:r>
        <w:rPr>
          <w:b/>
          <w:sz w:val="24"/>
        </w:rPr>
        <w:t>1.响应登记</w:t>
      </w:r>
    </w:p>
    <w:p>
      <w:pPr>
        <w:ind w:firstLine="480"/>
      </w:pPr>
      <w:r>
        <w:rPr/>
        <w:t>供应商应从广东省政府采购网（https://gdgpo.czt.gd.gov.cn/）上广东政府采购智慧云平台（以下简称“云平台”）的政府采购供应商入口进行免费注册后，登录进入项目采购系统完成项目响应登记并在线获取谈判文件（未按上述方式获取谈判文件的供应商，其响应资格将被视为无效）。</w:t>
      </w:r>
    </w:p>
    <w:p>
      <w:r>
        <w:rPr>
          <w:b/>
          <w:sz w:val="24"/>
        </w:rPr>
        <w:t>2.响应文件的制作</w:t>
      </w:r>
    </w:p>
    <w:p>
      <w:pPr>
        <w:ind w:firstLine="480"/>
      </w:pPr>
      <w:r>
        <w:rPr/>
        <w:t>2.1响应文件中，所有内容均以电子文件编制，其格式要求详见第六章说明。如因不按要求编制导致系统无法检索、读取相关信息时，其后果由供应商承担。</w:t>
      </w:r>
    </w:p>
    <w:p>
      <w:pPr>
        <w:ind w:firstLine="480"/>
      </w:pPr>
      <w:r>
        <w:rPr/>
        <w:t>2.2供应商应使用云平台提供的投标客户端编制、标记、加密响应文件，成功加密后将生成指定格式的电子响应文件和电子备用响应文件。所有响应文件不能进行压缩处理。关于电子响应报价说明如下：</w:t>
      </w:r>
    </w:p>
    <w:p>
      <w:pPr>
        <w:ind w:firstLine="480"/>
      </w:pPr>
      <w:r>
        <w:rPr/>
        <w:t>(1)供应商应按照“第二章采购需求”的需求内容、责任范围以及合同条款进行报价。并按“首轮报价表”和“分项报价表”规定的格式报出总价和分项价格。谈判总价中不得包含谈判文件要求以外的内容，否则，在评审时不予核减。</w:t>
      </w:r>
    </w:p>
    <w:p>
      <w:pPr>
        <w:ind w:firstLine="480"/>
      </w:pPr>
      <w:r>
        <w:rPr/>
        <w:t>(2)响应报价包括本项目采购需求和投入使用的所有费用，包括但不限于主件、标准附件、备品备件、施工、服务、专用工具、安装、调试、检验、培训、运输、保险、税款等。</w:t>
      </w:r>
    </w:p>
    <w:p>
      <w:pPr>
        <w:ind w:firstLine="480"/>
      </w:pPr>
      <w:r>
        <w:rPr/>
        <w:t>(3)响应报价不得有选择性报价和附有条件的报价，否则将导致响应无效。</w:t>
      </w:r>
    </w:p>
    <w:p>
      <w:pPr>
        <w:ind w:firstLine="480"/>
      </w:pPr>
      <w:r>
        <w:rPr/>
        <w:t>2.3如有对多个采购包响应的，要对每个采购包独立制作电子响应文件。</w:t>
      </w:r>
    </w:p>
    <w:p>
      <w:pPr>
        <w:ind w:firstLine="480"/>
      </w:pPr>
      <w:r>
        <w:rPr/>
        <w:t>2.4供应商不得将同一个项目或同一个采购包的内容拆开响应，否则其响应将被视为非实质性响应。</w:t>
      </w:r>
    </w:p>
    <w:p>
      <w:pPr>
        <w:ind w:firstLine="480"/>
      </w:pPr>
      <w:r>
        <w:rPr/>
        <w:t>2.5供应商须对谈判文件的对应要求给予唯一的实质性响应，否则将视为不响应。</w:t>
      </w:r>
    </w:p>
    <w:p>
      <w:pPr>
        <w:ind w:firstLine="480"/>
      </w:pPr>
      <w:r>
        <w:rPr/>
        <w:t>2.6谈判文件中，凡标有“★”的地方均为实质性响应条款，供应商若有一项带“★”的条款未响应或不满足，将按无效响应处理。</w:t>
      </w:r>
    </w:p>
    <w:p>
      <w:pPr>
        <w:ind w:firstLine="480"/>
      </w:pPr>
      <w:r>
        <w:rPr/>
        <w:t>2.7供应商必须按谈判文件指定的格式填写各种报价，各报价应计算正确。除在谈判文件另有规定外（如：报折扣、报优惠率等），计量单位应使用中华人民共和国法定计量单位，以人民币填报所有报价。</w:t>
      </w:r>
    </w:p>
    <w:p>
      <w:pPr>
        <w:ind w:firstLine="480"/>
      </w:pPr>
      <w:r>
        <w:rPr/>
        <w:t>2.8响应文件以及供应商与采购人、代理机构就有关响应的往来函电均应使用中文。供应商提交的支持性文件和印制的文件可以用另一种语言，但相应内容应翻译成中文，在解释响应文件时以中文文本为准。</w:t>
      </w:r>
    </w:p>
    <w:p>
      <w:pPr>
        <w:ind w:firstLine="480"/>
      </w:pPr>
      <w:r>
        <w:rPr/>
        <w:t>2.9供应商应按谈判文件的规定及附件要求的内容和格式完整地填写和提供资料。供应商必须对响应文件所提供的全部资料的真实性承担法律责任，并无条件接受采购人和政府采购监督管理部门对其中任何资料进行核实（核对原件）的要求。采购人核对发现有不一致或供应商无正当理由不按时提供原件的，应当书面知会采购代理机构，并书面报告本级人民政府财政部门。</w:t>
      </w:r>
    </w:p>
    <w:p>
      <w:r>
        <w:rPr>
          <w:b/>
          <w:sz w:val="24"/>
        </w:rPr>
        <w:t>3.响应文件的提交</w:t>
      </w:r>
    </w:p>
    <w:p>
      <w:pPr>
        <w:ind w:firstLine="480"/>
      </w:pPr>
      <w:r>
        <w:rPr/>
        <w:t>3.1在响应文件提交截止时间前，供应商须将电子响应文件成功完整上传到云平台项目采购系统，且取得响应回执。时间以云平台项目采购系统服务器从中国科学院国家授时中心取得的北京时间为准，响应截止时间结束后，系统将不允许供应商上传响应文件，已上传响应文件但未完成传输的文件系统将拒绝接收。</w:t>
      </w:r>
    </w:p>
    <w:p>
      <w:pPr>
        <w:ind w:firstLine="480"/>
      </w:pPr>
      <w:r>
        <w:rPr/>
        <w:t>3.2采购代理机构对因不可抗力事件造成的响应文件的损坏、丢失的，不承担责任。</w:t>
      </w:r>
    </w:p>
    <w:p>
      <w:pPr>
        <w:ind w:firstLine="480"/>
      </w:pPr>
      <w:r>
        <w:rPr/>
        <w:t>3.3出现下述情形之一，属于未成功提交响应文件，按无效响应处理：</w:t>
      </w:r>
    </w:p>
    <w:p>
      <w:pPr>
        <w:ind w:firstLine="480"/>
      </w:pPr>
      <w:r>
        <w:rPr/>
        <w:t>（1）至提交响应文件截止时，响应文件未成功完整上传并取得响应回执的。</w:t>
      </w:r>
    </w:p>
    <w:p>
      <w:pPr>
        <w:ind w:firstLine="480"/>
      </w:pPr>
      <w:r>
        <w:rPr/>
        <w:t>（2）响应文件未按响应格式中注明需签字盖章的要求进行签名（含电子签名）和加盖电子印章，或签名（含电子签名）或电子印章不完整的。</w:t>
      </w:r>
    </w:p>
    <w:p>
      <w:pPr>
        <w:ind w:firstLine="480"/>
      </w:pPr>
      <w:r>
        <w:rPr/>
        <w:t>（3）响应文件损坏或格式不正确的。</w:t>
      </w:r>
    </w:p>
    <w:p>
      <w:r>
        <w:rPr>
          <w:b/>
          <w:sz w:val="24"/>
        </w:rPr>
        <w:t>4.响应文件的修改、撤回与撤销</w:t>
      </w:r>
    </w:p>
    <w:p>
      <w:pPr>
        <w:ind w:firstLine="480"/>
      </w:pPr>
      <w:r>
        <w:rPr/>
        <w:t>4.1在提交响应文件截止时间前，供应商可以修改或撤回未解密的电子响应文件，并于提交响应文件截止时间前将修改后重新生成的电子响应文件上传至系统，到达响应文件提交截止时间后，将不允许修改或撤回。</w:t>
      </w:r>
    </w:p>
    <w:p>
      <w:pPr>
        <w:ind w:firstLine="480"/>
      </w:pPr>
      <w:r>
        <w:rPr/>
        <w:t>4.2在提交响应文件截止时间后，供应商不得补充、修改和更换响应文件。</w:t>
      </w:r>
    </w:p>
    <w:p>
      <w:r>
        <w:rPr>
          <w:b/>
          <w:sz w:val="24"/>
        </w:rPr>
        <w:t>5.响应文件的解密</w:t>
      </w:r>
    </w:p>
    <w:p>
      <w:pPr>
        <w:ind w:firstLine="480"/>
      </w:pPr>
      <w:r>
        <w:rPr/>
        <w:t>到达开启时间后，供应商需携带并使用制作该响应文件的同一数字证书参加解密，供应商须在采购代理机构规定的时间内完成响应文件解密，供应商未携带数字证书或其他非系统原因导致的逾期未解密响应文件，将作无效响应处理。</w:t>
      </w:r>
    </w:p>
    <w:p>
      <w:r>
        <w:rPr>
          <w:b/>
          <w:sz w:val="24"/>
        </w:rPr>
        <w:t>6.响应保证金</w:t>
      </w:r>
    </w:p>
    <w:p>
      <w:pPr>
        <w:ind w:firstLine="480"/>
      </w:pPr>
      <w:r>
        <w:rPr/>
        <w:t>6.1响应保证金的缴纳</w:t>
      </w:r>
    </w:p>
    <w:p>
      <w:pPr>
        <w:ind w:firstLine="480"/>
      </w:pPr>
      <w:r>
        <w:rPr/>
        <w:t>供应商在提交响应文件的同时，应按供应商须知前附表规定的金额和缴纳要求缴纳响应保证金，并作为其响应文件的组成部分。</w:t>
      </w:r>
    </w:p>
    <w:p>
      <w:pPr>
        <w:ind w:firstLine="480"/>
      </w:pPr>
      <w:r>
        <w:rPr/>
        <w:t>如采用转账、支票、本票、汇票形式提交的，响应保证金从供应商基本账户递交，由</w:t>
      </w:r>
      <w:r>
        <w:rPr/>
        <w:t>广东政通招标有限公司</w:t>
      </w:r>
      <w:r>
        <w:rPr/>
        <w:t>代收。具体操作要求详见</w:t>
      </w:r>
      <w:r>
        <w:rPr/>
        <w:t>广东政通招标有限公司</w:t>
      </w:r>
      <w:r>
        <w:rPr/>
        <w:t>有关指引，递交事宜请自行咨询</w:t>
      </w:r>
      <w:r>
        <w:rPr/>
        <w:t>广东政通招标有限公司</w:t>
      </w:r>
      <w:r>
        <w:rPr/>
        <w:t>；请各供应商在响应文件递交截止时间前按须知前附表规定的金额递交至</w:t>
      </w:r>
      <w:r>
        <w:rPr/>
        <w:t>广东政通招标有限公司</w:t>
      </w:r>
      <w:r>
        <w:rPr/>
        <w:t>，到账情况以谈判时</w:t>
      </w:r>
      <w:r>
        <w:rPr/>
        <w:t>广东政通招标有限公司</w:t>
      </w:r>
      <w:r>
        <w:rPr/>
        <w:t>查询的信息为准。</w:t>
      </w:r>
    </w:p>
    <w:p>
      <w:pPr>
        <w:ind w:firstLine="480"/>
      </w:pPr>
      <w:r>
        <w:rPr/>
        <w:t>如采用金融机构、专业担保机构开具的投标（响应）担保函、投标（响应）保证保险函等形式提交响应保证金的，投标（响应）担保函或投标（响应）保证保险函须开具给采购人（保险受益人须为采购人），并与响应文件一同递交。</w:t>
      </w:r>
    </w:p>
    <w:p>
      <w:pPr>
        <w:ind w:firstLine="480"/>
      </w:pPr>
      <w:r>
        <w:rPr/>
        <w:t>供应商可通过"广东政府采购智慧云平台金融服务中心"(https://gdgpo.czt.gd.gov.cn/zcdservice/zcd/guangdong/)，申请办理电子保函，电子保函与纸质保函具有同样效力。</w:t>
      </w:r>
    </w:p>
    <w:p>
      <w:pPr>
        <w:ind w:firstLine="480"/>
      </w:pPr>
      <w:r>
        <w:rPr/>
        <w:t>注意事项：供应商通过线下方式缴纳保证金（转账、支票、汇票、本票、纸质保函）的，需准备缴纳凭证的扫描件作为核验凭证；通过电子保函形式缴纳保证金的，如遇谈判现场无法拉取电子保函信息时，可提供电子保函打印件或购买凭证作为核验凭证。相关凭证应上传至系统归档保存。</w:t>
      </w:r>
    </w:p>
    <w:p>
      <w:pPr>
        <w:ind w:firstLine="480"/>
      </w:pPr>
      <w:r>
        <w:rPr/>
        <w:t>6.2响应保证金的退还：</w:t>
      </w:r>
    </w:p>
    <w:p>
      <w:pPr>
        <w:ind w:firstLine="480"/>
      </w:pPr>
      <w:r>
        <w:rPr/>
        <w:t>（1）供应商在响应截止时间前放弃响应的，自所参与采购包结果公告发出后5个工作日内退还。</w:t>
      </w:r>
    </w:p>
    <w:p>
      <w:pPr>
        <w:ind w:firstLine="480"/>
      </w:pPr>
      <w:r>
        <w:rPr/>
        <w:t>（2）未成交的供应商保证金，在成交通知书发出后5个工作日内原额退还。</w:t>
      </w:r>
    </w:p>
    <w:p>
      <w:pPr>
        <w:ind w:firstLine="480"/>
      </w:pPr>
      <w:r>
        <w:rPr/>
        <w:t>（3）成交供应商的响应保证金,在成交供应商与采购人签订采购合同后5个工作日内原额退还。</w:t>
      </w:r>
    </w:p>
    <w:p>
      <w:pPr>
        <w:ind w:firstLine="480"/>
      </w:pPr>
      <w:r>
        <w:rPr/>
        <w:t>备注：但因供应商自身原因导致无法及时退还的除外。</w:t>
      </w:r>
    </w:p>
    <w:p>
      <w:pPr>
        <w:ind w:firstLine="480"/>
      </w:pPr>
      <w:r>
        <w:rPr/>
        <w:t>6.3有下列情形之一的，响应保证金将不予退还并上缴国库：</w:t>
      </w:r>
    </w:p>
    <w:p>
      <w:pPr>
        <w:ind w:firstLine="480"/>
      </w:pPr>
      <w:r>
        <w:rPr/>
        <w:t>（1）提供虚假材料谋取成交的；</w:t>
      </w:r>
    </w:p>
    <w:p>
      <w:pPr>
        <w:ind w:firstLine="480"/>
      </w:pPr>
      <w:r>
        <w:rPr/>
        <w:t>（2）供应商在谈判文件规定的响应有效期内撤销其响应；</w:t>
      </w:r>
    </w:p>
    <w:p>
      <w:pPr>
        <w:ind w:firstLine="480"/>
      </w:pPr>
      <w:r>
        <w:rPr/>
        <w:t>（3）成交后，无正当理由放弃成交资格；</w:t>
      </w:r>
    </w:p>
    <w:p>
      <w:pPr>
        <w:ind w:firstLine="480"/>
      </w:pPr>
      <w:r>
        <w:rPr/>
        <w:t>（4）成交后，无正当理由不与采购人签订合同；</w:t>
      </w:r>
    </w:p>
    <w:p>
      <w:pPr>
        <w:ind w:firstLine="480"/>
      </w:pPr>
      <w:r>
        <w:rPr/>
        <w:t>（5）法律法规和谈判文件规定的其他情形。</w:t>
      </w:r>
    </w:p>
    <w:p>
      <w:r>
        <w:rPr>
          <w:b/>
          <w:sz w:val="24"/>
        </w:rPr>
        <w:t>7.响应有效期</w:t>
      </w:r>
    </w:p>
    <w:p>
      <w:pPr>
        <w:ind w:firstLine="480"/>
      </w:pPr>
      <w:r>
        <w:rPr/>
        <w:t>7.1响应有效期内供应商撤销响应文件的，采购人或者采购代理机构可以不退还响应保证金（如有）。采用响应保函方式替代保证金的，采购人或者采购代理机构可以向担保机构索赔保证金。</w:t>
      </w:r>
    </w:p>
    <w:p>
      <w:pPr>
        <w:ind w:firstLine="480"/>
      </w:pPr>
      <w:r>
        <w:rPr/>
        <w:t>7.2出现特殊情况需延长响应有效期的，采购人或采购代理机构可于响应有效期满之前要求供应商同意延长有效期，要求与答复均以书面形式通知所有供应商。供应商同意延长的，应相应延长其响应保证金（如有）的有效期，但不得要求或被允许修改或撤销其响应文件；供应商可以拒绝延长有效期，但其响应将会被视为无效，拒绝延长有效期的供应商有权收回其响应保证金（如有）。采用响应保函方式替代保证金的，响应有效期超出保函有效期的，采购人或者采购代理机构应提示响应供应商重新开函，未获得有效保函的响应供应商其响应将会被视为无效。</w:t>
      </w:r>
    </w:p>
    <w:p>
      <w:r>
        <w:rPr>
          <w:b/>
          <w:sz w:val="24"/>
        </w:rPr>
        <w:t>8.样品（演示）</w:t>
      </w:r>
    </w:p>
    <w:p>
      <w:pPr>
        <w:ind w:firstLine="480"/>
      </w:pPr>
      <w:r>
        <w:rPr/>
        <w:t>8.1谈判文件规定供应商提交样品的，样品属于响应文件的组成部分。样品的生产、运输、安装、保全等一切费用由供应商自理。</w:t>
      </w:r>
    </w:p>
    <w:p>
      <w:pPr>
        <w:ind w:firstLine="480"/>
      </w:pPr>
      <w:r>
        <w:rPr/>
        <w:t>8.2响应截止时间前，供应商应将样品送达至指定地点。若需要现场演示的，供应商应提前做好演示准备（包括演示设备）。</w:t>
      </w:r>
    </w:p>
    <w:p>
      <w:pPr>
        <w:ind w:firstLine="480"/>
      </w:pPr>
      <w:r>
        <w:rPr/>
        <w:t>8.3采购结果公告发布后，成交供应商的样品由采购人封存，作为履约验收的依据之一。未成交供应商在接到采购代理机构通知后，应按规定时间尽快自行取回样品，否则视同供应商不再认领，代理机构有权进行处理。</w:t>
      </w:r>
    </w:p>
    <w:p>
      <w:r>
        <w:rPr>
          <w:b/>
          <w:sz w:val="24"/>
        </w:rPr>
        <w:t>9除谈判文件另有规定外，有下列情形之一的，响应无效：</w:t>
      </w:r>
    </w:p>
    <w:p>
      <w:pPr>
        <w:ind w:firstLine="480"/>
      </w:pPr>
      <w:r>
        <w:rPr/>
        <w:t>9.1响应文件未按照谈判文件要求签署、盖章；</w:t>
      </w:r>
    </w:p>
    <w:p>
      <w:pPr>
        <w:ind w:firstLine="480"/>
      </w:pPr>
      <w:r>
        <w:rPr/>
        <w:t>9.2不符合谈判文件中规定的资格要求；</w:t>
      </w:r>
    </w:p>
    <w:p>
      <w:pPr>
        <w:ind w:firstLine="480"/>
      </w:pPr>
      <w:r>
        <w:rPr/>
        <w:t>9.3响应报价超过谈判文件中规定的预算金额或最高限价；</w:t>
      </w:r>
    </w:p>
    <w:p>
      <w:pPr>
        <w:ind w:firstLine="480"/>
      </w:pPr>
      <w:r>
        <w:rPr/>
        <w:t>9.4响应文件含有采购人不能接受的附加条件；</w:t>
      </w:r>
    </w:p>
    <w:p>
      <w:pPr>
        <w:ind w:firstLine="480"/>
      </w:pPr>
      <w:r>
        <w:rPr/>
        <w:t>9.5有关法律、法规和规章及谈判文件规定的其他无效情形。</w:t>
      </w:r>
    </w:p>
    <w:p>
      <w:r>
        <w:rPr>
          <w:b/>
          <w:sz w:val="28"/>
        </w:rPr>
        <w:t>六、谈判、评审和结果确认</w:t>
      </w:r>
    </w:p>
    <w:p>
      <w:r>
        <w:rPr>
          <w:b/>
          <w:sz w:val="24"/>
        </w:rPr>
        <w:t>1. 响应文件的开启</w:t>
      </w:r>
    </w:p>
    <w:p>
      <w:pPr>
        <w:ind w:firstLine="480"/>
      </w:pPr>
      <w:r>
        <w:rPr/>
        <w:t>1.1 开启程序</w:t>
      </w:r>
    </w:p>
    <w:p>
      <w:pPr>
        <w:ind w:firstLine="480"/>
      </w:pPr>
      <w:r>
        <w:rPr/>
        <w:t>工作人员按谈判公告规定的时间进行开启，由采购人或者采购代理机构工作人员宣布供应商名称、解密情况和谈判文件规定的需要宣布的其他内容。开启分为现场电子开启和远程电子开启两种。</w:t>
      </w:r>
    </w:p>
    <w:p>
      <w:pPr>
        <w:ind w:firstLine="480"/>
      </w:pPr>
      <w:r>
        <w:rPr/>
        <w:t>采用现场电子开启的：供应商的法定代表人或其委托代理人应当按照本谈判公告载明的时间和地点前往参加开启，并携带编制本项目（采购包）电子响应文件时加密所用的数字证书、存储有备用电子响应文件的U盘前往开启现场。</w:t>
      </w:r>
    </w:p>
    <w:p>
      <w:pPr>
        <w:ind w:firstLine="480"/>
      </w:pPr>
      <w:r>
        <w:rPr/>
        <w:t>采用远程电子开启的：供应商的法定代表人或其授权代表应当按照本谈判公告载明的时间和模式等要求参加开启。在响应截止时间前30分钟，应当登录云平台开标大厅进行签到，并且填写授权代表的姓名与手机号码。若因签到时填写的授权代表信息有误而导致的不良后果，由供应商自行承担。</w:t>
      </w:r>
    </w:p>
    <w:p>
      <w:pPr>
        <w:ind w:firstLine="480"/>
      </w:pPr>
      <w:r>
        <w:rPr/>
        <w:t>开启时，供应商应当使用编制本项目（采购包）电子响应文件时加密所用数字证书在开始解密后按照采购代理机构规定的时间内完成电子响应文件的解密，如遇不可抗力等其他特殊情况，采购代理机构可视情况延长解密时间。供应商未携带数字证书或其他非系统原因导致的在规定时间内未解密响应文件，将作无效响应处理。（采用远程电子开启的，各供应商在参加开启以前须自行对使用电脑的网络环境、驱动安装、客户端安装以及数字证书的有效性等进行检测，确保可以正常使用）。</w:t>
      </w:r>
    </w:p>
    <w:p>
      <w:pPr>
        <w:ind w:firstLine="480"/>
      </w:pPr>
      <w:r>
        <w:rPr/>
        <w:t>如在电子开启过程中出现无法正常解密的，代理机构可根据实际情况打开上传备用电子响应文件通道。系统将对上传的备用电子响应文件的合法性进行验证，若发现提交的备用电子响应文件与加密的电子响应文件版本不一致（即两份文件不是编制响应文件同时生成的），系统将拒绝接收，视为无效响应。</w:t>
      </w:r>
    </w:p>
    <w:p>
      <w:pPr>
        <w:ind w:firstLine="480"/>
      </w:pPr>
      <w:r>
        <w:rPr/>
        <w:t>如供应商无法在代理规定的时间内完成备用电子响应文件的上传，响应将被拒绝，作无效响应处理。</w:t>
      </w:r>
    </w:p>
    <w:p>
      <w:pPr>
        <w:ind w:firstLine="480"/>
      </w:pPr>
      <w:r>
        <w:rPr/>
        <w:t>1.2异议</w:t>
      </w:r>
    </w:p>
    <w:p>
      <w:pPr>
        <w:ind w:firstLine="480"/>
      </w:pPr>
      <w:r>
        <w:rPr/>
        <w:t>供应商代表对开启过程和开启记录有疑义，以及认为采购人、采购代理机构相关工作人员有需要回避的情形的，应当场提出询问或者回避申请。供应商未参加开启的，视同认可开启结果。</w:t>
      </w:r>
    </w:p>
    <w:p>
      <w:pPr>
        <w:ind w:firstLine="480"/>
      </w:pPr>
      <w:r>
        <w:rPr/>
        <w:t>1.3 出现下列情况的，视为响应无效处理：</w:t>
      </w:r>
    </w:p>
    <w:p>
      <w:pPr>
        <w:ind w:firstLine="480"/>
      </w:pPr>
      <w:r>
        <w:rPr/>
        <w:t>（1）经检查数字证书无效的；</w:t>
      </w:r>
    </w:p>
    <w:p>
      <w:pPr>
        <w:ind w:firstLine="480"/>
      </w:pPr>
      <w:r>
        <w:rPr/>
        <w:t>（2）因供应商自身原因，未在规定时间内完成电子响应文件解密的；</w:t>
      </w:r>
    </w:p>
    <w:p>
      <w:pPr>
        <w:ind w:firstLine="480"/>
      </w:pPr>
      <w:r>
        <w:rPr/>
        <w:t>（3）如需使用备用电子响应文件解密时，在规定的解密时间内无法提供备用电子响应文件或提供的备用电子响应文件与加密的电子响应文件版本不一致（即两份文件不是投标客户端编制同时生成的）。</w:t>
      </w:r>
    </w:p>
    <w:p>
      <w:r>
        <w:rPr>
          <w:b/>
          <w:sz w:val="24"/>
        </w:rPr>
        <w:t>2.评审（详见第四章）</w:t>
      </w:r>
    </w:p>
    <w:p>
      <w:r>
        <w:rPr>
          <w:b/>
          <w:sz w:val="24"/>
        </w:rPr>
        <w:t>3.成交</w:t>
      </w:r>
    </w:p>
    <w:p>
      <w:pPr>
        <w:ind w:firstLine="480"/>
      </w:pPr>
      <w:r>
        <w:rPr/>
        <w:t>3.1成交结果公告：</w:t>
      </w:r>
    </w:p>
    <w:p>
      <w:pPr>
        <w:ind w:firstLine="480"/>
      </w:pPr>
      <w:r>
        <w:rPr/>
        <w:t>成交供应商确定之日起2个工作日内，采购人或采购代理机构将在中国政府采购网(www.ccgp.gov.cn)、广东省政府采购网(https://gdgpo.czt.gd.gov.cn/)上以公告的形式发布成交结果，结果公告的公告期限为1个工作日。结果公告同时作为采购代理机构通知除成交供应商外的其他供应商没有成交的书面形式，采购代理机构不再以其它方式另行通知。</w:t>
      </w:r>
    </w:p>
    <w:p>
      <w:pPr>
        <w:ind w:firstLine="480"/>
      </w:pPr>
      <w:r>
        <w:rPr/>
        <w:t>3.2成交通知书：</w:t>
      </w:r>
    </w:p>
    <w:p>
      <w:pPr>
        <w:ind w:firstLine="480"/>
      </w:pPr>
      <w:r>
        <w:rPr/>
        <w:t>采购人或采购代理机构在发布结果公告时，在云平台同步发送成交通知书至成交供应商。成交供应商可在云平台自行下载打印《成交通知书》，《成交通知书》将作为授予合同资格的唯一合法依据。成交通知书发出后，采购人不得违法改变成交结果，成交供应商不得放弃成交。成交供应商放弃成交的，应当依法承担相应的法律责任。</w:t>
      </w:r>
    </w:p>
    <w:p>
      <w:pPr>
        <w:ind w:firstLine="480"/>
      </w:pPr>
      <w:r>
        <w:rPr/>
        <w:t>3.3终止公告：</w:t>
      </w:r>
    </w:p>
    <w:p>
      <w:pPr>
        <w:ind w:firstLine="480"/>
      </w:pPr>
      <w:r>
        <w:rPr/>
        <w:t>终止谈判采购活动后，采购人或采购代理机构将在中国政府采购网(www.ccgp.gov.cn)、广东省政府采购网(https://gdgpo.czt.gd.gov.cn/)上发布终止公告，终止公告的公告期限为1个工作日。</w:t>
      </w:r>
    </w:p>
    <w:p>
      <w:r>
        <w:rPr>
          <w:b/>
          <w:sz w:val="28"/>
        </w:rPr>
        <w:t>七、询问、质疑与投诉</w:t>
      </w:r>
    </w:p>
    <w:p>
      <w:r>
        <w:rPr>
          <w:b/>
          <w:sz w:val="24"/>
        </w:rPr>
        <w:t>1.询问</w:t>
      </w:r>
    </w:p>
    <w:p>
      <w:pPr>
        <w:ind w:firstLine="480"/>
      </w:pPr>
      <w:r>
        <w:rPr/>
        <w:t>供应商对政府采购活动事项（谈判文件、采购过程和成交结果）有疑问的，可以向采购人或采购代理机构提出询问，采购人或采购代理机构将及时作出答复，但答复的内容不涉及商业秘密。询问可以口头方式提出，也可以书面方式提出，书面方式包括但不限于传真、信函、电子邮件。联系方式见《响应邀请函》中“采购人、采购代理机构的名称、地址和联系方式”。</w:t>
      </w:r>
    </w:p>
    <w:p>
      <w:r>
        <w:rPr>
          <w:b/>
          <w:sz w:val="24"/>
        </w:rPr>
        <w:t>2.质疑</w:t>
      </w:r>
    </w:p>
    <w:p>
      <w:pPr>
        <w:ind w:firstLine="480"/>
      </w:pPr>
      <w:r>
        <w:rPr/>
        <w:t>2.1供应商认为谈判文件、采购过程和成交结果使自己的权益受到损害的，可以在知道或者应知其权益受到损害之日起七个工作日内，以书面原件形式向采购人或采购代理机构一次性提出针对同一采购程序环节的质疑，逾期质疑无效。供应商应知其权益受到损害之日是指：</w:t>
      </w:r>
    </w:p>
    <w:p>
      <w:pPr>
        <w:ind w:firstLine="480"/>
      </w:pPr>
      <w:r>
        <w:rPr/>
        <w:t>(1)对谈判文件提出质疑的，为获取谈判文件之日或者谈判文件公告期限届满之日；</w:t>
      </w:r>
    </w:p>
    <w:p>
      <w:pPr>
        <w:ind w:firstLine="480"/>
      </w:pPr>
      <w:r>
        <w:rPr/>
        <w:t>(2)对采购过程提出质疑的，为各采购程序环节结束之日；</w:t>
      </w:r>
    </w:p>
    <w:p>
      <w:pPr>
        <w:ind w:firstLine="480"/>
      </w:pPr>
      <w:r>
        <w:rPr/>
        <w:t>(3)对成交结果提出质疑的，为成交结果公告期限届满之日。</w:t>
      </w:r>
    </w:p>
    <w:p>
      <w:pPr>
        <w:ind w:firstLine="480"/>
      </w:pPr>
      <w:r>
        <w:rPr/>
        <w:t>2.2质疑函应当包括下列主要内容：</w:t>
      </w:r>
    </w:p>
    <w:p>
      <w:pPr>
        <w:ind w:firstLine="480"/>
      </w:pPr>
      <w:r>
        <w:rPr/>
        <w:t>(1)质疑供应商和相关供应商的名称、地址、邮编、联系人及联系电话等；</w:t>
      </w:r>
    </w:p>
    <w:p>
      <w:pPr>
        <w:ind w:firstLine="480"/>
      </w:pPr>
      <w:r>
        <w:rPr/>
        <w:t>(2)质疑项目名称及编号、具体明确的质疑事项和与质疑事项相关的请求；</w:t>
      </w:r>
    </w:p>
    <w:p>
      <w:pPr>
        <w:ind w:firstLine="480"/>
      </w:pPr>
      <w:r>
        <w:rPr/>
        <w:t>(3)认为谈判文件、采购过程、成交结果使自己的合法权益受到损害的法律依据、事实依据、相关证明材料及证据来源；</w:t>
      </w:r>
    </w:p>
    <w:p>
      <w:pPr>
        <w:ind w:firstLine="480"/>
      </w:pPr>
      <w:r>
        <w:rPr/>
        <w:t>(4)提出质疑的日期。</w:t>
      </w:r>
    </w:p>
    <w:p>
      <w:pPr>
        <w:ind w:firstLine="480"/>
      </w:pPr>
      <w:r>
        <w:rPr/>
        <w:t>2.3 质疑函应当署名。质疑供应商为自然人的，应当由本人签字；质疑供应商为法人或者其他组织的，应当由法定代表人、主要负责人，或者其授权代表签字或者盖章，并加盖公章。</w:t>
      </w:r>
    </w:p>
    <w:p>
      <w:pPr>
        <w:ind w:firstLine="480"/>
      </w:pPr>
      <w:r>
        <w:rPr/>
        <w:t>2.4以联合体形式参加政府采购活动的，其质疑应当由联合体成员委托主体提出。</w:t>
      </w:r>
    </w:p>
    <w:p>
      <w:pPr>
        <w:ind w:firstLine="480"/>
      </w:pPr>
      <w:r>
        <w:rPr/>
        <w:t>2.5供应商质疑应当有明确的请求和必要的证明材料。质疑内容不得含有虚假、恶意成份。依照谁主张谁举证的原则，提出质疑者必须同时提交相关确凿的证据材料和注明证据的确切来源，证据来源必须合法，采购人或采购代理机构有权将质疑函转发质疑事项各关联方，请其作出解释说明。对捏造事实、滥用维权扰乱采购秩序的恶意质疑者，将上报政府采购监督管理部门依法处理。</w:t>
      </w:r>
    </w:p>
    <w:p>
      <w:pPr>
        <w:ind w:firstLine="480"/>
      </w:pPr>
      <w:r>
        <w:rPr/>
        <w:t>2.6质疑联系方式如下：</w:t>
      </w:r>
    </w:p>
    <w:p>
      <w:pPr>
        <w:ind w:firstLine="480"/>
      </w:pPr>
      <w:r>
        <w:rPr/>
        <w:t>质疑联系人：</w:t>
      </w:r>
      <w:r>
        <w:rPr/>
        <w:t>杨先生</w:t>
      </w:r>
    </w:p>
    <w:p>
      <w:pPr>
        <w:ind w:firstLine="480"/>
      </w:pPr>
      <w:r>
        <w:rPr/>
        <w:t>电话：</w:t>
      </w:r>
      <w:r>
        <w:rPr/>
        <w:t>0769-22881803</w:t>
      </w:r>
    </w:p>
    <w:p>
      <w:pPr>
        <w:ind w:firstLine="480"/>
      </w:pPr>
      <w:r>
        <w:rPr/>
        <w:t>传真：</w:t>
      </w:r>
      <w:r>
        <w:rPr/>
        <w:t>/</w:t>
      </w:r>
    </w:p>
    <w:p>
      <w:pPr>
        <w:ind w:firstLine="480"/>
      </w:pPr>
      <w:r>
        <w:rPr/>
        <w:t>邮箱：</w:t>
      </w:r>
      <w:r>
        <w:rPr/>
        <w:t>1402289247@qq.com</w:t>
      </w:r>
    </w:p>
    <w:p>
      <w:pPr>
        <w:ind w:firstLine="480"/>
      </w:pPr>
      <w:r>
        <w:rPr/>
        <w:t>地址：</w:t>
      </w:r>
      <w:r>
        <w:rPr/>
        <w:t>东莞市南城街道鸿福路199号（市民服务中心）411室</w:t>
      </w:r>
    </w:p>
    <w:p>
      <w:pPr>
        <w:ind w:firstLine="480"/>
      </w:pPr>
      <w:r>
        <w:rPr/>
        <w:t>邮编：</w:t>
      </w:r>
      <w:r>
        <w:rPr/>
        <w:t>523000</w:t>
      </w:r>
    </w:p>
    <w:p>
      <w:r>
        <w:rPr>
          <w:b/>
          <w:sz w:val="24"/>
        </w:rPr>
        <w:t>3.投诉</w:t>
      </w:r>
    </w:p>
    <w:p>
      <w:pPr>
        <w:ind w:firstLine="480"/>
      </w:pPr>
      <w:r>
        <w:rPr/>
        <w:t>质疑人对采购人或采购代理机构的质疑答复不满意或在规定时间内未得到答复的，可以在答复期满后15个工作日内，按如下联系方式向本项目监督管理部门提起投诉。</w:t>
      </w:r>
    </w:p>
    <w:p>
      <w:pPr>
        <w:ind w:firstLine="480"/>
      </w:pPr>
    </w:p>
    <w:p>
      <w:r>
        <w:rPr/>
        <w:t>政府采购监督管理机构名称：东莞市财政局政府采购监管科</w:t>
      </w:r>
    </w:p>
    <w:p>
      <w:r>
        <w:rPr/>
        <w:t>地  址：东莞市南城区鸿福路99号行政办事中心主楼12楼28室</w:t>
      </w:r>
    </w:p>
    <w:p>
      <w:r>
        <w:rPr/>
        <w:t>电  话：0769-22831025、0769-22830161</w:t>
      </w:r>
    </w:p>
    <w:p>
      <w:r>
        <w:rPr/>
        <w:t>邮  编：523000</w:t>
      </w:r>
    </w:p>
    <w:p>
      <w:r>
        <w:rPr/>
        <w:t>传  真：-</w:t>
      </w:r>
    </w:p>
    <w:p/>
    <w:p>
      <w:r>
        <w:rPr>
          <w:b/>
          <w:sz w:val="28"/>
        </w:rPr>
        <w:t>八、合同签订和履行</w:t>
      </w:r>
    </w:p>
    <w:p>
      <w:r>
        <w:rPr>
          <w:b/>
          <w:sz w:val="24"/>
        </w:rPr>
        <w:t>1.合同的签订</w:t>
      </w:r>
    </w:p>
    <w:p>
      <w:pPr>
        <w:ind w:firstLine="480"/>
      </w:pPr>
      <w:r>
        <w:rPr/>
        <w:t>1.1采购人应当自《成交通知书》发出之日起三十日内（广州市规定自《成交通知书》发出之日起二十日内签订合同），按照谈判文件和成交人响应文件的约定，与成交人签订合同。所签订的合同不得对谈判文件和成交人响应文件作实质性修改。超过30天尚未完成政府采购合同签订的政府采购项目，采购人应当登录广东省政府采购网，填报未能依法签订政府采购合同的具体原因、整改措施和预计签订合同时间等信息。</w:t>
      </w:r>
    </w:p>
    <w:p>
      <w:pPr>
        <w:ind w:firstLine="480"/>
      </w:pPr>
      <w:r>
        <w:rPr/>
        <w:t>1.2采购人不得提出试用合格等任何不合理的要求作为签订合同的条件，且不得与成交人私下订立背离合同实质性内容的协议。</w:t>
      </w:r>
    </w:p>
    <w:p>
      <w:pPr>
        <w:ind w:firstLine="480"/>
      </w:pPr>
      <w:r>
        <w:rPr/>
        <w:t>1.3采购人应当自政府采购合同签订之日起2个工作日内，将政府采购合同在省级以上人民政府财政部门指定的媒体上公告，但政府采购合同中涉及国家秘密、商业秘密的内容除外。</w:t>
      </w:r>
    </w:p>
    <w:p>
      <w:pPr>
        <w:ind w:firstLine="480"/>
      </w:pPr>
      <w:r>
        <w:rPr/>
        <w:t>1.4采购人应当自政府采购合同签订之日起2个工作日内，登录广东省政府采购网上传政府采购合同扫描版，如实填报政府采购合同的签订时间。依法签订的补充合同，也应在补充合同签订之日起2个工作日内公开并备案采购合同。</w:t>
      </w:r>
    </w:p>
    <w:p>
      <w:r>
        <w:rPr>
          <w:b/>
          <w:sz w:val="24"/>
        </w:rPr>
        <w:t>2.合同的履行</w:t>
      </w:r>
    </w:p>
    <w:p>
      <w:pPr>
        <w:ind w:firstLine="480"/>
      </w:pPr>
      <w:r>
        <w:rPr/>
        <w:t>2.1政府采购合同订立后，合同各方不得擅自变更、中止或者终止合同。政府采购合同需要变更的，采购人应将有关合同变更内容，以书面形式报政府采购监督管理机关备案；因特殊情况需要中止或终止合同的，采购人应将中止或终止合同的理由以及相应措施，以书面形式报政府采购监督管理机关备案。</w:t>
      </w:r>
    </w:p>
    <w:p>
      <w:pPr>
        <w:ind w:firstLine="480"/>
      </w:pPr>
      <w:r>
        <w:rPr/>
        <w:t>2.2政府采购合同履行中，采购人需追加与合同标的相同的货物、工程或者服务的，在不改变合同其他条款的前提下，可以与成交供应商签订补充合同，但所补充合同的采购金额不得超过原采购金额的10%。依法签订的补充合同，也应在补充合同签订之日起2个工作日内登录广东省政府采购网上传备案。</w:t>
      </w:r>
    </w:p>
    <w:p>
      <w:pPr>
        <w:ind w:firstLine="480"/>
      </w:pPr>
    </w:p>
    <w:p>
      <w:r>
        <w:rPr/>
        <w:t xml:space="preserve"> </w:t>
      </w:r>
    </w:p>
    <w:p/>
    <w:p>
      <w:r>
        <w:rPr>
          <w:b/>
          <w:sz w:val="36"/>
        </w:rPr>
        <w:t>第四章 评审</w:t>
      </w:r>
    </w:p>
    <w:p>
      <w:r>
        <w:rPr>
          <w:b/>
          <w:sz w:val="28"/>
        </w:rPr>
        <w:t>一、评审要求</w:t>
      </w:r>
    </w:p>
    <w:p>
      <w:r>
        <w:rPr>
          <w:b/>
          <w:sz w:val="24"/>
        </w:rPr>
        <w:t>1.评审方法</w:t>
      </w:r>
    </w:p>
    <w:p>
      <w:pPr>
        <w:ind w:firstLine="480"/>
      </w:pPr>
    </w:p>
    <w:p/>
    <w:p>
      <w:r>
        <w:rPr/>
        <w:t>采购包1(东莞市大朗镇教育管理中心采购2022年公办学校教室灯光照明设备项目)：最低价评审价法,是指响应文件满足谈判文件全部实质性要求，且谈判报价最低的供应商为成交候选人的评审方法。</w:t>
      </w:r>
    </w:p>
    <w:p/>
    <w:p>
      <w:r>
        <w:rPr>
          <w:b/>
          <w:sz w:val="24"/>
        </w:rPr>
        <w:t>2.评审原则</w:t>
      </w:r>
    </w:p>
    <w:p>
      <w:pPr>
        <w:ind w:firstLine="480"/>
      </w:pPr>
      <w:r>
        <w:rPr/>
        <w:t>2.1评审活动遵循公平、公正、科学和择优的原则，以谈判文件和响应文件为评审的基本依据，并按照谈判文件规定的评审方法和评审标准进行评审。</w:t>
      </w:r>
    </w:p>
    <w:p>
      <w:pPr>
        <w:ind w:firstLine="480"/>
      </w:pPr>
      <w:r>
        <w:rPr/>
        <w:t>2.2具体评审事项由谈判小组负责，并按谈判文件的规定办法进行评审。对谈判文件中描述有歧义或前后不一致的地方，谈判小组有权按法律法规的规定进行评判，但对同一条款的评判应适用于每个响应供应商。</w:t>
      </w:r>
    </w:p>
    <w:p>
      <w:r>
        <w:rPr>
          <w:b/>
          <w:sz w:val="24"/>
        </w:rPr>
        <w:t>3.谈判小组</w:t>
      </w:r>
    </w:p>
    <w:p>
      <w:pPr>
        <w:ind w:firstLine="480"/>
      </w:pPr>
      <w:r>
        <w:rPr/>
        <w:t>3.1谈判小组由采购人代表和评审专家组成，成员人数应当为3人及以上单数，其中技术、经济等方面的评审专家不得少于成员总数的三分之二</w:t>
      </w:r>
    </w:p>
    <w:p>
      <w:pPr>
        <w:ind w:firstLine="480"/>
      </w:pPr>
      <w:r>
        <w:rPr/>
        <w:t>评审应遵守下列评审纪律：</w:t>
      </w:r>
    </w:p>
    <w:p>
      <w:pPr>
        <w:ind w:firstLine="480"/>
      </w:pPr>
      <w:r>
        <w:rPr/>
        <w:t>（1）评审情况不得私自外泄，有关信息由</w:t>
      </w:r>
      <w:r>
        <w:rPr/>
        <w:t>广东政通招标有限公司</w:t>
      </w:r>
      <w:r>
        <w:rPr/>
        <w:t>统一对外发布。</w:t>
      </w:r>
    </w:p>
    <w:p>
      <w:pPr>
        <w:ind w:firstLine="480"/>
      </w:pPr>
      <w:r>
        <w:rPr/>
        <w:t>（2）对</w:t>
      </w:r>
      <w:r>
        <w:rPr/>
        <w:t>广东政通招标有限公司</w:t>
      </w:r>
      <w:r>
        <w:rPr/>
        <w:t>或供应商提供的要求保密的资料，不得摘记翻印和外传。</w:t>
      </w:r>
    </w:p>
    <w:p>
      <w:pPr>
        <w:ind w:firstLine="480"/>
      </w:pPr>
      <w:r>
        <w:rPr/>
        <w:t>（3）不得收受响应供应商或有关人员的任何礼物，不得串联鼓动其他人袒护供应商。若与供应商存在利害关系，则应主动声明并回避。</w:t>
      </w:r>
    </w:p>
    <w:p>
      <w:pPr>
        <w:ind w:firstLine="480"/>
      </w:pPr>
      <w:r>
        <w:rPr/>
        <w:t>（4）全体评委应按照谈判文件规定进行评审，一切认定事项应查有实据且不得弄虚作假。</w:t>
      </w:r>
    </w:p>
    <w:p>
      <w:pPr>
        <w:ind w:firstLine="480"/>
      </w:pPr>
      <w:r>
        <w:rPr/>
        <w:t>（5）谈判小组各成员应当独立对每个响应供应商的响应文件进行评价，并对评价意见承担个人责任。评审过程中，不得发表倾向性言论。</w:t>
      </w:r>
    </w:p>
    <w:p>
      <w:pPr>
        <w:ind w:firstLine="480"/>
      </w:pPr>
      <w:r>
        <w:rPr/>
        <w:t>※对违反评审纪律的评委，将取消其评委资格，对评审工作造成严重损失者将予以通报批评乃至追究法律责任。</w:t>
      </w:r>
    </w:p>
    <w:p>
      <w:r>
        <w:rPr>
          <w:b/>
          <w:sz w:val="24"/>
        </w:rPr>
        <w:t>4.有下列情形之一的，视为供应商串通响应，其响应无效</w:t>
      </w:r>
    </w:p>
    <w:p>
      <w:pPr>
        <w:ind w:firstLine="480"/>
      </w:pPr>
      <w:r>
        <w:rPr/>
        <w:t>4.1不同供应商的响应文件由同一单位或者个人编制；</w:t>
      </w:r>
    </w:p>
    <w:p>
      <w:pPr>
        <w:ind w:firstLine="480"/>
      </w:pPr>
      <w:r>
        <w:rPr/>
        <w:t>4.2不同供应商委托同一单位或者个人办理响应事宜；</w:t>
      </w:r>
    </w:p>
    <w:p>
      <w:pPr>
        <w:ind w:firstLine="480"/>
      </w:pPr>
      <w:r>
        <w:rPr/>
        <w:t>4.3不同供应商的响应文件载明的项目管理成员或者联系人员为同一人；</w:t>
      </w:r>
    </w:p>
    <w:p>
      <w:pPr>
        <w:ind w:firstLine="480"/>
      </w:pPr>
      <w:r>
        <w:rPr/>
        <w:t>4.4不同供应商的响应文件异常一致或者谈判报价呈规律性差异；</w:t>
      </w:r>
    </w:p>
    <w:p>
      <w:pPr>
        <w:ind w:firstLine="480"/>
      </w:pPr>
      <w:r>
        <w:rPr/>
        <w:t>4.5不同供应商的响应文件相互混装；</w:t>
      </w:r>
    </w:p>
    <w:p>
      <w:pPr>
        <w:ind w:firstLine="480"/>
      </w:pPr>
      <w:r>
        <w:rPr/>
        <w:t>4.6不同供应商的响应保证金或购买电子保函支付款为从同一单位或个人的账户转出。</w:t>
      </w:r>
    </w:p>
    <w:p>
      <w:pPr>
        <w:ind w:firstLine="480"/>
      </w:pPr>
      <w:r>
        <w:rPr/>
        <w:t>4.7不同投标人的电子投标文件制作计算机的网卡MAC地址硬件信息相同的。</w:t>
      </w:r>
    </w:p>
    <w:p>
      <w:pPr>
        <w:ind w:firstLine="480"/>
      </w:pPr>
      <w:r>
        <w:rPr/>
        <w:t>4.8供应商上传的电子响应文件使用该项目其他响应供应商的数字证书加密的或加盖该项目的其他响应供应商的电子印章的。</w:t>
      </w:r>
    </w:p>
    <w:p>
      <w:pPr>
        <w:ind w:firstLine="480"/>
      </w:pPr>
      <w:r>
        <w:rPr/>
        <w:t>说明：在评审过程中发现供应商有上述情形的，谈判小组应当认定其响应无效，并书面报告本级财政部门。同时，项目评审时被认定为串通响应的供应商不得参加该合同项下的采购活动。</w:t>
      </w:r>
    </w:p>
    <w:p>
      <w:r>
        <w:rPr>
          <w:b/>
          <w:sz w:val="24"/>
        </w:rPr>
        <w:t>5.有下列情形之一的，属于恶意串通响应：</w:t>
      </w:r>
    </w:p>
    <w:p>
      <w:pPr>
        <w:ind w:firstLine="480"/>
      </w:pPr>
      <w:r>
        <w:rPr/>
        <w:t>（1）供应商直接或者间接从采购人或者采购代理机构处获得其他供应商的相关情况并修改其响应文件；</w:t>
      </w:r>
    </w:p>
    <w:p>
      <w:pPr>
        <w:ind w:firstLine="480"/>
      </w:pPr>
      <w:r>
        <w:rPr/>
        <w:t>（2）供应商按照采购人或者采购代理机构的授意撤换、修改响应文件；</w:t>
      </w:r>
    </w:p>
    <w:p>
      <w:pPr>
        <w:ind w:firstLine="480"/>
      </w:pPr>
      <w:r>
        <w:rPr/>
        <w:t>（3）供应商之间协商报价、技术方案等响应文件的实质性内容；</w:t>
      </w:r>
    </w:p>
    <w:p>
      <w:pPr>
        <w:ind w:firstLine="480"/>
      </w:pPr>
      <w:r>
        <w:rPr/>
        <w:t>（4）属于同一集团、协会、商会等组织成员的供应商按照该组织要求协同参加政府采购活动；</w:t>
      </w:r>
    </w:p>
    <w:p>
      <w:pPr>
        <w:ind w:firstLine="480"/>
      </w:pPr>
      <w:r>
        <w:rPr/>
        <w:t>（5）供应商之间事先约定由某一特定供应商成交；</w:t>
      </w:r>
    </w:p>
    <w:p>
      <w:pPr>
        <w:ind w:firstLine="480"/>
      </w:pPr>
      <w:r>
        <w:rPr/>
        <w:t>（6）供应商之间商定部分供应商放弃参加政府采购活动或者放弃成交；</w:t>
      </w:r>
    </w:p>
    <w:p>
      <w:pPr>
        <w:ind w:firstLine="480"/>
      </w:pPr>
      <w:r>
        <w:rPr/>
        <w:t>（7）供应商与采购人或者采购代理机构之间、供应商相互之间，为谋求特定供应商成交或者排斥其他供应商的其他串通行为。</w:t>
      </w:r>
    </w:p>
    <w:p>
      <w:r>
        <w:rPr>
          <w:b/>
          <w:sz w:val="24"/>
        </w:rPr>
        <w:t>6.其他响应无效的情形</w:t>
      </w:r>
    </w:p>
    <w:p>
      <w:pPr>
        <w:ind w:firstLine="480"/>
      </w:pPr>
      <w:r>
        <w:rPr/>
        <w:t>详见资格性审查、符合性审查和谈判文件其他响应无效条款。</w:t>
      </w:r>
    </w:p>
    <w:p>
      <w:r>
        <w:rPr>
          <w:b/>
          <w:sz w:val="24"/>
        </w:rPr>
        <w:t>7.终止竞争性谈判采购活动的情形</w:t>
      </w:r>
    </w:p>
    <w:p>
      <w:pPr>
        <w:ind w:firstLine="480"/>
      </w:pPr>
      <w:r>
        <w:rPr/>
        <w:t>出现下列情形之一的，采购人或者采购代理机构应当终止竞争性谈判采购活动，发布项目终止公告并说明原因，重新开展采购活动：</w:t>
      </w:r>
    </w:p>
    <w:p>
      <w:pPr>
        <w:ind w:firstLine="480"/>
      </w:pPr>
      <w:r>
        <w:rPr/>
        <w:t>（1）因情况变化，不再符合规定的竞争性谈判采购方式适用情形的；</w:t>
      </w:r>
    </w:p>
    <w:p>
      <w:pPr>
        <w:ind w:firstLine="480"/>
      </w:pPr>
      <w:r>
        <w:rPr/>
        <w:t>（2）出现影响采购公正的违法、违规行为的；</w:t>
      </w:r>
    </w:p>
    <w:p>
      <w:pPr>
        <w:ind w:firstLine="480"/>
      </w:pPr>
      <w:r>
        <w:rPr/>
        <w:t>（3）在采购过程中符合谈判要求的供应商或者报价未超过采购预算的供应商不足3家的，但经财政部门批准的情形除外；</w:t>
      </w:r>
    </w:p>
    <w:p>
      <w:pPr>
        <w:ind w:firstLine="480"/>
      </w:pPr>
      <w:r>
        <w:rPr/>
        <w:t>（4）法律、法规以及谈判文件规定其他情形。</w:t>
      </w:r>
    </w:p>
    <w:p>
      <w:r>
        <w:rPr>
          <w:b/>
          <w:sz w:val="24"/>
        </w:rPr>
        <w:t>8.确定成交供应商</w:t>
      </w:r>
    </w:p>
    <w:p>
      <w:pPr>
        <w:ind w:firstLine="480"/>
      </w:pPr>
      <w:r>
        <w:rPr/>
        <w:t>谈判小组按照谈判文件确定的评审方法、步骤、标准，对响应文件进行评审。评审结束后，对供应商的评审名次进行排序，确定成交供应商或者推荐成交候选供应商。</w:t>
      </w:r>
    </w:p>
    <w:p>
      <w:r>
        <w:rPr>
          <w:b/>
          <w:sz w:val="24"/>
        </w:rPr>
        <w:t>9.价格修正</w:t>
      </w:r>
    </w:p>
    <w:p>
      <w:pPr>
        <w:ind w:firstLine="480"/>
      </w:pPr>
      <w:r>
        <w:rPr/>
        <w:t>对报价的计算错误按以下原则修正：</w:t>
      </w:r>
    </w:p>
    <w:p>
      <w:pPr>
        <w:ind w:firstLine="480"/>
      </w:pPr>
      <w:r>
        <w:rPr/>
        <w:t>（1）响应文件中首轮报价表内容与响应文件中相应内容不一致的，以首轮报价表为准；</w:t>
      </w:r>
    </w:p>
    <w:p>
      <w:pPr>
        <w:ind w:firstLine="480"/>
      </w:pPr>
      <w:r>
        <w:rPr/>
        <w:t>（2）大写金额和小写金额不一致的，以大写金额为准；</w:t>
      </w:r>
    </w:p>
    <w:p>
      <w:pPr>
        <w:ind w:firstLine="480"/>
      </w:pPr>
      <w:r>
        <w:rPr/>
        <w:t>（3）单价金额小数点或者百分比有明显错位的，以报价一览表的总价为准，并修改单价；</w:t>
      </w:r>
    </w:p>
    <w:p>
      <w:pPr>
        <w:ind w:firstLine="480"/>
      </w:pPr>
      <w:r>
        <w:rPr/>
        <w:t>（4）总价金额与按单价汇总金额不一致的，以单价金额计算结果为准。但是单价金额计算结果超过预算价的，对其按无效响应处理；</w:t>
      </w:r>
    </w:p>
    <w:p>
      <w:pPr>
        <w:ind w:firstLine="480"/>
      </w:pPr>
      <w:r>
        <w:rPr/>
        <w:t>（5）若投标客户端上传的电子报价数据与电子响应文件价格不一致的，以电子报价数据为准。</w:t>
      </w:r>
    </w:p>
    <w:p>
      <w:pPr>
        <w:ind w:firstLine="480"/>
      </w:pPr>
      <w:r>
        <w:rPr/>
        <w:t>注：同时出现两种以上不一致的，按照前款规定的顺序在系统上进行价格澄清。澄清后的价格加盖电子印章确认后产生约束力，但不得超出响应文件的范围或者改变响应文件的实质性内容，供应商不确认的，其响应无效。</w:t>
      </w:r>
    </w:p>
    <w:p>
      <w:r>
        <w:rPr>
          <w:b/>
          <w:sz w:val="28"/>
        </w:rPr>
        <w:t>二、政府采购政策落实</w:t>
      </w:r>
    </w:p>
    <w:p>
      <w:r>
        <w:rPr>
          <w:b/>
          <w:sz w:val="24"/>
        </w:rPr>
        <w:t>1.节能、环保要求</w:t>
      </w:r>
    </w:p>
    <w:p>
      <w:pPr>
        <w:ind w:firstLine="480"/>
      </w:pPr>
      <w:r>
        <w:rPr/>
        <w:t>采购的产品属于品目清单范围的，将依据国家确定的认证机构出具的、处于有效期之内的节能产品、环境标志产品认证证书，对获得证书的产品实施政府优先采购或强制采购，具体按照本谈判文件相关要求执行。</w:t>
      </w:r>
    </w:p>
    <w:p>
      <w:pPr>
        <w:ind w:firstLine="480"/>
      </w:pPr>
      <w:r>
        <w:rPr/>
        <w:t>相关认证机构和获证产品信息以市场监管总局组织建立的节能产品、环境标志产品认证结果信息发布平台公布为准。</w:t>
      </w:r>
    </w:p>
    <w:p>
      <w:r>
        <w:rPr>
          <w:b/>
          <w:sz w:val="24"/>
        </w:rPr>
        <w:t>2.对小型、微型企业、监狱企业或残疾人福利性单位给予价格扣除</w:t>
      </w:r>
    </w:p>
    <w:p>
      <w:pPr>
        <w:ind w:firstLine="480"/>
      </w:pPr>
      <w:r>
        <w:rPr/>
        <w:t>依照《政府采购促进中小企业发展管理办法》、《支持监狱企业发展有关问题的通知》和《财政部 民政部</w:t>
        <w:tab/>
        <w:tab/>
        <w:t xml:space="preserve"> 中国残疾人联合会关于促进残疾人就业政府采购政策的通知》的规定，凡符合享受《政府采购促进中小企业发展管理办法》规定的中小企业扶持政策的单位，按照以下比例给予相应的价格扣除：（监狱企业、残疾人福利性单位视同为小、微企业）。</w:t>
      </w:r>
    </w:p>
    <w:p>
      <w:r>
        <w:rPr>
          <w:b/>
          <w:sz w:val="24"/>
        </w:rPr>
        <w:t>3.价格扣除相关要求</w:t>
      </w:r>
    </w:p>
    <w:p>
      <w:pPr>
        <w:ind w:firstLine="480"/>
      </w:pPr>
    </w:p>
    <w:p/>
    <w:p>
      <w:r>
        <w:rPr/>
        <w:t>采购包1（东莞市大朗镇教育管理中心采购2022年公办学校教室灯光照明设备项目）：</w:t>
      </w:r>
    </w:p>
    <w:p/>
    <w:p/>
    <w:tbl>
      <w:tblPr>
        <w:tblW w:w="0" w:type="auto"/>
        <w:tblBorders>
          <w:top w:val="single"/>
          <w:left w:val="single"/>
          <w:bottom w:val="single"/>
          <w:right w:val="single"/>
          <w:insideH w:val="single"/>
          <w:insideV w:val="single"/>
        </w:tblBorders>
      </w:tblPr>
      <w:tblGrid>
        <w:gridCol w:w="581"/>
        <w:gridCol w:w="2160"/>
        <w:gridCol w:w="2160"/>
        <w:gridCol w:w="1246"/>
        <w:gridCol w:w="2160"/>
      </w:tblGrid>
      <w:tr>
        <w:tc>
          <w:tcPr>
            <w:tcW w:type="dxa" w:w="581"/>
          </w:tcPr>
          <w:p>
            <w:r>
              <w:rPr/>
              <w:t>序号</w:t>
            </w:r>
          </w:p>
        </w:tc>
        <w:tc>
          <w:tcPr>
            <w:tcW w:type="dxa" w:w="2160"/>
          </w:tcPr>
          <w:p>
            <w:r>
              <w:rPr/>
              <w:t>情形</w:t>
            </w:r>
          </w:p>
        </w:tc>
        <w:tc>
          <w:tcPr>
            <w:tcW w:type="dxa" w:w="2160"/>
          </w:tcPr>
          <w:p>
            <w:r>
              <w:rPr/>
              <w:t>适用对象</w:t>
            </w:r>
          </w:p>
        </w:tc>
        <w:tc>
          <w:tcPr>
            <w:tcW w:type="dxa" w:w="1246"/>
          </w:tcPr>
          <w:p>
            <w:r>
              <w:rPr/>
              <w:t>价格扣除比例</w:t>
            </w:r>
          </w:p>
        </w:tc>
        <w:tc>
          <w:tcPr>
            <w:tcW w:type="dxa" w:w="2160"/>
          </w:tcPr>
          <w:p>
            <w:r>
              <w:rPr/>
              <w:t>计算公式</w:t>
            </w:r>
          </w:p>
        </w:tc>
      </w:tr>
      <w:tr>
        <w:tc>
          <w:tcPr>
            <w:tcW w:type="dxa" w:w="581"/>
          </w:tcPr>
          <w:p>
            <w:r>
              <w:rPr/>
              <w:t>1</w:t>
            </w:r>
          </w:p>
        </w:tc>
        <w:tc>
          <w:tcPr>
            <w:tcW w:type="dxa" w:w="2160"/>
          </w:tcPr>
          <w:p>
            <w:pPr>
              <w:jc w:val="left"/>
            </w:pPr>
            <w:r>
              <w:rPr/>
              <w:t>小型、微型企业，监狱企业，残疾人福利性单位</w:t>
            </w:r>
          </w:p>
        </w:tc>
        <w:tc>
          <w:tcPr>
            <w:tcW w:type="dxa" w:w="2160"/>
          </w:tcPr>
          <w:p>
            <w:r>
              <w:rPr/>
              <w:t>投标（响应）产品均由小微企业生产且使用该小微企业商号或者注册商标</w:t>
            </w:r>
          </w:p>
        </w:tc>
        <w:tc>
          <w:tcPr>
            <w:tcW w:type="dxa" w:w="1246"/>
          </w:tcPr>
          <w:p>
            <w:r>
              <w:rPr/>
              <w:t>10%</w:t>
            </w:r>
          </w:p>
        </w:tc>
        <w:tc>
          <w:tcPr>
            <w:tcW w:type="dxa" w:w="2160"/>
          </w:tcPr>
          <w:p>
            <w:pPr>
              <w:jc w:val="left"/>
            </w:pPr>
            <w:r>
              <w:rPr/>
              <w:t>货物由小微企业制造，即货物由小微企业生产且使用该小微企业商号或者注册商标时，给予10%的价格扣除C1，即：评标价=核实价×（1-C1）;监狱企业与残疾人福利性单位视同小型、微型企业，享受同等价格扣除，当企业属性重复时，不重复价格扣除。</w:t>
            </w:r>
          </w:p>
        </w:tc>
      </w:tr>
      <w:tr>
        <w:tc>
          <w:tcPr>
            <w:tcW w:type="dxa" w:w="581"/>
          </w:tcPr>
          <w:p>
            <w:r>
              <w:rPr/>
              <w:t>2</w:t>
            </w:r>
          </w:p>
        </w:tc>
        <w:tc>
          <w:tcPr>
            <w:tcW w:type="dxa" w:w="2160"/>
          </w:tcPr>
          <w:p>
            <w:pPr>
              <w:jc w:val="left"/>
            </w:pPr>
            <w:r>
              <w:rPr/>
              <w:t>节能、环保产品</w:t>
            </w:r>
          </w:p>
        </w:tc>
        <w:tc>
          <w:tcPr>
            <w:tcW w:type="dxa" w:w="2160"/>
          </w:tcPr>
          <w:p>
            <w:r>
              <w:rPr/>
              <w:t>——</w:t>
            </w:r>
          </w:p>
        </w:tc>
        <w:tc>
          <w:tcPr>
            <w:tcW w:type="dxa" w:w="1246"/>
          </w:tcPr>
          <w:p>
            <w:r>
              <w:rPr/>
              <w:t>3%</w:t>
            </w:r>
          </w:p>
        </w:tc>
        <w:tc>
          <w:tcPr>
            <w:tcW w:type="dxa" w:w="2160"/>
          </w:tcPr>
          <w:p>
            <w:pPr>
              <w:jc w:val="left"/>
            </w:pPr>
            <w:r>
              <w:rPr/>
              <w:t>对获得节能产品认证证书或环境标志产品认证证书的产品给予1%-5%的价格扣除，具体扣除比例根据节能产品或环境标志产品在采购项目中的重要性、所占比重等因素确定。</w:t>
            </w:r>
          </w:p>
        </w:tc>
      </w:tr>
      <w:tr>
        <w:tc>
          <w:tcPr>
            <w:tcW w:type="dxa" w:w="8307"/>
            <w:gridSpan w:val="5"/>
          </w:tcPr>
          <w:p>
            <w:pPr>
              <w:jc w:val="left"/>
            </w:pPr>
            <w:r>
              <w:rPr/>
              <w:t>注：（1）上述评标价仅用于计算价格评分，成交金额以实际投标（响应）价为准。</w:t>
              <w:tab/>
              <w:tab/>
              <w:tab/>
              <w:tab/>
              <w:tab/>
              <w:t xml:space="preserve"> （2）组成联合体或者接受分包的小微企业与联合体内其他企业、分包企业之间存在直接控股、管理关系的，不享受价格扣除优惠政策。</w:t>
            </w:r>
          </w:p>
        </w:tc>
      </w:tr>
    </w:tbl>
    <w:p>
      <w:r>
        <w:br/>
      </w:r>
    </w:p>
    <w:p/>
    <w:p>
      <w:pPr>
        <w:ind w:firstLine="480"/>
      </w:pPr>
      <w:r>
        <w:rPr/>
        <w:t>（1）所称小型和微型企业应当符合以下条件：</w:t>
      </w:r>
    </w:p>
    <w:p>
      <w:pPr>
        <w:ind w:firstLine="480"/>
      </w:pPr>
      <w:r>
        <w:rPr/>
        <w:t>在中华人民共和国境内依法设立，依据国务院批准的中小企业划分标准确定的小型企业和微型企业，但与大企业的负责人为同一人，或者与大企业存在直接控股、管理关系的除外。</w:t>
      </w:r>
    </w:p>
    <w:p>
      <w:pPr>
        <w:ind w:firstLine="480"/>
      </w:pPr>
      <w:r>
        <w:rPr/>
        <w:t>符合中小企业划分标准的个体工商户，在政府采购活动中视同中小企业。</w:t>
      </w:r>
    </w:p>
    <w:p>
      <w:pPr>
        <w:ind w:firstLine="480"/>
      </w:pPr>
      <w:r>
        <w:rPr/>
        <w:t>提供本企业（属于小微企业）制造的货物或者提供其他小型或微型企业制造的货物/提供本企业（属于小微企业）承接的服务。。</w:t>
      </w:r>
    </w:p>
    <w:p>
      <w:pPr>
        <w:ind w:firstLine="480"/>
      </w:pPr>
      <w:r>
        <w:rPr/>
        <w:t>（2）符合中小企业扶持政策的供应商应填写《中小企业声明函》；监狱企业须供应商提供由监狱管理局、戒毒管理局（含新疆生产建设兵团）出具的属于监狱企业的证明文件；残疾人福利性单位应填写《残疾人福利性单位声明函》，否则不认定价格扣除。</w:t>
      </w:r>
    </w:p>
    <w:p>
      <w:pPr>
        <w:ind w:firstLine="480"/>
      </w:pPr>
      <w:r>
        <w:rPr/>
        <w:t>说明：供应商应当对其出具的《中小企业声明函》真实性负责，供应商出具的《中小企业声明函》内容不实的，属于提供虚假材料谋取成交。</w:t>
      </w:r>
    </w:p>
    <w:p>
      <w:r>
        <w:rPr>
          <w:b/>
          <w:sz w:val="28"/>
        </w:rPr>
        <w:t>二、评审程序</w:t>
      </w:r>
    </w:p>
    <w:p>
      <w:r>
        <w:rPr>
          <w:b/>
          <w:sz w:val="24"/>
        </w:rPr>
        <w:t>1.1.资格性审查和符合性审查</w:t>
      </w:r>
      <w:r>
        <w:rPr/>
        <w:t>　　</w:t>
      </w:r>
    </w:p>
    <w:p>
      <w:pPr>
        <w:ind w:firstLine="480"/>
      </w:pPr>
      <w:r>
        <w:rPr/>
        <w:t>谈判小组根据《资格性审查表》（附表一）和《符合性审查表》（附表二）的内容逐条对响应文件进行评审，审查每份响应文件的相关资格证明文件是否齐全有效。审查每份响应文件是否实质上响应了谈判文件的要求，只要不满足《资格性审查表》和《符合性审查表》所列各项要求之一的，将被认定为无效响应。对响应有效性认定意见不一致的，谈判小组按少数服从多数原则表决决定。</w:t>
      </w:r>
    </w:p>
    <w:p>
      <w:pPr>
        <w:ind w:firstLine="480"/>
      </w:pPr>
      <w:r>
        <w:rPr/>
        <w:t>谈判小组对各报价供应商进行资格性和符合性审查过程中，对初步被认定为初审不合格或无效报价者应实行及时告知，由谈判小组组长或采购人代表将集体意见及时告知报价当事人。</w:t>
      </w:r>
    </w:p>
    <w:p>
      <w:pPr>
        <w:ind w:firstLine="480"/>
      </w:pPr>
      <w:r>
        <w:rPr/>
        <w:t>表一资格性审查表：</w:t>
      </w:r>
    </w:p>
    <w:p>
      <w:pPr>
        <w:ind w:firstLine="480"/>
      </w:pPr>
    </w:p>
    <w:p/>
    <w:p>
      <w:r>
        <w:rPr/>
        <w:t>采购包1（东莞市大朗镇教育管理中心采购2022年公办学校教室灯光照明设备项目）：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7416"/>
            <w:gridSpan w:val="2"/>
          </w:tcPr>
          <w:p>
            <w:r>
              <w:rPr/>
              <w:t>资格审查内容</w:t>
            </w:r>
          </w:p>
        </w:tc>
      </w:tr>
      <w:tr>
        <w:tc>
          <w:tcPr>
            <w:tcW w:type="dxa" w:w="890"/>
          </w:tcPr>
          <w:p>
            <w:r>
              <w:rPr/>
              <w:t>1</w:t>
            </w:r>
          </w:p>
        </w:tc>
        <w:tc>
          <w:tcPr>
            <w:tcW w:type="dxa" w:w="3178"/>
          </w:tcPr>
          <w:p>
            <w:r>
              <w:rPr/>
              <w:t>具有独立承担民事责任的能力</w:t>
            </w:r>
          </w:p>
        </w:tc>
        <w:tc>
          <w:tcPr>
            <w:tcW w:type="dxa" w:w="4238"/>
          </w:tcPr>
          <w:p>
            <w:r>
              <w:rPr/>
              <w:t>在中华人民共和国境内注册的法人或其他组织或自然人，投标（响应）时提交有效的营业执照（或事业法人登记证或身份证等相关证明） 副本复印件。分支机构投标的，须提供总公司和分公司营业执照副本复印件，总公司出具给分支机构的授权书。</w:t>
            </w:r>
          </w:p>
        </w:tc>
      </w:tr>
      <w:tr>
        <w:tc>
          <w:tcPr>
            <w:tcW w:type="dxa" w:w="890"/>
          </w:tcPr>
          <w:p>
            <w:r>
              <w:rPr/>
              <w:t>2</w:t>
            </w:r>
          </w:p>
        </w:tc>
        <w:tc>
          <w:tcPr>
            <w:tcW w:type="dxa" w:w="3178"/>
          </w:tcPr>
          <w:p>
            <w:r>
              <w:rPr/>
              <w:t>有依法缴纳税收和社会保障资金的良好记录</w:t>
            </w:r>
          </w:p>
        </w:tc>
        <w:tc>
          <w:tcPr>
            <w:tcW w:type="dxa" w:w="4238"/>
          </w:tcPr>
          <w:p>
            <w:r>
              <w:rPr/>
              <w:t>提供投标截止日前6个月内任意1个月依法缴纳税收和社会保障资金的相关材料。如依法免税或不需要缴纳社会保障资金的， 提供相应证明材料。(或提供相关承诺函）</w:t>
            </w:r>
          </w:p>
        </w:tc>
      </w:tr>
      <w:tr>
        <w:tc>
          <w:tcPr>
            <w:tcW w:type="dxa" w:w="890"/>
          </w:tcPr>
          <w:p>
            <w:r>
              <w:rPr/>
              <w:t>3</w:t>
            </w:r>
          </w:p>
        </w:tc>
        <w:tc>
          <w:tcPr>
            <w:tcW w:type="dxa" w:w="3178"/>
          </w:tcPr>
          <w:p>
            <w:r>
              <w:rPr/>
              <w:t>具有良好的商业信誉和健全的财务会计制度</w:t>
            </w:r>
          </w:p>
        </w:tc>
        <w:tc>
          <w:tcPr>
            <w:tcW w:type="dxa" w:w="4238"/>
          </w:tcPr>
          <w:p>
            <w:r>
              <w:rPr/>
              <w:t>供应商必须具有良好的商业信誉和健全的财务会计制度（提供2020年度或2021年度财务状况报告或基本开户行出具的资信证明）。(或提供相关承诺函)</w:t>
            </w:r>
          </w:p>
        </w:tc>
      </w:tr>
      <w:tr>
        <w:tc>
          <w:tcPr>
            <w:tcW w:type="dxa" w:w="890"/>
          </w:tcPr>
          <w:p>
            <w:r>
              <w:rPr/>
              <w:t>4</w:t>
            </w:r>
          </w:p>
        </w:tc>
        <w:tc>
          <w:tcPr>
            <w:tcW w:type="dxa" w:w="3178"/>
          </w:tcPr>
          <w:p>
            <w:r>
              <w:rPr/>
              <w:t>履行合同所必需的设备和专业技术能力</w:t>
            </w:r>
          </w:p>
        </w:tc>
        <w:tc>
          <w:tcPr>
            <w:tcW w:type="dxa" w:w="4238"/>
          </w:tcPr>
          <w:p>
            <w:r>
              <w:rPr/>
              <w:t>按投标（响应）文件格式填报设备及专业技术能力情况。（或提供相关承诺函）</w:t>
            </w:r>
          </w:p>
        </w:tc>
      </w:tr>
      <w:tr>
        <w:tc>
          <w:tcPr>
            <w:tcW w:type="dxa" w:w="890"/>
          </w:tcPr>
          <w:p>
            <w:r>
              <w:rPr/>
              <w:t>5</w:t>
            </w:r>
          </w:p>
        </w:tc>
        <w:tc>
          <w:tcPr>
            <w:tcW w:type="dxa" w:w="3178"/>
          </w:tcPr>
          <w:p>
            <w:r>
              <w:rPr/>
              <w:t>参加采购活动前3年内，在经营活动中没有重大违法记录</w:t>
            </w:r>
          </w:p>
        </w:tc>
        <w:tc>
          <w:tcPr>
            <w:tcW w:type="dxa" w:w="4238"/>
          </w:tcPr>
          <w:p>
            <w:r>
              <w:rPr/>
              <w:t>在经营活动中没有重大违法记录：参照投标（报价）函相关承诺格式内容。 重大违法记录，是指供应商因违法经营受到刑事处罚或者责令停产停业、吊销许可证或者执照、较大数额罚款等行政处罚。（根据财库〔2022〕3号文，“较大数额罚款”认定为200万元以上的罚款，法律、行政法规以及国务院有关部门明确规定相关领域“较大数额罚款”标准高于200万元的，从其规定）</w:t>
            </w:r>
          </w:p>
        </w:tc>
      </w:tr>
      <w:tr>
        <w:tc>
          <w:tcPr>
            <w:tcW w:type="dxa" w:w="890"/>
          </w:tcPr>
          <w:p>
            <w:r>
              <w:rPr/>
              <w:t>6</w:t>
            </w:r>
          </w:p>
        </w:tc>
        <w:tc>
          <w:tcPr>
            <w:tcW w:type="dxa" w:w="3178"/>
          </w:tcPr>
          <w:p>
            <w:r>
              <w:rPr/>
              <w:t>信用记录</w:t>
            </w:r>
          </w:p>
        </w:tc>
        <w:tc>
          <w:tcPr>
            <w:tcW w:type="dxa" w:w="4238"/>
          </w:tcPr>
          <w:p>
            <w:r>
              <w:rPr/>
              <w:t>供应商未被列入“信用中国”网站(www.creditchina.gov.cn)“记录失信被执行人或税收违法黑名单”记录名单； 不处于中国政府采购网(www.ccgp.gov.cn)“政府采购严重违法失信行为信息记录”中的禁止参加政府采购活动期间。 （以采购代理机构于投标（响应） 截止时间当天在“信用中国”网站（www.creditchina.gov.cn） 及中国政府采购网（http://www.ccgp.gov.cn/） 查询结果为准， 如相关失信记录已失效， 供应商需提供相关证明资料）。</w:t>
            </w:r>
          </w:p>
        </w:tc>
      </w:tr>
      <w:tr>
        <w:tc>
          <w:tcPr>
            <w:tcW w:type="dxa" w:w="890"/>
          </w:tcPr>
          <w:p>
            <w:r>
              <w:rPr/>
              <w:t>7</w:t>
            </w:r>
          </w:p>
        </w:tc>
        <w:tc>
          <w:tcPr>
            <w:tcW w:type="dxa" w:w="3178"/>
          </w:tcPr>
          <w:p>
            <w:r>
              <w:rPr/>
              <w:t>供应商必须符合法律、行政法规规定的其他条件</w:t>
            </w:r>
          </w:p>
        </w:tc>
        <w:tc>
          <w:tcPr>
            <w:tcW w:type="dxa" w:w="4238"/>
          </w:tcPr>
          <w:p>
            <w:r>
              <w:rPr/>
              <w:t>单位负责人为同一人或者存在直接控股、 管理关系的不同供应商，不得同时参加本采购项目（或采购包） 投标（响应）。 为本项目提供整体设计、 规范编制或者项目管理、 监理、 检测等服务的供应商， 不得再参与本项目投标（响应）。 投标（报价） 函相关承诺要求内容。</w:t>
            </w:r>
          </w:p>
        </w:tc>
      </w:tr>
      <w:tr>
        <w:tc>
          <w:tcPr>
            <w:tcW w:type="dxa" w:w="890"/>
          </w:tcPr>
          <w:p>
            <w:r>
              <w:rPr/>
              <w:t>8</w:t>
            </w:r>
          </w:p>
        </w:tc>
        <w:tc>
          <w:tcPr>
            <w:tcW w:type="dxa" w:w="3178"/>
          </w:tcPr>
          <w:p>
            <w:r>
              <w:rPr/>
              <w:t>落实政府采购政策需满足的资格要求</w:t>
            </w:r>
          </w:p>
        </w:tc>
        <w:tc>
          <w:tcPr>
            <w:tcW w:type="dxa" w:w="4238"/>
          </w:tcPr>
          <w:p>
            <w:r>
              <w:rPr/>
              <w:t>本项目不属于专门面向中小企业的采购项目。</w:t>
            </w:r>
          </w:p>
        </w:tc>
      </w:tr>
    </w:tbl>
    <w:p/>
    <w:p>
      <w:pPr>
        <w:ind w:firstLine="480"/>
      </w:pPr>
      <w:r>
        <w:rPr/>
        <w:t>表二符合性审查表：</w:t>
      </w:r>
    </w:p>
    <w:p>
      <w:pPr>
        <w:ind w:firstLine="480"/>
      </w:pPr>
    </w:p>
    <w:p/>
    <w:p>
      <w:r>
        <w:rPr/>
        <w:t>采购包1（东莞市大朗镇教育管理中心采购2022年公办学校教室灯光照明设备项目）：</w:t>
      </w:r>
    </w:p>
    <w:tbl>
      <w:tblPr>
        <w:tblW w:w="0" w:type="auto"/>
        <w:tblBorders>
          <w:top w:val="single"/>
          <w:left w:val="single"/>
          <w:bottom w:val="single"/>
          <w:right w:val="single"/>
          <w:insideH w:val="single"/>
          <w:insideV w:val="single"/>
        </w:tblBorders>
      </w:tblPr>
      <w:tblGrid>
        <w:gridCol w:w="890"/>
        <w:gridCol w:w="3178"/>
        <w:gridCol w:w="4238"/>
      </w:tblGrid>
      <w:tr>
        <w:tc>
          <w:tcPr>
            <w:tcW w:type="dxa" w:w="890"/>
          </w:tcPr>
          <w:p>
            <w:r>
              <w:rPr/>
              <w:t>序号</w:t>
            </w:r>
          </w:p>
        </w:tc>
        <w:tc>
          <w:tcPr>
            <w:tcW w:type="dxa" w:w="3178"/>
          </w:tcPr>
          <w:p>
            <w:r>
              <w:rPr/>
              <w:t>评审点要求概况</w:t>
            </w:r>
          </w:p>
        </w:tc>
        <w:tc>
          <w:tcPr>
            <w:tcW w:type="dxa" w:w="4238"/>
          </w:tcPr>
          <w:p>
            <w:r>
              <w:rPr/>
              <w:t>评审点具体描述</w:t>
            </w:r>
          </w:p>
        </w:tc>
      </w:tr>
      <w:tr>
        <w:tc>
          <w:tcPr>
            <w:tcW w:type="dxa" w:w="890"/>
          </w:tcPr>
          <w:p>
            <w:r>
              <w:rPr/>
              <w:t>1</w:t>
            </w:r>
          </w:p>
        </w:tc>
        <w:tc>
          <w:tcPr>
            <w:tcW w:type="dxa" w:w="3178"/>
          </w:tcPr>
          <w:p>
            <w:r>
              <w:rPr/>
              <w:t>响应承诺函</w:t>
            </w:r>
          </w:p>
        </w:tc>
        <w:tc>
          <w:tcPr>
            <w:tcW w:type="dxa" w:w="4238"/>
          </w:tcPr>
          <w:p>
            <w:r>
              <w:rPr/>
              <w:t>已按规定格式编制及盖章、签署，谈判有效期满足谈判文件要求。</w:t>
            </w:r>
          </w:p>
        </w:tc>
      </w:tr>
      <w:tr>
        <w:tc>
          <w:tcPr>
            <w:tcW w:type="dxa" w:w="890"/>
          </w:tcPr>
          <w:p>
            <w:r>
              <w:rPr/>
              <w:t>2</w:t>
            </w:r>
          </w:p>
        </w:tc>
        <w:tc>
          <w:tcPr>
            <w:tcW w:type="dxa" w:w="3178"/>
          </w:tcPr>
          <w:p>
            <w:r>
              <w:rPr/>
              <w:t>法定代表人证明书及授权委托书</w:t>
            </w:r>
          </w:p>
        </w:tc>
        <w:tc>
          <w:tcPr>
            <w:tcW w:type="dxa" w:w="4238"/>
          </w:tcPr>
          <w:p>
            <w:r>
              <w:rPr/>
              <w:t>已经盖章、签署，授权有效期。</w:t>
            </w:r>
          </w:p>
        </w:tc>
      </w:tr>
      <w:tr>
        <w:tc>
          <w:tcPr>
            <w:tcW w:type="dxa" w:w="890"/>
          </w:tcPr>
          <w:p>
            <w:r>
              <w:rPr/>
              <w:t>3</w:t>
            </w:r>
          </w:p>
        </w:tc>
        <w:tc>
          <w:tcPr>
            <w:tcW w:type="dxa" w:w="3178"/>
          </w:tcPr>
          <w:p>
            <w:r>
              <w:rPr/>
              <w:t>响应文件内容、签署、盖章</w:t>
            </w:r>
          </w:p>
        </w:tc>
        <w:tc>
          <w:tcPr>
            <w:tcW w:type="dxa" w:w="4238"/>
          </w:tcPr>
          <w:p>
            <w:r>
              <w:rPr/>
              <w:t>响应文件内容完整，无重大错漏，并已按谈判文件要求盖章、签署。</w:t>
            </w:r>
          </w:p>
        </w:tc>
      </w:tr>
      <w:tr>
        <w:tc>
          <w:tcPr>
            <w:tcW w:type="dxa" w:w="890"/>
          </w:tcPr>
          <w:p>
            <w:r>
              <w:rPr/>
              <w:t>4</w:t>
            </w:r>
          </w:p>
        </w:tc>
        <w:tc>
          <w:tcPr>
            <w:tcW w:type="dxa" w:w="3178"/>
          </w:tcPr>
          <w:p>
            <w:r>
              <w:rPr/>
              <w:t>响应报价</w:t>
            </w:r>
          </w:p>
        </w:tc>
        <w:tc>
          <w:tcPr>
            <w:tcW w:type="dxa" w:w="4238"/>
          </w:tcPr>
          <w:p>
            <w:r>
              <w:rPr/>
              <w:t>供应商的响应报价无超出项目预算金额。</w:t>
            </w:r>
          </w:p>
        </w:tc>
      </w:tr>
      <w:tr>
        <w:tc>
          <w:tcPr>
            <w:tcW w:type="dxa" w:w="890"/>
          </w:tcPr>
          <w:p>
            <w:r>
              <w:rPr/>
              <w:t>5</w:t>
            </w:r>
          </w:p>
        </w:tc>
        <w:tc>
          <w:tcPr>
            <w:tcW w:type="dxa" w:w="3178"/>
          </w:tcPr>
          <w:p>
            <w:r>
              <w:rPr/>
              <w:t>商务审查</w:t>
            </w:r>
          </w:p>
        </w:tc>
        <w:tc>
          <w:tcPr>
            <w:tcW w:type="dxa" w:w="4238"/>
          </w:tcPr>
          <w:p>
            <w:r>
              <w:rPr/>
              <w:t>商务条款满足谈判文件要求。</w:t>
            </w:r>
          </w:p>
        </w:tc>
      </w:tr>
      <w:tr>
        <w:tc>
          <w:tcPr>
            <w:tcW w:type="dxa" w:w="890"/>
          </w:tcPr>
          <w:p>
            <w:r>
              <w:rPr/>
              <w:t>6</w:t>
            </w:r>
          </w:p>
        </w:tc>
        <w:tc>
          <w:tcPr>
            <w:tcW w:type="dxa" w:w="3178"/>
          </w:tcPr>
          <w:p>
            <w:r>
              <w:rPr/>
              <w:t>技术审查</w:t>
            </w:r>
          </w:p>
        </w:tc>
        <w:tc>
          <w:tcPr>
            <w:tcW w:type="dxa" w:w="4238"/>
          </w:tcPr>
          <w:p>
            <w:r>
              <w:rPr/>
              <w:t>技术条款满足谈判文件要求。</w:t>
            </w:r>
          </w:p>
        </w:tc>
      </w:tr>
      <w:tr>
        <w:tc>
          <w:tcPr>
            <w:tcW w:type="dxa" w:w="890"/>
          </w:tcPr>
          <w:p>
            <w:r>
              <w:rPr/>
              <w:t>7</w:t>
            </w:r>
          </w:p>
        </w:tc>
        <w:tc>
          <w:tcPr>
            <w:tcW w:type="dxa" w:w="3178"/>
          </w:tcPr>
          <w:p>
            <w:r>
              <w:rPr/>
              <w:t>附加条件</w:t>
            </w:r>
          </w:p>
        </w:tc>
        <w:tc>
          <w:tcPr>
            <w:tcW w:type="dxa" w:w="4238"/>
          </w:tcPr>
          <w:p>
            <w:r>
              <w:rPr/>
              <w:t>响应文件未含有采购人不能接受的附加条件。</w:t>
            </w:r>
          </w:p>
        </w:tc>
      </w:tr>
      <w:tr>
        <w:tc>
          <w:tcPr>
            <w:tcW w:type="dxa" w:w="890"/>
          </w:tcPr>
          <w:p>
            <w:r>
              <w:rPr/>
              <w:t>8</w:t>
            </w:r>
          </w:p>
        </w:tc>
        <w:tc>
          <w:tcPr>
            <w:tcW w:type="dxa" w:w="3178"/>
          </w:tcPr>
          <w:p>
            <w:r>
              <w:rPr/>
              <w:t>无效情形</w:t>
            </w:r>
          </w:p>
        </w:tc>
        <w:tc>
          <w:tcPr>
            <w:tcW w:type="dxa" w:w="4238"/>
          </w:tcPr>
          <w:p>
            <w:r>
              <w:rPr/>
              <w:t>响应文件中未有法律、法规和谈判文件规定的其他无效情形。</w:t>
            </w:r>
          </w:p>
        </w:tc>
      </w:tr>
    </w:tbl>
    <w:p/>
    <w:p>
      <w:r>
        <w:rPr>
          <w:b/>
          <w:sz w:val="24"/>
        </w:rPr>
        <w:t>2.响应文件澄清</w:t>
      </w:r>
    </w:p>
    <w:p>
      <w:pPr>
        <w:ind w:firstLine="480"/>
      </w:pPr>
      <w:r>
        <w:rPr/>
        <w:t>2.1对于响应文件中含义不明确、同类问题表述不一致或者有明显文字和计算错误的内容，谈判小组可在评审过程中发起在线澄清，要求供应商针对价格或内容做出必要的澄清、说明或补正。代理机构可根据开启环节记录的授权代表人联系方式发送短信提醒或电话告知。</w:t>
      </w:r>
    </w:p>
    <w:p>
      <w:pPr>
        <w:ind w:firstLine="480"/>
      </w:pPr>
      <w:r>
        <w:rPr/>
        <w:t>供应商需登录广东政府采购智慧云平台项目采购系统的等候大厅，在规定时间内完成澄清（响应），并加盖电子印章。</w:t>
      </w:r>
    </w:p>
    <w:p>
      <w:pPr>
        <w:ind w:firstLine="480"/>
      </w:pPr>
      <w:r>
        <w:rPr/>
        <w:t>若因供应商联系方式错误未接收短信、未接听电话或超时未进行澄清（响应）造成的不利后果由供应商自行承担。供应商的澄清、说明或者补正不得超出响应文件的范围或者改变响应文件的实质性内容。</w:t>
      </w:r>
    </w:p>
    <w:p>
      <w:pPr>
        <w:ind w:firstLine="480"/>
      </w:pPr>
      <w:r>
        <w:rPr/>
        <w:t>2.2谈判小组不接受供应商主动提出的澄清、说明或补正。</w:t>
      </w:r>
    </w:p>
    <w:p>
      <w:pPr>
        <w:ind w:firstLine="480"/>
      </w:pPr>
      <w:r>
        <w:rPr/>
        <w:t>2.3谈判小组对供应商提交的澄清、说明或补正有疑问的，可以要求供应商进一步澄清、说明或补正。</w:t>
      </w:r>
    </w:p>
    <w:p>
      <w:r>
        <w:rPr>
          <w:b/>
          <w:sz w:val="24"/>
        </w:rPr>
        <w:t>3.谈判</w:t>
      </w:r>
    </w:p>
    <w:p>
      <w:pPr>
        <w:ind w:firstLine="480"/>
      </w:pPr>
      <w:r>
        <w:rPr/>
        <w:t>3.1谈判小组所有成员应当集中与单一供应商分别进行谈判，并给予所有参加谈判的供应商平等的谈判机会。</w:t>
      </w:r>
    </w:p>
    <w:p>
      <w:pPr>
        <w:ind w:firstLine="480"/>
      </w:pPr>
      <w:r>
        <w:rPr/>
        <w:t>3.2在谈判过程中，谈判小组可以根据谈判文件和谈判情况实质性变动采购需求中的技术、服务要求以及合同草案条款，但不得变动谈判文件中的其他内容。实质性变动的内容，须经采购人代表确认。</w:t>
      </w:r>
    </w:p>
    <w:p>
      <w:pPr>
        <w:ind w:firstLine="480"/>
      </w:pPr>
      <w:r>
        <w:rPr/>
        <w:t>3.3对谈判文件作出的实质性变动是谈判文件的有效组成部分，谈判小组应当及时、同时通知所有参加谈判的供应商。</w:t>
      </w:r>
    </w:p>
    <w:p>
      <w:pPr>
        <w:ind w:firstLine="480"/>
      </w:pPr>
      <w:r>
        <w:rPr/>
        <w:t>3.4供应商应当按照谈判文件的变动情况和谈判小组的要求进行最终报价或重新提交响应文件，并由其法定代表人或授权代表签字或者加盖公章。由授权代表签字的，应当附法定代表人授权书。供应商为自然人的，应当由本人签字并附身份证明。</w:t>
      </w:r>
    </w:p>
    <w:p>
      <w:r>
        <w:rPr>
          <w:b/>
          <w:sz w:val="24"/>
        </w:rPr>
        <w:t>4.最后报价</w:t>
      </w:r>
    </w:p>
    <w:p>
      <w:pPr>
        <w:ind w:firstLine="480"/>
      </w:pPr>
      <w:r>
        <w:rPr/>
        <w:t>4.1谈判结束后，谈判小组应当要求所有实质性响应的供应商在规定时间内提交最后报价。最后报价是供应商响应文件的有效组成部分。</w:t>
      </w:r>
    </w:p>
    <w:p>
      <w:pPr>
        <w:ind w:firstLine="480"/>
      </w:pPr>
      <w:r>
        <w:rPr/>
        <w:t>4.2已提交响应文件的供应商，在提交最后报价之前，可以根据谈判情况退出谈判。</w:t>
      </w:r>
    </w:p>
    <w:p>
      <w:r>
        <w:rPr>
          <w:b/>
          <w:sz w:val="24"/>
        </w:rPr>
        <w:t>5.详细评审</w:t>
      </w:r>
    </w:p>
    <w:p>
      <w:pPr>
        <w:ind w:firstLine="480"/>
      </w:pPr>
      <w:r>
        <w:rPr/>
        <w:t>采用最低评审价法对供应商的响应文件和最后报价进行评审。</w:t>
      </w:r>
    </w:p>
    <w:p>
      <w:r>
        <w:rPr>
          <w:b/>
          <w:sz w:val="24"/>
        </w:rPr>
        <w:t>6.汇总、排序</w:t>
      </w:r>
    </w:p>
    <w:p>
      <w:pPr>
        <w:ind w:firstLine="480"/>
      </w:pPr>
    </w:p>
    <w:p/>
    <w:p>
      <w:r>
        <w:rPr/>
        <w:t>采购包1：</w:t>
      </w:r>
    </w:p>
    <w:p/>
    <w:p>
      <w:r>
        <w:rPr/>
        <w:t>评审结果按评审后总得分由高到低顺序排列。评审得分相同的，按最终报价由低到高顺序排列。得分且最终报价相同的，由谈判小组采取随机抽取的方式确定。排名第一的谈判供应商为第一成交候选人，排名第二的谈判供应商为第二成交候选人（提供相同品牌产品（非单一产品采购，以核心产品为准。多个核心产品的，有一种产品品牌相同，即视为提供相同品牌产品），评审后得分最高的同品牌谈判供应商获得成交候选人推荐资格；评审得分相同的，由采购人或者采购人委托谈判小组采取随机抽取方式确定，其他同品牌谈判供应商不作为成交候选人）。</w:t>
      </w:r>
    </w:p>
    <w:p/>
    <w:p>
      <w:r>
        <w:rPr>
          <w:b/>
          <w:sz w:val="24"/>
        </w:rPr>
        <w:t>7.其他无效响应的情形</w:t>
      </w:r>
    </w:p>
    <w:p>
      <w:pPr>
        <w:ind w:firstLine="480"/>
      </w:pPr>
      <w:r>
        <w:rPr/>
        <w:t>(1)评审期间，供应商没有按照谈判小组的要求提交法定代表人或其委托代理人签字的澄清、说明、补正或改变了响应文件的实质性内容的。</w:t>
      </w:r>
    </w:p>
    <w:p>
      <w:pPr>
        <w:ind w:firstLine="480"/>
      </w:pPr>
      <w:r>
        <w:rPr/>
        <w:t>(2)响应文件提供虚假材料的。</w:t>
      </w:r>
    </w:p>
    <w:p>
      <w:pPr>
        <w:ind w:firstLine="480"/>
      </w:pPr>
      <w:r>
        <w:rPr/>
        <w:t>(3)供应商以行贿手段谋取成交或者以其他弄虚作假方式响应的。</w:t>
      </w:r>
    </w:p>
    <w:p>
      <w:pPr>
        <w:ind w:firstLine="480"/>
      </w:pPr>
      <w:r>
        <w:rPr/>
        <w:t>(4)供应商对采购人、采购代理机构、谈判小组及其工作人员施加影响，有碍协商公平、公正的。</w:t>
      </w:r>
    </w:p>
    <w:p>
      <w:pPr>
        <w:ind w:firstLine="480"/>
      </w:pPr>
      <w:r>
        <w:rPr/>
        <w:t>(5)响应文件含有采购人不能接受的附加条件的。</w:t>
      </w:r>
    </w:p>
    <w:p>
      <w:pPr>
        <w:ind w:firstLine="480"/>
      </w:pPr>
      <w:r>
        <w:rPr/>
        <w:t>(6)法律、法规和谈判文件规定的其他无效情形。</w:t>
      </w:r>
    </w:p>
    <w:p>
      <w:pPr>
        <w:ind w:firstLine="480"/>
      </w:pPr>
    </w:p>
    <w:p>
      <w:r>
        <w:rPr/>
        <w:t xml:space="preserve"> </w:t>
      </w:r>
    </w:p>
    <w:p/>
    <w:p>
      <w:r>
        <w:rPr>
          <w:b/>
          <w:sz w:val="36"/>
        </w:rPr>
        <w:t>第五章 合同文本</w:t>
      </w:r>
    </w:p>
    <w:p>
      <w:pPr>
        <w:ind w:firstLine="480"/>
      </w:pPr>
    </w:p>
    <w:p/>
    <w:p>
      <w:pPr>
        <w:jc w:val="center"/>
      </w:pPr>
    </w:p>
    <w:p>
      <w:pPr>
        <w:jc w:val="center"/>
      </w:pPr>
      <w:r>
        <w:rPr>
          <w:b/>
          <w:sz w:val="72"/>
        </w:rPr>
        <w:t>东莞市大朗镇采购</w:t>
      </w:r>
      <w:r>
        <w:rPr>
          <w:b/>
          <w:sz w:val="22"/>
          <w:u w:val="single"/>
        </w:rPr>
        <w:t xml:space="preserve">        </w:t>
      </w:r>
      <w:r>
        <w:rPr>
          <w:b/>
          <w:sz w:val="72"/>
        </w:rPr>
        <w:t>项目</w:t>
      </w:r>
    </w:p>
    <w:p>
      <w:pPr>
        <w:jc w:val="center"/>
      </w:pPr>
    </w:p>
    <w:p>
      <w:pPr>
        <w:jc w:val="center"/>
      </w:pPr>
      <w:r>
        <w:rPr>
          <w:b/>
          <w:sz w:val="72"/>
        </w:rPr>
        <w:t>合同书</w:t>
      </w:r>
    </w:p>
    <w:p/>
    <w:p/>
    <w:p/>
    <w:p/>
    <w:p/>
    <w:p>
      <w:pPr>
        <w:ind w:firstLine="707"/>
      </w:pPr>
      <w:r>
        <w:rPr>
          <w:sz w:val="32"/>
        </w:rPr>
        <w:t>采购计划编号</w:t>
      </w:r>
      <w:r>
        <w:rPr>
          <w:b/>
          <w:sz w:val="28"/>
        </w:rPr>
        <w:t>：</w:t>
      </w:r>
      <w:r>
        <w:rPr>
          <w:b/>
          <w:sz w:val="22"/>
          <w:u w:val="single"/>
        </w:rPr>
        <w:t xml:space="preserve">                       </w:t>
      </w:r>
    </w:p>
    <w:p>
      <w:pPr>
        <w:ind w:firstLine="707"/>
      </w:pPr>
      <w:r>
        <w:rPr>
          <w:sz w:val="32"/>
        </w:rPr>
        <w:t>采购项目编号：</w:t>
      </w:r>
      <w:r>
        <w:rPr>
          <w:b/>
          <w:sz w:val="22"/>
          <w:u w:val="single"/>
        </w:rPr>
        <w:t xml:space="preserve">                       </w:t>
      </w:r>
    </w:p>
    <w:p>
      <w:pPr>
        <w:ind w:firstLine="707"/>
      </w:pPr>
      <w:r>
        <w:rPr>
          <w:sz w:val="32"/>
        </w:rPr>
        <w:t>项目名称：</w:t>
      </w:r>
      <w:r>
        <w:rPr>
          <w:sz w:val="22"/>
          <w:u w:val="single"/>
        </w:rPr>
        <w:t xml:space="preserve">                        </w:t>
      </w:r>
    </w:p>
    <w:p/>
    <w:p/>
    <w:p/>
    <w:p>
      <w:r>
        <w:rPr/>
        <w:t xml:space="preserve"> </w:t>
      </w:r>
    </w:p>
    <w:p>
      <w:pPr>
        <w:jc w:val="center"/>
      </w:pPr>
      <w:r>
        <w:rPr>
          <w:b/>
          <w:sz w:val="32"/>
        </w:rPr>
        <w:t>合</w:t>
      </w:r>
      <w:r>
        <w:rPr>
          <w:b/>
          <w:sz w:val="32"/>
        </w:rPr>
        <w:t>同</w:t>
      </w:r>
      <w:r>
        <w:rPr>
          <w:b/>
          <w:sz w:val="32"/>
        </w:rPr>
        <w:t>条</w:t>
      </w:r>
      <w:r>
        <w:rPr>
          <w:b/>
          <w:sz w:val="32"/>
        </w:rPr>
        <w:t>款</w:t>
      </w:r>
    </w:p>
    <w:p>
      <w:pPr>
        <w:ind w:firstLine="440"/>
      </w:pPr>
      <w:r>
        <w:rPr>
          <w:sz w:val="22"/>
        </w:rPr>
        <w:t>合同编号：</w:t>
      </w:r>
    </w:p>
    <w:p>
      <w:pPr>
        <w:ind w:firstLine="440"/>
      </w:pPr>
      <w:r>
        <w:rPr>
          <w:sz w:val="22"/>
        </w:rPr>
        <w:t>甲方：</w:t>
      </w:r>
    </w:p>
    <w:p>
      <w:pPr>
        <w:ind w:firstLine="440"/>
      </w:pPr>
      <w:r>
        <w:rPr>
          <w:sz w:val="22"/>
        </w:rPr>
        <w:t>乙方：</w:t>
      </w:r>
    </w:p>
    <w:p>
      <w:pPr>
        <w:ind w:firstLine="440"/>
      </w:pPr>
      <w:r>
        <w:rPr>
          <w:sz w:val="22"/>
        </w:rPr>
        <w:t>受甲方委托，</w:t>
      </w:r>
      <w:r>
        <w:rPr>
          <w:sz w:val="22"/>
        </w:rPr>
        <w:t>广东政通招标有限公司</w:t>
      </w:r>
      <w:r>
        <w:rPr>
          <w:sz w:val="22"/>
        </w:rPr>
        <w:t>组织对</w:t>
      </w:r>
      <w:r>
        <w:rPr>
          <w:sz w:val="22"/>
        </w:rPr>
        <w:t>东莞市大朗镇教育管理中心采购</w:t>
      </w:r>
      <w:r>
        <w:rPr>
          <w:sz w:val="22"/>
        </w:rPr>
        <w:t>2022年公办学校教室灯光照明设备项目 （项目编号为：                 ）进行采购，于     年  月  日通过 竞争性谈判 ，经评标委员会评定乙方                       为成交供应商。为了保护甲、乙双方合法权益，根据《中华人民共和国政府采购法》及其实施条例、《中华人民共和国民法典》，在平等自愿的基础上，按照下面的条款和条件，签署本合同。</w:t>
      </w:r>
    </w:p>
    <w:p>
      <w:pPr>
        <w:ind w:firstLine="442"/>
      </w:pPr>
      <w:r>
        <w:rPr>
          <w:b/>
          <w:sz w:val="22"/>
        </w:rPr>
        <w:t>第一条</w:t>
      </w:r>
      <w:r>
        <w:rPr>
          <w:b/>
          <w:sz w:val="22"/>
        </w:rPr>
        <w:t>合同项目</w:t>
      </w:r>
    </w:p>
    <w:p>
      <w:pPr>
        <w:ind w:firstLine="440"/>
      </w:pPr>
      <w:r>
        <w:rPr>
          <w:sz w:val="22"/>
        </w:rPr>
        <w:t>1、项目名称： 东莞市大朗镇教育管理中心采购2022年公办学校教室灯光照明设备项目 ；</w:t>
      </w:r>
    </w:p>
    <w:p>
      <w:pPr>
        <w:ind w:firstLine="440"/>
      </w:pPr>
      <w:r>
        <w:rPr>
          <w:sz w:val="22"/>
        </w:rPr>
        <w:t>2、项目编号：                         。</w:t>
      </w:r>
    </w:p>
    <w:p>
      <w:pPr>
        <w:ind w:firstLine="442"/>
      </w:pPr>
      <w:r>
        <w:rPr>
          <w:b/>
          <w:sz w:val="22"/>
        </w:rPr>
        <w:t>第二条</w:t>
      </w:r>
      <w:r>
        <w:rPr>
          <w:b/>
          <w:sz w:val="22"/>
        </w:rPr>
        <w:t>合同组成</w:t>
      </w:r>
    </w:p>
    <w:p>
      <w:pPr>
        <w:ind w:firstLine="440"/>
      </w:pPr>
      <w:r>
        <w:rPr>
          <w:sz w:val="22"/>
        </w:rPr>
        <w:t>合同文件组成内容包括：本合同书</w:t>
      </w:r>
      <w:r>
        <w:rPr>
          <w:sz w:val="22"/>
        </w:rPr>
        <w:t>、中标（成交）通知书、响应文件（含澄清内容）、招标文件（含招标文件澄清通知）等。</w:t>
      </w:r>
    </w:p>
    <w:p>
      <w:pPr>
        <w:ind w:firstLine="442"/>
      </w:pPr>
      <w:r>
        <w:rPr>
          <w:b/>
          <w:sz w:val="22"/>
        </w:rPr>
        <w:t>第三条</w:t>
      </w:r>
      <w:r>
        <w:rPr>
          <w:b/>
          <w:sz w:val="22"/>
        </w:rPr>
        <w:t>货物名称、品牌、型号、规格、制造商、数量</w:t>
      </w:r>
      <w:r>
        <w:rPr>
          <w:b/>
          <w:sz w:val="22"/>
        </w:rPr>
        <w:t xml:space="preserve"> </w:t>
      </w:r>
    </w:p>
    <w:p>
      <w:pPr>
        <w:ind w:firstLine="440"/>
      </w:pPr>
      <w:r>
        <w:rPr>
          <w:sz w:val="22"/>
        </w:rPr>
        <w:t>详见附件</w:t>
      </w:r>
      <w:r>
        <w:rPr>
          <w:sz w:val="22"/>
        </w:rPr>
        <w:t>2 。</w:t>
      </w:r>
    </w:p>
    <w:p>
      <w:pPr>
        <w:ind w:firstLine="442"/>
      </w:pPr>
      <w:r>
        <w:rPr>
          <w:b/>
          <w:sz w:val="22"/>
        </w:rPr>
        <w:t>第四条</w:t>
      </w:r>
      <w:r>
        <w:rPr>
          <w:b/>
          <w:sz w:val="22"/>
        </w:rPr>
        <w:t>价格</w:t>
      </w:r>
    </w:p>
    <w:p>
      <w:pPr>
        <w:ind w:firstLine="440"/>
      </w:pPr>
      <w:r>
        <w:rPr>
          <w:sz w:val="22"/>
        </w:rPr>
        <w:t>1、合同总价（含税）：（人民币）大写                （¥        ）。</w:t>
      </w:r>
    </w:p>
    <w:p>
      <w:pPr>
        <w:ind w:firstLine="440"/>
      </w:pPr>
      <w:r>
        <w:rPr>
          <w:sz w:val="22"/>
        </w:rPr>
        <w:t>2、总价应包括运至交货地的货物、运费、安装调试费、相关部门验收、税费、质保期保障、项目管理及其他完成本项目所需的各项费用，项目实施后不得另行收取其他任何费用，但必须保证满足项目的使用要求，不足部分由乙方负责免费提供。</w:t>
      </w:r>
    </w:p>
    <w:p>
      <w:pPr>
        <w:ind w:firstLine="440"/>
      </w:pPr>
      <w:r>
        <w:rPr>
          <w:sz w:val="22"/>
        </w:rPr>
        <w:t>3、本合同价为固定不变价。</w:t>
      </w:r>
    </w:p>
    <w:p>
      <w:pPr>
        <w:ind w:firstLine="442"/>
      </w:pPr>
      <w:r>
        <w:rPr>
          <w:b/>
          <w:sz w:val="22"/>
        </w:rPr>
        <w:t>第五条</w:t>
      </w:r>
      <w:r>
        <w:rPr>
          <w:b/>
          <w:sz w:val="22"/>
        </w:rPr>
        <w:t>货物的要求</w:t>
      </w:r>
    </w:p>
    <w:p>
      <w:pPr>
        <w:ind w:firstLine="440"/>
      </w:pPr>
      <w:r>
        <w:rPr>
          <w:sz w:val="22"/>
        </w:rPr>
        <w:t>1、货物为全新的（原装）产品（含零部件、配件、随机工具等），表面无划伤、无碰撞。</w:t>
      </w:r>
    </w:p>
    <w:p>
      <w:pPr>
        <w:ind w:firstLine="440"/>
      </w:pPr>
      <w:r>
        <w:rPr>
          <w:sz w:val="22"/>
        </w:rPr>
        <w:t>2、本合同所指的货物及服务应符合合同附件的技术规格所述的标准：如果没有提及适用标准，则应符合中华人民共和国国家标准或行业标准；如果中华人民共和国没有相关标准的，则采用货物来源适用的官方标准。这些标准必须是有关机构发布的最新版本的标准。</w:t>
      </w:r>
    </w:p>
    <w:p>
      <w:pPr>
        <w:ind w:firstLine="440"/>
      </w:pPr>
      <w:r>
        <w:rPr>
          <w:sz w:val="22"/>
        </w:rPr>
        <w:t>3、进口产品必须具备原产地证明和商检局的检验证明及合法进货渠道证明。</w:t>
      </w:r>
    </w:p>
    <w:p>
      <w:pPr>
        <w:ind w:firstLine="440"/>
      </w:pPr>
      <w:r>
        <w:rPr>
          <w:sz w:val="22"/>
        </w:rPr>
        <w:t>4、国内产品或合资厂的产品必须具备出厂合格证。</w:t>
      </w:r>
    </w:p>
    <w:p>
      <w:pPr>
        <w:ind w:firstLine="440"/>
      </w:pPr>
      <w:r>
        <w:rPr>
          <w:sz w:val="22"/>
        </w:rPr>
        <w:t>5、乙方应将所供货物的售后服务承诺书或证明、用户手册、保修手册、有关资料及配件、随机工具等交付给甲方。</w:t>
      </w:r>
    </w:p>
    <w:p>
      <w:pPr>
        <w:ind w:firstLine="442"/>
      </w:pPr>
      <w:r>
        <w:rPr>
          <w:b/>
          <w:sz w:val="22"/>
        </w:rPr>
        <w:t>第六条</w:t>
      </w:r>
      <w:r>
        <w:rPr>
          <w:b/>
          <w:sz w:val="22"/>
        </w:rPr>
        <w:t>供货期及供货地点</w:t>
      </w:r>
    </w:p>
    <w:p>
      <w:pPr>
        <w:ind w:firstLine="440"/>
      </w:pPr>
      <w:r>
        <w:rPr>
          <w:sz w:val="22"/>
        </w:rPr>
        <w:t>1、乙方领取中标（成交）通知书后，5个工作日内签订合同，于2022年8月30日前内完成供货、施工、安装调试服务及验收交付甲方使用。</w:t>
      </w:r>
    </w:p>
    <w:p>
      <w:pPr>
        <w:ind w:firstLine="440"/>
      </w:pPr>
      <w:r>
        <w:rPr>
          <w:sz w:val="22"/>
        </w:rPr>
        <w:t>2、供货地点：                      或甲方指定地点。</w:t>
      </w:r>
    </w:p>
    <w:p>
      <w:pPr>
        <w:ind w:firstLine="442"/>
      </w:pPr>
      <w:r>
        <w:rPr>
          <w:b/>
          <w:sz w:val="22"/>
        </w:rPr>
        <w:t>第七条</w:t>
      </w:r>
      <w:r>
        <w:rPr>
          <w:b/>
          <w:sz w:val="22"/>
        </w:rPr>
        <w:t>包装、运输、保险</w:t>
      </w:r>
    </w:p>
    <w:p>
      <w:pPr>
        <w:ind w:firstLine="440"/>
      </w:pPr>
      <w:r>
        <w:rPr>
          <w:sz w:val="22"/>
        </w:rPr>
        <w:t>1、乙方所供货物的制造商原装出厂包装箱号与设备出厂批号一致。</w:t>
      </w:r>
    </w:p>
    <w:p>
      <w:pPr>
        <w:ind w:firstLine="440"/>
      </w:pPr>
      <w:r>
        <w:rPr>
          <w:sz w:val="22"/>
        </w:rPr>
        <w:t>2、包装必须与运输方式相适应，包装方式的确定及包装费用均由乙方负责，由于不适当的包装而造成货物在运输过程中有任何损坏、丢失由乙方负责。</w:t>
      </w:r>
    </w:p>
    <w:p>
      <w:pPr>
        <w:ind w:firstLine="440"/>
      </w:pPr>
      <w:r>
        <w:rPr>
          <w:sz w:val="22"/>
        </w:rPr>
        <w:t>3、包装应足以承受整个过程中的运输、转运、贮存等，并考虑东莞地区的气候特点。</w:t>
      </w:r>
    </w:p>
    <w:p>
      <w:pPr>
        <w:ind w:firstLine="440"/>
      </w:pPr>
      <w:r>
        <w:rPr>
          <w:sz w:val="22"/>
        </w:rPr>
        <w:t>4、每一包装箱两个侧面用不褪色的容易识别的中文字样作出标记：箱号、装运标志、毛重、净重、到货地址、收货人名称、货物名称等。</w:t>
      </w:r>
    </w:p>
    <w:p>
      <w:pPr>
        <w:ind w:firstLine="440"/>
      </w:pPr>
      <w:r>
        <w:rPr>
          <w:sz w:val="22"/>
        </w:rPr>
        <w:t>5、货物在验收合格前的保险由乙方负责，并负责其派出的现场服务人员人身意外保险。</w:t>
      </w:r>
    </w:p>
    <w:p>
      <w:pPr>
        <w:ind w:firstLine="442"/>
      </w:pPr>
      <w:r>
        <w:rPr>
          <w:b/>
          <w:sz w:val="22"/>
        </w:rPr>
        <w:t>第八条</w:t>
      </w:r>
      <w:r>
        <w:rPr>
          <w:b/>
          <w:sz w:val="22"/>
        </w:rPr>
        <w:t>安装与调试</w:t>
      </w:r>
    </w:p>
    <w:p>
      <w:pPr>
        <w:ind w:firstLine="440"/>
      </w:pPr>
      <w:r>
        <w:rPr>
          <w:sz w:val="22"/>
        </w:rPr>
        <w:t>1、乙方必须在交货的同时，按本合同的技术规格、技术规范的要求向甲方提供安装调试，并将设备调试到最佳状态。未经甲方书面同意，不得更换合同内签订的货物。</w:t>
      </w:r>
    </w:p>
    <w:p>
      <w:pPr>
        <w:ind w:firstLine="442"/>
      </w:pPr>
      <w:r>
        <w:rPr>
          <w:b/>
          <w:sz w:val="22"/>
        </w:rPr>
        <w:t>第九条</w:t>
      </w:r>
      <w:r>
        <w:rPr>
          <w:b/>
          <w:sz w:val="22"/>
        </w:rPr>
        <w:t>付款</w:t>
      </w:r>
    </w:p>
    <w:p>
      <w:pPr>
        <w:ind w:firstLine="440"/>
      </w:pPr>
      <w:r>
        <w:rPr>
          <w:sz w:val="22"/>
        </w:rPr>
        <w:t>1、本合同的付款方式为：</w:t>
      </w:r>
    </w:p>
    <w:p>
      <w:pPr>
        <w:ind w:firstLine="440"/>
      </w:pPr>
      <w:r>
        <w:rPr>
          <w:sz w:val="22"/>
        </w:rPr>
        <w:t>（</w:t>
      </w:r>
      <w:r>
        <w:rPr>
          <w:sz w:val="22"/>
        </w:rPr>
        <w:t>1）乙方所有设备安装完毕并运行使用正常，由具有CMA及CNAS、CAL资质的省级以上法定质量监督检测机构出具139间教室的检测报告后，经甲方验收合格后15个工作日内支付合同总价的100%。</w:t>
      </w:r>
    </w:p>
    <w:p>
      <w:pPr>
        <w:ind w:firstLine="440"/>
      </w:pPr>
      <w:r>
        <w:rPr>
          <w:sz w:val="22"/>
        </w:rPr>
        <w:t>（</w:t>
      </w:r>
      <w:r>
        <w:rPr>
          <w:sz w:val="22"/>
        </w:rPr>
        <w:t>2）乙方收取款项时必须出具相应货物合法的票据，否则甲方有权拒绝付款。</w:t>
      </w:r>
    </w:p>
    <w:p>
      <w:pPr>
        <w:ind w:firstLine="440"/>
      </w:pPr>
      <w:r>
        <w:rPr>
          <w:sz w:val="22"/>
        </w:rPr>
        <w:t>（</w:t>
      </w:r>
      <w:r>
        <w:rPr>
          <w:sz w:val="22"/>
        </w:rPr>
        <w:t>3）甲方应在上述规定时间内向乙方支付款项，如无正当理由未按时付款，乙方有权顺延交付使用期。</w:t>
      </w:r>
    </w:p>
    <w:p>
      <w:pPr>
        <w:ind w:firstLine="440"/>
      </w:pPr>
      <w:r>
        <w:rPr>
          <w:sz w:val="22"/>
        </w:rPr>
        <w:t>（</w:t>
      </w:r>
      <w:r>
        <w:rPr>
          <w:sz w:val="22"/>
        </w:rPr>
        <w:t>4）乙方应向甲方提供与应付款等额的增值税发票并按甲方要求提供请款材料，否则甲方有权迟延支付款项而不视为甲方违约。本合同资金来源为财政资金，如因政策影响，拨款未能及时到位，乙方不得以此为由而不履行本合同规定的义务。相关付款程序严格遵守东莞市（或项目所在镇街）政府财政资金支付程序规定。甲方向镇财政提交相关申请文件视为已履行付款手续，政府财政支付部门审核时间等风险不由甲方承担。如果乙方怠于或者拒绝提供资料或者办理手续等原因导致的付款迟延，责任全部由乙方承担，甲方不以违约论。</w:t>
      </w:r>
    </w:p>
    <w:p>
      <w:pPr>
        <w:ind w:firstLine="442"/>
      </w:pPr>
      <w:r>
        <w:rPr>
          <w:b/>
          <w:sz w:val="22"/>
        </w:rPr>
        <w:t>第十条</w:t>
      </w:r>
      <w:r>
        <w:rPr>
          <w:b/>
          <w:sz w:val="22"/>
        </w:rPr>
        <w:t>其它约定</w:t>
      </w:r>
    </w:p>
    <w:p>
      <w:pPr>
        <w:ind w:firstLine="440"/>
      </w:pPr>
      <w:r>
        <w:rPr>
          <w:sz w:val="22"/>
        </w:rPr>
        <w:t>1、严禁转包，未经甲方书面同意不得分包。如甲方发现乙方转包证据，乙方立刻失去继续供货资格，乙方不得破坏现场与施工效果，甲方不再付款。</w:t>
      </w:r>
    </w:p>
    <w:p>
      <w:pPr>
        <w:ind w:firstLine="440"/>
      </w:pPr>
      <w:r>
        <w:rPr>
          <w:sz w:val="22"/>
        </w:rPr>
        <w:t>2、乙方服务人员进行服务期间的过失或故意行为，造成甲方经济损失的，由乙方负责赔偿。</w:t>
      </w:r>
    </w:p>
    <w:p>
      <w:pPr>
        <w:ind w:firstLine="440"/>
      </w:pPr>
      <w:r>
        <w:rPr>
          <w:sz w:val="22"/>
        </w:rPr>
        <w:t>3、乙方负责本项目服务人员购买因意外身故或伤残和因意外事故住院治疗保险，并负责办理一切保险赔偿手续。</w:t>
      </w:r>
    </w:p>
    <w:p>
      <w:pPr>
        <w:ind w:firstLine="442"/>
      </w:pPr>
      <w:r>
        <w:rPr>
          <w:b/>
          <w:sz w:val="22"/>
        </w:rPr>
        <w:t>第十一条</w:t>
      </w:r>
      <w:r>
        <w:rPr>
          <w:b/>
          <w:sz w:val="22"/>
        </w:rPr>
        <w:t>验收方式及质保期、履约保证金、售后服务要求</w:t>
      </w:r>
    </w:p>
    <w:p>
      <w:pPr>
        <w:ind w:firstLine="440"/>
      </w:pPr>
      <w:r>
        <w:rPr>
          <w:sz w:val="22"/>
        </w:rPr>
        <w:t>1、甲乙双方按招标文件及本合同的有关规定验收。甲方应当在货物到达指定现场后5个工作日内，对货物、数量及使用说明书、保修文件等附随资料进行现场验收。甲方现场验收认为存在问题的，可以拒收，但应当书面告知乙方拒收的原因，乙方应当在甲方指定的期限内完成交货。</w:t>
      </w:r>
    </w:p>
    <w:p>
      <w:pPr>
        <w:ind w:firstLine="440"/>
      </w:pPr>
      <w:r>
        <w:rPr>
          <w:sz w:val="22"/>
        </w:rPr>
        <w:t>2、乙方在甲方完成现场验收之日起10个工作日内将货物全部安装、调试完毕，甲方应当在全部货物安装调试完毕后的5个工作日内，对货物进行质量验收。验收合格的，甲方应当签收验收单或向乙方出具验收合格书。对验收不合格的部分，乙方应在15个工作日内及时整改完善直至合格。否则按不能交货处理，甲方有权将该类产品无条件退货。由此造成的损失，全部由乙方承担。</w:t>
      </w:r>
    </w:p>
    <w:p>
      <w:pPr>
        <w:ind w:firstLine="440"/>
      </w:pPr>
      <w:r>
        <w:rPr>
          <w:sz w:val="22"/>
        </w:rPr>
        <w:t>3、货物的原材料、成品抽检合格及质量验收合格并不免除乙方提供不合格货物而应当承担的责任。</w:t>
      </w:r>
    </w:p>
    <w:p>
      <w:pPr>
        <w:ind w:firstLine="440"/>
      </w:pPr>
      <w:r>
        <w:rPr>
          <w:sz w:val="22"/>
        </w:rPr>
        <w:t>4、因物品的质量问题发生争议，由广东省或东莞市质量技术监督部门进行质量鉴定。物品符合质量标准的，鉴定费由甲方承担；物品不符合质量标准的，鉴定费由乙方承担。</w:t>
      </w:r>
    </w:p>
    <w:p>
      <w:pPr>
        <w:ind w:firstLine="440"/>
      </w:pPr>
      <w:r>
        <w:rPr>
          <w:sz w:val="22"/>
        </w:rPr>
        <w:t>5、乙方对合同中的货物提供       年免费保修，保修期从项目验收合格日起计。在质保期内，如货物非因甲方的人为原因而出现的质量问题由乙方负责，①在接到通知3小时内，乙方应用备件替代问题件，保证设备继续正常运行；②对问题件进行包修、包换或包退，并承担修理、调换或退货的实际费用。</w:t>
      </w:r>
    </w:p>
    <w:p>
      <w:pPr>
        <w:ind w:firstLine="440"/>
      </w:pPr>
      <w:r>
        <w:rPr>
          <w:sz w:val="22"/>
        </w:rPr>
        <w:t>6、对验收不合格的部分，乙方应在15个工作日内及时整改完善直至合格。否则按不能交货处理，甲方有权将该类产品无条件退货。由此造成的损失，全部由乙方承担。</w:t>
      </w:r>
    </w:p>
    <w:p>
      <w:pPr>
        <w:ind w:firstLine="440"/>
      </w:pPr>
      <w:r>
        <w:rPr>
          <w:sz w:val="22"/>
        </w:rPr>
        <w:t>7、在质保期内，同一缺陷经三次维修、调换后仍无法达到质量标准的，则认定该类产品均不合格，甲方有权将该类产品无条件退货。由此造成的损失，全部由乙方承担。</w:t>
      </w:r>
    </w:p>
    <w:p>
      <w:pPr>
        <w:ind w:firstLine="440"/>
      </w:pPr>
      <w:r>
        <w:rPr>
          <w:sz w:val="22"/>
        </w:rPr>
        <w:t>8、乙方应提供交货地点所在地的货物报修电话及联系人。乙方未在规定时间内现场维修导致甲方损失的，需赔偿甲方的损失，如因乙方未能及时到场维修导致甲方聘请第三方维修的，产生的费用应由乙方承担，甲方有权在未付乙方的款项中扣除费用。联系人：                ；报修电话：                  。</w:t>
      </w:r>
    </w:p>
    <w:p>
      <w:pPr>
        <w:ind w:firstLine="440"/>
      </w:pPr>
      <w:r>
        <w:rPr>
          <w:sz w:val="22"/>
        </w:rPr>
        <w:t>9、保修期过后，若出现质量问题，乙方只收取损坏的部件维修或更换的成本费用，终身提供免费上门维修、安装服务等。</w:t>
      </w:r>
    </w:p>
    <w:p>
      <w:pPr>
        <w:ind w:firstLine="440"/>
      </w:pPr>
      <w:r>
        <w:rPr>
          <w:sz w:val="22"/>
        </w:rPr>
        <w:t>10、为保证乙方履行本合同，乙方应向甲方提供履约担保，履约担保可采用支票、汇票、本票、银行保函等非现金形式缴纳或提交保证金，相关费用由乙方承担。履约担保的期限自乙方提供履行担保之日起至合同中的货物保修期届满之日。乙方无出现承担履约担保的情形的，在履约担保期限届满之日起15个工作日内向甲方书面申请将履约担保无息退还给乙方。甲方逾期退还履约担保的，每逾期一日按履约担保金额的万分之一支付滞纳金。如乙方出现需承担履约保证的情形时，甲方有权要求乙方承担履约保证责任或没收保证金。具体见附件1《政府采购履约担保函》。</w:t>
      </w:r>
    </w:p>
    <w:p>
      <w:pPr>
        <w:ind w:firstLine="442"/>
      </w:pPr>
      <w:r>
        <w:rPr>
          <w:b/>
          <w:sz w:val="22"/>
        </w:rPr>
        <w:t>第十二条</w:t>
      </w:r>
      <w:r>
        <w:rPr>
          <w:b/>
          <w:sz w:val="22"/>
        </w:rPr>
        <w:t>知识产权</w:t>
      </w:r>
    </w:p>
    <w:p>
      <w:pPr>
        <w:ind w:firstLine="440"/>
      </w:pPr>
      <w:r>
        <w:rPr>
          <w:sz w:val="22"/>
        </w:rPr>
        <w:t>1、乙方应保证在本项目使用的任何产品和服务（包括部分使用）时，不会产生因第三方提出侵犯其专利权、商标权或其它知识产权而引起的法律和经济纠纷，如因专利权、商标权或其它知识产权而引起法律和经济纠纷，由乙方承担所有相关责任。</w:t>
      </w:r>
    </w:p>
    <w:p>
      <w:pPr>
        <w:ind w:firstLine="440"/>
      </w:pPr>
      <w:r>
        <w:rPr>
          <w:sz w:val="22"/>
        </w:rPr>
        <w:t>2、甲方享有本项目实施过程中产生的知识成果及知识产权。</w:t>
      </w:r>
    </w:p>
    <w:p>
      <w:pPr>
        <w:ind w:firstLine="440"/>
      </w:pPr>
      <w:r>
        <w:rPr>
          <w:sz w:val="22"/>
        </w:rPr>
        <w:t>3、乙方如欲在项目实施过程中采用自有知识成果，需在合同中声明，并提供相关知识产权证明文件。使用该知识成果后，乙方需提供开发接口和开发手册等技术文档，并承诺提供无限期技术支持，甲方享有永久使用权。</w:t>
      </w:r>
    </w:p>
    <w:p>
      <w:pPr>
        <w:ind w:firstLine="440"/>
      </w:pPr>
      <w:r>
        <w:rPr>
          <w:sz w:val="22"/>
        </w:rPr>
        <w:t>4、如采用乙方所不拥有的知识产权，则在合同总价中必须包括合法获取该知识产权的相关费用。合同总价应包括所有应支付的对专利权和版权、设计或其他知识产权而需要向其他方支付的版税。</w:t>
      </w:r>
    </w:p>
    <w:p>
      <w:pPr>
        <w:ind w:firstLine="442"/>
      </w:pPr>
      <w:r>
        <w:rPr>
          <w:b/>
          <w:sz w:val="22"/>
        </w:rPr>
        <w:t>第十三条</w:t>
      </w:r>
      <w:r>
        <w:rPr>
          <w:b/>
          <w:sz w:val="22"/>
        </w:rPr>
        <w:t>税和关税</w:t>
      </w:r>
    </w:p>
    <w:p>
      <w:pPr>
        <w:ind w:firstLine="440"/>
      </w:pPr>
      <w:r>
        <w:rPr>
          <w:sz w:val="22"/>
        </w:rPr>
        <w:t>1、中国政府根据现行税法对甲方征收的与本合同有关的一切税费均应由甲方承担。</w:t>
      </w:r>
    </w:p>
    <w:p>
      <w:pPr>
        <w:ind w:firstLine="440"/>
      </w:pPr>
      <w:r>
        <w:rPr>
          <w:sz w:val="22"/>
        </w:rPr>
        <w:t>2、中国政府根据现行税法规定对乙方或其雇员征收的与本合同有关的一切税费应由乙方承担。</w:t>
      </w:r>
    </w:p>
    <w:p>
      <w:pPr>
        <w:ind w:firstLine="440"/>
      </w:pPr>
      <w:r>
        <w:rPr>
          <w:sz w:val="22"/>
        </w:rPr>
        <w:t>3、在中国境外发生的与本合同执行有关的一切税费均应由乙方承担。</w:t>
      </w:r>
    </w:p>
    <w:p>
      <w:pPr>
        <w:ind w:firstLine="442"/>
      </w:pPr>
      <w:r>
        <w:rPr>
          <w:b/>
          <w:sz w:val="22"/>
        </w:rPr>
        <w:t>第十四条</w:t>
      </w:r>
      <w:r>
        <w:rPr>
          <w:b/>
          <w:sz w:val="22"/>
        </w:rPr>
        <w:t>违约责任</w:t>
      </w:r>
    </w:p>
    <w:p>
      <w:pPr>
        <w:ind w:firstLine="440"/>
      </w:pPr>
      <w:r>
        <w:rPr>
          <w:sz w:val="22"/>
        </w:rPr>
        <w:t>1、乙方交付的货物不符合合同规定的，甲方有权拒收，经乙方一再努力仍未能达到合同规定的，甲方有权单方中止合同且乙方需向甲方支付合同总价10%的违约金。</w:t>
      </w:r>
    </w:p>
    <w:p>
      <w:pPr>
        <w:ind w:firstLine="440"/>
      </w:pPr>
      <w:r>
        <w:rPr>
          <w:sz w:val="22"/>
        </w:rPr>
        <w:t>2、甲方无正当理由拒收货物，拒付货款的，甲方向乙方偿付合同总价10%的违约金。</w:t>
      </w:r>
    </w:p>
    <w:p>
      <w:pPr>
        <w:ind w:firstLine="440"/>
      </w:pPr>
      <w:r>
        <w:rPr>
          <w:sz w:val="22"/>
        </w:rPr>
        <w:t>3、乙方逾期交付货物，则每日按合同总额1‰向对方偿付违约金。逾期交付超过15天，甲方有权终止合同。</w:t>
      </w:r>
    </w:p>
    <w:p>
      <w:pPr>
        <w:ind w:firstLine="440"/>
      </w:pPr>
      <w:r>
        <w:rPr>
          <w:sz w:val="22"/>
        </w:rPr>
        <w:t>4、甲方逾期付款，经乙方书面催告两次后仍未支付的，自第二次书面催告之日起，则每日按合同总额1‰向对方偿付违约金。如甲方已向财政提出付款申请，因财政审批，款项拨付不及时的，视为甲方已经履行付款义务，甲方无须承担上述违约责任。</w:t>
      </w:r>
    </w:p>
    <w:p>
      <w:pPr>
        <w:ind w:firstLine="440"/>
      </w:pPr>
      <w:r>
        <w:rPr>
          <w:sz w:val="22"/>
        </w:rPr>
        <w:t>5、甲方按照乙方提供的银行账户支付货款后，因乙方提供账户或者账号相关信息遗漏、错误等原因所产生的后果由乙方自行承担。</w:t>
      </w:r>
    </w:p>
    <w:p>
      <w:pPr>
        <w:ind w:firstLine="440"/>
      </w:pPr>
      <w:r>
        <w:rPr>
          <w:sz w:val="22"/>
        </w:rPr>
        <w:t>6、乙方交货规格、型号、数量、质量、外包装经双方确认不符合合同约定的，若甲方同意接受，则双方可重新协商合同价款；如果甲方不同意接受，乙方应根据货物的具体情况负责补齐、包换或包修，并承担修理、更换而支付的实际费用。</w:t>
      </w:r>
    </w:p>
    <w:p>
      <w:pPr>
        <w:ind w:firstLine="440"/>
      </w:pPr>
      <w:r>
        <w:rPr>
          <w:sz w:val="22"/>
        </w:rPr>
        <w:t>7、合同任何一方违反本合同约定的应当承担相应的违约责任，向另一方支付不超过合同总价款10%的违约金，违约方需向守约方赔偿损失，包括但不限于守约方主张权利支出的诉讼费、保全费、鉴定费、律师费、担保费、差旅费等。</w:t>
      </w:r>
    </w:p>
    <w:p>
      <w:pPr>
        <w:ind w:firstLine="442"/>
      </w:pPr>
      <w:r>
        <w:rPr>
          <w:b/>
          <w:sz w:val="22"/>
        </w:rPr>
        <w:t>第十五条</w:t>
      </w:r>
      <w:r>
        <w:rPr>
          <w:b/>
          <w:sz w:val="22"/>
        </w:rPr>
        <w:t>争议的解决</w:t>
      </w:r>
    </w:p>
    <w:p>
      <w:pPr>
        <w:ind w:firstLine="440"/>
      </w:pPr>
      <w:r>
        <w:rPr>
          <w:sz w:val="22"/>
        </w:rPr>
        <w:t>1、凡与本合同有关而引起的一切争议，甲乙双方应首先通过友好协商解决，如经协商后仍不能达成协议时，任何一方可以向法院提出诉讼。</w:t>
      </w:r>
    </w:p>
    <w:p>
      <w:pPr>
        <w:ind w:firstLine="440"/>
      </w:pPr>
      <w:r>
        <w:rPr>
          <w:sz w:val="22"/>
        </w:rPr>
        <w:t>2、本合同发生的诉讼管辖地为甲方所在地的法院。</w:t>
      </w:r>
    </w:p>
    <w:p>
      <w:pPr>
        <w:ind w:firstLine="440"/>
      </w:pPr>
      <w:r>
        <w:rPr>
          <w:sz w:val="22"/>
        </w:rPr>
        <w:t>3、在进行法院审理期间，除提交法院审理的事项外，合同其他部分仍继续履行。</w:t>
      </w:r>
    </w:p>
    <w:p>
      <w:pPr>
        <w:ind w:firstLine="440"/>
      </w:pPr>
      <w:r>
        <w:rPr>
          <w:sz w:val="22"/>
        </w:rPr>
        <w:t>4、本合同按照中华人民共和国的法律进行解释。</w:t>
      </w:r>
    </w:p>
    <w:p>
      <w:pPr>
        <w:ind w:firstLine="442"/>
      </w:pPr>
      <w:r>
        <w:rPr>
          <w:b/>
          <w:sz w:val="22"/>
        </w:rPr>
        <w:t>第十六条</w:t>
      </w:r>
      <w:r>
        <w:rPr>
          <w:b/>
          <w:sz w:val="22"/>
        </w:rPr>
        <w:t>合同生效</w:t>
      </w:r>
    </w:p>
    <w:p>
      <w:pPr>
        <w:ind w:firstLine="440"/>
      </w:pPr>
      <w:r>
        <w:rPr>
          <w:sz w:val="22"/>
        </w:rPr>
        <w:t>1、本合同由双方法定代表人或委托代理人签字盖章后立即生效，具有同等法律效力，服务期为合同签定日至   年   月   日，合同有效期随服务期结束而自然终止。</w:t>
      </w:r>
    </w:p>
    <w:p>
      <w:pPr>
        <w:ind w:firstLine="440"/>
      </w:pPr>
      <w:r>
        <w:rPr>
          <w:sz w:val="22"/>
        </w:rPr>
        <w:t>2、本合同一式 伍 份，其中甲方 叁 份、乙方 壹 份，采购代理机构 壹 份（须在合同签订之日起7个工作日内递交）。</w:t>
      </w:r>
    </w:p>
    <w:p>
      <w:pPr>
        <w:ind w:firstLine="442"/>
      </w:pPr>
      <w:r>
        <w:rPr>
          <w:b/>
          <w:sz w:val="22"/>
        </w:rPr>
        <w:t>第十七条</w:t>
      </w:r>
      <w:r>
        <w:rPr>
          <w:b/>
          <w:sz w:val="22"/>
        </w:rPr>
        <w:t>其它</w:t>
      </w:r>
    </w:p>
    <w:p>
      <w:pPr>
        <w:ind w:firstLine="440"/>
      </w:pPr>
      <w:r>
        <w:rPr>
          <w:sz w:val="22"/>
        </w:rPr>
        <w:t>1、本合同未尽事宜，双方可签订补充合同，补充合同与所有附件均为合同的有效组成部分，与本合同具有同等法律效力。</w:t>
      </w:r>
    </w:p>
    <w:p>
      <w:pPr>
        <w:ind w:firstLine="440"/>
      </w:pPr>
      <w:r>
        <w:rPr>
          <w:sz w:val="22"/>
        </w:rPr>
        <w:t>2、在执行本合同的过程中，所有经甲乙双方签署确认的文件（包括会议纪要、补充协议、往来信函、合同附件等）即成为本合同的有效组成部分，其生效日期为双方签字盖章或确认之日期。</w:t>
      </w:r>
    </w:p>
    <w:p>
      <w:pPr>
        <w:ind w:firstLine="440"/>
      </w:pPr>
      <w:r>
        <w:rPr>
          <w:sz w:val="22"/>
        </w:rPr>
        <w:t>3、本合同合计   页A4纸张，缺页之合同为无效合同。</w:t>
      </w:r>
    </w:p>
    <w:p>
      <w:pPr>
        <w:ind w:firstLine="440"/>
      </w:pPr>
      <w:r>
        <w:rPr>
          <w:sz w:val="22"/>
        </w:rPr>
        <w:t>附件</w:t>
      </w:r>
      <w:r>
        <w:rPr>
          <w:sz w:val="22"/>
        </w:rPr>
        <w:t>1：中标通知书</w:t>
      </w:r>
    </w:p>
    <w:p>
      <w:pPr>
        <w:ind w:firstLine="440"/>
      </w:pPr>
      <w:r>
        <w:rPr>
          <w:sz w:val="22"/>
        </w:rPr>
        <w:t>附件</w:t>
      </w:r>
      <w:r>
        <w:rPr>
          <w:sz w:val="22"/>
        </w:rPr>
        <w:t>2：货物清单</w:t>
      </w:r>
    </w:p>
    <w:p>
      <w:pPr>
        <w:ind w:firstLine="440"/>
      </w:pPr>
      <w:r>
        <w:rPr>
          <w:sz w:val="22"/>
        </w:rPr>
        <w:t>（以下无正文，为签署页）</w:t>
      </w:r>
    </w:p>
    <w:tbl>
      <w:tblPr>
        <w:tblW w:w="0" w:type="auto"/>
        <w:tblBorders>
          <w:top w:val="none" w:color="000000" w:sz="4"/>
          <w:left w:val="none" w:color="000000" w:sz="4"/>
          <w:bottom w:val="none" w:color="000000" w:sz="4"/>
          <w:right w:val="none" w:color="000000" w:sz="4"/>
          <w:insideH w:val="none"/>
          <w:insideV w:val="none"/>
        </w:tblBorders>
      </w:tblPr>
      <w:tblGrid>
        <w:gridCol w:w="4182"/>
        <w:gridCol w:w="4124"/>
      </w:tblGrid>
      <w:tr>
        <w:tc>
          <w:tcPr>
            <w:tcW w:type="dxa" w:w="4182"/>
            <w:tcBorders>
              <w:top w:val="none" w:color="000000" w:sz="4"/>
              <w:left w:val="none" w:color="000000" w:sz="4"/>
              <w:bottom w:val="none" w:color="000000" w:sz="4"/>
              <w:right w:val="none" w:color="000000" w:sz="4"/>
            </w:tcBorders>
            <w:vAlign w:val="top"/>
          </w:tcPr>
          <w:p>
            <w:r>
              <w:rPr>
                <w:sz w:val="22"/>
              </w:rPr>
              <w:t>甲方（盖章）：</w:t>
            </w:r>
          </w:p>
        </w:tc>
        <w:tc>
          <w:tcPr>
            <w:tcW w:type="dxa" w:w="4124"/>
            <w:tcBorders>
              <w:top w:val="none" w:color="000000" w:sz="4"/>
              <w:left w:val="none" w:color="000000" w:sz="4"/>
              <w:bottom w:val="none" w:color="000000" w:sz="4"/>
              <w:right w:val="none" w:color="000000" w:sz="4"/>
            </w:tcBorders>
            <w:vAlign w:val="top"/>
          </w:tcPr>
          <w:p>
            <w:r>
              <w:rPr>
                <w:sz w:val="22"/>
              </w:rPr>
              <w:t>乙方（盖章）：</w:t>
            </w:r>
          </w:p>
        </w:tc>
      </w:tr>
      <w:tr>
        <w:tc>
          <w:tcPr>
            <w:tcW w:type="dxa" w:w="4182"/>
            <w:tcBorders>
              <w:top w:val="none" w:color="000000" w:sz="4"/>
              <w:left w:val="none" w:color="000000" w:sz="4"/>
              <w:bottom w:val="none" w:color="000000" w:sz="4"/>
              <w:right w:val="none" w:color="000000" w:sz="4"/>
            </w:tcBorders>
            <w:vAlign w:val="top"/>
          </w:tcPr>
          <w:p/>
        </w:tc>
        <w:tc>
          <w:tcPr>
            <w:tcW w:type="dxa" w:w="4124"/>
            <w:tcBorders>
              <w:top w:val="none" w:color="000000" w:sz="4"/>
              <w:left w:val="none" w:color="000000" w:sz="4"/>
              <w:bottom w:val="none" w:color="000000" w:sz="4"/>
              <w:right w:val="none" w:color="000000" w:sz="4"/>
            </w:tcBorders>
            <w:vAlign w:val="top"/>
          </w:tcPr>
          <w:p/>
        </w:tc>
      </w:tr>
      <w:tr>
        <w:tc>
          <w:tcPr>
            <w:tcW w:type="dxa" w:w="4182"/>
            <w:tcBorders>
              <w:top w:val="none" w:color="000000" w:sz="4"/>
              <w:left w:val="none" w:color="000000" w:sz="4"/>
              <w:bottom w:val="none" w:color="000000" w:sz="4"/>
              <w:right w:val="none" w:color="000000" w:sz="4"/>
            </w:tcBorders>
            <w:vAlign w:val="top"/>
          </w:tcPr>
          <w:p>
            <w:r>
              <w:rPr>
                <w:sz w:val="22"/>
              </w:rPr>
              <w:t>法定代表人</w:t>
            </w:r>
            <w:r>
              <w:rPr>
                <w:sz w:val="22"/>
              </w:rPr>
              <w:t>(签字)：</w:t>
            </w:r>
          </w:p>
        </w:tc>
        <w:tc>
          <w:tcPr>
            <w:tcW w:type="dxa" w:w="4124"/>
            <w:tcBorders>
              <w:top w:val="none" w:color="000000" w:sz="4"/>
              <w:left w:val="none" w:color="000000" w:sz="4"/>
              <w:bottom w:val="none" w:color="000000" w:sz="4"/>
              <w:right w:val="none" w:color="000000" w:sz="4"/>
            </w:tcBorders>
            <w:vAlign w:val="top"/>
          </w:tcPr>
          <w:p>
            <w:r>
              <w:rPr>
                <w:sz w:val="22"/>
              </w:rPr>
              <w:t>法定代表人</w:t>
            </w:r>
            <w:r>
              <w:rPr>
                <w:sz w:val="22"/>
              </w:rPr>
              <w:t>(签字)：</w:t>
            </w:r>
          </w:p>
        </w:tc>
      </w:tr>
      <w:tr>
        <w:tc>
          <w:tcPr>
            <w:tcW w:type="dxa" w:w="4182"/>
            <w:tcBorders>
              <w:top w:val="none" w:color="000000" w:sz="4"/>
              <w:left w:val="none" w:color="000000" w:sz="4"/>
              <w:bottom w:val="none" w:color="000000" w:sz="4"/>
              <w:right w:val="none" w:color="000000" w:sz="4"/>
            </w:tcBorders>
            <w:vAlign w:val="top"/>
          </w:tcPr>
          <w:p/>
        </w:tc>
        <w:tc>
          <w:tcPr>
            <w:tcW w:type="dxa" w:w="4124"/>
            <w:tcBorders>
              <w:top w:val="none" w:color="000000" w:sz="4"/>
              <w:left w:val="none" w:color="000000" w:sz="4"/>
              <w:bottom w:val="none" w:color="000000" w:sz="4"/>
              <w:right w:val="none" w:color="000000" w:sz="4"/>
            </w:tcBorders>
            <w:vAlign w:val="top"/>
          </w:tcPr>
          <w:p/>
        </w:tc>
      </w:tr>
      <w:tr>
        <w:tc>
          <w:tcPr>
            <w:tcW w:type="dxa" w:w="4182"/>
            <w:tcBorders>
              <w:top w:val="none" w:color="000000" w:sz="4"/>
              <w:left w:val="none" w:color="000000" w:sz="4"/>
              <w:bottom w:val="none" w:color="000000" w:sz="4"/>
              <w:right w:val="none" w:color="000000" w:sz="4"/>
            </w:tcBorders>
            <w:vAlign w:val="top"/>
          </w:tcPr>
          <w:p>
            <w:r>
              <w:rPr>
                <w:sz w:val="22"/>
              </w:rPr>
              <w:t>委托代理人（签字）：</w:t>
            </w:r>
          </w:p>
        </w:tc>
        <w:tc>
          <w:tcPr>
            <w:tcW w:type="dxa" w:w="4124"/>
            <w:tcBorders>
              <w:top w:val="none" w:color="000000" w:sz="4"/>
              <w:left w:val="none" w:color="000000" w:sz="4"/>
              <w:bottom w:val="none" w:color="000000" w:sz="4"/>
              <w:right w:val="none" w:color="000000" w:sz="4"/>
            </w:tcBorders>
            <w:vAlign w:val="top"/>
          </w:tcPr>
          <w:p>
            <w:r>
              <w:rPr>
                <w:sz w:val="22"/>
              </w:rPr>
              <w:t>委托代理人（签字）：</w:t>
            </w:r>
          </w:p>
        </w:tc>
      </w:tr>
      <w:tr>
        <w:tc>
          <w:tcPr>
            <w:tcW w:type="dxa" w:w="4182"/>
            <w:tcBorders>
              <w:top w:val="none" w:color="000000" w:sz="4"/>
              <w:left w:val="none" w:color="000000" w:sz="4"/>
              <w:bottom w:val="none" w:color="000000" w:sz="4"/>
              <w:right w:val="none" w:color="000000" w:sz="4"/>
            </w:tcBorders>
            <w:vAlign w:val="top"/>
          </w:tcPr>
          <w:p/>
        </w:tc>
        <w:tc>
          <w:tcPr>
            <w:tcW w:type="dxa" w:w="4124"/>
            <w:tcBorders>
              <w:top w:val="none" w:color="000000" w:sz="4"/>
              <w:left w:val="none" w:color="000000" w:sz="4"/>
              <w:bottom w:val="none" w:color="000000" w:sz="4"/>
              <w:right w:val="none" w:color="000000" w:sz="4"/>
            </w:tcBorders>
            <w:vAlign w:val="top"/>
          </w:tcPr>
          <w:p/>
        </w:tc>
      </w:tr>
      <w:tr>
        <w:tc>
          <w:tcPr>
            <w:tcW w:type="dxa" w:w="4182"/>
            <w:tcBorders>
              <w:top w:val="none" w:color="000000" w:sz="4"/>
              <w:left w:val="none" w:color="000000" w:sz="4"/>
              <w:bottom w:val="none" w:color="000000" w:sz="4"/>
              <w:right w:val="none" w:color="000000" w:sz="4"/>
            </w:tcBorders>
            <w:vAlign w:val="top"/>
          </w:tcPr>
          <w:p>
            <w:r>
              <w:rPr>
                <w:sz w:val="22"/>
              </w:rPr>
              <w:t>地址：</w:t>
            </w:r>
          </w:p>
        </w:tc>
        <w:tc>
          <w:tcPr>
            <w:tcW w:type="dxa" w:w="4124"/>
            <w:tcBorders>
              <w:top w:val="none" w:color="000000" w:sz="4"/>
              <w:left w:val="none" w:color="000000" w:sz="4"/>
              <w:bottom w:val="none" w:color="000000" w:sz="4"/>
              <w:right w:val="none" w:color="000000" w:sz="4"/>
            </w:tcBorders>
            <w:vAlign w:val="top"/>
          </w:tcPr>
          <w:p>
            <w:r>
              <w:rPr>
                <w:sz w:val="22"/>
              </w:rPr>
              <w:t>地址：</w:t>
            </w:r>
          </w:p>
        </w:tc>
      </w:tr>
      <w:tr>
        <w:tc>
          <w:tcPr>
            <w:tcW w:type="dxa" w:w="4182"/>
            <w:tcBorders>
              <w:top w:val="none" w:color="000000" w:sz="4"/>
              <w:left w:val="none" w:color="000000" w:sz="4"/>
              <w:bottom w:val="none" w:color="000000" w:sz="4"/>
              <w:right w:val="none" w:color="000000" w:sz="4"/>
            </w:tcBorders>
            <w:vAlign w:val="top"/>
          </w:tcPr>
          <w:p>
            <w:r>
              <w:rPr>
                <w:sz w:val="22"/>
              </w:rPr>
              <w:t>电话：</w:t>
            </w:r>
          </w:p>
        </w:tc>
        <w:tc>
          <w:tcPr>
            <w:tcW w:type="dxa" w:w="4124"/>
            <w:tcBorders>
              <w:top w:val="none" w:color="000000" w:sz="4"/>
              <w:left w:val="none" w:color="000000" w:sz="4"/>
              <w:bottom w:val="none" w:color="000000" w:sz="4"/>
              <w:right w:val="none" w:color="000000" w:sz="4"/>
            </w:tcBorders>
            <w:vAlign w:val="top"/>
          </w:tcPr>
          <w:p>
            <w:r>
              <w:rPr>
                <w:sz w:val="22"/>
              </w:rPr>
              <w:t>电话：</w:t>
            </w:r>
          </w:p>
        </w:tc>
      </w:tr>
      <w:tr>
        <w:tc>
          <w:tcPr>
            <w:tcW w:type="dxa" w:w="4182"/>
            <w:tcBorders>
              <w:top w:val="none" w:color="000000" w:sz="4"/>
              <w:left w:val="none" w:color="000000" w:sz="4"/>
              <w:bottom w:val="none" w:color="000000" w:sz="4"/>
              <w:right w:val="none" w:color="000000" w:sz="4"/>
            </w:tcBorders>
            <w:vAlign w:val="top"/>
          </w:tcPr>
          <w:p>
            <w:r>
              <w:rPr>
                <w:sz w:val="22"/>
              </w:rPr>
              <w:t>传真：</w:t>
            </w:r>
          </w:p>
        </w:tc>
        <w:tc>
          <w:tcPr>
            <w:tcW w:type="dxa" w:w="4124"/>
            <w:tcBorders>
              <w:top w:val="none" w:color="000000" w:sz="4"/>
              <w:left w:val="none" w:color="000000" w:sz="4"/>
              <w:bottom w:val="none" w:color="000000" w:sz="4"/>
              <w:right w:val="none" w:color="000000" w:sz="4"/>
            </w:tcBorders>
            <w:vAlign w:val="top"/>
          </w:tcPr>
          <w:p>
            <w:r>
              <w:rPr>
                <w:sz w:val="22"/>
              </w:rPr>
              <w:t>传真：</w:t>
            </w:r>
          </w:p>
        </w:tc>
      </w:tr>
      <w:tr>
        <w:tc>
          <w:tcPr>
            <w:tcW w:type="dxa" w:w="4182"/>
            <w:tcBorders>
              <w:top w:val="none" w:color="000000" w:sz="4"/>
              <w:left w:val="none" w:color="000000" w:sz="4"/>
              <w:bottom w:val="none" w:color="000000" w:sz="4"/>
              <w:right w:val="none" w:color="000000" w:sz="4"/>
            </w:tcBorders>
            <w:vAlign w:val="top"/>
          </w:tcPr>
          <w:p/>
        </w:tc>
        <w:tc>
          <w:tcPr>
            <w:tcW w:type="dxa" w:w="4124"/>
            <w:tcBorders>
              <w:top w:val="none" w:color="000000" w:sz="4"/>
              <w:left w:val="none" w:color="000000" w:sz="4"/>
              <w:bottom w:val="none" w:color="000000" w:sz="4"/>
              <w:right w:val="none" w:color="000000" w:sz="4"/>
            </w:tcBorders>
            <w:vAlign w:val="top"/>
          </w:tcPr>
          <w:p>
            <w:r>
              <w:rPr>
                <w:sz w:val="22"/>
              </w:rPr>
              <w:t>开户银行：</w:t>
            </w:r>
          </w:p>
        </w:tc>
      </w:tr>
      <w:tr>
        <w:tc>
          <w:tcPr>
            <w:tcW w:type="dxa" w:w="4182"/>
            <w:tcBorders>
              <w:top w:val="none" w:color="000000" w:sz="4"/>
              <w:left w:val="none" w:color="000000" w:sz="4"/>
              <w:bottom w:val="none" w:color="000000" w:sz="4"/>
              <w:right w:val="none" w:color="000000" w:sz="4"/>
            </w:tcBorders>
            <w:vAlign w:val="top"/>
          </w:tcPr>
          <w:p/>
        </w:tc>
        <w:tc>
          <w:tcPr>
            <w:tcW w:type="dxa" w:w="4124"/>
            <w:tcBorders>
              <w:top w:val="none" w:color="000000" w:sz="4"/>
              <w:left w:val="none" w:color="000000" w:sz="4"/>
              <w:bottom w:val="none" w:color="000000" w:sz="4"/>
              <w:right w:val="none" w:color="000000" w:sz="4"/>
            </w:tcBorders>
            <w:vAlign w:val="top"/>
          </w:tcPr>
          <w:p>
            <w:r>
              <w:rPr>
                <w:sz w:val="22"/>
              </w:rPr>
              <w:t>账号：</w:t>
            </w:r>
          </w:p>
        </w:tc>
      </w:tr>
      <w:tr>
        <w:tc>
          <w:tcPr>
            <w:tcW w:type="dxa" w:w="8306"/>
            <w:gridSpan w:val="2"/>
            <w:tcBorders>
              <w:top w:val="none" w:color="000000" w:sz="4"/>
              <w:left w:val="none" w:color="000000" w:sz="4"/>
              <w:bottom w:val="none" w:color="000000" w:sz="4"/>
              <w:right w:val="none" w:color="000000" w:sz="4"/>
            </w:tcBorders>
            <w:vAlign w:val="top"/>
          </w:tcPr>
          <w:p>
            <w:r>
              <w:rPr>
                <w:sz w:val="22"/>
              </w:rPr>
              <w:t>签约时间：</w:t>
            </w:r>
            <w:r>
              <w:rPr>
                <w:sz w:val="22"/>
              </w:rPr>
              <w:t>2022年   月   日</w:t>
            </w:r>
          </w:p>
        </w:tc>
      </w:tr>
      <w:tr>
        <w:tc>
          <w:tcPr>
            <w:tcW w:type="dxa" w:w="8306"/>
            <w:gridSpan w:val="2"/>
            <w:tcBorders>
              <w:top w:val="none" w:color="000000" w:sz="4"/>
              <w:left w:val="none" w:color="000000" w:sz="4"/>
              <w:bottom w:val="none" w:color="000000" w:sz="4"/>
              <w:right w:val="none" w:color="000000" w:sz="4"/>
            </w:tcBorders>
            <w:vAlign w:val="top"/>
          </w:tcPr>
          <w:p>
            <w:r>
              <w:rPr>
                <w:sz w:val="22"/>
              </w:rPr>
              <w:t>签约地点：</w:t>
            </w:r>
          </w:p>
        </w:tc>
      </w:tr>
    </w:tbl>
    <w:p/>
    <w:p/>
    <w:p/>
    <w:p>
      <w:r>
        <w:rPr/>
        <w:t xml:space="preserve"> </w:t>
      </w:r>
    </w:p>
    <w:p>
      <w:pPr>
        <w:jc w:val="center"/>
      </w:pPr>
      <w:r>
        <w:rPr>
          <w:b/>
          <w:sz w:val="36"/>
        </w:rPr>
        <w:t>附件</w:t>
      </w:r>
      <w:r>
        <w:rPr>
          <w:b/>
          <w:sz w:val="36"/>
        </w:rPr>
        <w:t>1：</w:t>
      </w:r>
      <w:r>
        <w:rPr>
          <w:b/>
          <w:sz w:val="36"/>
        </w:rPr>
        <w:t>政府采购履约担保函</w:t>
      </w:r>
      <w:r>
        <w:rPr>
          <w:b/>
          <w:sz w:val="22"/>
        </w:rPr>
        <w:t xml:space="preserve"> </w:t>
      </w:r>
    </w:p>
    <w:p>
      <w:pPr>
        <w:jc w:val="center"/>
      </w:pPr>
      <w:r>
        <w:rPr>
          <w:b/>
          <w:sz w:val="22"/>
        </w:rPr>
        <w:t xml:space="preserve">                                               </w:t>
      </w:r>
      <w:r>
        <w:rPr>
          <w:b/>
          <w:sz w:val="22"/>
        </w:rPr>
        <w:t>编号：工字</w:t>
      </w:r>
      <w:r>
        <w:rPr>
          <w:b/>
          <w:sz w:val="22"/>
        </w:rPr>
        <w:t>ZX（履）第       号</w:t>
      </w:r>
      <w:r>
        <w:rPr>
          <w:sz w:val="22"/>
        </w:rPr>
        <w:t xml:space="preserve"> </w:t>
      </w:r>
    </w:p>
    <w:p>
      <w:r>
        <w:rPr>
          <w:sz w:val="21"/>
          <w:u w:val="single"/>
        </w:rPr>
        <w:t>东莞市大朗镇教育管理中心（东莞市大朗镇教师发展中心）</w:t>
      </w:r>
      <w:r>
        <w:rPr>
          <w:sz w:val="21"/>
        </w:rPr>
        <w:t>（采购人）：</w:t>
      </w:r>
    </w:p>
    <w:p>
      <w:r>
        <w:rPr>
          <w:sz w:val="21"/>
        </w:rPr>
        <w:t>鉴于你方与</w:t>
      </w:r>
      <w:r>
        <w:rPr>
          <w:sz w:val="22"/>
          <w:u w:val="single"/>
        </w:rPr>
        <w:t xml:space="preserve">                                </w:t>
      </w:r>
      <w:r>
        <w:rPr>
          <w:sz w:val="21"/>
        </w:rPr>
        <w:t>（以下简称供应商）于</w:t>
      </w:r>
      <w:r>
        <w:rPr>
          <w:sz w:val="21"/>
          <w:u w:val="single"/>
        </w:rPr>
        <w:t>2022</w:t>
      </w:r>
      <w:r>
        <w:rPr>
          <w:sz w:val="21"/>
        </w:rPr>
        <w:t>年</w:t>
      </w:r>
      <w:r>
        <w:rPr>
          <w:sz w:val="22"/>
          <w:u w:val="single"/>
        </w:rPr>
        <w:t xml:space="preserve">      </w:t>
      </w:r>
      <w:r>
        <w:rPr>
          <w:sz w:val="21"/>
        </w:rPr>
        <w:t>月</w:t>
      </w:r>
      <w:r>
        <w:rPr>
          <w:sz w:val="22"/>
          <w:u w:val="single"/>
        </w:rPr>
        <w:t xml:space="preserve">    </w:t>
      </w:r>
      <w:r>
        <w:rPr>
          <w:sz w:val="21"/>
        </w:rPr>
        <w:t>日中标采购项目编号为</w:t>
      </w:r>
      <w:r>
        <w:rPr>
          <w:sz w:val="22"/>
          <w:u w:val="single"/>
        </w:rPr>
        <w:t xml:space="preserve">                            </w:t>
      </w:r>
      <w:r>
        <w:rPr>
          <w:sz w:val="21"/>
        </w:rPr>
        <w:t>的《</w:t>
      </w:r>
      <w:r>
        <w:rPr>
          <w:sz w:val="22"/>
          <w:u w:val="single"/>
        </w:rPr>
        <w:t xml:space="preserve">                               </w:t>
      </w:r>
      <w:r>
        <w:rPr>
          <w:sz w:val="21"/>
        </w:rPr>
        <w:t>》，根据招标文件约定，在领取中标通知书后签合同前向你方交纳履约保证金，且可以履约担保函形式交纳履约保证金。应供应商的申请，我方以保证的方式向你方提供如下履约保证金担保：</w:t>
      </w:r>
    </w:p>
    <w:p>
      <w:r>
        <w:rPr>
          <w:b/>
          <w:sz w:val="21"/>
        </w:rPr>
        <w:t>一、承担履约保证的情形及保证金额</w:t>
      </w:r>
    </w:p>
    <w:p>
      <w:pPr>
        <w:ind w:firstLine="420"/>
      </w:pPr>
      <w:r>
        <w:rPr>
          <w:sz w:val="21"/>
        </w:rPr>
        <w:t>（一）在供应商出现下列情形之一时，我方承担保证责任：</w:t>
      </w:r>
    </w:p>
    <w:p>
      <w:pPr>
        <w:ind w:firstLine="420"/>
      </w:pPr>
      <w:r>
        <w:rPr>
          <w:sz w:val="21"/>
        </w:rPr>
        <w:t>1．将中标项目转让给他人，或者在投标文件中未说明，且未经采购招标机构人同意，将中标项目分包给他人的；</w:t>
      </w:r>
    </w:p>
    <w:p>
      <w:pPr>
        <w:ind w:firstLine="420"/>
      </w:pPr>
      <w:r>
        <w:rPr>
          <w:sz w:val="21"/>
        </w:rPr>
        <w:t>2．主合同约定的应当支付履约保证金的情形:</w:t>
      </w:r>
    </w:p>
    <w:p>
      <w:pPr>
        <w:ind w:firstLine="420"/>
      </w:pPr>
      <w:r>
        <w:rPr>
          <w:sz w:val="21"/>
        </w:rPr>
        <w:t>（</w:t>
      </w:r>
      <w:r>
        <w:rPr>
          <w:sz w:val="21"/>
        </w:rPr>
        <w:t>1）未按主合同约定的质量、数量和期限供应货物/提供服务/完成工程的；</w:t>
      </w:r>
    </w:p>
    <w:p>
      <w:pPr>
        <w:ind w:firstLine="420"/>
      </w:pPr>
      <w:r>
        <w:rPr>
          <w:sz w:val="21"/>
        </w:rPr>
        <w:t>（</w:t>
      </w:r>
      <w:r>
        <w:rPr>
          <w:sz w:val="21"/>
        </w:rPr>
        <w:t>2）供应商怠于或者拒绝执行合同的质保期和售后服务约定。</w:t>
      </w:r>
    </w:p>
    <w:p>
      <w:pPr>
        <w:ind w:firstLine="420"/>
      </w:pPr>
      <w:r>
        <w:rPr>
          <w:sz w:val="21"/>
        </w:rPr>
        <w:t>（二）我方的保证范围是主合同约定的合同价款总额</w:t>
      </w:r>
      <w:r>
        <w:rPr>
          <w:sz w:val="22"/>
          <w:u w:val="single"/>
        </w:rPr>
        <w:t xml:space="preserve"> </w:t>
      </w:r>
      <w:r>
        <w:rPr>
          <w:sz w:val="21"/>
        </w:rPr>
        <w:t>%数额为</w:t>
      </w:r>
      <w:r>
        <w:rPr>
          <w:sz w:val="22"/>
          <w:u w:val="single"/>
        </w:rPr>
        <w:t xml:space="preserve">          </w:t>
      </w:r>
      <w:r>
        <w:rPr>
          <w:sz w:val="21"/>
        </w:rPr>
        <w:t>元（大写</w:t>
      </w:r>
      <w:r>
        <w:rPr>
          <w:sz w:val="22"/>
          <w:u w:val="single"/>
        </w:rPr>
        <w:t xml:space="preserve">         </w:t>
      </w:r>
      <w:r>
        <w:rPr>
          <w:sz w:val="21"/>
        </w:rPr>
        <w:t>），币种为</w:t>
      </w:r>
      <w:r>
        <w:rPr>
          <w:sz w:val="21"/>
          <w:u w:val="single"/>
        </w:rPr>
        <w:t>人民币</w:t>
      </w:r>
      <w:r>
        <w:rPr>
          <w:sz w:val="21"/>
        </w:rPr>
        <w:t>。（即主合同履约保证金金额）</w:t>
      </w:r>
    </w:p>
    <w:p>
      <w:r>
        <w:rPr>
          <w:b/>
          <w:sz w:val="21"/>
        </w:rPr>
        <w:t>二、保证的方式及保证期间</w:t>
      </w:r>
    </w:p>
    <w:p>
      <w:pPr>
        <w:ind w:firstLine="420"/>
      </w:pPr>
      <w:r>
        <w:rPr>
          <w:sz w:val="21"/>
        </w:rPr>
        <w:t>我方保证的方式为：一般保证责任。</w:t>
      </w:r>
    </w:p>
    <w:p>
      <w:pPr>
        <w:ind w:firstLine="420"/>
      </w:pPr>
      <w:r>
        <w:rPr>
          <w:sz w:val="21"/>
        </w:rPr>
        <w:t>履约保证的期间为：提供履行担保之日起至合同中的货物保修期届满之日。</w:t>
      </w:r>
    </w:p>
    <w:p>
      <w:pPr>
        <w:ind w:firstLine="420"/>
      </w:pPr>
      <w:r>
        <w:rPr>
          <w:sz w:val="21"/>
        </w:rPr>
        <w:t>如果供应商未按主合同约定向贵方供应货物</w:t>
      </w:r>
      <w:r>
        <w:rPr>
          <w:sz w:val="21"/>
        </w:rPr>
        <w:t>/提供服务/完成工程的，由我方在保证金额内向你方支付上述款项。</w:t>
      </w:r>
    </w:p>
    <w:p>
      <w:r>
        <w:rPr>
          <w:b/>
          <w:sz w:val="21"/>
        </w:rPr>
        <w:t>三、承担保证责任的程序</w:t>
      </w:r>
    </w:p>
    <w:p>
      <w:pPr>
        <w:ind w:firstLine="420"/>
      </w:pPr>
      <w:r>
        <w:rPr>
          <w:sz w:val="21"/>
        </w:rPr>
        <w:t>1．你方要求我方承担保证责任的，应在本保函保证期间内向我方发出书面索赔通知。索赔通知应写明要求索赔的金额，支付款项应到达的账号，并附有证明供应商违约事实的证明材料。</w:t>
      </w:r>
    </w:p>
    <w:p>
      <w:pPr>
        <w:ind w:firstLine="420"/>
      </w:pPr>
      <w:r>
        <w:rPr>
          <w:sz w:val="21"/>
        </w:rPr>
        <w:t>如果你方与供应商因货物质量问题产生争议，你方还需同时提供有资质的质量检测部门出具的质量检测报告，或经诉讼（仲裁）程序裁决后的裁决书、调解书，本保证人即按照检测结果或裁决书、调解书决定是否承担保证责任。</w:t>
      </w:r>
    </w:p>
    <w:p>
      <w:pPr>
        <w:ind w:firstLine="420"/>
      </w:pPr>
      <w:r>
        <w:rPr>
          <w:sz w:val="21"/>
        </w:rPr>
        <w:t>2．</w:t>
      </w:r>
      <w:r>
        <w:rPr>
          <w:sz w:val="21"/>
        </w:rPr>
        <w:t>供应商怠于或者拒绝执行合同条款第十一条约定</w:t>
      </w:r>
      <w:r>
        <w:rPr>
          <w:sz w:val="21"/>
        </w:rPr>
        <w:t>，你方有权要求我方承担保证责任，并支付</w:t>
      </w:r>
      <w:r>
        <w:rPr>
          <w:sz w:val="21"/>
        </w:rPr>
        <w:t>100%主合同履约保证金金额。</w:t>
      </w:r>
    </w:p>
    <w:p>
      <w:pPr>
        <w:ind w:firstLine="420"/>
      </w:pPr>
      <w:r>
        <w:rPr>
          <w:sz w:val="21"/>
        </w:rPr>
        <w:t>3．我方收到你方的书面索赔通知及相应证明材料，在30工作日内进行核定后按照本保函的承诺承担保证责任。</w:t>
      </w:r>
    </w:p>
    <w:p>
      <w:r>
        <w:rPr>
          <w:b/>
          <w:sz w:val="21"/>
        </w:rPr>
        <w:t>四、保证责任的终止</w:t>
      </w:r>
    </w:p>
    <w:p>
      <w:pPr>
        <w:ind w:firstLine="420"/>
      </w:pPr>
      <w:r>
        <w:rPr>
          <w:sz w:val="21"/>
        </w:rPr>
        <w:t>1．保证期间届满你方未向我方书面主张保证责任的，自保证期间届满5个工作日起，我方保证责任自动终止。</w:t>
      </w:r>
    </w:p>
    <w:p>
      <w:pPr>
        <w:ind w:firstLine="420"/>
      </w:pPr>
      <w:r>
        <w:rPr>
          <w:sz w:val="21"/>
        </w:rPr>
        <w:t>2．我方按照本保函向你方履行了保证责任后，自我方向你方支付款项（支付款项从我方账户划出）之日起，保证责任即终止。</w:t>
      </w:r>
    </w:p>
    <w:p>
      <w:pPr>
        <w:ind w:firstLine="420"/>
      </w:pPr>
      <w:r>
        <w:rPr>
          <w:sz w:val="21"/>
        </w:rPr>
        <w:t>3．按照法律法规的规定或出现应终止我方保证责任的其它情形的，我方在本保函项下的保证责任亦终止。</w:t>
      </w:r>
    </w:p>
    <w:p>
      <w:pPr>
        <w:ind w:firstLine="420"/>
      </w:pPr>
      <w:r>
        <w:rPr>
          <w:sz w:val="21"/>
        </w:rPr>
        <w:t>4．你方与供应商修改主合同，加重我方保证责任的，我方对加重部分不承担保证责任，但该等修改事先经我方书面同意的除外；你方与供应商修改主合同履行期限，我方保证期间仍依修改前的履行期限计算，但该等修改事先经我方书面同意的除外。</w:t>
      </w:r>
    </w:p>
    <w:p>
      <w:r>
        <w:rPr>
          <w:b/>
          <w:sz w:val="21"/>
        </w:rPr>
        <w:t>五、免责条款</w:t>
      </w:r>
    </w:p>
    <w:p>
      <w:pPr>
        <w:ind w:firstLine="420"/>
      </w:pPr>
      <w:r>
        <w:rPr>
          <w:sz w:val="21"/>
        </w:rPr>
        <w:t>1．因你方违反主合同约定致使供应商不能履行义务的，我方不承担保证责任。</w:t>
      </w:r>
    </w:p>
    <w:p>
      <w:pPr>
        <w:ind w:firstLine="420"/>
      </w:pPr>
      <w:r>
        <w:rPr>
          <w:sz w:val="21"/>
        </w:rPr>
        <w:t>2．依照法律法规的规定或你方与供应商的另行约定，全部或者部分免除供应商应缴纳的保证金义务的，我方亦免除相应的保证责任。</w:t>
      </w:r>
    </w:p>
    <w:p>
      <w:pPr>
        <w:ind w:firstLine="420"/>
      </w:pPr>
      <w:r>
        <w:rPr>
          <w:sz w:val="21"/>
        </w:rPr>
        <w:t>3．因不可抗力造成供应商不能履行供货义务的，我方不承担保证责任。</w:t>
      </w:r>
    </w:p>
    <w:p>
      <w:r>
        <w:rPr>
          <w:b/>
          <w:sz w:val="21"/>
        </w:rPr>
        <w:t>六、争议的解决</w:t>
      </w:r>
    </w:p>
    <w:p>
      <w:pPr>
        <w:ind w:firstLine="420"/>
      </w:pPr>
      <w:r>
        <w:rPr>
          <w:sz w:val="21"/>
        </w:rPr>
        <w:t>因本保函发生的纠纷，由你我双方协商解决，协商不成的，通过诉讼程序解决，诉讼管辖地法院为主合同项目所在地法院。</w:t>
      </w:r>
    </w:p>
    <w:p>
      <w:r>
        <w:rPr>
          <w:b/>
          <w:sz w:val="21"/>
        </w:rPr>
        <w:t>七、保函的生效</w:t>
      </w:r>
    </w:p>
    <w:p>
      <w:r>
        <w:rPr>
          <w:sz w:val="21"/>
        </w:rPr>
        <w:t>本保函自我方加盖公章之日起生效。</w:t>
      </w:r>
    </w:p>
    <w:p/>
    <w:p>
      <w:pPr>
        <w:ind w:firstLine="420"/>
      </w:pPr>
      <w:r>
        <w:rPr>
          <w:sz w:val="21"/>
        </w:rPr>
        <w:t>保证人：</w:t>
      </w:r>
      <w:r>
        <w:rPr>
          <w:sz w:val="22"/>
          <w:u w:val="single"/>
        </w:rPr>
        <w:t xml:space="preserve">                           </w:t>
      </w:r>
    </w:p>
    <w:p>
      <w:pPr>
        <w:ind w:firstLine="420"/>
      </w:pPr>
      <w:r>
        <w:rPr>
          <w:sz w:val="21"/>
        </w:rPr>
        <w:t>法定代表人：</w:t>
      </w:r>
      <w:r>
        <w:rPr>
          <w:sz w:val="21"/>
          <w:u w:val="single"/>
        </w:rPr>
        <w:t xml:space="preserve">                    </w:t>
      </w:r>
      <w:r>
        <w:rPr>
          <w:sz w:val="21"/>
          <w:u w:val="single"/>
        </w:rPr>
        <w:t>（签字或盖章）</w:t>
      </w:r>
    </w:p>
    <w:p>
      <w:pPr>
        <w:ind w:firstLine="420"/>
      </w:pPr>
      <w:r>
        <w:rPr>
          <w:sz w:val="21"/>
        </w:rPr>
        <w:t>地址：</w:t>
      </w:r>
      <w:r>
        <w:rPr>
          <w:sz w:val="22"/>
          <w:u w:val="single"/>
        </w:rPr>
        <w:t xml:space="preserve">                                     </w:t>
      </w:r>
    </w:p>
    <w:p>
      <w:pPr>
        <w:ind w:firstLine="420"/>
      </w:pPr>
      <w:r>
        <w:rPr>
          <w:sz w:val="21"/>
        </w:rPr>
        <w:t>电话：</w:t>
      </w:r>
      <w:r>
        <w:rPr>
          <w:sz w:val="22"/>
          <w:u w:val="single"/>
        </w:rPr>
        <w:t xml:space="preserve">                   </w:t>
      </w:r>
    </w:p>
    <w:p>
      <w:pPr>
        <w:ind w:firstLine="420"/>
      </w:pPr>
      <w:r>
        <w:rPr>
          <w:sz w:val="21"/>
        </w:rPr>
        <w:t>日期：</w:t>
      </w:r>
      <w:r>
        <w:rPr>
          <w:sz w:val="21"/>
          <w:u w:val="single"/>
        </w:rPr>
        <w:t>2022</w:t>
      </w:r>
      <w:r>
        <w:rPr>
          <w:sz w:val="21"/>
        </w:rPr>
        <w:t>年</w:t>
      </w:r>
      <w:r>
        <w:rPr>
          <w:sz w:val="22"/>
          <w:u w:val="single"/>
        </w:rPr>
        <w:t xml:space="preserve">    </w:t>
      </w:r>
      <w:r>
        <w:rPr>
          <w:sz w:val="21"/>
        </w:rPr>
        <w:t>月</w:t>
      </w:r>
      <w:r>
        <w:rPr>
          <w:sz w:val="22"/>
          <w:u w:val="single"/>
        </w:rPr>
        <w:t xml:space="preserve">         </w:t>
      </w:r>
      <w:r>
        <w:rPr>
          <w:sz w:val="21"/>
        </w:rPr>
        <w:t>日</w:t>
      </w:r>
    </w:p>
    <w:p/>
    <w:p/>
    <w:p/>
    <w:p>
      <w:r>
        <w:rPr/>
        <w:t xml:space="preserve"> </w:t>
      </w:r>
    </w:p>
    <w:p>
      <w:pPr>
        <w:jc w:val="center"/>
      </w:pPr>
      <w:r>
        <w:rPr>
          <w:b/>
          <w:sz w:val="36"/>
        </w:rPr>
        <w:t>附件</w:t>
      </w:r>
      <w:r>
        <w:rPr>
          <w:b/>
          <w:sz w:val="36"/>
        </w:rPr>
        <w:t>2：设备清单</w:t>
      </w:r>
    </w:p>
    <w:tbl>
      <w:tblPr>
        <w:tblW w:w="0" w:type="auto"/>
        <w:tblBorders>
          <w:top w:val="none" w:color="000000" w:sz="4"/>
          <w:left w:val="none" w:color="000000" w:sz="4"/>
          <w:bottom w:val="none" w:color="000000" w:sz="4"/>
          <w:right w:val="none" w:color="000000" w:sz="4"/>
          <w:insideH w:val="none"/>
          <w:insideV w:val="none"/>
        </w:tblBorders>
      </w:tblPr>
      <w:tblGrid>
        <w:gridCol w:w="440"/>
        <w:gridCol w:w="734"/>
        <w:gridCol w:w="4916"/>
        <w:gridCol w:w="722"/>
        <w:gridCol w:w="438"/>
        <w:gridCol w:w="1055"/>
      </w:tblGrid>
      <w:tr>
        <w:tc>
          <w:tcPr>
            <w:tcW w:type="dxa" w:w="440"/>
            <w:tcBorders>
              <w:top w:val="single" w:color="000000" w:sz="4"/>
              <w:left w:val="single" w:color="000000" w:sz="4"/>
              <w:bottom w:val="single" w:color="000000" w:sz="4"/>
              <w:right w:val="single" w:color="000000" w:sz="4"/>
            </w:tcBorders>
            <w:vAlign w:val="top"/>
          </w:tcPr>
          <w:p>
            <w:pPr>
              <w:jc w:val="center"/>
            </w:pPr>
            <w:r>
              <w:rPr>
                <w:b/>
                <w:sz w:val="21"/>
              </w:rPr>
              <w:t>序号</w:t>
            </w:r>
          </w:p>
        </w:tc>
        <w:tc>
          <w:tcPr>
            <w:tcW w:type="dxa" w:w="734"/>
            <w:tcBorders>
              <w:top w:val="single" w:color="000000" w:sz="4"/>
              <w:left w:val="single" w:color="000000" w:sz="4"/>
              <w:bottom w:val="single" w:color="000000" w:sz="4"/>
              <w:right w:val="single" w:color="000000" w:sz="4"/>
            </w:tcBorders>
            <w:vAlign w:val="top"/>
          </w:tcPr>
          <w:p>
            <w:pPr>
              <w:jc w:val="center"/>
            </w:pPr>
            <w:r>
              <w:rPr>
                <w:b/>
                <w:sz w:val="21"/>
              </w:rPr>
              <w:t>货物名称</w:t>
            </w:r>
          </w:p>
        </w:tc>
        <w:tc>
          <w:tcPr>
            <w:tcW w:type="dxa" w:w="4916"/>
            <w:tcBorders>
              <w:top w:val="single" w:color="000000" w:sz="4"/>
              <w:left w:val="single" w:color="000000" w:sz="4"/>
              <w:bottom w:val="single" w:color="000000" w:sz="4"/>
              <w:right w:val="single" w:color="000000" w:sz="4"/>
            </w:tcBorders>
            <w:vAlign w:val="top"/>
          </w:tcPr>
          <w:p>
            <w:pPr>
              <w:jc w:val="center"/>
            </w:pPr>
            <w:r>
              <w:rPr>
                <w:b/>
                <w:sz w:val="21"/>
              </w:rPr>
              <w:t>技术参数要求规格</w:t>
            </w:r>
          </w:p>
        </w:tc>
        <w:tc>
          <w:tcPr>
            <w:tcW w:type="dxa" w:w="722"/>
            <w:tcBorders>
              <w:top w:val="single" w:color="000000" w:sz="4"/>
              <w:left w:val="single" w:color="000000" w:sz="4"/>
              <w:bottom w:val="single" w:color="000000" w:sz="4"/>
              <w:right w:val="single" w:color="000000" w:sz="4"/>
            </w:tcBorders>
            <w:vAlign w:val="top"/>
          </w:tcPr>
          <w:p>
            <w:pPr>
              <w:jc w:val="center"/>
            </w:pPr>
            <w:r>
              <w:rPr>
                <w:b/>
                <w:sz w:val="21"/>
              </w:rPr>
              <w:t>数量</w:t>
            </w:r>
          </w:p>
        </w:tc>
        <w:tc>
          <w:tcPr>
            <w:tcW w:type="dxa" w:w="438"/>
            <w:tcBorders>
              <w:top w:val="single" w:color="000000" w:sz="4"/>
              <w:left w:val="single" w:color="000000" w:sz="4"/>
              <w:bottom w:val="single" w:color="000000" w:sz="4"/>
              <w:right w:val="single" w:color="000000" w:sz="4"/>
            </w:tcBorders>
            <w:vAlign w:val="top"/>
          </w:tcPr>
          <w:p>
            <w:pPr>
              <w:jc w:val="center"/>
            </w:pPr>
            <w:r>
              <w:rPr>
                <w:b/>
                <w:sz w:val="21"/>
              </w:rPr>
              <w:t>单位</w:t>
            </w:r>
          </w:p>
        </w:tc>
        <w:tc>
          <w:tcPr>
            <w:tcW w:type="dxa" w:w="1055"/>
            <w:tcBorders>
              <w:top w:val="single" w:color="000000" w:sz="4"/>
              <w:left w:val="single" w:color="000000" w:sz="4"/>
              <w:bottom w:val="single" w:color="000000" w:sz="4"/>
              <w:right w:val="single" w:color="000000" w:sz="4"/>
            </w:tcBorders>
            <w:vAlign w:val="top"/>
          </w:tcPr>
          <w:p>
            <w:pPr>
              <w:jc w:val="center"/>
            </w:pPr>
            <w:r>
              <w:rPr>
                <w:b/>
                <w:sz w:val="21"/>
              </w:rPr>
              <w:t>备注</w:t>
            </w: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LED黑板灯</w:t>
            </w:r>
          </w:p>
        </w:tc>
        <w:tc>
          <w:tcPr>
            <w:tcW w:type="dxa" w:w="4916"/>
            <w:tcBorders>
              <w:top w:val="none" w:color="000000" w:sz="4"/>
              <w:left w:val="single" w:color="000000" w:sz="4"/>
              <w:bottom w:val="single" w:color="000000" w:sz="4"/>
              <w:right w:val="single" w:color="000000" w:sz="4"/>
            </w:tcBorders>
            <w:vAlign w:val="top"/>
          </w:tcPr>
          <w:p>
            <w:r>
              <w:rPr>
                <w:sz w:val="21"/>
              </w:rPr>
              <w:t>1、</w:t>
            </w:r>
            <w:r>
              <w:rPr>
                <w:sz w:val="21"/>
              </w:rPr>
              <w:t>LED黑板灯功率36±5W，功率因数≥0.98。</w:t>
            </w:r>
            <w:r>
              <w:br/>
            </w:r>
            <w:r>
              <w:rPr>
                <w:sz w:val="21"/>
              </w:rPr>
              <w:t>2、LED黑板灯光通量≥2800LM，光效≥80LM/W。</w:t>
            </w:r>
            <w:r>
              <w:br/>
            </w:r>
            <w:r>
              <w:rPr>
                <w:sz w:val="21"/>
              </w:rPr>
              <w:t>3、LED黑板灯色温在5000±200K区间。</w:t>
            </w:r>
            <w:r>
              <w:br/>
            </w:r>
            <w:r>
              <w:rPr>
                <w:sz w:val="21"/>
              </w:rPr>
              <w:t>4、LED黑板灯显色指数≥95，特殊显色指数R9≥70，</w:t>
            </w:r>
          </w:p>
          <w:p>
            <w:r>
              <w:rPr>
                <w:sz w:val="21"/>
              </w:rPr>
              <w:t>★5、为使黑板面达到最佳照度均匀度与防眩效果，LED黑板灯半峰边角（50%）或1/2峰值光强夹角在C0-180面限于119°±2°；在C90-270面限于26°±2°,</w:t>
            </w:r>
            <w:r>
              <w:rPr>
                <w:sz w:val="21"/>
              </w:rPr>
              <w:t>供应商</w:t>
            </w:r>
            <w:r>
              <w:rPr>
                <w:sz w:val="21"/>
              </w:rPr>
              <w:t>须提供具有</w:t>
            </w:r>
            <w:r>
              <w:rPr>
                <w:sz w:val="21"/>
              </w:rPr>
              <w:t>CMA或CNAS资质的检测机构出具的检测报告复印件，要求内容能体现满足上述参数要求，并加盖供应商公章。</w:t>
            </w:r>
            <w:r>
              <w:br/>
            </w:r>
            <w:r>
              <w:rPr>
                <w:sz w:val="21"/>
              </w:rPr>
              <w:t>6、LED黑板灯“闪烁”项目检测结论为“无显著影响”，且光输出波形频率≥4200Hz且波动深度≤1%。</w:t>
            </w:r>
            <w:r>
              <w:br/>
            </w:r>
            <w:r>
              <w:rPr>
                <w:sz w:val="21"/>
              </w:rPr>
              <w:t>7、LED黑板灯光生物安全检测为“无危险类”。</w:t>
            </w:r>
            <w:r>
              <w:br/>
            </w:r>
            <w:r>
              <w:rPr>
                <w:sz w:val="21"/>
              </w:rPr>
              <w:t>8、LED黑板灯蓝光危害等级RG0。</w:t>
            </w:r>
            <w:r>
              <w:br/>
            </w:r>
            <w:r>
              <w:rPr>
                <w:sz w:val="21"/>
              </w:rPr>
              <w:t>◆</w:t>
            </w:r>
            <w:r>
              <w:rPr>
                <w:sz w:val="21"/>
              </w:rPr>
              <w:t>9、LED黑板灯驱动电源采用外置方案，并采用弹出式设计，便于产品免工具维护及升级安全操作。弹出按钮直径9～11MM，便于人手操作。LED黑板灯外置驱动电源盒分外盒、内盒；内盒与外盒通过内盒触片与外盒弹片接触方式实现电流传导。为避免外盒弹片与内盒触片接触面过小，要求输入输出4个内盒触片单个触片接触面不得小于9mm×5mm。</w:t>
            </w:r>
            <w:r>
              <w:rPr>
                <w:sz w:val="21"/>
              </w:rPr>
              <w:t>供应商</w:t>
            </w:r>
            <w:r>
              <w:rPr>
                <w:sz w:val="21"/>
              </w:rPr>
              <w:t>须提供技术规格书复印件及实物照片复印件（照片清晰可见相关尺寸）证明，并加盖供应商公章</w:t>
            </w:r>
            <w:r>
              <w:rPr>
                <w:sz w:val="21"/>
              </w:rPr>
              <w:t>。</w:t>
            </w:r>
            <w:r>
              <w:br/>
            </w:r>
            <w:r>
              <w:rPr>
                <w:sz w:val="21"/>
              </w:rPr>
              <w:t>◆</w:t>
            </w:r>
            <w:r>
              <w:rPr>
                <w:sz w:val="21"/>
              </w:rPr>
              <w:t>10、LED黑板灯须通过国家强制性CCC认证；认证证书委托人、生产者、生产企业必须为同一公司名称。且为了保证产品的寿命及稳定性，要求LED模块颗数乘以LED模块额定功率之积是灯具额定功率的三倍以上（含三倍）提供CCC认证证书复印件，并加盖供应商公章。</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366</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盏</w:t>
            </w:r>
          </w:p>
        </w:tc>
        <w:tc>
          <w:tcPr>
            <w:tcW w:type="dxa" w:w="1055"/>
            <w:tcBorders>
              <w:top w:val="none" w:color="000000" w:sz="4"/>
              <w:left w:val="single" w:color="000000" w:sz="4"/>
              <w:bottom w:val="single" w:color="000000" w:sz="4"/>
              <w:right w:val="single" w:color="000000" w:sz="4"/>
            </w:tcBorders>
            <w:vAlign w:val="top"/>
          </w:tcPr>
          <w:p>
            <w:pPr>
              <w:jc w:val="center"/>
            </w:pPr>
            <w:r>
              <w:rPr>
                <w:sz w:val="21"/>
              </w:rPr>
              <w:t>免费质保五年</w:t>
            </w: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2</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LED面板灯</w:t>
            </w:r>
          </w:p>
        </w:tc>
        <w:tc>
          <w:tcPr>
            <w:tcW w:type="dxa" w:w="4916"/>
            <w:tcBorders>
              <w:top w:val="none" w:color="000000" w:sz="4"/>
              <w:left w:val="single" w:color="000000" w:sz="4"/>
              <w:bottom w:val="single" w:color="000000" w:sz="4"/>
              <w:right w:val="single" w:color="000000" w:sz="4"/>
            </w:tcBorders>
            <w:vAlign w:val="top"/>
          </w:tcPr>
          <w:p>
            <w:r>
              <w:rPr>
                <w:sz w:val="21"/>
              </w:rPr>
              <w:t>1、LED面板灯功率36±5W，功率因数≥0.90。</w:t>
            </w:r>
          </w:p>
          <w:p>
            <w:r>
              <w:rPr>
                <w:sz w:val="21"/>
              </w:rPr>
              <w:t>2、LED面板灯光通量≥2800LM，光效≥80LM/W。</w:t>
            </w:r>
          </w:p>
          <w:p>
            <w:r>
              <w:rPr>
                <w:sz w:val="21"/>
              </w:rPr>
              <w:t>3、LED面板灯色温在5000±200K区间。</w:t>
            </w:r>
          </w:p>
          <w:p>
            <w:r>
              <w:rPr>
                <w:sz w:val="21"/>
              </w:rPr>
              <w:t>4、LED面板灯显色指数≥90，特殊显色指数R9≥50。</w:t>
            </w:r>
          </w:p>
          <w:p>
            <w:r>
              <w:rPr>
                <w:sz w:val="21"/>
              </w:rPr>
              <w:t>★5、为使课桌面达到最佳照度均匀度与防眩效果，LED面板灯半峰边角（50%）或1/2峰值光强夹角在C0-180面满足97°±2°；在C90-270面满足104°±2°°,</w:t>
            </w:r>
            <w:r>
              <w:rPr>
                <w:sz w:val="21"/>
              </w:rPr>
              <w:t>供应商</w:t>
            </w:r>
            <w:r>
              <w:rPr>
                <w:sz w:val="21"/>
              </w:rPr>
              <w:t>须提供具有</w:t>
            </w:r>
            <w:r>
              <w:rPr>
                <w:sz w:val="21"/>
              </w:rPr>
              <w:t>CMA或CNAS资质的检测机构出具的检测报告复印件，要求内容能体现满足上述参数要求，并加盖供应商公章）</w:t>
            </w:r>
          </w:p>
          <w:p>
            <w:r>
              <w:rPr>
                <w:sz w:val="21"/>
              </w:rPr>
              <w:t>6、LED面板灯光生物安全检测为“无危险类”。</w:t>
            </w:r>
          </w:p>
          <w:p>
            <w:r>
              <w:rPr>
                <w:sz w:val="21"/>
              </w:rPr>
              <w:t>7、LED面板灯频闪质量特性认证结果为无危害频闪或无频闪危害。</w:t>
            </w:r>
          </w:p>
          <w:p>
            <w:r>
              <w:rPr>
                <w:sz w:val="21"/>
              </w:rPr>
              <w:t>8、LED面板灯蓝光危害等级为RG0。</w:t>
            </w:r>
          </w:p>
          <w:p>
            <w:r>
              <w:rPr>
                <w:sz w:val="21"/>
              </w:rPr>
              <w:t>◆</w:t>
            </w:r>
            <w:r>
              <w:rPr>
                <w:sz w:val="21"/>
              </w:rPr>
              <w:t>9、LED面板灯须通过国家强制性CCC认证；认证证书委托人、生产者、生产企业必须为同一公司。提供CCC认证证书复印件，并加盖供应商公章。</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1238</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盏</w:t>
            </w:r>
          </w:p>
        </w:tc>
        <w:tc>
          <w:tcPr>
            <w:tcW w:type="dxa" w:w="1055"/>
            <w:tcBorders>
              <w:top w:val="none" w:color="000000" w:sz="4"/>
              <w:left w:val="single" w:color="000000" w:sz="4"/>
              <w:bottom w:val="single" w:color="000000" w:sz="4"/>
              <w:right w:val="single" w:color="000000" w:sz="4"/>
            </w:tcBorders>
            <w:vAlign w:val="top"/>
          </w:tcPr>
          <w:p>
            <w:pPr>
              <w:jc w:val="center"/>
            </w:pPr>
            <w:r>
              <w:rPr>
                <w:sz w:val="21"/>
              </w:rPr>
              <w:t>免费质保五年</w:t>
            </w: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3</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LED教室灯</w:t>
            </w:r>
          </w:p>
        </w:tc>
        <w:tc>
          <w:tcPr>
            <w:tcW w:type="dxa" w:w="4916"/>
            <w:tcBorders>
              <w:top w:val="none" w:color="000000" w:sz="4"/>
              <w:left w:val="single" w:color="000000" w:sz="4"/>
              <w:bottom w:val="single" w:color="000000" w:sz="4"/>
              <w:right w:val="single" w:color="000000" w:sz="4"/>
            </w:tcBorders>
            <w:vAlign w:val="top"/>
          </w:tcPr>
          <w:p>
            <w:r>
              <w:rPr>
                <w:sz w:val="21"/>
              </w:rPr>
              <w:t>1、LED教室灯功率36±5W，功率因数≥0.90。</w:t>
            </w:r>
          </w:p>
          <w:p>
            <w:r>
              <w:rPr>
                <w:sz w:val="21"/>
              </w:rPr>
              <w:t>2、LED教室灯光通量≥3200LM，光效≥90LM/W。</w:t>
            </w:r>
          </w:p>
          <w:p>
            <w:r>
              <w:rPr>
                <w:sz w:val="21"/>
              </w:rPr>
              <w:t>3、LED教室灯色温在5000±200K区间。</w:t>
            </w:r>
          </w:p>
          <w:p>
            <w:r>
              <w:rPr>
                <w:sz w:val="21"/>
              </w:rPr>
              <w:t>4、LED教室灯显色指数≥90，特殊显色指数R9≥50。</w:t>
            </w:r>
          </w:p>
          <w:p>
            <w:r>
              <w:rPr>
                <w:sz w:val="21"/>
              </w:rPr>
              <w:t>◆</w:t>
            </w:r>
            <w:r>
              <w:rPr>
                <w:sz w:val="21"/>
              </w:rPr>
              <w:t>5、为使课桌面达到最佳照度均匀度与防眩效果，LED教室灯半峰边角（50%）或1/2峰值光强夹角在C0-180面满足70°±2°；在C90-270面满足68°±2°；</w:t>
            </w:r>
            <w:r>
              <w:rPr>
                <w:sz w:val="21"/>
              </w:rPr>
              <w:t>供应商</w:t>
            </w:r>
            <w:r>
              <w:rPr>
                <w:sz w:val="21"/>
              </w:rPr>
              <w:t>须提供具有</w:t>
            </w:r>
            <w:r>
              <w:rPr>
                <w:sz w:val="21"/>
              </w:rPr>
              <w:t>CMA或CNAS资质的检测机构出具的检测报告复印件，要求内容能体现满足上述参数要求，并加盖供应商公章）</w:t>
            </w:r>
          </w:p>
          <w:p>
            <w:r>
              <w:rPr>
                <w:sz w:val="21"/>
              </w:rPr>
              <w:t>6、LED教室灯“闪烁”项目检测结论为“无显著影响”。</w:t>
            </w:r>
          </w:p>
          <w:p>
            <w:r>
              <w:rPr>
                <w:sz w:val="21"/>
              </w:rPr>
              <w:t>7、LED教室灯蓝光危害等级RG0。</w:t>
            </w:r>
          </w:p>
          <w:p>
            <w:r>
              <w:rPr>
                <w:sz w:val="21"/>
              </w:rPr>
              <w:t>8、LED教室灯光生物安全检测为“无危险类”。</w:t>
            </w:r>
          </w:p>
          <w:p>
            <w:r>
              <w:rPr>
                <w:sz w:val="21"/>
              </w:rPr>
              <w:t>◆</w:t>
            </w:r>
            <w:r>
              <w:rPr>
                <w:sz w:val="21"/>
              </w:rPr>
              <w:t>9、LED教室灯应为一体式灯具，不接受组合式灯具，边框材料应采用银色铝型材；LED教室灯应采用格栅防眩光处理；格栅网面内侧应有防尘板（膜）；LED教室灯应实现背部透光，提高教室照明舒适度；LED教室灯采用吊杆式安装时，吊杆应采用铝型材质管。需提供技术规格书复印件和实物图复印件证明，并加盖供应商公章。</w:t>
            </w:r>
          </w:p>
          <w:p>
            <w:r>
              <w:rPr>
                <w:sz w:val="21"/>
              </w:rPr>
              <w:t>★10、LED教室灯驱动电源采用外置方案，并采用弹出式设计，便于产品免工具维护及升级安全操作。弹出按钮直径9～11MM，便于人手操作。LED教室灯外置驱动电源盒分外盒、内盒；内盒与外盒通过内盒触片与外盒弹片接触方式实现电流传导。为避免外盒弹片与内盒触片接触面过小，要求输入输出4个内盒触片单个触片接触面不得小于9mm×5mm。</w:t>
            </w:r>
          </w:p>
          <w:p>
            <w:r>
              <w:rPr>
                <w:sz w:val="21"/>
              </w:rPr>
              <w:t>供应商必须提供技术规格书复印件及实物照片复印件（照片清晰可见相关尺寸）证明，并加盖供应商公章。</w:t>
            </w:r>
          </w:p>
          <w:p>
            <w:r>
              <w:rPr>
                <w:sz w:val="21"/>
              </w:rPr>
              <w:t>◆</w:t>
            </w:r>
            <w:r>
              <w:rPr>
                <w:sz w:val="21"/>
              </w:rPr>
              <w:t>11、LED教室灯须通过国家强制性CCC认证；认证证书委托人、生产者、生产企业必须为同一公司名称。且为了保证产品的寿命及稳定性，要求LED模块颗数乘以LED模块额定功率之积是灯具额定功率的三倍以上（含三倍）提供CCC认证证书复印件，并加盖供应商公章。</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274</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盏</w:t>
            </w:r>
          </w:p>
        </w:tc>
        <w:tc>
          <w:tcPr>
            <w:tcW w:type="dxa" w:w="1055"/>
            <w:tcBorders>
              <w:top w:val="none" w:color="000000" w:sz="4"/>
              <w:left w:val="single" w:color="000000" w:sz="4"/>
              <w:bottom w:val="single" w:color="000000" w:sz="4"/>
              <w:right w:val="single" w:color="000000" w:sz="4"/>
            </w:tcBorders>
            <w:vAlign w:val="top"/>
          </w:tcPr>
          <w:p>
            <w:pPr>
              <w:jc w:val="center"/>
            </w:pPr>
            <w:r>
              <w:rPr>
                <w:sz w:val="21"/>
              </w:rPr>
              <w:t>幼儿园专用灯</w:t>
            </w: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4</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杀菌灯</w:t>
            </w:r>
          </w:p>
        </w:tc>
        <w:tc>
          <w:tcPr>
            <w:tcW w:type="dxa" w:w="4916"/>
            <w:tcBorders>
              <w:top w:val="none" w:color="000000" w:sz="4"/>
              <w:left w:val="single" w:color="000000" w:sz="4"/>
              <w:bottom w:val="single" w:color="000000" w:sz="4"/>
              <w:right w:val="single" w:color="000000" w:sz="4"/>
            </w:tcBorders>
            <w:vAlign w:val="top"/>
          </w:tcPr>
          <w:p>
            <w:r>
              <w:rPr>
                <w:sz w:val="21"/>
              </w:rPr>
              <w:t>1、套接式紫外杀菌灯额定功率：2*11W</w:t>
            </w:r>
          </w:p>
          <w:p>
            <w:r>
              <w:rPr>
                <w:sz w:val="21"/>
              </w:rPr>
              <w:t>2、套接式紫外杀菌灯工作电压：AC220V</w:t>
            </w:r>
          </w:p>
          <w:p>
            <w:r>
              <w:rPr>
                <w:sz w:val="21"/>
              </w:rPr>
              <w:t>3、套接式紫外杀菌灯功率因数≥0.80</w:t>
            </w:r>
          </w:p>
          <w:p>
            <w:r>
              <w:rPr>
                <w:sz w:val="21"/>
              </w:rPr>
              <w:t>4、套接式紫外杀菌灯光谱波长：253.7nm</w:t>
            </w:r>
          </w:p>
          <w:p>
            <w:r>
              <w:rPr>
                <w:sz w:val="21"/>
              </w:rPr>
              <w:t>5、套接式紫外杀菌灯具有红外人体感应功能，人在现场杀菌灯不工作。感应无人启动延时30秒，启动后检测有人误闯入立即关灯，防止紫外线伤人，保证人体安全。</w:t>
            </w:r>
          </w:p>
          <w:p>
            <w:r>
              <w:rPr>
                <w:sz w:val="21"/>
              </w:rPr>
              <w:t>◆</w:t>
            </w:r>
            <w:r>
              <w:rPr>
                <w:sz w:val="21"/>
              </w:rPr>
              <w:t>6、紫外杀菌灯套接于教室灯。紫外杀菌灯整体（含接线端子等小部件）尺寸：长度328±3mm；宽度312±3mm。为了保证紫外杀菌灯（照明灯套接式）与LED照明灯能稳固套接，紫外杀菌灯用于套接LED照明灯的套接槽内尺寸必须保证槽内宽度18±2mm；槽内深度17±2mm。为了保证紫外杀菌灯（照明灯套接式）套接槽承重能力，要求套接槽厚度≥0.8mm。为了实现良好的杀菌效果并方便杀菌灯维修更换，紫外杀菌灯必须水平横向套接在照明灯一端，紫外杀菌灯的出光口必须直接朝下设计，供应商必须提供加盖供应商公章的技术规格书复印件及实物照片复印件(照片清晰可见相关尺寸)证明。</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137</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个</w:t>
            </w:r>
          </w:p>
        </w:tc>
        <w:tc>
          <w:tcPr>
            <w:tcW w:type="dxa" w:w="1055"/>
            <w:tcBorders>
              <w:top w:val="none" w:color="000000" w:sz="4"/>
              <w:left w:val="single" w:color="000000" w:sz="4"/>
              <w:bottom w:val="single" w:color="000000" w:sz="4"/>
              <w:right w:val="single" w:color="000000" w:sz="4"/>
            </w:tcBorders>
            <w:vAlign w:val="top"/>
          </w:tcPr>
          <w:p>
            <w:pPr>
              <w:jc w:val="center"/>
            </w:pPr>
            <w:r>
              <w:rPr>
                <w:sz w:val="21"/>
              </w:rPr>
              <w:t>平均</w:t>
            </w:r>
            <w:r>
              <w:rPr>
                <w:sz w:val="21"/>
              </w:rPr>
              <w:t>2盏灯布设1盏杀菌灯，杀菌灯和灯具一体</w:t>
            </w: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5</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吊杆</w:t>
            </w:r>
          </w:p>
        </w:tc>
        <w:tc>
          <w:tcPr>
            <w:tcW w:type="dxa" w:w="4916"/>
            <w:tcBorders>
              <w:top w:val="none" w:color="000000" w:sz="4"/>
              <w:left w:val="single" w:color="000000" w:sz="4"/>
              <w:bottom w:val="single" w:color="000000" w:sz="4"/>
              <w:right w:val="single" w:color="000000" w:sz="4"/>
            </w:tcBorders>
            <w:vAlign w:val="top"/>
          </w:tcPr>
          <w:p>
            <w:r>
              <w:rPr>
                <w:sz w:val="21"/>
              </w:rPr>
              <w:t>吊杆式安装，吊杆应采用铝型材质管，灯具安装吊杆外径不小于</w:t>
            </w:r>
            <w:r>
              <w:rPr>
                <w:sz w:val="21"/>
              </w:rPr>
              <w:t>11.5mm，壁厚不小于0.95mm；表面阳极氧化本色。</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3750</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根</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6</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藏线盒</w:t>
            </w:r>
          </w:p>
        </w:tc>
        <w:tc>
          <w:tcPr>
            <w:tcW w:type="dxa" w:w="4916"/>
            <w:tcBorders>
              <w:top w:val="none" w:color="000000" w:sz="4"/>
              <w:left w:val="single" w:color="000000" w:sz="4"/>
              <w:bottom w:val="single" w:color="000000" w:sz="4"/>
              <w:right w:val="single" w:color="000000" w:sz="4"/>
            </w:tcBorders>
            <w:vAlign w:val="top"/>
          </w:tcPr>
          <w:p>
            <w:r>
              <w:rPr>
                <w:sz w:val="21"/>
              </w:rPr>
              <w:t>藏线盒</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3750</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个</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7</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双联单控开关</w:t>
            </w:r>
          </w:p>
        </w:tc>
        <w:tc>
          <w:tcPr>
            <w:tcW w:type="dxa" w:w="4916"/>
            <w:tcBorders>
              <w:top w:val="none" w:color="000000" w:sz="4"/>
              <w:left w:val="single" w:color="000000" w:sz="4"/>
              <w:bottom w:val="single" w:color="000000" w:sz="4"/>
              <w:right w:val="single" w:color="000000" w:sz="4"/>
            </w:tcBorders>
            <w:vAlign w:val="top"/>
          </w:tcPr>
          <w:p>
            <w:r>
              <w:rPr>
                <w:sz w:val="21"/>
              </w:rPr>
              <w:t>双联单控开关</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175</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个</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8</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电源线</w:t>
            </w:r>
          </w:p>
        </w:tc>
        <w:tc>
          <w:tcPr>
            <w:tcW w:type="dxa" w:w="4916"/>
            <w:tcBorders>
              <w:top w:val="none" w:color="000000" w:sz="4"/>
              <w:left w:val="single" w:color="000000" w:sz="4"/>
              <w:bottom w:val="single" w:color="000000" w:sz="4"/>
              <w:right w:val="single" w:color="000000" w:sz="4"/>
            </w:tcBorders>
            <w:vAlign w:val="top"/>
          </w:tcPr>
          <w:p>
            <w:r>
              <w:rPr>
                <w:sz w:val="21"/>
              </w:rPr>
              <w:t>1.名称:管内穿线；2.配线形式:主干照明线路；3.规格:3*2.5；4.材质:铜芯</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4100</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米</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9</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电源线</w:t>
            </w:r>
          </w:p>
        </w:tc>
        <w:tc>
          <w:tcPr>
            <w:tcW w:type="dxa" w:w="4916"/>
            <w:tcBorders>
              <w:top w:val="none" w:color="000000" w:sz="4"/>
              <w:left w:val="single" w:color="000000" w:sz="4"/>
              <w:bottom w:val="single" w:color="000000" w:sz="4"/>
              <w:right w:val="single" w:color="000000" w:sz="4"/>
            </w:tcBorders>
            <w:vAlign w:val="top"/>
          </w:tcPr>
          <w:p>
            <w:r>
              <w:rPr>
                <w:sz w:val="21"/>
              </w:rPr>
              <w:t>1.名称:管内穿线；2.配线形式:分支照明线路；3.规格:RVB-2*1.5；4.材质:铜芯</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15417</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米</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10</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电源线</w:t>
            </w:r>
          </w:p>
        </w:tc>
        <w:tc>
          <w:tcPr>
            <w:tcW w:type="dxa" w:w="4916"/>
            <w:tcBorders>
              <w:top w:val="none" w:color="000000" w:sz="4"/>
              <w:left w:val="single" w:color="000000" w:sz="4"/>
              <w:bottom w:val="single" w:color="000000" w:sz="4"/>
              <w:right w:val="single" w:color="000000" w:sz="4"/>
            </w:tcBorders>
            <w:vAlign w:val="top"/>
          </w:tcPr>
          <w:p>
            <w:r>
              <w:rPr>
                <w:sz w:val="21"/>
              </w:rPr>
              <w:t>1.名称:管内穿线；2.配线形式:风扇线路改造和新增；3.规格:RVV2*2.5；4.材质:铜芯</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9560</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米</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w:t>
            </w:r>
            <w:r>
              <w:rPr>
                <w:sz w:val="21"/>
              </w:rPr>
              <w:t>1</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线槽</w:t>
            </w:r>
          </w:p>
        </w:tc>
        <w:tc>
          <w:tcPr>
            <w:tcW w:type="dxa" w:w="4916"/>
            <w:tcBorders>
              <w:top w:val="none" w:color="000000" w:sz="4"/>
              <w:left w:val="single" w:color="000000" w:sz="4"/>
              <w:bottom w:val="single" w:color="000000" w:sz="4"/>
              <w:right w:val="single" w:color="000000" w:sz="4"/>
            </w:tcBorders>
            <w:vAlign w:val="top"/>
          </w:tcPr>
          <w:p>
            <w:r>
              <w:rPr>
                <w:sz w:val="21"/>
              </w:rPr>
              <w:t>1.名称:刚性难燃管；2.规格:PC20；3.配置形式:明配</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7010</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米</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w:t>
            </w:r>
            <w:r>
              <w:rPr>
                <w:sz w:val="21"/>
              </w:rPr>
              <w:t>2</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灯具拆除费用</w:t>
            </w:r>
          </w:p>
        </w:tc>
        <w:tc>
          <w:tcPr>
            <w:tcW w:type="dxa" w:w="4916"/>
            <w:tcBorders>
              <w:top w:val="none" w:color="000000" w:sz="4"/>
              <w:left w:val="single" w:color="000000" w:sz="4"/>
              <w:bottom w:val="single" w:color="000000" w:sz="4"/>
              <w:right w:val="single" w:color="000000" w:sz="4"/>
            </w:tcBorders>
            <w:vAlign w:val="top"/>
          </w:tcPr>
          <w:p>
            <w:r>
              <w:rPr>
                <w:sz w:val="21"/>
              </w:rPr>
              <w:t>把学校原有的旧灯具及线路拆除，并把旧灯具及垃圾搬运放置学校指定的地点。</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121</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w:t>
            </w:r>
            <w:r>
              <w:rPr>
                <w:sz w:val="21"/>
              </w:rPr>
              <w:t>3</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灯具及杀菌灯拆除费用</w:t>
            </w:r>
          </w:p>
        </w:tc>
        <w:tc>
          <w:tcPr>
            <w:tcW w:type="dxa" w:w="4916"/>
            <w:tcBorders>
              <w:top w:val="none" w:color="000000" w:sz="4"/>
              <w:left w:val="single" w:color="000000" w:sz="4"/>
              <w:bottom w:val="single" w:color="000000" w:sz="4"/>
              <w:right w:val="single" w:color="000000" w:sz="4"/>
            </w:tcBorders>
            <w:vAlign w:val="top"/>
          </w:tcPr>
          <w:p>
            <w:r>
              <w:rPr>
                <w:sz w:val="21"/>
              </w:rPr>
              <w:t>把学校原有的旧灯具、杀菌灯及线路拆除，并把旧灯具</w:t>
            </w:r>
            <w:r>
              <w:rPr>
                <w:sz w:val="21"/>
              </w:rPr>
              <w:t>/杀菌灯及垃圾搬运放置学校指定的地点，并把教室现有的玩具和物品搬迁放置安全位置</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18</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w:t>
            </w:r>
            <w:r>
              <w:rPr>
                <w:sz w:val="21"/>
              </w:rPr>
              <w:t>4</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更换吸顶摇头扇</w:t>
            </w:r>
          </w:p>
        </w:tc>
        <w:tc>
          <w:tcPr>
            <w:tcW w:type="dxa" w:w="4916"/>
            <w:tcBorders>
              <w:top w:val="none" w:color="000000" w:sz="4"/>
              <w:left w:val="single" w:color="000000" w:sz="4"/>
              <w:bottom w:val="single" w:color="000000" w:sz="4"/>
              <w:right w:val="single" w:color="000000" w:sz="4"/>
            </w:tcBorders>
            <w:vAlign w:val="top"/>
          </w:tcPr>
          <w:p>
            <w:r>
              <w:rPr>
                <w:sz w:val="21"/>
              </w:rPr>
              <w:t>定频，风力档位：</w:t>
            </w:r>
            <w:r>
              <w:rPr>
                <w:sz w:val="21"/>
              </w:rPr>
              <w:t>3档，机械式，扇叶片数：3-5叶</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855</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台</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w:t>
            </w:r>
            <w:r>
              <w:rPr>
                <w:sz w:val="21"/>
              </w:rPr>
              <w:t>5</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更换壁挂摇头扇</w:t>
            </w:r>
          </w:p>
        </w:tc>
        <w:tc>
          <w:tcPr>
            <w:tcW w:type="dxa" w:w="4916"/>
            <w:tcBorders>
              <w:top w:val="none" w:color="000000" w:sz="4"/>
              <w:left w:val="single" w:color="000000" w:sz="4"/>
              <w:bottom w:val="single" w:color="000000" w:sz="4"/>
              <w:right w:val="single" w:color="000000" w:sz="4"/>
            </w:tcBorders>
            <w:vAlign w:val="top"/>
          </w:tcPr>
          <w:p>
            <w:r>
              <w:rPr>
                <w:sz w:val="21"/>
              </w:rPr>
              <w:t>定频，风力档位：</w:t>
            </w:r>
            <w:r>
              <w:rPr>
                <w:sz w:val="21"/>
              </w:rPr>
              <w:t>3档，机械式，扇叶片数：3-5叶</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127</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台</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w:t>
            </w:r>
            <w:r>
              <w:rPr>
                <w:sz w:val="21"/>
              </w:rPr>
              <w:t>6</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配件</w:t>
            </w:r>
          </w:p>
        </w:tc>
        <w:tc>
          <w:tcPr>
            <w:tcW w:type="dxa" w:w="4916"/>
            <w:tcBorders>
              <w:top w:val="none" w:color="000000" w:sz="4"/>
              <w:left w:val="single" w:color="000000" w:sz="4"/>
              <w:bottom w:val="single" w:color="000000" w:sz="4"/>
              <w:right w:val="single" w:color="000000" w:sz="4"/>
            </w:tcBorders>
            <w:vAlign w:val="top"/>
          </w:tcPr>
          <w:p>
            <w:r>
              <w:rPr>
                <w:sz w:val="21"/>
              </w:rPr>
              <w:t>风扇插座，底盒，开关等其它小配件辅材</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856</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个</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w:t>
            </w:r>
            <w:r>
              <w:rPr>
                <w:sz w:val="21"/>
              </w:rPr>
              <w:t>7</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吊扇拆除及安装</w:t>
            </w:r>
          </w:p>
        </w:tc>
        <w:tc>
          <w:tcPr>
            <w:tcW w:type="dxa" w:w="4916"/>
            <w:tcBorders>
              <w:top w:val="none" w:color="000000" w:sz="4"/>
              <w:left w:val="single" w:color="000000" w:sz="4"/>
              <w:bottom w:val="single" w:color="000000" w:sz="4"/>
              <w:right w:val="single" w:color="000000" w:sz="4"/>
            </w:tcBorders>
            <w:vAlign w:val="top"/>
          </w:tcPr>
          <w:p>
            <w:r>
              <w:rPr>
                <w:sz w:val="21"/>
              </w:rPr>
              <w:t>1：原教室旧风扇、线路拆除及改造，并把施工产生垃圾搬运清理干净、重新安装新风扇和调整风扇位置和线路改造及敷设。</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121</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w:t>
            </w:r>
            <w:r>
              <w:rPr>
                <w:sz w:val="21"/>
              </w:rPr>
              <w:t>8</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安装人工费</w:t>
            </w:r>
          </w:p>
        </w:tc>
        <w:tc>
          <w:tcPr>
            <w:tcW w:type="dxa" w:w="4916"/>
            <w:tcBorders>
              <w:top w:val="none" w:color="000000" w:sz="4"/>
              <w:left w:val="single" w:color="000000" w:sz="4"/>
              <w:bottom w:val="single" w:color="000000" w:sz="4"/>
              <w:right w:val="single" w:color="000000" w:sz="4"/>
            </w:tcBorders>
            <w:vAlign w:val="top"/>
          </w:tcPr>
          <w:p>
            <w:r>
              <w:rPr>
                <w:sz w:val="21"/>
              </w:rPr>
              <w:t>人工安装费及辅材配件施工，电源，线槽线路敷设垃圾清运。</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121</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1</w:t>
            </w:r>
            <w:r>
              <w:rPr>
                <w:sz w:val="21"/>
              </w:rPr>
              <w:t>9</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旧教室护眼灯迁移和恢复</w:t>
            </w:r>
          </w:p>
        </w:tc>
        <w:tc>
          <w:tcPr>
            <w:tcW w:type="dxa" w:w="4916"/>
            <w:tcBorders>
              <w:top w:val="none" w:color="000000" w:sz="4"/>
              <w:left w:val="single" w:color="000000" w:sz="4"/>
              <w:bottom w:val="single" w:color="000000" w:sz="4"/>
              <w:right w:val="single" w:color="000000" w:sz="4"/>
            </w:tcBorders>
            <w:vAlign w:val="top"/>
          </w:tcPr>
          <w:p>
            <w:r>
              <w:rPr>
                <w:sz w:val="21"/>
              </w:rPr>
              <w:t>把原有的教室护眼等及其它配件线路迁移到学校指定的教室并重新安装敷设</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24</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20</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修补及人工</w:t>
            </w:r>
          </w:p>
        </w:tc>
        <w:tc>
          <w:tcPr>
            <w:tcW w:type="dxa" w:w="4916"/>
            <w:tcBorders>
              <w:top w:val="none" w:color="000000" w:sz="4"/>
              <w:left w:val="single" w:color="000000" w:sz="4"/>
              <w:bottom w:val="single" w:color="000000" w:sz="4"/>
              <w:right w:val="single" w:color="000000" w:sz="4"/>
            </w:tcBorders>
            <w:vAlign w:val="top"/>
          </w:tcPr>
          <w:p>
            <w:r>
              <w:rPr>
                <w:sz w:val="21"/>
              </w:rPr>
              <w:t>旧线槽拆除后需要补灰，修补回复美化</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项</w:t>
            </w:r>
          </w:p>
        </w:tc>
        <w:tc>
          <w:tcPr>
            <w:tcW w:type="dxa" w:w="1055"/>
            <w:tcBorders>
              <w:top w:val="none" w:color="000000" w:sz="4"/>
              <w:left w:val="single" w:color="000000" w:sz="4"/>
              <w:bottom w:val="single" w:color="000000" w:sz="4"/>
              <w:right w:val="single" w:color="000000" w:sz="4"/>
            </w:tcBorders>
            <w:vAlign w:val="top"/>
          </w:tcPr>
          <w:p>
            <w:pPr>
              <w:jc w:val="center"/>
            </w:p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2</w:t>
            </w:r>
            <w:r>
              <w:rPr>
                <w:sz w:val="21"/>
              </w:rPr>
              <w:t>1</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杀菌灯安装</w:t>
            </w:r>
          </w:p>
        </w:tc>
        <w:tc>
          <w:tcPr>
            <w:tcW w:type="dxa" w:w="4916"/>
            <w:tcBorders>
              <w:top w:val="none" w:color="000000" w:sz="4"/>
              <w:left w:val="single" w:color="000000" w:sz="4"/>
              <w:bottom w:val="single" w:color="000000" w:sz="4"/>
              <w:right w:val="single" w:color="000000" w:sz="4"/>
            </w:tcBorders>
            <w:vAlign w:val="top"/>
          </w:tcPr>
          <w:p>
            <w:r>
              <w:rPr>
                <w:sz w:val="21"/>
              </w:rPr>
              <w:t>1：原教室线路拆除及改造，并把施工产生垃圾搬运清理干净、重新安装新杀菌灯和调整杀菌灯位置和线路改造及敷设。</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18</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1055"/>
            <w:tcBorders>
              <w:top w:val="none" w:color="000000" w:sz="4"/>
              <w:left w:val="single" w:color="000000" w:sz="4"/>
              <w:bottom w:val="single" w:color="000000" w:sz="4"/>
              <w:right w:val="single" w:color="000000" w:sz="4"/>
            </w:tcBorders>
            <w:vAlign w:val="top"/>
          </w:tcPr>
          <w:p/>
        </w:tc>
      </w:tr>
      <w:tr>
        <w:tc>
          <w:tcPr>
            <w:tcW w:type="dxa" w:w="440"/>
            <w:tcBorders>
              <w:top w:val="none" w:color="000000" w:sz="4"/>
              <w:left w:val="single" w:color="000000" w:sz="4"/>
              <w:bottom w:val="single" w:color="000000" w:sz="4"/>
              <w:right w:val="single" w:color="000000" w:sz="4"/>
            </w:tcBorders>
            <w:vAlign w:val="top"/>
          </w:tcPr>
          <w:p>
            <w:pPr>
              <w:jc w:val="center"/>
            </w:pPr>
            <w:r>
              <w:rPr>
                <w:sz w:val="21"/>
              </w:rPr>
              <w:t>2</w:t>
            </w:r>
            <w:r>
              <w:rPr>
                <w:sz w:val="21"/>
              </w:rPr>
              <w:t>2</w:t>
            </w:r>
          </w:p>
        </w:tc>
        <w:tc>
          <w:tcPr>
            <w:tcW w:type="dxa" w:w="734"/>
            <w:tcBorders>
              <w:top w:val="none" w:color="000000" w:sz="4"/>
              <w:left w:val="single" w:color="000000" w:sz="4"/>
              <w:bottom w:val="single" w:color="000000" w:sz="4"/>
              <w:right w:val="single" w:color="000000" w:sz="4"/>
            </w:tcBorders>
            <w:vAlign w:val="top"/>
          </w:tcPr>
          <w:p>
            <w:pPr>
              <w:jc w:val="center"/>
            </w:pPr>
            <w:r>
              <w:rPr>
                <w:sz w:val="21"/>
              </w:rPr>
              <w:t>安装人工费</w:t>
            </w:r>
          </w:p>
        </w:tc>
        <w:tc>
          <w:tcPr>
            <w:tcW w:type="dxa" w:w="4916"/>
            <w:tcBorders>
              <w:top w:val="none" w:color="000000" w:sz="4"/>
              <w:left w:val="single" w:color="000000" w:sz="4"/>
              <w:bottom w:val="single" w:color="000000" w:sz="4"/>
              <w:right w:val="single" w:color="000000" w:sz="4"/>
            </w:tcBorders>
            <w:vAlign w:val="top"/>
          </w:tcPr>
          <w:p>
            <w:r>
              <w:rPr>
                <w:sz w:val="21"/>
              </w:rPr>
              <w:t>人工安装费及辅材配件施工，电源，线槽线路敷设垃圾清运。</w:t>
            </w:r>
          </w:p>
        </w:tc>
        <w:tc>
          <w:tcPr>
            <w:tcW w:type="dxa" w:w="722"/>
            <w:tcBorders>
              <w:top w:val="none" w:color="000000" w:sz="4"/>
              <w:left w:val="single" w:color="000000" w:sz="4"/>
              <w:bottom w:val="single" w:color="000000" w:sz="4"/>
              <w:right w:val="single" w:color="000000" w:sz="4"/>
            </w:tcBorders>
            <w:vAlign w:val="top"/>
          </w:tcPr>
          <w:p>
            <w:pPr>
              <w:jc w:val="center"/>
            </w:pPr>
            <w:r>
              <w:rPr>
                <w:sz w:val="21"/>
              </w:rPr>
              <w:t>18</w:t>
            </w:r>
          </w:p>
        </w:tc>
        <w:tc>
          <w:tcPr>
            <w:tcW w:type="dxa" w:w="438"/>
            <w:tcBorders>
              <w:top w:val="none" w:color="000000" w:sz="4"/>
              <w:left w:val="single" w:color="000000" w:sz="4"/>
              <w:bottom w:val="single" w:color="000000" w:sz="4"/>
              <w:right w:val="single" w:color="000000" w:sz="4"/>
            </w:tcBorders>
            <w:vAlign w:val="top"/>
          </w:tcPr>
          <w:p>
            <w:pPr>
              <w:jc w:val="center"/>
            </w:pPr>
            <w:r>
              <w:rPr>
                <w:sz w:val="21"/>
              </w:rPr>
              <w:t>间</w:t>
            </w:r>
          </w:p>
        </w:tc>
        <w:tc>
          <w:tcPr>
            <w:tcW w:type="dxa" w:w="1055"/>
            <w:tcBorders>
              <w:top w:val="none" w:color="000000" w:sz="4"/>
              <w:left w:val="single" w:color="000000" w:sz="4"/>
              <w:bottom w:val="single" w:color="000000" w:sz="4"/>
              <w:right w:val="single" w:color="000000" w:sz="4"/>
            </w:tcBorders>
            <w:vAlign w:val="top"/>
          </w:tcPr>
          <w:p>
            <w:pPr>
              <w:jc w:val="center"/>
            </w:pPr>
          </w:p>
        </w:tc>
      </w:tr>
    </w:tbl>
    <w:p>
      <w:r>
        <w:rPr/>
        <w:t xml:space="preserve"> </w:t>
      </w:r>
    </w:p>
    <w:p>
      <w:r>
        <w:rPr/>
        <w:t xml:space="preserve"> </w:t>
      </w:r>
    </w:p>
    <w:p>
      <w:r>
        <w:rPr/>
        <w:t xml:space="preserve"> </w:t>
      </w:r>
    </w:p>
    <w:p>
      <w:r>
        <w:rPr/>
        <w:t xml:space="preserve"> </w:t>
      </w:r>
    </w:p>
    <w:p>
      <w:r>
        <w:rPr/>
        <w:t xml:space="preserve"> </w:t>
      </w:r>
    </w:p>
    <w:p/>
    <w:p/>
    <w:p/>
    <w:p>
      <w:pPr>
        <w:ind w:firstLine="480"/>
      </w:pPr>
    </w:p>
    <w:p>
      <w:r>
        <w:rPr/>
        <w:t xml:space="preserve"> </w:t>
      </w:r>
    </w:p>
    <w:p/>
    <w:p>
      <w:r>
        <w:rPr>
          <w:b/>
          <w:sz w:val="36"/>
        </w:rPr>
        <w:t>第六章 响应文件格式与要求</w:t>
      </w:r>
    </w:p>
    <w:p>
      <w:pPr>
        <w:ind w:firstLine="480"/>
      </w:pPr>
      <w:r>
        <w:rPr/>
        <w:t>供应商应提交证明其有资格参加响应和成交后有能力履行合同的相关文件，并作为其响应文件的一部分，所有文件必须真实可靠、不得伪造，否则将按相关规定予以处罚。</w:t>
      </w:r>
    </w:p>
    <w:p>
      <w:pPr>
        <w:ind w:firstLine="480"/>
      </w:pPr>
      <w:r>
        <w:rPr/>
        <w:t>1.法人或者其他组织的营业执照等证明文件，自然人的身份证明：</w:t>
      </w:r>
    </w:p>
    <w:p>
      <w:pPr>
        <w:ind w:firstLine="480"/>
      </w:pPr>
      <w:r>
        <w:rPr/>
        <w:t>法人包括企业法人、机关法人、事业单位法人和社会团体法人；其他组织主要包括合伙企业、非企业专业服务机构、个体工商户、农村承包经营户；自然人是指《中华人民共和国民法典》（以下简称《民法典》）规定的具有完全民事行为能力、能够承担民事责任和义务的公民。如供应商是企业（包括合伙企业），要提供在工商部门注册的有效“企业法人营业执照”或“营业执照”；如供应商是事业单位，要提供有效的“事业单位法人证书”；供应商是非企业专业服务机构的，如律师事务所，会计师事务所要提供执业许可证等证明文件；如供应商是个体工商户，要提供有效的“个体工商户营业执照”；如供应商是自然人，要提供有效的自然人身份证明。</w:t>
      </w:r>
    </w:p>
    <w:p>
      <w:pPr>
        <w:ind w:firstLine="480"/>
      </w:pPr>
      <w:r>
        <w:rPr/>
        <w:t>这里所指“其他组织”不包括法人的分支机构，由于法人分支机构不能独立承担民事责任，不能以分支机构的身份参加政府采购，只能以法人身份参加。“但由于银行、保险、石油石化、电力、电信等行业具有其特殊性，如果能够提供其法人给予的相应授权证明材料，可以参加政府采购活动”。</w:t>
      </w:r>
    </w:p>
    <w:p>
      <w:pPr>
        <w:ind w:firstLine="480"/>
      </w:pPr>
      <w:r>
        <w:rPr/>
        <w:t>2.财务状况报告，依法缴纳税收和社会保障资金的相关材料（详见资格性审查表要求）</w:t>
      </w:r>
    </w:p>
    <w:p>
      <w:pPr>
        <w:ind w:firstLine="480"/>
      </w:pPr>
      <w:r>
        <w:rPr/>
        <w:t>3.具有履行合同所必须的设备和专业技术能力的声明。</w:t>
      </w:r>
    </w:p>
    <w:p>
      <w:pPr>
        <w:ind w:firstLine="480"/>
      </w:pPr>
      <w:r>
        <w:rPr/>
        <w:t>4.供应商参加政府采购前三年内在经营活动中没有重大违法记录声明函。</w:t>
      </w:r>
    </w:p>
    <w:p>
      <w:pPr>
        <w:ind w:firstLine="480"/>
      </w:pPr>
      <w:r>
        <w:rPr/>
        <w:t>5.信用记录查询</w:t>
      </w:r>
    </w:p>
    <w:p>
      <w:pPr>
        <w:ind w:firstLine="480"/>
      </w:pPr>
      <w:r>
        <w:rPr/>
        <w:t>（1）查询渠道：通过“信用中国”网站(www.creditchina.gov.cn)和“中国政府采购网”（www.ccgp.gov.cn）进行查询；</w:t>
      </w:r>
    </w:p>
    <w:p>
      <w:pPr>
        <w:ind w:firstLine="480"/>
      </w:pPr>
      <w:r>
        <w:rPr/>
        <w:t>（2）查询截止时点：提交响应文件截止日当天；</w:t>
      </w:r>
    </w:p>
    <w:p>
      <w:pPr>
        <w:ind w:firstLine="480"/>
      </w:pPr>
      <w:r>
        <w:rPr/>
        <w:t>（3）查询记录：对列入失信被执行人、重大税收违法案件当事人名单、政府采购严重违法失信行为记录名单、信用报告进行查询；</w:t>
      </w:r>
    </w:p>
    <w:p>
      <w:pPr>
        <w:ind w:firstLine="480"/>
      </w:pPr>
      <w:r>
        <w:rPr/>
        <w:t>采购人或采购代理机构应当按照查询渠道、查询时间节点、查询记录内容进行查询，并存档。对信用记录查询结果中显示供应商被列入失信被执行人、重大税收违法案件当事人名单、政府采购严重违法失信行为记录名单的供应商作无效响应处理。</w:t>
      </w:r>
    </w:p>
    <w:p>
      <w:pPr>
        <w:ind w:firstLine="480"/>
      </w:pPr>
      <w:r>
        <w:rPr/>
        <w:t>6. 按照谈判文件要求，供应商应当提交的资格、资信证明文件。</w:t>
      </w:r>
    </w:p>
    <w:p>
      <w:pPr>
        <w:ind w:firstLine="480"/>
      </w:pPr>
    </w:p>
    <w:p>
      <w:r>
        <w:rPr/>
        <w:t xml:space="preserve"> </w:t>
      </w:r>
    </w:p>
    <w:p/>
    <w:p>
      <w:pPr>
        <w:jc w:val="center"/>
      </w:pPr>
      <w:r>
        <w:rPr>
          <w:b/>
          <w:sz w:val="48"/>
        </w:rPr>
        <w:t>响应文件封面</w:t>
      </w:r>
    </w:p>
    <w:p/>
    <w:p>
      <w:pPr>
        <w:jc w:val="center"/>
      </w:pPr>
      <w:r>
        <w:rPr>
          <w:b/>
          <w:sz w:val="48"/>
        </w:rPr>
        <w:t>（项目名称）</w:t>
      </w:r>
    </w:p>
    <w:p>
      <w:pPr>
        <w:jc w:val="center"/>
      </w:pPr>
      <w:r>
        <w:rPr>
          <w:b/>
          <w:sz w:val="48"/>
        </w:rPr>
        <w:t>响应文件</w:t>
      </w:r>
    </w:p>
    <w:p>
      <w:pPr>
        <w:jc w:val="center"/>
      </w:pPr>
      <w:r>
        <w:rPr>
          <w:b/>
          <w:sz w:val="24"/>
        </w:rPr>
        <w:t>（正本/副本）</w:t>
      </w:r>
    </w:p>
    <w:p/>
    <w:p>
      <w:pPr>
        <w:jc w:val="center"/>
      </w:pPr>
      <w:r>
        <w:rPr>
          <w:b/>
          <w:sz w:val="24"/>
        </w:rPr>
        <w:t>采购计划编号：</w:t>
      </w:r>
      <w:r>
        <w:rPr>
          <w:b/>
          <w:sz w:val="24"/>
        </w:rPr>
        <w:t>441900021-2022-00314</w:t>
      </w:r>
    </w:p>
    <w:p>
      <w:pPr>
        <w:jc w:val="center"/>
      </w:pPr>
      <w:r>
        <w:rPr>
          <w:b/>
          <w:sz w:val="24"/>
        </w:rPr>
        <w:t>采购项目编号：</w:t>
      </w:r>
      <w:r>
        <w:rPr>
          <w:b/>
          <w:sz w:val="24"/>
        </w:rPr>
        <w:t>441900021-2022-00314</w:t>
      </w:r>
    </w:p>
    <w:p>
      <w:pPr>
        <w:jc w:val="center"/>
      </w:pPr>
      <w:r>
        <w:rPr>
          <w:b/>
          <w:sz w:val="24"/>
        </w:rPr>
        <w:t>所响应采购包：第 包</w:t>
      </w:r>
    </w:p>
    <w:p/>
    <w:p>
      <w:pPr>
        <w:jc w:val="center"/>
      </w:pPr>
      <w:r>
        <w:rPr>
          <w:b/>
          <w:sz w:val="24"/>
        </w:rPr>
        <w:t>（供应商名称）</w:t>
      </w:r>
    </w:p>
    <w:p>
      <w:pPr>
        <w:jc w:val="center"/>
      </w:pPr>
      <w:r>
        <w:rPr>
          <w:b/>
          <w:sz w:val="24"/>
        </w:rPr>
        <w:t>年 月 日</w:t>
      </w:r>
    </w:p>
    <w:p>
      <w:pPr>
        <w:ind w:firstLine="480"/>
      </w:pPr>
    </w:p>
    <w:p>
      <w:r>
        <w:rPr/>
        <w:t xml:space="preserve"> </w:t>
      </w:r>
    </w:p>
    <w:p/>
    <w:p>
      <w:pPr>
        <w:jc w:val="center"/>
      </w:pPr>
      <w:r>
        <w:rPr>
          <w:b/>
          <w:sz w:val="24"/>
        </w:rPr>
        <w:t>响应文件目录</w:t>
      </w:r>
    </w:p>
    <w:p>
      <w:pPr>
        <w:ind w:firstLine="480"/>
      </w:pPr>
      <w:r>
        <w:rPr/>
        <w:t>一、响应承诺函</w:t>
      </w:r>
    </w:p>
    <w:p>
      <w:pPr>
        <w:ind w:firstLine="480"/>
      </w:pPr>
      <w:r>
        <w:rPr/>
        <w:t>二、首轮报价表</w:t>
      </w:r>
    </w:p>
    <w:p>
      <w:pPr>
        <w:ind w:firstLine="480"/>
      </w:pPr>
      <w:r>
        <w:rPr/>
        <w:t>三、分项报价表</w:t>
      </w:r>
    </w:p>
    <w:p>
      <w:pPr>
        <w:ind w:firstLine="480"/>
      </w:pPr>
      <w:r>
        <w:rPr/>
        <w:t>四、政策适用性说明</w:t>
      </w:r>
    </w:p>
    <w:p>
      <w:pPr>
        <w:ind w:firstLine="480"/>
      </w:pPr>
      <w:r>
        <w:rPr/>
        <w:t>五、法定代表人证明书</w:t>
      </w:r>
    </w:p>
    <w:p>
      <w:pPr>
        <w:ind w:firstLine="480"/>
      </w:pPr>
      <w:r>
        <w:rPr/>
        <w:t>六、法定代表人授权书</w:t>
      </w:r>
    </w:p>
    <w:p>
      <w:pPr>
        <w:ind w:firstLine="480"/>
      </w:pPr>
      <w:r>
        <w:rPr/>
        <w:t>七、响应保证金</w:t>
      </w:r>
    </w:p>
    <w:p>
      <w:pPr>
        <w:ind w:firstLine="480"/>
      </w:pPr>
      <w:r>
        <w:rPr/>
        <w:t>八、提供具有独立承担民事责任的能力的证明材料</w:t>
      </w:r>
    </w:p>
    <w:p>
      <w:pPr>
        <w:ind w:firstLine="480"/>
      </w:pPr>
      <w:r>
        <w:rPr/>
        <w:t>九、资格性审查要求的其他资质证明文件</w:t>
      </w:r>
    </w:p>
    <w:p>
      <w:pPr>
        <w:ind w:firstLine="480"/>
      </w:pPr>
      <w:r>
        <w:rPr/>
        <w:t>十、中小企业声明函</w:t>
      </w:r>
    </w:p>
    <w:p>
      <w:pPr>
        <w:ind w:firstLine="480"/>
      </w:pPr>
      <w:r>
        <w:rPr/>
        <w:t>十一、监狱企业</w:t>
      </w:r>
    </w:p>
    <w:p>
      <w:pPr>
        <w:ind w:firstLine="480"/>
      </w:pPr>
      <w:r>
        <w:rPr/>
        <w:t>十二、残疾人福利性单位声明函</w:t>
      </w:r>
    </w:p>
    <w:p>
      <w:pPr>
        <w:ind w:firstLine="480"/>
      </w:pPr>
      <w:r>
        <w:rPr/>
        <w:t>十三、联合体共同响应协议书</w:t>
      </w:r>
    </w:p>
    <w:p>
      <w:pPr>
        <w:ind w:firstLine="480"/>
      </w:pPr>
      <w:r>
        <w:rPr/>
        <w:t>十四、供应商业绩情况表</w:t>
      </w:r>
    </w:p>
    <w:p>
      <w:pPr>
        <w:ind w:firstLine="480"/>
      </w:pPr>
      <w:r>
        <w:rPr/>
        <w:t>十五、技术和服务要求响应表</w:t>
      </w:r>
    </w:p>
    <w:p>
      <w:pPr>
        <w:ind w:firstLine="480"/>
      </w:pPr>
      <w:r>
        <w:rPr/>
        <w:t>十六、商务条件响应表</w:t>
      </w:r>
    </w:p>
    <w:p>
      <w:pPr>
        <w:ind w:firstLine="480"/>
      </w:pPr>
      <w:r>
        <w:rPr/>
        <w:t>十七、履约进度计划表</w:t>
      </w:r>
    </w:p>
    <w:p>
      <w:pPr>
        <w:ind w:firstLine="480"/>
      </w:pPr>
      <w:r>
        <w:rPr/>
        <w:t>十八、各类证明材料</w:t>
      </w:r>
    </w:p>
    <w:p>
      <w:pPr>
        <w:ind w:firstLine="480"/>
      </w:pPr>
      <w:r>
        <w:rPr/>
        <w:t>十九、代理服务费支付承诺书</w:t>
      </w:r>
    </w:p>
    <w:p>
      <w:pPr>
        <w:ind w:firstLine="480"/>
      </w:pPr>
      <w:r>
        <w:rPr/>
        <w:t>二十、需要采购人提供的附加条件</w:t>
      </w:r>
    </w:p>
    <w:p>
      <w:pPr>
        <w:ind w:firstLine="480"/>
      </w:pPr>
      <w:r>
        <w:rPr/>
        <w:t>二十一、询问函、质疑函、投诉书格式</w:t>
      </w:r>
    </w:p>
    <w:p>
      <w:pPr>
        <w:ind w:firstLine="480"/>
      </w:pPr>
      <w:r>
        <w:rPr/>
        <w:t>二十二、项目实施方案、质量保证及售后服务承诺等</w:t>
      </w:r>
    </w:p>
    <w:p>
      <w:pPr>
        <w:ind w:firstLine="480"/>
      </w:pPr>
      <w:r>
        <w:rPr/>
        <w:t>二十三、附件</w:t>
      </w:r>
    </w:p>
    <w:p>
      <w:pPr>
        <w:ind w:firstLine="480"/>
      </w:pPr>
    </w:p>
    <w:p>
      <w:r>
        <w:rPr/>
        <w:t xml:space="preserve"> </w:t>
      </w:r>
    </w:p>
    <w:p/>
    <w:p>
      <w:r>
        <w:rPr>
          <w:b/>
          <w:sz w:val="28"/>
        </w:rPr>
        <w:t>格式一：</w:t>
      </w:r>
    </w:p>
    <w:p>
      <w:pPr>
        <w:jc w:val="center"/>
      </w:pPr>
      <w:r>
        <w:rPr>
          <w:b/>
          <w:sz w:val="24"/>
        </w:rPr>
        <w:t>响应承诺函</w:t>
      </w:r>
    </w:p>
    <w:p>
      <w:pPr>
        <w:ind w:firstLine="480"/>
      </w:pPr>
      <w:r>
        <w:rPr/>
        <w:t>致：</w:t>
      </w:r>
      <w:r>
        <w:rPr>
          <w:u w:val="single"/>
        </w:rPr>
        <w:t>广东政通招标有限公司</w:t>
      </w:r>
    </w:p>
    <w:p>
      <w:pPr>
        <w:ind w:firstLine="480"/>
      </w:pPr>
      <w:r>
        <w:rPr/>
        <w:t>你方组织的</w:t>
      </w:r>
      <w:r>
        <w:rPr>
          <w:u w:val="single"/>
        </w:rPr>
        <w:t>东莞市大朗教育管理中心采购2022年公办学校教室灯光照明设备项目</w:t>
      </w:r>
      <w:r>
        <w:rPr/>
        <w:t>项目的竞争性谈判[采购项目编号为：</w:t>
      </w:r>
      <w:r>
        <w:rPr>
          <w:u w:val="single"/>
        </w:rPr>
        <w:t>441900021-2022-00314</w:t>
      </w:r>
      <w:r>
        <w:rPr/>
        <w:t>]，我方愿参与谈判。</w:t>
      </w:r>
    </w:p>
    <w:p>
      <w:pPr>
        <w:ind w:firstLine="480"/>
      </w:pPr>
      <w:r>
        <w:rPr/>
        <w:t>我方确认收到贵方提供的</w:t>
      </w:r>
      <w:r>
        <w:rPr>
          <w:u w:val="single"/>
        </w:rPr>
        <w:t>东莞市大朗教育管理中心采购2022年公办学校教室灯光照明设备项目</w:t>
      </w:r>
      <w:r>
        <w:rPr/>
        <w:t>项目的谈判文件的全部内容。</w:t>
      </w:r>
    </w:p>
    <w:p>
      <w:pPr>
        <w:ind w:firstLine="480"/>
      </w:pPr>
      <w:r>
        <w:rPr/>
        <w:t>我方在参与响应前已详细研究了谈判文件的所有内容，包括澄清、修改文件（如果有）和所有已提供的参考资料以及有关附件，我方完全明白并认为此谈判文件没有倾向性，也不存在排斥潜在供应商的内容，我方同意谈判文件的相关条款，放弃对谈判文件提出误解和质疑的一切权力。</w:t>
      </w:r>
    </w:p>
    <w:p>
      <w:pPr>
        <w:ind w:firstLine="480"/>
      </w:pPr>
      <w:r>
        <w:rPr>
          <w:u w:val="single"/>
        </w:rPr>
        <w:t>(供应商名称)</w:t>
      </w:r>
      <w:r>
        <w:rPr/>
        <w:t>作为供应商正式授权</w:t>
      </w:r>
      <w:r>
        <w:rPr>
          <w:u w:val="single"/>
        </w:rPr>
        <w:t>(授权代表全名,职务)</w:t>
      </w:r>
      <w:r>
        <w:rPr/>
        <w:t>代表我方全权处理有关本响应的一切事宜。</w:t>
      </w:r>
    </w:p>
    <w:p>
      <w:pPr>
        <w:ind w:firstLine="480"/>
      </w:pPr>
      <w:r>
        <w:rPr/>
        <w:t>我方已完全明白谈判文件的所有条款要求，并申明如下：</w:t>
      </w:r>
    </w:p>
    <w:p>
      <w:pPr>
        <w:ind w:firstLine="480"/>
      </w:pPr>
      <w:r>
        <w:rPr/>
        <w:t>（一）按谈判文件提供的全部货物（工程、服务）与相关服务的谈判总价详见《首轮报价表》。</w:t>
      </w:r>
    </w:p>
    <w:p>
      <w:pPr>
        <w:ind w:firstLine="480"/>
      </w:pPr>
      <w:r>
        <w:rPr/>
        <w:t>（二）本响应文件的有效期为</w:t>
      </w:r>
      <w:r>
        <w:rPr/>
        <w:t>从提交投标（响应）文件的截止之日起90日历天</w:t>
      </w:r>
      <w:r>
        <w:rPr/>
        <w:t>。如成交，有效期将延至合同终止日为止。在此提交的资格证明文件均至响应截止日有效，如有在响应有效期内失效的，我方承诺在成交后补齐一切手续，保证所有资格证明文件能在签订采购合同时直至采购合同终止日有效。</w:t>
      </w:r>
    </w:p>
    <w:p>
      <w:pPr>
        <w:ind w:firstLine="480"/>
      </w:pPr>
      <w:r>
        <w:rPr/>
        <w:t>（三）我方明白并同意，在规定的开启日之后，响应有效期之内撤回响应或成交后不按规定与采购人签订合同或不提交履约保证金, 则贵方将不予退还响应保证金。</w:t>
      </w:r>
    </w:p>
    <w:p>
      <w:pPr>
        <w:ind w:firstLine="480"/>
      </w:pPr>
      <w:r>
        <w:rPr/>
        <w:t>（四）我方愿意向贵方提供任何与本项报价有关的数据、情况和技术资料。若贵方需要，我方愿意提供我方作出的一切承诺的证明材料。</w:t>
      </w:r>
    </w:p>
    <w:p>
      <w:pPr>
        <w:ind w:firstLine="480"/>
      </w:pPr>
      <w:r>
        <w:rPr/>
        <w:t>（五）我方如果成交，将保证履行谈判文件及其澄清、修改文件（如果有）中的全部责任和义务，按质、按量、按期完成《采购需求》及《合同书》中的全部任务。</w:t>
      </w:r>
    </w:p>
    <w:p>
      <w:pPr>
        <w:ind w:firstLine="480"/>
      </w:pPr>
      <w:r>
        <w:rPr/>
        <w:t>（六）我方作为法律、财务和运作上独立于采购人、采购代理机构的供应商，在此保证所提交的所有文件和全部说明是真实的和正确的。</w:t>
      </w:r>
    </w:p>
    <w:p>
      <w:pPr>
        <w:ind w:firstLine="480"/>
      </w:pPr>
      <w:r>
        <w:rPr/>
        <w:t>（七）我方谈判报价已包含应向知识产权所有权人支付的所有相关税费，并保证采购人在中国使用我方提供的货物时，如有第三方提出侵犯其知识产权主张的，责任由我方承担。</w:t>
      </w:r>
    </w:p>
    <w:p>
      <w:pPr>
        <w:ind w:firstLine="480"/>
      </w:pPr>
      <w:r>
        <w:rPr/>
        <w:t>（八）我方接受采购人委托向贵方支付代理服务费，项目总报价已包含代理服务费，如果被确定为成交供应商，承诺向贵方足额支付。</w:t>
      </w:r>
    </w:p>
    <w:p>
      <w:pPr>
        <w:ind w:firstLine="480"/>
      </w:pPr>
      <w:r>
        <w:rPr/>
        <w:t>（九）我方与其他供应商不存在单位负责人为同一人或者存在直接控股、管理关系。</w:t>
      </w:r>
    </w:p>
    <w:p>
      <w:pPr>
        <w:ind w:firstLine="480"/>
      </w:pPr>
      <w:r>
        <w:rPr/>
        <w:t>（十）我方承诺未为本项目提供整体设计、规范编制或者项目管理、监理、检测等服务。</w:t>
      </w:r>
    </w:p>
    <w:p>
      <w:pPr>
        <w:ind w:firstLine="480"/>
      </w:pPr>
      <w:r>
        <w:rPr/>
        <w:t>（十一）我方未被列入法院失信被执行人名单中。</w:t>
      </w:r>
    </w:p>
    <w:p>
      <w:pPr>
        <w:ind w:firstLine="480"/>
      </w:pPr>
      <w:r>
        <w:rPr/>
        <w:t>（十二）我方具备《政府采购法》第二十二条规定的条件，承诺如下：</w:t>
      </w:r>
    </w:p>
    <w:p>
      <w:pPr>
        <w:ind w:firstLine="480"/>
      </w:pPr>
      <w:r>
        <w:rPr/>
        <w:t>（1）我方参加本项目政府采购活动前3年内在经营活动中没有以下违法记录，或因违法经营被禁止参加政府采购活动的期限已届满：因违法经营受到刑事处罚或者责令停产停业、吊销许可证或者执照、较大数额罚款等行政处罚。</w:t>
      </w:r>
    </w:p>
    <w:p>
      <w:pPr>
        <w:ind w:firstLine="480"/>
      </w:pPr>
      <w:r>
        <w:rPr/>
        <w:t>（2）我方符合法律、行政法规规定的其他条件。</w:t>
      </w:r>
    </w:p>
    <w:p>
      <w:pPr>
        <w:ind w:firstLine="480"/>
      </w:pPr>
      <w:r>
        <w:rPr/>
        <w:t>以上内容如有虚假或与事实不符的，谈判小组可将我方做无效响应处理，我方愿意承担相应的法律责任。</w:t>
      </w:r>
    </w:p>
    <w:p>
      <w:pPr>
        <w:ind w:firstLine="480"/>
      </w:pPr>
      <w:r>
        <w:rPr/>
        <w:t>（十三）我方对在本函及响应文件中所作的所有承诺承担法律责任。</w:t>
      </w:r>
    </w:p>
    <w:p>
      <w:pPr>
        <w:ind w:firstLine="480"/>
      </w:pPr>
      <w:r>
        <w:rPr/>
        <w:t>（十四）所有与本谈判有关的函件请发往下列地址：</w:t>
      </w:r>
    </w:p>
    <w:p>
      <w:pPr>
        <w:ind w:firstLine="480"/>
      </w:pPr>
      <w:r>
        <w:rPr/>
        <w:t>地 址：__________________邮政编码：__________________</w:t>
      </w:r>
    </w:p>
    <w:p>
      <w:pPr>
        <w:ind w:firstLine="480"/>
      </w:pPr>
      <w:r>
        <w:rPr/>
        <w:t>电 话：__________________</w:t>
      </w:r>
    </w:p>
    <w:p>
      <w:pPr>
        <w:ind w:firstLine="480"/>
      </w:pPr>
      <w:r>
        <w:rPr/>
        <w:t>传 真：__________________</w:t>
      </w:r>
    </w:p>
    <w:p>
      <w:pPr>
        <w:ind w:firstLine="480"/>
      </w:pPr>
      <w:r>
        <w:rPr/>
        <w:t>代表姓名：__________________，职 务：__________________</w:t>
      </w:r>
    </w:p>
    <w:p>
      <w:pPr>
        <w:ind w:firstLine="480"/>
      </w:pPr>
    </w:p>
    <w:p>
      <w:pPr>
        <w:ind w:firstLine="480"/>
      </w:pPr>
    </w:p>
    <w:p>
      <w:pPr>
        <w:ind w:firstLine="480"/>
      </w:pPr>
    </w:p>
    <w:p>
      <w:pPr>
        <w:ind w:firstLine="480"/>
      </w:pPr>
    </w:p>
    <w:p>
      <w:pPr>
        <w:jc w:val="right"/>
      </w:pPr>
      <w:r>
        <w:rPr/>
        <w:t>供应商法定代表人（或法定代表人授权代表）签字或盖章：__________________</w:t>
      </w:r>
    </w:p>
    <w:p>
      <w:pPr>
        <w:jc w:val="right"/>
      </w:pPr>
      <w:r>
        <w:rPr/>
        <w:t>供应商名称（盖章）：__________________</w:t>
      </w:r>
    </w:p>
    <w:p>
      <w:pPr>
        <w:jc w:val="right"/>
      </w:pPr>
      <w:r>
        <w:rPr/>
        <w:t>日期： 年 月 日</w:t>
      </w:r>
    </w:p>
    <w:p>
      <w:pPr>
        <w:ind w:firstLine="480"/>
      </w:pPr>
    </w:p>
    <w:p>
      <w:r>
        <w:rPr/>
        <w:t xml:space="preserve"> </w:t>
      </w:r>
    </w:p>
    <w:p/>
    <w:p>
      <w:r>
        <w:rPr>
          <w:b/>
          <w:sz w:val="28"/>
        </w:rPr>
        <w:t>格式二：</w:t>
      </w:r>
    </w:p>
    <w:p>
      <w:pPr>
        <w:jc w:val="center"/>
      </w:pPr>
      <w:r>
        <w:rPr>
          <w:b/>
          <w:sz w:val="24"/>
        </w:rPr>
        <w:t>首轮报价表</w:t>
      </w:r>
    </w:p>
    <w:p>
      <w:pPr>
        <w:ind w:firstLine="480"/>
      </w:pPr>
      <w:r>
        <w:rPr/>
        <w:t>注:响应供应商应在投标客户端【报价部分】进行填写，投标客户端软件将自动根据供应商填写信息在线生成首轮报价表﹐若在响应文件中出现非系统生成的首轮报价表﹐且与投标客户端生成的首轮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响应供应商名称：</w:t>
      </w:r>
    </w:p>
    <w:tbl>
      <w:tblPr>
        <w:tblW w:w="0" w:type="auto"/>
        <w:tblBorders>
          <w:top w:val="single"/>
          <w:left w:val="single"/>
          <w:bottom w:val="single"/>
          <w:right w:val="single"/>
          <w:insideH w:val="single"/>
          <w:insideV w:val="single"/>
        </w:tblBorders>
      </w:tblPr>
      <w:tblGrid>
        <w:gridCol w:w="1661"/>
        <w:gridCol w:w="1661"/>
        <w:gridCol w:w="1661"/>
        <w:gridCol w:w="1661"/>
        <w:gridCol w:w="1661"/>
      </w:tblGrid>
      <w:tr>
        <w:tc>
          <w:tcPr>
            <w:tcW w:type="dxa" w:w="1661"/>
          </w:tcPr>
          <w:p>
            <w:r>
              <w:rPr/>
              <w:t>序号</w:t>
            </w:r>
          </w:p>
        </w:tc>
        <w:tc>
          <w:tcPr>
            <w:tcW w:type="dxa" w:w="1661"/>
          </w:tcPr>
          <w:p>
            <w:r>
              <w:rPr/>
              <w:t>采购项目名称/采购包名称</w:t>
            </w:r>
          </w:p>
        </w:tc>
        <w:tc>
          <w:tcPr>
            <w:tcW w:type="dxa" w:w="1661"/>
          </w:tcPr>
          <w:p>
            <w:r>
              <w:rPr/>
              <w:t>响应报价（元/%）</w:t>
            </w:r>
          </w:p>
        </w:tc>
        <w:tc>
          <w:tcPr>
            <w:tcW w:type="dxa" w:w="1661"/>
          </w:tcPr>
          <w:p>
            <w:r>
              <w:rPr/>
              <w:t>交货或服务期</w:t>
            </w:r>
          </w:p>
        </w:tc>
        <w:tc>
          <w:tcPr>
            <w:tcW w:type="dxa" w:w="1661"/>
          </w:tcPr>
          <w:p>
            <w:r>
              <w:rPr/>
              <w:t>交货或服务地点</w:t>
            </w:r>
          </w:p>
        </w:tc>
      </w:tr>
      <w:tr>
        <w:tc>
          <w:tcPr>
            <w:tcW w:type="dxa" w:w="1661"/>
          </w:tcPr>
          <w:p>
            <w:pPr>
              <w:jc w:val="center"/>
            </w:pPr>
            <w:r>
              <w:rPr/>
              <w:t>1</w:t>
            </w:r>
          </w:p>
        </w:tc>
        <w:tc>
          <w:tcPr>
            <w:tcW w:type="dxa" w:w="1661"/>
          </w:tcPr>
          <w:p/>
        </w:tc>
        <w:tc>
          <w:tcPr>
            <w:tcW w:type="dxa" w:w="1661"/>
          </w:tcPr>
          <w:p/>
        </w:tc>
        <w:tc>
          <w:tcPr>
            <w:tcW w:type="dxa" w:w="1661"/>
          </w:tcPr>
          <w:p/>
        </w:tc>
        <w:tc>
          <w:tcPr>
            <w:tcW w:type="dxa" w:w="1661"/>
          </w:tcPr>
          <w:p/>
        </w:tc>
      </w:tr>
    </w:tbl>
    <w:p>
      <w:pPr>
        <w:jc w:val="right"/>
      </w:pPr>
      <w:r>
        <w:rPr/>
        <w:t>供应商签章：__________________</w:t>
      </w:r>
    </w:p>
    <w:p>
      <w:pPr>
        <w:jc w:val="right"/>
      </w:pPr>
      <w:r>
        <w:rPr/>
        <w:t>日期： 年 月 日</w:t>
      </w:r>
    </w:p>
    <w:p>
      <w:pPr>
        <w:ind w:firstLine="480"/>
      </w:pPr>
    </w:p>
    <w:p>
      <w:r>
        <w:rPr/>
        <w:t xml:space="preserve"> </w:t>
      </w:r>
    </w:p>
    <w:p/>
    <w:p>
      <w:r>
        <w:rPr>
          <w:b/>
          <w:sz w:val="28"/>
        </w:rPr>
        <w:t>格式三：</w:t>
      </w:r>
    </w:p>
    <w:p>
      <w:pPr>
        <w:jc w:val="center"/>
      </w:pPr>
      <w:r>
        <w:rPr>
          <w:b/>
          <w:sz w:val="24"/>
        </w:rPr>
        <w:t>分项报价表</w:t>
      </w:r>
    </w:p>
    <w:p>
      <w:pPr>
        <w:ind w:firstLine="480"/>
      </w:pPr>
      <w:r>
        <w:rPr/>
        <w:t>注:响应供应商应在投标客户端【报价部分】进行填写，投标客户端软件将自动根据供应商填写信息在线生成分项报价表，若在响应文件中出现非系统生成的分项报价表，且与投标客户端生成的分项报价表信息内容不一致，以投标客户端在线填写报价并生成的内容为准。（下列表样仅供参考）</w:t>
      </w:r>
      <w:r>
        <w:br/>
      </w:r>
    </w:p>
    <w:p>
      <w:pPr>
        <w:ind w:firstLine="480"/>
      </w:pPr>
      <w:r>
        <w:rPr/>
        <w:t>采购项目编号：</w:t>
      </w:r>
    </w:p>
    <w:p>
      <w:pPr>
        <w:ind w:firstLine="480"/>
      </w:pPr>
      <w:r>
        <w:rPr/>
        <w:t>项目名称：</w:t>
      </w:r>
    </w:p>
    <w:p>
      <w:pPr>
        <w:ind w:firstLine="480"/>
      </w:pPr>
      <w:r>
        <w:rPr/>
        <w:t>响应供应商名称：</w:t>
      </w:r>
    </w:p>
    <w:p>
      <w:pPr>
        <w:ind w:firstLine="480"/>
      </w:pPr>
      <w:r>
        <w:rPr/>
        <w:t>采购包：</w:t>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货物名称</w:t>
            </w:r>
          </w:p>
        </w:tc>
        <w:tc>
          <w:tcPr>
            <w:tcW w:type="dxa" w:w="831"/>
          </w:tcPr>
          <w:p>
            <w:r>
              <w:rPr/>
              <w:t>规格型号</w:t>
            </w:r>
          </w:p>
        </w:tc>
        <w:tc>
          <w:tcPr>
            <w:tcW w:type="dxa" w:w="831"/>
          </w:tcPr>
          <w:p>
            <w:r>
              <w:rPr/>
              <w:t>品牌</w:t>
            </w:r>
          </w:p>
        </w:tc>
        <w:tc>
          <w:tcPr>
            <w:tcW w:type="dxa" w:w="831"/>
          </w:tcPr>
          <w:p>
            <w:r>
              <w:rPr/>
              <w:t>产地</w:t>
            </w:r>
          </w:p>
        </w:tc>
        <w:tc>
          <w:tcPr>
            <w:tcW w:type="dxa" w:w="831"/>
          </w:tcPr>
          <w:p>
            <w:r>
              <w:rPr/>
              <w:t>制造商名称</w:t>
            </w:r>
          </w:p>
        </w:tc>
        <w:tc>
          <w:tcPr>
            <w:tcW w:type="dxa" w:w="831"/>
          </w:tcPr>
          <w:p>
            <w:r>
              <w:rPr/>
              <w:t>单价</w:t>
            </w:r>
          </w:p>
        </w:tc>
        <w:tc>
          <w:tcPr>
            <w:tcW w:type="dxa" w:w="831"/>
          </w:tcPr>
          <w:p>
            <w:r>
              <w:rPr/>
              <w:t>数量</w:t>
            </w:r>
          </w:p>
        </w:tc>
        <w:tc>
          <w:tcPr>
            <w:tcW w:type="dxa" w:w="831"/>
          </w:tcPr>
          <w:p>
            <w:r>
              <w:rPr/>
              <w:t>总价</w:t>
            </w:r>
          </w:p>
        </w:tc>
      </w:tr>
      <w:tr>
        <w:tc>
          <w:tcPr>
            <w:tcW w:type="dxa" w:w="831"/>
          </w:tcPr>
          <w:p>
            <w:pPr>
              <w:jc w:val="center"/>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r>
        <w:br/>
      </w:r>
    </w:p>
    <w:tbl>
      <w:tblPr>
        <w:tblW w:w="0" w:type="auto"/>
        <w:tblBorders>
          <w:top w:val="single"/>
          <w:left w:val="single"/>
          <w:bottom w:val="single"/>
          <w:right w:val="single"/>
          <w:insideH w:val="single"/>
          <w:insideV w:val="single"/>
        </w:tblBorders>
      </w:tblPr>
      <w:tblGrid>
        <w:gridCol w:w="831"/>
        <w:gridCol w:w="831"/>
        <w:gridCol w:w="831"/>
        <w:gridCol w:w="831"/>
        <w:gridCol w:w="831"/>
        <w:gridCol w:w="831"/>
        <w:gridCol w:w="831"/>
        <w:gridCol w:w="831"/>
        <w:gridCol w:w="831"/>
        <w:gridCol w:w="831"/>
      </w:tblGrid>
      <w:tr>
        <w:tc>
          <w:tcPr>
            <w:tcW w:type="dxa" w:w="831"/>
          </w:tcPr>
          <w:p>
            <w:r>
              <w:rPr/>
              <w:t>品目号</w:t>
            </w:r>
          </w:p>
        </w:tc>
        <w:tc>
          <w:tcPr>
            <w:tcW w:type="dxa" w:w="831"/>
          </w:tcPr>
          <w:p>
            <w:r>
              <w:rPr/>
              <w:t>序号</w:t>
            </w:r>
          </w:p>
        </w:tc>
        <w:tc>
          <w:tcPr>
            <w:tcW w:type="dxa" w:w="831"/>
          </w:tcPr>
          <w:p>
            <w:r>
              <w:rPr/>
              <w:t>服务名称</w:t>
            </w:r>
          </w:p>
        </w:tc>
        <w:tc>
          <w:tcPr>
            <w:tcW w:type="dxa" w:w="831"/>
          </w:tcPr>
          <w:p>
            <w:r>
              <w:rPr/>
              <w:t>服务范围</w:t>
            </w:r>
          </w:p>
        </w:tc>
        <w:tc>
          <w:tcPr>
            <w:tcW w:type="dxa" w:w="831"/>
          </w:tcPr>
          <w:p>
            <w:r>
              <w:rPr/>
              <w:t>服务要求</w:t>
            </w:r>
          </w:p>
        </w:tc>
        <w:tc>
          <w:tcPr>
            <w:tcW w:type="dxa" w:w="831"/>
          </w:tcPr>
          <w:p>
            <w:r>
              <w:rPr/>
              <w:t>服务期限</w:t>
            </w:r>
          </w:p>
        </w:tc>
        <w:tc>
          <w:tcPr>
            <w:tcW w:type="dxa" w:w="831"/>
          </w:tcPr>
          <w:p>
            <w:r>
              <w:rPr/>
              <w:t>服务标准</w:t>
            </w:r>
          </w:p>
        </w:tc>
        <w:tc>
          <w:tcPr>
            <w:tcW w:type="dxa" w:w="831"/>
          </w:tcPr>
          <w:p>
            <w:r>
              <w:rPr/>
              <w:t>单价</w:t>
            </w:r>
          </w:p>
        </w:tc>
        <w:tc>
          <w:tcPr>
            <w:tcW w:type="dxa" w:w="831"/>
          </w:tcPr>
          <w:p>
            <w:r>
              <w:rPr/>
              <w:t>数量</w:t>
            </w:r>
          </w:p>
        </w:tc>
        <w:tc>
          <w:tcPr>
            <w:tcW w:type="dxa" w:w="831"/>
          </w:tcPr>
          <w:p>
            <w:r>
              <w:rPr/>
              <w:t>总价</w:t>
            </w:r>
          </w:p>
        </w:tc>
      </w:tr>
      <w:tr>
        <w:tc>
          <w:tcPr>
            <w:tcW w:type="dxa" w:w="831"/>
          </w:tcPr>
          <w:p>
            <w:pPr>
              <w:jc w:val="center"/>
            </w:pPr>
            <w:r>
              <w:rPr/>
              <w:t>1</w:t>
            </w: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c>
          <w:tcPr>
            <w:tcW w:type="dxa" w:w="831"/>
          </w:tcPr>
          <w:p/>
        </w:tc>
      </w:tr>
    </w:tbl>
    <w:p>
      <w:pPr>
        <w:jc w:val="right"/>
      </w:pPr>
      <w:r>
        <w:rPr/>
        <w:t>供应商签章：__________________</w:t>
      </w:r>
    </w:p>
    <w:p>
      <w:pPr>
        <w:jc w:val="right"/>
      </w:pPr>
      <w:r>
        <w:rPr/>
        <w:t>日期： 年 月 日</w:t>
      </w:r>
    </w:p>
    <w:p>
      <w:pPr>
        <w:ind w:firstLine="480"/>
      </w:pPr>
    </w:p>
    <w:p>
      <w:r>
        <w:rPr/>
        <w:t xml:space="preserve"> </w:t>
      </w:r>
    </w:p>
    <w:p/>
    <w:p>
      <w:r>
        <w:rPr>
          <w:b/>
          <w:sz w:val="28"/>
        </w:rPr>
        <w:t>格式四：</w:t>
      </w:r>
    </w:p>
    <w:p>
      <w:pPr>
        <w:jc w:val="center"/>
      </w:pPr>
      <w:r>
        <w:rPr>
          <w:b/>
          <w:sz w:val="24"/>
        </w:rPr>
        <w:t>政策适用性说明</w:t>
      </w:r>
    </w:p>
    <w:p>
      <w:pPr>
        <w:ind w:firstLine="480"/>
      </w:pPr>
      <w:r>
        <w:rPr/>
        <w:t>按照政府采购有关政策的要求，在本次的技术方案中，采用符合政策的小型或微型企业产品、节能产品、环保标志产品，主要产品与核心技术介绍说明如下：</w:t>
      </w:r>
    </w:p>
    <w:tbl>
      <w:tblPr>
        <w:tblW w:w="0" w:type="auto"/>
        <w:tblBorders>
          <w:top w:val="single"/>
          <w:left w:val="single"/>
          <w:bottom w:val="single"/>
          <w:right w:val="single"/>
          <w:insideH w:val="single"/>
          <w:insideV w:val="single"/>
        </w:tblBorders>
      </w:tblPr>
      <w:tblGrid>
        <w:gridCol w:w="1038"/>
        <w:gridCol w:w="1038"/>
        <w:gridCol w:w="1038"/>
        <w:gridCol w:w="1038"/>
        <w:gridCol w:w="1038"/>
        <w:gridCol w:w="1038"/>
        <w:gridCol w:w="1038"/>
        <w:gridCol w:w="1038"/>
      </w:tblGrid>
      <w:tr>
        <w:tc>
          <w:tcPr>
            <w:tcW w:type="dxa" w:w="1038"/>
          </w:tcPr>
          <w:p>
            <w:r>
              <w:rPr/>
              <w:t>序号</w:t>
            </w:r>
          </w:p>
        </w:tc>
        <w:tc>
          <w:tcPr>
            <w:tcW w:type="dxa" w:w="1038"/>
          </w:tcPr>
          <w:p>
            <w:r>
              <w:rPr/>
              <w:t>主要产品/技术名称（规格型号、注册商标）</w:t>
            </w:r>
          </w:p>
        </w:tc>
        <w:tc>
          <w:tcPr>
            <w:tcW w:type="dxa" w:w="1038"/>
          </w:tcPr>
          <w:p>
            <w:r>
              <w:rPr/>
              <w:t>制造商(开发商)</w:t>
            </w:r>
          </w:p>
        </w:tc>
        <w:tc>
          <w:tcPr>
            <w:tcW w:type="dxa" w:w="1038"/>
          </w:tcPr>
          <w:p>
            <w:r>
              <w:rPr/>
              <w:t>制造商企业类型</w:t>
            </w:r>
          </w:p>
        </w:tc>
        <w:tc>
          <w:tcPr>
            <w:tcW w:type="dxa" w:w="1038"/>
          </w:tcPr>
          <w:p>
            <w:r>
              <w:rPr/>
              <w:t>节能产品</w:t>
            </w:r>
          </w:p>
        </w:tc>
        <w:tc>
          <w:tcPr>
            <w:tcW w:type="dxa" w:w="1038"/>
          </w:tcPr>
          <w:p>
            <w:r>
              <w:rPr/>
              <w:t>环保标志产品</w:t>
            </w:r>
          </w:p>
        </w:tc>
        <w:tc>
          <w:tcPr>
            <w:tcW w:type="dxa" w:w="1038"/>
          </w:tcPr>
          <w:p>
            <w:r>
              <w:rPr/>
              <w:t>认证证书编号</w:t>
            </w:r>
          </w:p>
        </w:tc>
        <w:tc>
          <w:tcPr>
            <w:tcW w:type="dxa" w:w="1038"/>
          </w:tcPr>
          <w:p>
            <w:r>
              <w:rPr/>
              <w:t>该产品报价在总报价中占比（%）</w:t>
            </w:r>
          </w:p>
        </w:tc>
      </w:tr>
      <w:tr>
        <w:tc>
          <w:tcPr>
            <w:tcW w:type="dxa" w:w="1038"/>
          </w:tcPr>
          <w:p>
            <w:pPr>
              <w:jc w:val="center"/>
            </w:pPr>
            <w:r>
              <w:rPr/>
              <w:t>1</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2</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3</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4</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pPr>
              <w:jc w:val="center"/>
            </w:pPr>
            <w:r>
              <w:rPr/>
              <w:t>5</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r>
        <w:tc>
          <w:tcPr>
            <w:tcW w:type="dxa" w:w="1038"/>
          </w:tcPr>
          <w:p>
            <w:r>
              <w:rPr/>
              <w:t>...</w:t>
            </w:r>
          </w:p>
        </w:tc>
        <w:tc>
          <w:tcPr>
            <w:tcW w:type="dxa" w:w="1038"/>
          </w:tcPr>
          <w:p/>
        </w:tc>
        <w:tc>
          <w:tcPr>
            <w:tcW w:type="dxa" w:w="1038"/>
          </w:tcPr>
          <w:p/>
        </w:tc>
        <w:tc>
          <w:tcPr>
            <w:tcW w:type="dxa" w:w="1038"/>
          </w:tcPr>
          <w:p/>
        </w:tc>
        <w:tc>
          <w:tcPr>
            <w:tcW w:type="dxa" w:w="1038"/>
          </w:tcPr>
          <w:p/>
        </w:tc>
        <w:tc>
          <w:tcPr>
            <w:tcW w:type="dxa" w:w="1038"/>
          </w:tcPr>
          <w:p/>
        </w:tc>
        <w:tc>
          <w:tcPr>
            <w:tcW w:type="dxa" w:w="1038"/>
          </w:tcPr>
          <w:p/>
        </w:tc>
        <w:tc>
          <w:tcPr>
            <w:tcW w:type="dxa" w:w="1038"/>
          </w:tcPr>
          <w:p/>
        </w:tc>
      </w:tr>
    </w:tbl>
    <w:p>
      <w:pPr>
        <w:ind w:firstLine="480"/>
      </w:pPr>
      <w:r>
        <w:rPr/>
        <w:t>注：1.制造商为小型或微型企业时才需要填“制造商企业类型”栏,填写内容为“小型”或“微型”；</w:t>
      </w:r>
    </w:p>
    <w:p>
      <w:pPr>
        <w:ind w:firstLine="480"/>
      </w:pPr>
      <w:r>
        <w:rPr/>
        <w:t>2.“节能产品、环保标志产品”须填写认证证书编号，并在对应“节能产品”、“环保标志产品”栏中勾选，同时提供有效期内的证书复印件（加盖供应商公章）</w:t>
      </w:r>
    </w:p>
    <w:p>
      <w:pPr>
        <w:jc w:val="right"/>
      </w:pPr>
      <w:r>
        <w:rPr/>
        <w:t>供应商名称（盖章）：__________________</w:t>
      </w:r>
    </w:p>
    <w:p>
      <w:pPr>
        <w:jc w:val="right"/>
      </w:pPr>
      <w:r>
        <w:rPr/>
        <w:t>日期： 年 月 日</w:t>
      </w:r>
    </w:p>
    <w:p>
      <w:pPr>
        <w:ind w:firstLine="480"/>
      </w:pPr>
    </w:p>
    <w:p>
      <w:r>
        <w:rPr/>
        <w:t xml:space="preserve"> </w:t>
      </w:r>
    </w:p>
    <w:p/>
    <w:p>
      <w:r>
        <w:rPr>
          <w:b/>
          <w:sz w:val="28"/>
        </w:rPr>
        <w:t>格式五：</w:t>
      </w:r>
    </w:p>
    <w:p>
      <w:pPr>
        <w:ind w:firstLine="480"/>
      </w:pPr>
      <w:r>
        <w:rPr/>
        <w:t>（供应商可使用下述格式，也可使用广东省工商行政管理局统一印制的法定代表人证明书格式）</w:t>
      </w:r>
    </w:p>
    <w:p>
      <w:pPr>
        <w:jc w:val="center"/>
      </w:pPr>
      <w:r>
        <w:rPr>
          <w:b/>
          <w:sz w:val="24"/>
        </w:rPr>
        <w:t>法定代表人证明书</w:t>
      </w:r>
    </w:p>
    <w:p>
      <w:pPr>
        <w:ind w:firstLine="480"/>
      </w:pPr>
      <w:r>
        <w:rPr/>
        <w:t>_____________现任我单位_____________职务，为法定代表人，特此证明。</w:t>
      </w:r>
    </w:p>
    <w:p>
      <w:pPr>
        <w:ind w:firstLine="480"/>
      </w:pPr>
      <w:r>
        <w:rPr/>
        <w:t>有效期限：__________________</w:t>
      </w:r>
    </w:p>
    <w:p>
      <w:pPr>
        <w:ind w:firstLine="480"/>
      </w:pPr>
      <w:r>
        <w:rPr/>
        <w:t>附：代表人性别：_____年龄：_________ 身份证号码：__________________</w:t>
      </w:r>
    </w:p>
    <w:p>
      <w:pPr>
        <w:ind w:firstLine="480"/>
      </w:pPr>
      <w:r>
        <w:rPr/>
        <w:t>注册号码：____________________企业类型：____________________________</w:t>
      </w:r>
    </w:p>
    <w:p>
      <w:pPr>
        <w:ind w:firstLine="480"/>
      </w:pPr>
      <w:r>
        <w:rPr/>
        <w:t>经营范围：________________________________________</w:t>
      </w:r>
    </w:p>
    <w:p>
      <w:pPr>
        <w:ind w:firstLine="480"/>
      </w:pPr>
    </w:p>
    <w:p>
      <w:pPr>
        <w:ind w:firstLine="480"/>
      </w:pPr>
    </w:p>
    <w:p>
      <w:pPr>
        <w:jc w:val="right"/>
      </w:pPr>
      <w:r>
        <w:rPr/>
        <w:t>供应商名称（盖章）：__________________</w:t>
      </w:r>
    </w:p>
    <w:p>
      <w:pPr>
        <w:jc w:val="right"/>
      </w:pPr>
      <w:r>
        <w:rPr/>
        <w:t>地址：__________________</w:t>
      </w:r>
    </w:p>
    <w:p>
      <w:pPr>
        <w:jc w:val="right"/>
      </w:pPr>
      <w:r>
        <w:rPr/>
        <w:t>法定代表人（签字或盖章）：__________________</w:t>
      </w:r>
    </w:p>
    <w:p>
      <w:pPr>
        <w:jc w:val="right"/>
      </w:pPr>
      <w:r>
        <w:rPr/>
        <w:t>职务：__________________</w:t>
      </w:r>
    </w:p>
    <w:p>
      <w:pPr>
        <w:jc w:val="right"/>
      </w:pPr>
      <w:r>
        <w:rPr/>
        <w:t>日期： 年 月 日</w:t>
      </w:r>
    </w:p>
    <w:p>
      <w:pPr>
        <w:ind w:firstLine="480"/>
      </w:pPr>
    </w:p>
    <w:p>
      <w:r>
        <w:rPr/>
        <w:t xml:space="preserve"> </w:t>
      </w:r>
    </w:p>
    <w:p/>
    <w:p>
      <w:r>
        <w:rPr>
          <w:b/>
          <w:sz w:val="28"/>
        </w:rPr>
        <w:t>格式六：</w:t>
      </w:r>
    </w:p>
    <w:p>
      <w:pPr>
        <w:jc w:val="center"/>
      </w:pPr>
      <w:r>
        <w:rPr>
          <w:b/>
          <w:sz w:val="24"/>
        </w:rPr>
        <w:t>法定代表人授权书格式</w:t>
      </w:r>
    </w:p>
    <w:p>
      <w:pPr>
        <w:ind w:firstLine="480"/>
      </w:pPr>
      <w:r>
        <w:rPr/>
        <w:t>（对于银行、保险、电信、邮政、铁路等行业以及获得总公司响应授权的分公司，可以提供响应分支机构负责人授权书）</w:t>
      </w:r>
    </w:p>
    <w:p>
      <w:pPr>
        <w:jc w:val="center"/>
      </w:pPr>
      <w:r>
        <w:rPr>
          <w:b/>
          <w:sz w:val="24"/>
        </w:rPr>
        <w:t>法定代表人授权书</w:t>
      </w:r>
    </w:p>
    <w:p>
      <w:pPr>
        <w:ind w:firstLine="480"/>
      </w:pPr>
      <w:r>
        <w:rPr/>
        <w:t>致：</w:t>
      </w:r>
      <w:r>
        <w:rPr/>
        <w:t>广东政通招标有限公司</w:t>
      </w:r>
    </w:p>
    <w:p>
      <w:pPr>
        <w:ind w:firstLine="480"/>
      </w:pPr>
      <w:r>
        <w:rPr/>
        <w:t>本授权书声明：________是注册于</w:t>
      </w:r>
      <w:r>
        <w:rPr>
          <w:u w:val="single"/>
        </w:rPr>
        <w:t>（国家或地区）</w:t>
      </w:r>
      <w:r>
        <w:rPr/>
        <w:t>的</w:t>
      </w:r>
      <w:r>
        <w:rPr>
          <w:u w:val="single"/>
        </w:rPr>
        <w:t>（供应商名称）</w:t>
      </w:r>
      <w:r>
        <w:rPr/>
        <w:t>的法定代表人，现任________职务，有效证件号码：________________。现授权</w:t>
      </w:r>
      <w:r>
        <w:rPr>
          <w:u w:val="single"/>
        </w:rPr>
        <w:t>（姓名、职务）</w:t>
      </w:r>
      <w:r>
        <w:rPr/>
        <w:t>作为我公司的全权代理人，就</w:t>
      </w:r>
      <w:r>
        <w:rPr/>
        <w:t>东莞市大朗教育管理中心采购2022年公办学校教室灯光照明设备项目</w:t>
      </w:r>
      <w:r>
        <w:rPr/>
        <w:t>项目采购[采购项目编号为</w:t>
      </w:r>
      <w:r>
        <w:rPr/>
        <w:t>441900021-2022-00314</w:t>
      </w:r>
      <w:r>
        <w:rPr/>
        <w:t>]的响应和合同执行，以我方的名义处理一切与之有关的事宜。</w:t>
      </w:r>
    </w:p>
    <w:p>
      <w:pPr>
        <w:ind w:firstLine="480"/>
      </w:pPr>
      <w:r>
        <w:rPr/>
        <w:t>本授权书于________年________月________日签字生效，特此声明。</w:t>
      </w:r>
    </w:p>
    <w:p>
      <w:pPr>
        <w:jc w:val="right"/>
      </w:pPr>
      <w:r>
        <w:rPr/>
        <w:t>供应商（盖章）：__________________</w:t>
      </w:r>
    </w:p>
    <w:p>
      <w:pPr>
        <w:jc w:val="right"/>
      </w:pPr>
      <w:r>
        <w:rPr/>
        <w:t>地址：__________________</w:t>
      </w:r>
    </w:p>
    <w:p>
      <w:pPr>
        <w:jc w:val="right"/>
      </w:pPr>
      <w:r>
        <w:rPr/>
        <w:t>法定代表人（签字或盖章）：__________________</w:t>
      </w:r>
    </w:p>
    <w:p>
      <w:pPr>
        <w:jc w:val="right"/>
      </w:pPr>
      <w:r>
        <w:rPr/>
        <w:t>职务：__________________</w:t>
      </w:r>
    </w:p>
    <w:p>
      <w:pPr>
        <w:jc w:val="right"/>
      </w:pPr>
      <w:r>
        <w:rPr/>
        <w:t>被授权人（签字或盖章）：__________________</w:t>
      </w:r>
    </w:p>
    <w:p>
      <w:pPr>
        <w:jc w:val="right"/>
      </w:pPr>
      <w:r>
        <w:rPr/>
        <w:t>职务：__________________</w:t>
      </w:r>
    </w:p>
    <w:p>
      <w:pPr>
        <w:jc w:val="right"/>
      </w:pPr>
      <w:r>
        <w:rPr/>
        <w:t>日期：____年____月____日</w:t>
      </w:r>
    </w:p>
    <w:p>
      <w:pPr>
        <w:ind w:firstLine="480"/>
      </w:pPr>
    </w:p>
    <w:p>
      <w:r>
        <w:rPr/>
        <w:t xml:space="preserve"> </w:t>
      </w:r>
    </w:p>
    <w:p/>
    <w:p>
      <w:r>
        <w:rPr>
          <w:b/>
          <w:sz w:val="28"/>
        </w:rPr>
        <w:t>格式七：</w:t>
      </w:r>
    </w:p>
    <w:p>
      <w:pPr>
        <w:jc w:val="center"/>
      </w:pPr>
      <w:r>
        <w:rPr>
          <w:b/>
          <w:sz w:val="24"/>
        </w:rPr>
        <w:t>响应保证金</w:t>
      </w:r>
    </w:p>
    <w:p>
      <w:pPr>
        <w:ind w:firstLine="480"/>
      </w:pPr>
      <w:r>
        <w:rPr/>
        <w:t>谈判文件要求递交响应保证金的，供应商应在此提供保证金的凭证的复印件。</w:t>
      </w:r>
    </w:p>
    <w:p>
      <w:pPr>
        <w:ind w:firstLine="480"/>
      </w:pPr>
    </w:p>
    <w:p>
      <w:r>
        <w:rPr/>
        <w:t xml:space="preserve"> </w:t>
      </w:r>
    </w:p>
    <w:p/>
    <w:p>
      <w:r>
        <w:rPr>
          <w:b/>
          <w:sz w:val="28"/>
        </w:rPr>
        <w:t>格式八：</w:t>
      </w:r>
    </w:p>
    <w:p>
      <w:pPr>
        <w:jc w:val="center"/>
      </w:pPr>
      <w:r>
        <w:rPr>
          <w:b/>
          <w:sz w:val="24"/>
        </w:rPr>
        <w:t>提供具有独立承担民事责任的能力的证明材料</w:t>
      </w:r>
    </w:p>
    <w:p>
      <w:pPr>
        <w:ind w:firstLine="480"/>
      </w:pPr>
    </w:p>
    <w:p>
      <w:r>
        <w:rPr/>
        <w:t xml:space="preserve"> </w:t>
      </w:r>
    </w:p>
    <w:p/>
    <w:p>
      <w:r>
        <w:rPr>
          <w:b/>
          <w:sz w:val="28"/>
        </w:rPr>
        <w:t>格式九：</w:t>
      </w:r>
    </w:p>
    <w:p>
      <w:pPr>
        <w:jc w:val="center"/>
      </w:pPr>
      <w:r>
        <w:rPr>
          <w:b/>
          <w:sz w:val="24"/>
        </w:rPr>
        <w:t>资格性审查要求的其他资质证明文件</w:t>
      </w:r>
    </w:p>
    <w:p>
      <w:pPr>
        <w:ind w:firstLine="480"/>
      </w:pPr>
      <w:r>
        <w:rPr/>
        <w:t>详见资格性条款要求</w:t>
      </w:r>
    </w:p>
    <w:p>
      <w:pPr>
        <w:ind w:firstLine="480"/>
      </w:pPr>
      <w:r>
        <w:rPr/>
        <w:t>设备及专业技术能力情况表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8304"/>
            <w:gridSpan w:val="4"/>
          </w:tcPr>
          <w:p>
            <w:r>
              <w:rPr/>
              <w:t>我单位为本项目实施提供以下设备和专业技术人员：</w:t>
            </w:r>
          </w:p>
        </w:tc>
      </w:tr>
      <w:tr>
        <w:tc>
          <w:tcPr>
            <w:tcW w:type="dxa" w:w="2076"/>
          </w:tcPr>
          <w:p>
            <w:r>
              <w:rPr/>
              <w:t>序号</w:t>
            </w:r>
          </w:p>
        </w:tc>
        <w:tc>
          <w:tcPr>
            <w:tcW w:type="dxa" w:w="2076"/>
          </w:tcPr>
          <w:p>
            <w:r>
              <w:rPr/>
              <w:t>设备名称和专业技术人员</w:t>
            </w:r>
          </w:p>
        </w:tc>
        <w:tc>
          <w:tcPr>
            <w:tcW w:type="dxa" w:w="2076"/>
          </w:tcPr>
          <w:p>
            <w:r>
              <w:rPr/>
              <w:t>数量及单位</w:t>
            </w:r>
          </w:p>
        </w:tc>
        <w:tc>
          <w:tcPr>
            <w:tcW w:type="dxa" w:w="2076"/>
          </w:tcPr>
          <w:p>
            <w:r>
              <w:rPr/>
              <w:t>备注</w:t>
            </w:r>
          </w:p>
        </w:tc>
      </w:tr>
      <w:tr>
        <w:tc>
          <w:tcPr>
            <w:tcW w:type="dxa" w:w="2076"/>
          </w:tcPr>
          <w:p>
            <w:pPr>
              <w:jc w:val="center"/>
            </w:pPr>
            <w:r>
              <w:rPr/>
              <w:t>1</w:t>
            </w:r>
          </w:p>
        </w:tc>
        <w:tc>
          <w:tcPr>
            <w:tcW w:type="dxa" w:w="2076"/>
          </w:tcPr>
          <w:p/>
        </w:tc>
        <w:tc>
          <w:tcPr>
            <w:tcW w:type="dxa" w:w="2076"/>
          </w:tcPr>
          <w:p/>
        </w:tc>
        <w:tc>
          <w:tcPr>
            <w:tcW w:type="dxa" w:w="2076"/>
          </w:tcPr>
          <w:p/>
        </w:tc>
      </w:tr>
      <w:tr>
        <w:tc>
          <w:tcPr>
            <w:tcW w:type="dxa" w:w="2076"/>
          </w:tcPr>
          <w:p>
            <w:pPr>
              <w:jc w:val="center"/>
            </w:pPr>
            <w:r>
              <w:rPr/>
              <w:t>2</w:t>
            </w:r>
          </w:p>
        </w:tc>
        <w:tc>
          <w:tcPr>
            <w:tcW w:type="dxa" w:w="2076"/>
          </w:tcPr>
          <w:p/>
        </w:tc>
        <w:tc>
          <w:tcPr>
            <w:tcW w:type="dxa" w:w="2076"/>
          </w:tcPr>
          <w:p/>
        </w:tc>
        <w:tc>
          <w:tcPr>
            <w:tcW w:type="dxa" w:w="2076"/>
          </w:tcPr>
          <w:p/>
        </w:tc>
      </w:tr>
      <w:tr>
        <w:tc>
          <w:tcPr>
            <w:tcW w:type="dxa" w:w="2076"/>
          </w:tcPr>
          <w:p>
            <w:pPr>
              <w:jc w:val="center"/>
            </w:pPr>
            <w:r>
              <w:rPr/>
              <w:t>3</w:t>
            </w:r>
          </w:p>
        </w:tc>
        <w:tc>
          <w:tcPr>
            <w:tcW w:type="dxa" w:w="2076"/>
          </w:tcPr>
          <w:p/>
        </w:tc>
        <w:tc>
          <w:tcPr>
            <w:tcW w:type="dxa" w:w="2076"/>
          </w:tcPr>
          <w:p/>
        </w:tc>
        <w:tc>
          <w:tcPr>
            <w:tcW w:type="dxa" w:w="2076"/>
          </w:tcPr>
          <w:p/>
        </w:tc>
      </w:tr>
      <w:tr>
        <w:tc>
          <w:tcPr>
            <w:tcW w:type="dxa" w:w="2076"/>
          </w:tcPr>
          <w:p>
            <w:r>
              <w:rPr/>
              <w:t>…</w:t>
            </w:r>
          </w:p>
        </w:tc>
        <w:tc>
          <w:tcPr>
            <w:tcW w:type="dxa" w:w="2076"/>
          </w:tcPr>
          <w:p/>
        </w:tc>
        <w:tc>
          <w:tcPr>
            <w:tcW w:type="dxa" w:w="2076"/>
          </w:tcPr>
          <w:p/>
        </w:tc>
        <w:tc>
          <w:tcPr>
            <w:tcW w:type="dxa" w:w="2076"/>
          </w:tcPr>
          <w:p/>
        </w:tc>
      </w:tr>
    </w:tbl>
    <w:p>
      <w:pPr>
        <w:ind w:firstLine="480"/>
      </w:pPr>
    </w:p>
    <w:p>
      <w:r>
        <w:rPr/>
        <w:t xml:space="preserve"> </w:t>
      </w:r>
    </w:p>
    <w:p/>
    <w:p>
      <w:r>
        <w:rPr>
          <w:b/>
          <w:sz w:val="28"/>
        </w:rPr>
        <w:t>格式十：</w:t>
      </w:r>
    </w:p>
    <w:p>
      <w:pPr>
        <w:ind w:firstLine="480"/>
      </w:pPr>
      <w:r>
        <w:rPr/>
        <w:t>（以下格式文件由供应商根据需要选用）</w:t>
      </w:r>
    </w:p>
    <w:p>
      <w:pPr>
        <w:ind w:firstLine="480"/>
      </w:pPr>
      <w:r>
        <w:rPr/>
        <w:t>中小企业声明函（所响应产品制造商为中小企业时提交本函，所属行业应符合谈判文件中明确的本项目所属行业）</w:t>
      </w:r>
    </w:p>
    <w:p>
      <w:pPr>
        <w:jc w:val="center"/>
      </w:pPr>
      <w:r>
        <w:rPr>
          <w:b/>
          <w:sz w:val="24"/>
        </w:rPr>
        <w:t>中小企业声明函（货物）</w:t>
      </w:r>
    </w:p>
    <w:p>
      <w:pPr>
        <w:ind w:firstLine="480"/>
      </w:pPr>
      <w:r>
        <w:rPr/>
        <w:t>本公司（联合体）郑重声明，根据《政府采购促进中小企业发展管理办法》（财库﹝2020﹞46</w:t>
        <w:tab/>
        <w:tab/>
        <w:t xml:space="preserve"> 号）的规定，本公司（联合体）参加</w:t>
      </w:r>
      <w:r>
        <w:rPr>
          <w:u w:val="single"/>
        </w:rPr>
        <w:t>（单位名称）</w:t>
      </w:r>
      <w:r>
        <w:rPr/>
        <w:t>的</w:t>
      </w:r>
      <w:r>
        <w:rPr>
          <w:u w:val="single"/>
        </w:rPr>
        <w:t>（项目名称）</w:t>
      </w:r>
      <w:r>
        <w:rPr/>
        <w:t>采购活动，提供的货物全部由符合政策要求的中小企业制造。相关企业（含联合体中的中小企业、签订分包意向协议的中小企业）的具体情况如下：</w:t>
      </w:r>
    </w:p>
    <w:p>
      <w:pPr>
        <w:ind w:firstLine="480"/>
      </w:pPr>
      <w:r>
        <w:rPr/>
        <w:t>1.（标的名称），属于（谈判文件中明确的所属行业）行业；制造商为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2.（标的名称），属于（谈判文件中明确的所属行业）行业；制造商为</w:t>
      </w:r>
      <w:r>
        <w:rPr>
          <w:u w:val="single"/>
        </w:rPr>
        <w:t>（企业名称）</w:t>
      </w:r>
      <w:r>
        <w:rPr/>
        <w:t>，从业人员__________________人，营业收入为__________________万元，资产总额为__________________万元</w:t>
      </w:r>
      <w:r>
        <w:rPr>
          <w:sz w:val="7"/>
        </w:rPr>
        <w:t>1</w:t>
      </w:r>
      <w:r>
        <w:rPr/>
        <w:t>，属于</w:t>
      </w:r>
      <w:r>
        <w:rPr>
          <w:u w:val="single"/>
        </w:rPr>
        <w:t>（中型企业、小型企业、微型企业）</w:t>
      </w:r>
      <w:r>
        <w:rPr/>
        <w:t>；</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pPr>
        <w:jc w:val="right"/>
      </w:pPr>
      <w:r>
        <w:rPr/>
        <w:t>企业名称（盖章）：__________________</w:t>
      </w:r>
    </w:p>
    <w:p>
      <w:pPr>
        <w:jc w:val="right"/>
      </w:pPr>
      <w:r>
        <w:rPr/>
        <w:t>日期： 年 月 日</w:t>
      </w:r>
    </w:p>
    <w:p>
      <w:pPr>
        <w:ind w:firstLine="480"/>
      </w:pPr>
    </w:p>
    <w:p>
      <w:pPr>
        <w:ind w:firstLine="480"/>
      </w:pPr>
    </w:p>
    <w:p>
      <w:pPr>
        <w:ind w:firstLine="480"/>
      </w:pPr>
      <w:r>
        <w:rPr/>
        <w:t>1：从业人员、营业收入、资产总额填报上一年度数据，无上一年度数据的新成立企业可不填报</w:t>
      </w:r>
    </w:p>
    <w:p>
      <w:pPr>
        <w:ind w:firstLine="480"/>
      </w:pPr>
      <w:r>
        <w:rPr/>
        <w:t>2：供应商应当对其出具的《中小企业声明函》真实性负责，供应商出具的《中小企业声明函》内容不实的，属于提供虚假材料谋取成交。在实际操作中，供应商希望获得中小企业扶持政策支持的，应从制造商处获得充分、准确的信息。对相关制造商信息了解不充分，或者不能确定相关信息真实、准确的，不建议出具《中小企业声明函》。</w:t>
      </w:r>
    </w:p>
    <w:p>
      <w:pPr>
        <w:ind w:firstLine="480"/>
      </w:pPr>
    </w:p>
    <w:p>
      <w:r>
        <w:rPr/>
        <w:t xml:space="preserve"> </w:t>
      </w:r>
    </w:p>
    <w:p/>
    <w:p>
      <w:pPr>
        <w:ind w:firstLine="480"/>
      </w:pPr>
      <w:r>
        <w:rPr/>
        <w:t>中小企业声明函（承建本项目工程为中小企业或者承接本项目服务为中小企业时提交本函，所属行业应符合谈判文件中明确的本项目所属行业）</w:t>
      </w:r>
    </w:p>
    <w:p>
      <w:pPr>
        <w:jc w:val="center"/>
      </w:pPr>
      <w:r>
        <w:rPr>
          <w:b/>
          <w:sz w:val="24"/>
        </w:rPr>
        <w:t>中小企业声明函（工程、服务）</w:t>
      </w:r>
    </w:p>
    <w:p>
      <w:pPr>
        <w:ind w:firstLine="480"/>
      </w:pPr>
      <w:r>
        <w:rPr/>
        <w:t>本公司（联合体）郑重声明，根据《政府采购促进中小企业发展管理办法》（财库﹝2020﹞46</w:t>
        <w:tab/>
        <w:tab/>
        <w:t xml:space="preserve"> 号）的规定，本公司（联合体）参加</w:t>
      </w:r>
      <w:r>
        <w:rPr>
          <w:u w:val="single"/>
        </w:rPr>
        <w:t>（单位名称）</w:t>
      </w:r>
      <w:r>
        <w:rPr/>
        <w:t>的</w:t>
      </w:r>
      <w:r>
        <w:rPr>
          <w:u w:val="single"/>
        </w:rPr>
        <w:t>（项目名称）</w:t>
      </w:r>
      <w:r>
        <w:rPr/>
        <w:t>采购活动，工程的施工单位全部为符合政策要求的中小企业（或者：服务全部由符合政策要求的中小企业承接）。相关企业（含联合体中的中小企业、签订分包意向协议的中小企业）的具体情况如下：</w:t>
      </w:r>
    </w:p>
    <w:p>
      <w:pPr>
        <w:ind w:firstLine="480"/>
      </w:pPr>
      <w:r>
        <w:rPr/>
        <w:t>1.（标的名称），属于（谈判文件中明确的所属行业）行业；承建（承接）企业为（企业名称），从业人员__________________人，营业收入为__________________万元，资产总额为__________________万元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ind w:firstLine="480"/>
      </w:pPr>
      <w:r>
        <w:rPr/>
        <w:t>2.（标的名称），属于（谈判文件中明确的所属行业）行业；承建（承接）企业为（企业名称），从业人员__________________人，营业收入为__________________万元，资产总额为__________________万元</w:t>
      </w:r>
      <w:r>
        <w:rPr>
          <w:sz w:val="7"/>
        </w:rPr>
        <w:t>1</w:t>
      </w:r>
      <w:r>
        <w:rPr/>
        <w:t>，属于（中型企业、小型企业、微型企业）；</w:t>
      </w:r>
    </w:p>
    <w:p>
      <w:pPr>
        <w:ind w:firstLine="480"/>
      </w:pPr>
      <w:r>
        <w:rPr/>
        <w:t>……</w:t>
      </w:r>
    </w:p>
    <w:p>
      <w:pPr>
        <w:ind w:firstLine="480"/>
      </w:pPr>
      <w:r>
        <w:rPr/>
        <w:t>以上企业，不属于大企业的分支机构，不存在控股股东为大企业的情形，也不存在与大企业的负责人为同一人的情形。</w:t>
      </w:r>
    </w:p>
    <w:p>
      <w:pPr>
        <w:ind w:firstLine="480"/>
      </w:pPr>
      <w:r>
        <w:rPr/>
        <w:t>本企业对上述声明内容的真实性负责。如有虚假，将依法承担相应责任。</w:t>
      </w:r>
    </w:p>
    <w:p>
      <w:pPr>
        <w:jc w:val="right"/>
      </w:pPr>
      <w:r>
        <w:rPr/>
        <w:t>企业名称（盖章）：__________________</w:t>
      </w:r>
    </w:p>
    <w:p>
      <w:pPr>
        <w:jc w:val="right"/>
      </w:pPr>
      <w:r>
        <w:rPr/>
        <w:t>日期： 年 月 日</w:t>
      </w:r>
    </w:p>
    <w:p>
      <w:pPr>
        <w:ind w:firstLine="480"/>
      </w:pPr>
      <w:r>
        <w:rPr/>
        <w:t>1：从业人员、营业收入、资产总额填报上一年度数据，无上一年度数据的新成立企业可不填报。</w:t>
      </w:r>
    </w:p>
    <w:p>
      <w:pPr>
        <w:ind w:firstLine="480"/>
      </w:pPr>
      <w:r>
        <w:rPr/>
        <w:t>2：供应商应当自行核实是否属于小微企业，并认真填写声明函，若有虚假将追究其责任。</w:t>
      </w:r>
    </w:p>
    <w:p>
      <w:pPr>
        <w:ind w:firstLine="480"/>
      </w:pPr>
    </w:p>
    <w:p>
      <w:r>
        <w:rPr/>
        <w:t xml:space="preserve"> </w:t>
      </w:r>
    </w:p>
    <w:p/>
    <w:p>
      <w:r>
        <w:rPr>
          <w:b/>
          <w:sz w:val="28"/>
        </w:rPr>
        <w:t>格式十一：</w:t>
      </w:r>
    </w:p>
    <w:p>
      <w:pPr>
        <w:ind w:firstLine="480"/>
      </w:pPr>
      <w:r>
        <w:rPr/>
        <w:t>（以下格式文件由供应商根据需要选用）</w:t>
      </w:r>
    </w:p>
    <w:p>
      <w:pPr>
        <w:jc w:val="center"/>
      </w:pPr>
      <w:r>
        <w:rPr>
          <w:b/>
          <w:sz w:val="24"/>
        </w:rPr>
        <w:t>监狱企业</w:t>
      </w:r>
    </w:p>
    <w:p>
      <w:pPr>
        <w:ind w:firstLine="480"/>
      </w:pPr>
      <w:r>
        <w:rPr/>
        <w:t>提供由监狱管理局、戒毒管理局（含新疆生产建设兵团）出具的属于监狱企业的证明文件。</w:t>
      </w:r>
    </w:p>
    <w:p>
      <w:pPr>
        <w:ind w:firstLine="480"/>
      </w:pPr>
    </w:p>
    <w:p>
      <w:r>
        <w:rPr/>
        <w:t xml:space="preserve"> </w:t>
      </w:r>
    </w:p>
    <w:p/>
    <w:p>
      <w:r>
        <w:rPr>
          <w:b/>
          <w:sz w:val="28"/>
        </w:rPr>
        <w:t>格式十二：</w:t>
      </w:r>
    </w:p>
    <w:p>
      <w:pPr>
        <w:ind w:firstLine="480"/>
      </w:pPr>
      <w:r>
        <w:rPr/>
        <w:t>（以下格式文件由供应商根据需要选用）</w:t>
      </w:r>
    </w:p>
    <w:p>
      <w:pPr>
        <w:jc w:val="center"/>
      </w:pPr>
      <w:r>
        <w:rPr>
          <w:b/>
          <w:sz w:val="24"/>
        </w:rPr>
        <w:t>残疾人福利性单位声明函</w:t>
      </w:r>
    </w:p>
    <w:p>
      <w:pPr>
        <w:ind w:firstLine="480"/>
      </w:pPr>
      <w:r>
        <w:rPr/>
        <w:t>本单位郑重声明，根据《财政部 民政部 中国残疾人联合会关于促进残疾人就业政府采购政策的通知》（财库〔2017〕</w:t>
        <w:tab/>
        <w:tab/>
        <w:t xml:space="preserve"> 141号）的规定，本单位为符合条件的残疾人福利性单位，且本单位参加______单位的______项目采购活动提供本单位制造的货物（由本单位承担工程/提供服务），或者提供其他残疾人福利性单位制造的货物（不包括使用非残疾人福利性单位注册商标的货物）。</w:t>
      </w:r>
    </w:p>
    <w:p>
      <w:pPr>
        <w:ind w:firstLine="480"/>
      </w:pPr>
      <w:r>
        <w:rPr/>
        <w:t>本单位对上述声明的真实性负责。如有虚假，将依法承担相应责任。</w:t>
      </w:r>
    </w:p>
    <w:p>
      <w:pPr>
        <w:jc w:val="right"/>
      </w:pPr>
      <w:r>
        <w:rPr/>
        <w:t>单位名称（盖章）：__________________</w:t>
      </w:r>
    </w:p>
    <w:p>
      <w:pPr>
        <w:jc w:val="right"/>
      </w:pPr>
      <w:r>
        <w:rPr/>
        <w:t>日期： 年 月 日</w:t>
      </w:r>
    </w:p>
    <w:p>
      <w:pPr>
        <w:ind w:firstLine="480"/>
      </w:pPr>
    </w:p>
    <w:p>
      <w:r>
        <w:rPr/>
        <w:t xml:space="preserve"> </w:t>
      </w:r>
    </w:p>
    <w:p/>
    <w:p>
      <w:r>
        <w:rPr>
          <w:b/>
          <w:sz w:val="28"/>
        </w:rPr>
        <w:t>格式十三：</w:t>
      </w:r>
    </w:p>
    <w:p>
      <w:pPr>
        <w:ind w:firstLine="480"/>
      </w:pPr>
      <w:r>
        <w:rPr/>
        <w:t>（以下格式文件由供应商根据需要选用）</w:t>
      </w:r>
    </w:p>
    <w:p>
      <w:pPr>
        <w:jc w:val="center"/>
      </w:pPr>
      <w:r>
        <w:rPr>
          <w:b/>
          <w:sz w:val="24"/>
        </w:rPr>
        <w:t>联合体共同响应协议书</w:t>
      </w:r>
    </w:p>
    <w:p>
      <w:pPr>
        <w:ind w:firstLine="480"/>
      </w:pPr>
      <w:r>
        <w:rPr/>
        <w:t>立约方：</w:t>
      </w:r>
      <w:r>
        <w:rPr>
          <w:u w:val="single"/>
        </w:rPr>
        <w:t>（甲公司全称）</w:t>
      </w:r>
    </w:p>
    <w:p>
      <w:pPr>
        <w:ind w:firstLine="480"/>
      </w:pPr>
      <w:r>
        <w:rPr>
          <w:u w:val="single"/>
        </w:rPr>
        <w:t>（乙公司全称）</w:t>
      </w:r>
    </w:p>
    <w:p>
      <w:pPr>
        <w:ind w:firstLine="480"/>
      </w:pPr>
      <w:r>
        <w:rPr>
          <w:u w:val="single"/>
        </w:rPr>
        <w:t>（……公司全称）</w:t>
      </w:r>
    </w:p>
    <w:p>
      <w:pPr>
        <w:ind w:firstLine="480"/>
      </w:pPr>
      <w:r>
        <w:rPr>
          <w:u w:val="single"/>
        </w:rPr>
        <w:t>（甲公司全称）、（乙公司全称）、（……公司全称）</w:t>
      </w:r>
      <w:r>
        <w:rPr/>
        <w:t>自愿组成联合体，以一个供应商的身份共同参加</w:t>
      </w:r>
      <w:r>
        <w:rPr>
          <w:u w:val="single"/>
        </w:rPr>
        <w:t>（采购项目名称）（采购项目编号）</w:t>
      </w:r>
      <w:r>
        <w:rPr/>
        <w:t>的响应活动。经各方充分协商一致，就项目的响应和合同实施阶段的有关事务协商一致订立协议如下：</w:t>
      </w:r>
    </w:p>
    <w:p>
      <w:pPr>
        <w:ind w:firstLine="480"/>
      </w:pPr>
      <w:r>
        <w:rPr/>
        <w:t>一、联合体各方关系</w:t>
      </w:r>
    </w:p>
    <w:p>
      <w:pPr>
        <w:ind w:firstLine="480"/>
      </w:pPr>
      <w:r>
        <w:rPr>
          <w:u w:val="single"/>
        </w:rPr>
        <w:t>（甲公司全称）、（乙公司全称）、（……公司全称）</w:t>
      </w:r>
      <w:r>
        <w:rPr/>
        <w:t>共同组成一个联合体，以一个供应商的身份共同参加本项目的响应。</w:t>
      </w:r>
      <w:r>
        <w:rPr>
          <w:u w:val="single"/>
        </w:rPr>
        <w:t>（甲公司全称）、（乙公司全称）、（……公司全称）</w:t>
      </w:r>
      <w:r>
        <w:rPr/>
        <w:t>作为联合体成员，若成交，联合体各方共同与签订政府采购合同。</w:t>
      </w:r>
    </w:p>
    <w:p>
      <w:pPr>
        <w:ind w:firstLine="480"/>
      </w:pPr>
      <w:r>
        <w:rPr/>
        <w:t>二、联合体内部有关事项约定如下：</w:t>
      </w:r>
    </w:p>
    <w:p>
      <w:pPr>
        <w:ind w:firstLine="480"/>
      </w:pPr>
      <w:r>
        <w:rPr/>
        <w:t>1.</w:t>
      </w:r>
      <w:r>
        <w:rPr>
          <w:u w:val="single"/>
        </w:rPr>
        <w:t>（甲公司全称）</w:t>
      </w:r>
      <w:r>
        <w:rPr/>
        <w:t>作为联合体的牵头单位，代表联合体双方负责谈判和合同实施阶段的主办、协调工作。</w:t>
      </w:r>
    </w:p>
    <w:p>
      <w:pPr>
        <w:ind w:firstLine="480"/>
      </w:pPr>
      <w:r>
        <w:rPr/>
        <w:t>2.联合体将严格按照文件的各项要求，递交谈判文件，切实执行一切合同文件，共同承担合同规定的一切义务和责任，同时按照内部职责的划分，承担自身所负的责任和风险，在法律在承担连带责任。</w:t>
      </w:r>
    </w:p>
    <w:p>
      <w:pPr>
        <w:ind w:firstLine="480"/>
      </w:pPr>
      <w:r>
        <w:rPr/>
        <w:t>3.如果本联合体成交，</w:t>
      </w:r>
      <w:r>
        <w:rPr>
          <w:u w:val="single"/>
        </w:rPr>
        <w:t>（甲公司全称）</w:t>
      </w:r>
      <w:r>
        <w:rPr/>
        <w:t>负责本项目___________部分，</w:t>
      </w:r>
      <w:r>
        <w:rPr>
          <w:u w:val="single"/>
        </w:rPr>
        <w:t>（乙公司全称）</w:t>
      </w:r>
      <w:r>
        <w:rPr/>
        <w:t>负责本项目___________部分。</w:t>
      </w:r>
    </w:p>
    <w:p>
      <w:pPr>
        <w:ind w:firstLine="480"/>
      </w:pPr>
      <w:r>
        <w:rPr/>
        <w:t>4.如成交，联合体各方共同与（采购人）签订合同书，并就成交项目向采购人负责有连带的和各自的法律责任；</w:t>
      </w:r>
    </w:p>
    <w:p>
      <w:pPr>
        <w:ind w:firstLine="480"/>
      </w:pPr>
      <w:r>
        <w:rPr/>
        <w:t>5.联合体成员</w:t>
      </w:r>
      <w:r>
        <w:rPr>
          <w:u w:val="single"/>
        </w:rPr>
        <w:t>（公司全称）</w:t>
      </w:r>
      <w:r>
        <w:rPr/>
        <w:t>为</w:t>
      </w:r>
      <w:r>
        <w:rPr>
          <w:u w:val="single"/>
        </w:rPr>
        <w:t>（请填写：小型、微型）</w:t>
      </w:r>
      <w:r>
        <w:rPr/>
        <w:t>企业，将承担合同总金额的_____%工作内容（联合体成员中有小型、微型企业时适用）。</w:t>
      </w:r>
    </w:p>
    <w:p>
      <w:pPr>
        <w:ind w:firstLine="480"/>
      </w:pPr>
      <w:r>
        <w:rPr/>
        <w:t>三、联合体各方不得再以自己名义参与本项目响应，联合体各方不能作为其它联合体或单独响应单位的项目组成员参加本项目响应。因发生上述问题导致联合体响应成为无效报价，联合体的其他成员可追究其违约责任和经济损失。</w:t>
      </w:r>
    </w:p>
    <w:p>
      <w:pPr>
        <w:ind w:firstLine="480"/>
      </w:pPr>
      <w:r>
        <w:rPr/>
        <w:t>四、联合体如因违约过失责任而导致采购人经济损失或被索赔时，本联合体任何一方均同意无条件优先清偿采购人的一切债务和经济赔偿。</w:t>
      </w:r>
    </w:p>
    <w:p>
      <w:pPr>
        <w:ind w:firstLine="480"/>
      </w:pPr>
      <w:r>
        <w:rPr/>
        <w:t>五、本协议在自签署之日起生效，有效期内有效，如获成交资格，合同有效期延续至合同履行完毕之日。</w:t>
      </w:r>
    </w:p>
    <w:p>
      <w:pPr>
        <w:ind w:firstLine="480"/>
      </w:pPr>
      <w:r>
        <w:rPr/>
        <w:t>六、本协议书正本一式_____份，随谈判文件装订_____份，送采购人_____份，联合体成员各一份；副本一式_____份，联合体成员各执_____份。</w:t>
      </w:r>
    </w:p>
    <w:p>
      <w:pPr>
        <w:jc w:val="right"/>
      </w:pPr>
      <w:r>
        <w:rPr/>
        <w:t>甲公司全称：____（盖章）________，乙公司全称：____（盖章）________，……公司全称：____（盖章）________，</w:t>
      </w:r>
    </w:p>
    <w:p>
      <w:pPr>
        <w:jc w:val="right"/>
      </w:pPr>
      <w:r>
        <w:rPr/>
        <w:t>____年____月 ____日，____年____月____日，____年____月____日</w:t>
      </w:r>
    </w:p>
    <w:p>
      <w:pPr>
        <w:ind w:firstLine="480"/>
      </w:pPr>
      <w:r>
        <w:rPr/>
        <w:t>注：1．联合响应时需签本协议，联合体各方成员应在本协议上共同盖章确认。</w:t>
      </w:r>
    </w:p>
    <w:p>
      <w:pPr>
        <w:ind w:firstLine="480"/>
      </w:pPr>
      <w:r>
        <w:rPr/>
        <w:t>2．本协议内容不得擅自修改。此协议将作为签订合同的附件之一。</w:t>
      </w:r>
    </w:p>
    <w:p>
      <w:pPr>
        <w:ind w:firstLine="480"/>
      </w:pPr>
    </w:p>
    <w:p>
      <w:r>
        <w:rPr/>
        <w:t xml:space="preserve"> </w:t>
      </w:r>
    </w:p>
    <w:p/>
    <w:p>
      <w:r>
        <w:rPr>
          <w:b/>
          <w:sz w:val="28"/>
        </w:rPr>
        <w:t>格式十四：</w:t>
      </w:r>
    </w:p>
    <w:p>
      <w:pPr>
        <w:jc w:val="center"/>
      </w:pPr>
      <w:r>
        <w:rPr>
          <w:b/>
          <w:sz w:val="24"/>
        </w:rPr>
        <w:t>响应供应商业绩情况表</w:t>
      </w:r>
    </w:p>
    <w:tbl>
      <w:tblPr>
        <w:tblW w:w="0" w:type="auto"/>
        <w:tblBorders>
          <w:top w:val="single"/>
          <w:left w:val="single"/>
          <w:bottom w:val="single"/>
          <w:right w:val="single"/>
          <w:insideH w:val="single"/>
          <w:insideV w:val="single"/>
        </w:tblBorders>
      </w:tblPr>
      <w:tblGrid>
        <w:gridCol w:w="1384"/>
        <w:gridCol w:w="1384"/>
        <w:gridCol w:w="1384"/>
        <w:gridCol w:w="1384"/>
        <w:gridCol w:w="1384"/>
        <w:gridCol w:w="1384"/>
      </w:tblGrid>
      <w:tr>
        <w:tc>
          <w:tcPr>
            <w:tcW w:type="dxa" w:w="1384"/>
          </w:tcPr>
          <w:p>
            <w:r>
              <w:rPr/>
              <w:t>序号</w:t>
            </w:r>
          </w:p>
        </w:tc>
        <w:tc>
          <w:tcPr>
            <w:tcW w:type="dxa" w:w="1384"/>
          </w:tcPr>
          <w:p>
            <w:r>
              <w:rPr/>
              <w:t>客户名称</w:t>
            </w:r>
          </w:p>
        </w:tc>
        <w:tc>
          <w:tcPr>
            <w:tcW w:type="dxa" w:w="1384"/>
          </w:tcPr>
          <w:p>
            <w:r>
              <w:rPr/>
              <w:t>项目名称及合同金额（万元）</w:t>
            </w:r>
          </w:p>
        </w:tc>
        <w:tc>
          <w:tcPr>
            <w:tcW w:type="dxa" w:w="1384"/>
          </w:tcPr>
          <w:p>
            <w:r>
              <w:rPr/>
              <w:t>签订合同时间</w:t>
            </w:r>
          </w:p>
        </w:tc>
        <w:tc>
          <w:tcPr>
            <w:tcW w:type="dxa" w:w="1384"/>
          </w:tcPr>
          <w:p>
            <w:r>
              <w:rPr/>
              <w:t>竣工验收报告时间</w:t>
            </w:r>
          </w:p>
        </w:tc>
        <w:tc>
          <w:tcPr>
            <w:tcW w:type="dxa" w:w="1384"/>
          </w:tcPr>
          <w:p>
            <w:r>
              <w:rPr/>
              <w:t>联系人及电话</w:t>
            </w:r>
          </w:p>
        </w:tc>
      </w:tr>
      <w:tr>
        <w:tc>
          <w:tcPr>
            <w:tcW w:type="dxa" w:w="1384"/>
          </w:tcPr>
          <w:p>
            <w:pPr>
              <w:jc w:val="center"/>
            </w:pPr>
            <w:r>
              <w:rPr/>
              <w:t>1</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2</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3</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pPr>
              <w:jc w:val="center"/>
            </w:pPr>
            <w:r>
              <w:rPr/>
              <w:t>4</w:t>
            </w:r>
          </w:p>
        </w:tc>
        <w:tc>
          <w:tcPr>
            <w:tcW w:type="dxa" w:w="1384"/>
          </w:tcPr>
          <w:p/>
        </w:tc>
        <w:tc>
          <w:tcPr>
            <w:tcW w:type="dxa" w:w="1384"/>
          </w:tcPr>
          <w:p/>
        </w:tc>
        <w:tc>
          <w:tcPr>
            <w:tcW w:type="dxa" w:w="1384"/>
          </w:tcPr>
          <w:p/>
        </w:tc>
        <w:tc>
          <w:tcPr>
            <w:tcW w:type="dxa" w:w="1384"/>
          </w:tcPr>
          <w:p/>
        </w:tc>
        <w:tc>
          <w:tcPr>
            <w:tcW w:type="dxa" w:w="1384"/>
          </w:tcPr>
          <w:p/>
        </w:tc>
      </w:tr>
      <w:tr>
        <w:tc>
          <w:tcPr>
            <w:tcW w:type="dxa" w:w="1384"/>
          </w:tcPr>
          <w:p>
            <w:r>
              <w:rPr/>
              <w:t>…</w:t>
            </w:r>
          </w:p>
        </w:tc>
        <w:tc>
          <w:tcPr>
            <w:tcW w:type="dxa" w:w="1384"/>
          </w:tcPr>
          <w:p/>
        </w:tc>
        <w:tc>
          <w:tcPr>
            <w:tcW w:type="dxa" w:w="1384"/>
          </w:tcPr>
          <w:p/>
        </w:tc>
        <w:tc>
          <w:tcPr>
            <w:tcW w:type="dxa" w:w="1384"/>
          </w:tcPr>
          <w:p/>
        </w:tc>
        <w:tc>
          <w:tcPr>
            <w:tcW w:type="dxa" w:w="1384"/>
          </w:tcPr>
          <w:p/>
        </w:tc>
        <w:tc>
          <w:tcPr>
            <w:tcW w:type="dxa" w:w="1384"/>
          </w:tcPr>
          <w:p/>
        </w:tc>
      </w:tr>
    </w:tbl>
    <w:p>
      <w:pPr>
        <w:ind w:firstLine="480"/>
      </w:pPr>
      <w:r>
        <w:rPr/>
        <w:t>根据上述业绩情况，按谈判文件要求附销售或服务合同复印件。</w:t>
      </w:r>
    </w:p>
    <w:p>
      <w:pPr>
        <w:ind w:firstLine="480"/>
      </w:pPr>
    </w:p>
    <w:p>
      <w:r>
        <w:rPr/>
        <w:t xml:space="preserve"> </w:t>
      </w:r>
    </w:p>
    <w:p/>
    <w:p>
      <w:r>
        <w:rPr>
          <w:b/>
          <w:sz w:val="28"/>
        </w:rPr>
        <w:t>格式十五：</w:t>
      </w:r>
    </w:p>
    <w:p>
      <w:pPr>
        <w:jc w:val="center"/>
      </w:pPr>
      <w:r>
        <w:rPr>
          <w:b/>
          <w:sz w:val="24"/>
        </w:rPr>
        <w:t>技术参数响应表</w:t>
      </w:r>
    </w:p>
    <w:tbl>
      <w:tblPr>
        <w:tblW w:w="0" w:type="auto"/>
        <w:tblBorders>
          <w:top w:val="single"/>
          <w:left w:val="single"/>
          <w:bottom w:val="single"/>
          <w:right w:val="single"/>
          <w:insideH w:val="single"/>
          <w:insideV w:val="single"/>
        </w:tblBorders>
      </w:tblPr>
      <w:tblGrid>
        <w:gridCol w:w="923"/>
        <w:gridCol w:w="923"/>
        <w:gridCol w:w="923"/>
        <w:gridCol w:w="923"/>
        <w:gridCol w:w="923"/>
        <w:gridCol w:w="923"/>
        <w:gridCol w:w="923"/>
        <w:gridCol w:w="923"/>
        <w:gridCol w:w="923"/>
      </w:tblGrid>
      <w:tr>
        <w:tc>
          <w:tcPr>
            <w:tcW w:type="dxa" w:w="923"/>
          </w:tcPr>
          <w:p>
            <w:r>
              <w:rPr/>
              <w:t>序号</w:t>
            </w:r>
          </w:p>
        </w:tc>
        <w:tc>
          <w:tcPr>
            <w:tcW w:type="dxa" w:w="923"/>
          </w:tcPr>
          <w:p>
            <w:r>
              <w:rPr/>
              <w:t>标的名称</w:t>
            </w:r>
          </w:p>
        </w:tc>
        <w:tc>
          <w:tcPr>
            <w:tcW w:type="dxa" w:w="923"/>
          </w:tcPr>
          <w:p>
            <w:r>
              <w:rPr/>
              <w:t>参数性质</w:t>
            </w:r>
          </w:p>
        </w:tc>
        <w:tc>
          <w:tcPr>
            <w:tcW w:type="dxa" w:w="923"/>
          </w:tcPr>
          <w:p>
            <w:r>
              <w:rPr/>
              <w:t>谈判文件规定的技术和服务要求</w:t>
            </w:r>
          </w:p>
        </w:tc>
        <w:tc>
          <w:tcPr>
            <w:tcW w:type="dxa" w:w="923"/>
          </w:tcPr>
          <w:p>
            <w:r>
              <w:rPr/>
              <w:t>响应文件响应的具体内容</w:t>
            </w:r>
          </w:p>
        </w:tc>
        <w:tc>
          <w:tcPr>
            <w:tcW w:type="dxa" w:w="923"/>
          </w:tcPr>
          <w:p>
            <w:r>
              <w:rPr/>
              <w:t>型号</w:t>
            </w:r>
          </w:p>
        </w:tc>
        <w:tc>
          <w:tcPr>
            <w:tcW w:type="dxa" w:w="923"/>
          </w:tcPr>
          <w:p>
            <w:r>
              <w:rPr/>
              <w:t>是否偏离</w:t>
            </w:r>
          </w:p>
        </w:tc>
        <w:tc>
          <w:tcPr>
            <w:tcW w:type="dxa" w:w="923"/>
          </w:tcPr>
          <w:p>
            <w:r>
              <w:rPr/>
              <w:t>证明文件所在位置</w:t>
            </w:r>
          </w:p>
        </w:tc>
        <w:tc>
          <w:tcPr>
            <w:tcW w:type="dxa" w:w="923"/>
          </w:tcPr>
          <w:p>
            <w:r>
              <w:rPr/>
              <w:t>备注</w:t>
            </w:r>
          </w:p>
        </w:tc>
      </w:tr>
      <w:tr>
        <w:tc>
          <w:tcPr>
            <w:tcW w:type="dxa" w:w="923"/>
          </w:tcPr>
          <w:p>
            <w:r>
              <w:rPr/>
              <w:t>1</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2</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3</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4</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5</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6</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r>
        <w:tc>
          <w:tcPr>
            <w:tcW w:type="dxa" w:w="923"/>
          </w:tcPr>
          <w:p>
            <w:r>
              <w:rPr/>
              <w:t>……</w:t>
            </w: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c>
          <w:tcPr>
            <w:tcW w:type="dxa" w:w="923"/>
          </w:tcPr>
          <w:p/>
        </w:tc>
      </w:tr>
    </w:tbl>
    <w:p>
      <w:pPr>
        <w:ind w:firstLine="480"/>
      </w:pPr>
      <w:r>
        <w:rPr/>
        <w:t>说明：</w:t>
      </w:r>
    </w:p>
    <w:p>
      <w:pPr>
        <w:ind w:firstLine="480"/>
      </w:pPr>
      <w:r>
        <w:rPr/>
        <w:t>1.“谈判文件规定的技术和服务要求”项下填写的内容应与谈判文件中采购需求的“技术要求”的内容保持一致。供应商应当如实填写上表“响应文件响应的具体内容”处内容，对谈判文件提出的要求和条件作出明确响应，并列明具体响应数值或内容，只注明符合、满足等无具体内容表述的，将视为未实质性满足谈判文件要求。供应商需要说明的内容若需特殊表达，应先在本表中进行相应说明，再另页应答，否则响应无效。</w:t>
      </w:r>
    </w:p>
    <w:p>
      <w:pPr>
        <w:ind w:firstLine="480"/>
      </w:pPr>
      <w:r>
        <w:rPr/>
        <w:t>2.参数性质栏目按谈判文件有标注的“★”、“▲”号条款进行填写，打“★”号条款为实质性条款，若有任何一条负偏离或不满足则导致响应无效。打“▲”号条款为重要技术参数（如有），若有部分“▲”条款未响应或不满足，将根据评审要求影响其得分，但不作为无效响应条款。</w:t>
      </w:r>
    </w:p>
    <w:p>
      <w:pPr>
        <w:ind w:firstLine="480"/>
      </w:pPr>
      <w:r>
        <w:rPr/>
        <w:t>3.“是否偏离”项下应按下列规定填写：优于的，填写“正偏离”；符合的，填写“无偏离”；低于的，填写“负偏离”。</w:t>
      </w:r>
    </w:p>
    <w:p>
      <w:pPr>
        <w:ind w:firstLine="480"/>
      </w:pPr>
      <w:r>
        <w:rPr/>
        <w:t>4.“备注”处可填写偏离情况的说明。</w:t>
      </w:r>
    </w:p>
    <w:p>
      <w:pPr>
        <w:ind w:firstLine="480"/>
      </w:pPr>
    </w:p>
    <w:p>
      <w:r>
        <w:rPr/>
        <w:t xml:space="preserve"> </w:t>
      </w:r>
    </w:p>
    <w:p/>
    <w:p>
      <w:r>
        <w:rPr>
          <w:b/>
          <w:sz w:val="28"/>
        </w:rPr>
        <w:t>格式十六：</w:t>
      </w:r>
    </w:p>
    <w:p>
      <w:pPr>
        <w:jc w:val="center"/>
      </w:pPr>
      <w:r>
        <w:rPr>
          <w:b/>
          <w:sz w:val="24"/>
        </w:rPr>
        <w:t>《商务条件响应表》</w:t>
      </w:r>
    </w:p>
    <w:tbl>
      <w:tblPr>
        <w:tblW w:w="0" w:type="auto"/>
        <w:tblBorders>
          <w:top w:val="single"/>
          <w:left w:val="single"/>
          <w:bottom w:val="single"/>
          <w:right w:val="single"/>
          <w:insideH w:val="single"/>
          <w:insideV w:val="single"/>
        </w:tblBorders>
      </w:tblPr>
      <w:tblGrid>
        <w:gridCol w:w="1187"/>
        <w:gridCol w:w="1187"/>
        <w:gridCol w:w="1187"/>
        <w:gridCol w:w="1187"/>
        <w:gridCol w:w="1187"/>
        <w:gridCol w:w="1187"/>
        <w:gridCol w:w="1187"/>
      </w:tblGrid>
      <w:tr>
        <w:tc>
          <w:tcPr>
            <w:tcW w:type="dxa" w:w="1187"/>
          </w:tcPr>
          <w:p>
            <w:r>
              <w:rPr/>
              <w:t>序号</w:t>
            </w:r>
          </w:p>
        </w:tc>
        <w:tc>
          <w:tcPr>
            <w:tcW w:type="dxa" w:w="1187"/>
          </w:tcPr>
          <w:p>
            <w:r>
              <w:rPr/>
              <w:t>参数性质</w:t>
            </w:r>
          </w:p>
        </w:tc>
        <w:tc>
          <w:tcPr>
            <w:tcW w:type="dxa" w:w="1187"/>
          </w:tcPr>
          <w:p>
            <w:r>
              <w:rPr/>
              <w:t>谈判文件规定的商务条件</w:t>
            </w:r>
          </w:p>
        </w:tc>
        <w:tc>
          <w:tcPr>
            <w:tcW w:type="dxa" w:w="1187"/>
          </w:tcPr>
          <w:p>
            <w:r>
              <w:rPr/>
              <w:t>响应文件响应的具体内容</w:t>
            </w:r>
          </w:p>
        </w:tc>
        <w:tc>
          <w:tcPr>
            <w:tcW w:type="dxa" w:w="1187"/>
          </w:tcPr>
          <w:p>
            <w:r>
              <w:rPr/>
              <w:t>是否偏离</w:t>
            </w:r>
          </w:p>
        </w:tc>
        <w:tc>
          <w:tcPr>
            <w:tcW w:type="dxa" w:w="1187"/>
          </w:tcPr>
          <w:p>
            <w:r>
              <w:rPr/>
              <w:t>证明文件所在位置</w:t>
            </w:r>
          </w:p>
        </w:tc>
        <w:tc>
          <w:tcPr>
            <w:tcW w:type="dxa" w:w="1187"/>
          </w:tcPr>
          <w:p>
            <w:r>
              <w:rPr/>
              <w:t>备注</w:t>
            </w:r>
          </w:p>
        </w:tc>
      </w:tr>
      <w:tr>
        <w:tc>
          <w:tcPr>
            <w:tcW w:type="dxa" w:w="1187"/>
          </w:tcPr>
          <w:p>
            <w:pPr>
              <w:jc w:val="center"/>
            </w:pPr>
            <w:r>
              <w:rPr/>
              <w:t>1</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2</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3</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4</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5</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6</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7</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8</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pPr>
              <w:jc w:val="center"/>
            </w:pPr>
            <w:r>
              <w:rPr/>
              <w:t>9</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r>
        <w:tc>
          <w:tcPr>
            <w:tcW w:type="dxa" w:w="1187"/>
          </w:tcPr>
          <w:p>
            <w:r>
              <w:rPr/>
              <w:t>……</w:t>
            </w:r>
          </w:p>
        </w:tc>
        <w:tc>
          <w:tcPr>
            <w:tcW w:type="dxa" w:w="1187"/>
          </w:tcPr>
          <w:p/>
        </w:tc>
        <w:tc>
          <w:tcPr>
            <w:tcW w:type="dxa" w:w="1187"/>
          </w:tcPr>
          <w:p/>
        </w:tc>
        <w:tc>
          <w:tcPr>
            <w:tcW w:type="dxa" w:w="1187"/>
          </w:tcPr>
          <w:p/>
        </w:tc>
        <w:tc>
          <w:tcPr>
            <w:tcW w:type="dxa" w:w="1187"/>
          </w:tcPr>
          <w:p/>
        </w:tc>
        <w:tc>
          <w:tcPr>
            <w:tcW w:type="dxa" w:w="1187"/>
          </w:tcPr>
          <w:p/>
        </w:tc>
        <w:tc>
          <w:tcPr>
            <w:tcW w:type="dxa" w:w="1187"/>
          </w:tcPr>
          <w:p/>
        </w:tc>
      </w:tr>
    </w:tbl>
    <w:p>
      <w:pPr>
        <w:ind w:firstLine="480"/>
      </w:pPr>
      <w:r>
        <w:rPr/>
        <w:t>说明：</w:t>
      </w:r>
    </w:p>
    <w:p>
      <w:pPr>
        <w:ind w:firstLine="480"/>
      </w:pPr>
      <w:r>
        <w:rPr/>
        <w:t>1.“谈判文件规定的商务条件”项下填写的内容应与谈判文件中采购需求的“商务要求”的内容保持一致。</w:t>
      </w:r>
    </w:p>
    <w:p>
      <w:pPr>
        <w:ind w:firstLine="480"/>
      </w:pPr>
      <w:r>
        <w:rPr/>
        <w:t>2.</w:t>
        <w:tab/>
        <w:tab/>
        <w:t xml:space="preserve"> 供应商应当如实填写上表“响应文件响应的具体内容”处内容，对谈判文件规定的商务条件作出明确响应，并列明具体响应数值或内容，只注明符合、满足等无具体内容表述的，将视为未实质性满足谈判文件要求。供应商需要说明的内容若需特殊表达，应先在本表中进行相应说明，再另页应答，否则响应无效。</w:t>
      </w:r>
    </w:p>
    <w:p>
      <w:pPr>
        <w:ind w:firstLine="480"/>
      </w:pPr>
      <w:r>
        <w:rPr/>
        <w:t>3.</w:t>
        <w:tab/>
        <w:tab/>
        <w:t xml:space="preserve"> 打“★”号条款为实质性条款，若有任何一条负偏离或不满足则导致响应无效。打“▲”号条款为重要技术参数（如有），若有部分“▲”条款未响应或不满足，将根据评审要求影响其得分，但不作为无效响应条款。</w:t>
      </w:r>
    </w:p>
    <w:p>
      <w:pPr>
        <w:ind w:firstLine="480"/>
      </w:pPr>
      <w:r>
        <w:rPr/>
        <w:t>4.“是否偏离”项下应按下列规定填写：优于的，填写“正偏离”；符合的，填写“无偏离”；低于的，填写“负偏离”。</w:t>
      </w:r>
    </w:p>
    <w:p>
      <w:pPr>
        <w:ind w:firstLine="480"/>
      </w:pPr>
      <w:r>
        <w:rPr/>
        <w:t>5.“备注”处可填写偏离情况的说明。</w:t>
      </w:r>
    </w:p>
    <w:p>
      <w:pPr>
        <w:ind w:firstLine="480"/>
      </w:pPr>
    </w:p>
    <w:p>
      <w:r>
        <w:rPr/>
        <w:t xml:space="preserve"> </w:t>
      </w:r>
    </w:p>
    <w:p/>
    <w:p>
      <w:r>
        <w:rPr>
          <w:b/>
          <w:sz w:val="28"/>
        </w:rPr>
        <w:t>格式十七：</w:t>
      </w:r>
    </w:p>
    <w:p>
      <w:pPr>
        <w:jc w:val="center"/>
      </w:pPr>
      <w:r>
        <w:rPr>
          <w:b/>
          <w:sz w:val="24"/>
        </w:rPr>
        <w:t>履约进度计划表</w:t>
      </w:r>
    </w:p>
    <w:tbl>
      <w:tblPr>
        <w:tblW w:w="0" w:type="auto"/>
        <w:tblBorders>
          <w:top w:val="single"/>
          <w:left w:val="single"/>
          <w:bottom w:val="single"/>
          <w:right w:val="single"/>
          <w:insideH w:val="single"/>
          <w:insideV w:val="single"/>
        </w:tblBorders>
      </w:tblPr>
      <w:tblGrid>
        <w:gridCol w:w="2076"/>
        <w:gridCol w:w="2076"/>
        <w:gridCol w:w="2076"/>
        <w:gridCol w:w="2076"/>
      </w:tblGrid>
      <w:tr>
        <w:tc>
          <w:tcPr>
            <w:tcW w:type="dxa" w:w="2076"/>
          </w:tcPr>
          <w:p>
            <w:r>
              <w:rPr/>
              <w:t>序号</w:t>
            </w:r>
          </w:p>
        </w:tc>
        <w:tc>
          <w:tcPr>
            <w:tcW w:type="dxa" w:w="2076"/>
          </w:tcPr>
          <w:p>
            <w:r>
              <w:rPr/>
              <w:t>拟定时间安排</w:t>
            </w:r>
          </w:p>
        </w:tc>
        <w:tc>
          <w:tcPr>
            <w:tcW w:type="dxa" w:w="2076"/>
          </w:tcPr>
          <w:p>
            <w:r>
              <w:rPr/>
              <w:t>计划完成的工作内容</w:t>
            </w:r>
          </w:p>
        </w:tc>
        <w:tc>
          <w:tcPr>
            <w:tcW w:type="dxa" w:w="2076"/>
          </w:tcPr>
          <w:p>
            <w:r>
              <w:rPr/>
              <w:t>实施方建议或要求</w:t>
            </w:r>
          </w:p>
        </w:tc>
      </w:tr>
      <w:tr>
        <w:tc>
          <w:tcPr>
            <w:tcW w:type="dxa" w:w="2076"/>
          </w:tcPr>
          <w:p>
            <w:pPr>
              <w:jc w:val="center"/>
            </w:pPr>
            <w:r>
              <w:rPr/>
              <w:t>1</w:t>
            </w:r>
          </w:p>
        </w:tc>
        <w:tc>
          <w:tcPr>
            <w:tcW w:type="dxa" w:w="2076"/>
          </w:tcPr>
          <w:p>
            <w:r>
              <w:rPr/>
              <w:t>拟定___年___月___日</w:t>
            </w:r>
          </w:p>
        </w:tc>
        <w:tc>
          <w:tcPr>
            <w:tcW w:type="dxa" w:w="2076"/>
          </w:tcPr>
          <w:p>
            <w:r>
              <w:rPr/>
              <w:t>签定合同并生效</w:t>
            </w:r>
          </w:p>
        </w:tc>
        <w:tc>
          <w:tcPr>
            <w:tcW w:type="dxa" w:w="2076"/>
          </w:tcPr>
          <w:p/>
        </w:tc>
      </w:tr>
      <w:tr>
        <w:tc>
          <w:tcPr>
            <w:tcW w:type="dxa" w:w="2076"/>
          </w:tcPr>
          <w:p>
            <w:pPr>
              <w:jc w:val="center"/>
            </w:pPr>
            <w:r>
              <w:rPr/>
              <w:t>2</w:t>
            </w:r>
          </w:p>
        </w:tc>
        <w:tc>
          <w:tcPr>
            <w:tcW w:type="dxa" w:w="2076"/>
          </w:tcPr>
          <w:p>
            <w:r>
              <w:rPr/>
              <w:t>___月___日—___月___日</w:t>
            </w:r>
          </w:p>
        </w:tc>
        <w:tc>
          <w:tcPr>
            <w:tcW w:type="dxa" w:w="2076"/>
          </w:tcPr>
          <w:p/>
        </w:tc>
        <w:tc>
          <w:tcPr>
            <w:tcW w:type="dxa" w:w="2076"/>
          </w:tcPr>
          <w:p/>
        </w:tc>
      </w:tr>
      <w:tr>
        <w:tc>
          <w:tcPr>
            <w:tcW w:type="dxa" w:w="2076"/>
          </w:tcPr>
          <w:p>
            <w:pPr>
              <w:jc w:val="center"/>
            </w:pPr>
            <w:r>
              <w:rPr/>
              <w:t>3</w:t>
            </w:r>
          </w:p>
        </w:tc>
        <w:tc>
          <w:tcPr>
            <w:tcW w:type="dxa" w:w="2076"/>
          </w:tcPr>
          <w:p>
            <w:r>
              <w:rPr/>
              <w:t>___月___日—___月___日</w:t>
            </w:r>
          </w:p>
        </w:tc>
        <w:tc>
          <w:tcPr>
            <w:tcW w:type="dxa" w:w="2076"/>
          </w:tcPr>
          <w:p/>
        </w:tc>
        <w:tc>
          <w:tcPr>
            <w:tcW w:type="dxa" w:w="2076"/>
          </w:tcPr>
          <w:p/>
        </w:tc>
      </w:tr>
      <w:tr>
        <w:tc>
          <w:tcPr>
            <w:tcW w:type="dxa" w:w="2076"/>
          </w:tcPr>
          <w:p>
            <w:pPr>
              <w:jc w:val="center"/>
            </w:pPr>
            <w:r>
              <w:rPr/>
              <w:t>4</w:t>
            </w:r>
          </w:p>
        </w:tc>
        <w:tc>
          <w:tcPr>
            <w:tcW w:type="dxa" w:w="2076"/>
          </w:tcPr>
          <w:p>
            <w:r>
              <w:rPr/>
              <w:t>___月___日—___月___日</w:t>
            </w:r>
          </w:p>
        </w:tc>
        <w:tc>
          <w:tcPr>
            <w:tcW w:type="dxa" w:w="2076"/>
          </w:tcPr>
          <w:p>
            <w:r>
              <w:rPr/>
              <w:t>质保期</w:t>
            </w:r>
          </w:p>
        </w:tc>
        <w:tc>
          <w:tcPr>
            <w:tcW w:type="dxa" w:w="2076"/>
          </w:tcPr>
          <w:p/>
        </w:tc>
      </w:tr>
    </w:tbl>
    <w:p>
      <w:pPr>
        <w:ind w:firstLine="480"/>
      </w:pPr>
    </w:p>
    <w:p>
      <w:r>
        <w:rPr/>
        <w:t xml:space="preserve"> </w:t>
      </w:r>
    </w:p>
    <w:p/>
    <w:p>
      <w:r>
        <w:rPr>
          <w:b/>
          <w:sz w:val="28"/>
        </w:rPr>
        <w:t>格式十八：</w:t>
      </w:r>
    </w:p>
    <w:p>
      <w:pPr>
        <w:jc w:val="center"/>
      </w:pPr>
      <w:r>
        <w:rPr>
          <w:b/>
          <w:sz w:val="24"/>
        </w:rPr>
        <w:t>各类证明材料</w:t>
      </w:r>
    </w:p>
    <w:p>
      <w:pPr>
        <w:ind w:firstLine="480"/>
      </w:pPr>
      <w:r>
        <w:rPr/>
        <w:t>1.谈判文件要求提供的其他资料。</w:t>
      </w:r>
    </w:p>
    <w:p>
      <w:pPr>
        <w:ind w:firstLine="480"/>
      </w:pPr>
      <w:r>
        <w:rPr/>
        <w:t>2.供应商认为需提供的其他资料。</w:t>
      </w:r>
    </w:p>
    <w:p>
      <w:pPr>
        <w:ind w:firstLine="480"/>
      </w:pPr>
    </w:p>
    <w:p>
      <w:r>
        <w:rPr/>
        <w:t xml:space="preserve"> </w:t>
      </w:r>
    </w:p>
    <w:p/>
    <w:p>
      <w:r>
        <w:rPr>
          <w:b/>
          <w:sz w:val="28"/>
        </w:rPr>
        <w:t>格式十九：</w:t>
      </w:r>
    </w:p>
    <w:p>
      <w:pPr>
        <w:ind w:firstLine="480"/>
      </w:pPr>
      <w:r>
        <w:rPr/>
        <w:t>（若采购人支付代理服务费，则无需出具此承诺书）</w:t>
      </w:r>
    </w:p>
    <w:p>
      <w:pPr>
        <w:jc w:val="center"/>
      </w:pPr>
      <w:r>
        <w:rPr>
          <w:b/>
          <w:sz w:val="24"/>
        </w:rPr>
        <w:t>代理服务费支付承诺书</w:t>
      </w:r>
    </w:p>
    <w:p>
      <w:pPr>
        <w:ind w:firstLine="480"/>
      </w:pPr>
      <w:r>
        <w:rPr/>
        <w:t>致：</w:t>
      </w:r>
      <w:r>
        <w:rPr/>
        <w:t>广东政通招标有限公司</w:t>
      </w:r>
    </w:p>
    <w:p>
      <w:pPr>
        <w:ind w:firstLine="480"/>
      </w:pPr>
      <w:r>
        <w:rPr/>
        <w:t>1、完全响应谈判文件中要求的条款，若提供虚假资料将作为无效响应处理，并接受相关部门的处罚。</w:t>
      </w:r>
    </w:p>
    <w:p>
      <w:pPr>
        <w:ind w:firstLine="480"/>
      </w:pPr>
      <w:r>
        <w:rPr/>
        <w:t>2、我单位若被选为成交供应商，承诺按照规定缴纳代理服务费。代理服务费包括组织专家对审查供应商资格、答疑、组织谈判、评审、确定成交供应商，以及提供采购前期咨询、协调合同的签订等服务，按____支付。</w:t>
      </w:r>
    </w:p>
    <w:p>
      <w:pPr>
        <w:ind w:firstLine="480"/>
      </w:pPr>
      <w:r>
        <w:rPr/>
        <w:t>3、如我公司被选为成交供应商，在成交结果公示后3日内向采购代理机构指定帐户缴付代理服务费。</w:t>
      </w:r>
    </w:p>
    <w:p>
      <w:pPr>
        <w:ind w:firstLine="480"/>
      </w:pPr>
      <w:r>
        <w:rPr/>
        <w:t>特此承诺！</w:t>
      </w:r>
    </w:p>
    <w:p>
      <w:pPr>
        <w:ind w:firstLine="480"/>
      </w:pPr>
    </w:p>
    <w:p>
      <w:pPr>
        <w:jc w:val="right"/>
      </w:pPr>
      <w:r>
        <w:rPr/>
        <w:t>供应商法定名称（公章）；_____________________</w:t>
      </w:r>
    </w:p>
    <w:p>
      <w:pPr>
        <w:jc w:val="right"/>
      </w:pPr>
      <w:r>
        <w:rPr/>
        <w:t>供应商法定地址：_____________________</w:t>
      </w:r>
    </w:p>
    <w:p>
      <w:pPr>
        <w:jc w:val="right"/>
      </w:pPr>
      <w:r>
        <w:rPr/>
        <w:t>供应商授权代表（签字或盖章）：_____________________</w:t>
      </w:r>
    </w:p>
    <w:p>
      <w:pPr>
        <w:jc w:val="right"/>
      </w:pPr>
      <w:r>
        <w:rPr/>
        <w:t>电 话：_____________________</w:t>
      </w:r>
    </w:p>
    <w:p>
      <w:pPr>
        <w:jc w:val="right"/>
      </w:pPr>
      <w:r>
        <w:rPr/>
        <w:t>传 真：_____________________</w:t>
      </w:r>
    </w:p>
    <w:p>
      <w:pPr>
        <w:jc w:val="right"/>
      </w:pPr>
      <w:r>
        <w:rPr/>
        <w:t>承诺日期：_____________________</w:t>
      </w:r>
    </w:p>
    <w:p>
      <w:pPr>
        <w:ind w:firstLine="480"/>
      </w:pPr>
    </w:p>
    <w:p>
      <w:r>
        <w:rPr/>
        <w:t xml:space="preserve"> </w:t>
      </w:r>
    </w:p>
    <w:p/>
    <w:p>
      <w:r>
        <w:rPr>
          <w:b/>
          <w:sz w:val="28"/>
        </w:rPr>
        <w:t>格式二十：</w:t>
      </w:r>
    </w:p>
    <w:p>
      <w:pPr>
        <w:jc w:val="center"/>
      </w:pPr>
      <w:r>
        <w:rPr>
          <w:b/>
          <w:sz w:val="24"/>
        </w:rPr>
        <w:t>需要采购人提供的附加条件</w:t>
      </w:r>
    </w:p>
    <w:tbl>
      <w:tblPr>
        <w:tblW w:w="0" w:type="auto"/>
        <w:tblBorders>
          <w:top w:val="single"/>
          <w:left w:val="single"/>
          <w:bottom w:val="single"/>
          <w:right w:val="single"/>
          <w:insideH w:val="single"/>
          <w:insideV w:val="single"/>
        </w:tblBorders>
      </w:tblPr>
      <w:tblGrid>
        <w:gridCol w:w="4153"/>
        <w:gridCol w:w="4153"/>
      </w:tblGrid>
      <w:tr>
        <w:tc>
          <w:tcPr>
            <w:tcW w:type="dxa" w:w="4153"/>
          </w:tcPr>
          <w:p>
            <w:r>
              <w:rPr/>
              <w:t>序号</w:t>
            </w:r>
          </w:p>
        </w:tc>
        <w:tc>
          <w:tcPr>
            <w:tcW w:type="dxa" w:w="4153"/>
          </w:tcPr>
          <w:p>
            <w:r>
              <w:rPr/>
              <w:t>供应商需要采购人提供的附加条件</w:t>
            </w:r>
          </w:p>
        </w:tc>
      </w:tr>
      <w:tr>
        <w:tc>
          <w:tcPr>
            <w:tcW w:type="dxa" w:w="4153"/>
          </w:tcPr>
          <w:p>
            <w:pPr>
              <w:jc w:val="center"/>
            </w:pPr>
            <w:r>
              <w:rPr/>
              <w:t>1</w:t>
            </w:r>
          </w:p>
        </w:tc>
        <w:tc>
          <w:tcPr>
            <w:tcW w:type="dxa" w:w="4153"/>
          </w:tcPr>
          <w:p/>
        </w:tc>
      </w:tr>
      <w:tr>
        <w:tc>
          <w:tcPr>
            <w:tcW w:type="dxa" w:w="4153"/>
          </w:tcPr>
          <w:p>
            <w:pPr>
              <w:jc w:val="center"/>
            </w:pPr>
            <w:r>
              <w:rPr/>
              <w:t>2</w:t>
            </w:r>
          </w:p>
        </w:tc>
        <w:tc>
          <w:tcPr>
            <w:tcW w:type="dxa" w:w="4153"/>
          </w:tcPr>
          <w:p/>
        </w:tc>
      </w:tr>
      <w:tr>
        <w:tc>
          <w:tcPr>
            <w:tcW w:type="dxa" w:w="4153"/>
          </w:tcPr>
          <w:p>
            <w:pPr>
              <w:jc w:val="center"/>
            </w:pPr>
            <w:r>
              <w:rPr/>
              <w:t>3</w:t>
            </w:r>
          </w:p>
        </w:tc>
        <w:tc>
          <w:tcPr>
            <w:tcW w:type="dxa" w:w="4153"/>
          </w:tcPr>
          <w:p/>
        </w:tc>
      </w:tr>
    </w:tbl>
    <w:p>
      <w:pPr>
        <w:ind w:firstLine="480"/>
      </w:pPr>
      <w:r>
        <w:rPr/>
        <w:t>注：供应商完成本项目需要采购人配合或提供的条件必须在上表列出，否则将视为供应商同意按现有条件完成本项目。如上表所列附加条件含有采购人不能接受的，将被视为响应无效。</w:t>
      </w:r>
    </w:p>
    <w:p>
      <w:pPr>
        <w:ind w:firstLine="480"/>
      </w:pPr>
    </w:p>
    <w:p>
      <w:r>
        <w:rPr/>
        <w:t xml:space="preserve"> </w:t>
      </w:r>
    </w:p>
    <w:p/>
    <w:p>
      <w:r>
        <w:rPr>
          <w:b/>
          <w:sz w:val="28"/>
        </w:rPr>
        <w:t>格式二十一：</w:t>
      </w:r>
    </w:p>
    <w:p>
      <w:pPr>
        <w:ind w:firstLine="480"/>
      </w:pPr>
      <w:r>
        <w:rPr/>
        <w:t>（以下格式文件由供应商根据需要选用）</w:t>
      </w:r>
    </w:p>
    <w:p>
      <w:pPr>
        <w:jc w:val="center"/>
      </w:pPr>
      <w:r>
        <w:rPr>
          <w:b/>
          <w:sz w:val="24"/>
        </w:rPr>
        <w:t>询问函、质疑函、投诉书格式</w:t>
      </w:r>
    </w:p>
    <w:p>
      <w:pPr>
        <w:ind w:firstLine="480"/>
      </w:pPr>
      <w:r>
        <w:rPr/>
        <w:t>说明：本部分格式为供应商提交询问函、质疑函、投诉函时使用，不属于响应文件格式的组成部分。</w:t>
      </w:r>
    </w:p>
    <w:p>
      <w:pPr>
        <w:jc w:val="center"/>
      </w:pPr>
      <w:r>
        <w:rPr>
          <w:b/>
          <w:sz w:val="24"/>
        </w:rPr>
        <w:t>询问函</w:t>
      </w:r>
    </w:p>
    <w:p>
      <w:pPr>
        <w:ind w:firstLine="480"/>
      </w:pPr>
      <w:r>
        <w:rPr/>
        <w:t>广东政通招标有限公司</w:t>
      </w:r>
    </w:p>
    <w:p>
      <w:pPr>
        <w:ind w:firstLine="480"/>
      </w:pPr>
      <w:r>
        <w:rPr/>
        <w:t>我单位已登记并准备参与</w:t>
      </w:r>
      <w:r>
        <w:rPr/>
        <w:t>东莞市大朗教育管理中心采购2022年公办学校教室灯光照明设备项目</w:t>
      </w:r>
      <w:r>
        <w:rPr/>
        <w:t>项目（采购项目编号：</w:t>
      </w:r>
      <w:r>
        <w:rPr/>
        <w:t>441900021-2022-00314</w:t>
      </w:r>
      <w:r>
        <w:rPr/>
        <w:t>）的响应活动，现有以下几个内容（或条款）存在疑问（或无法理解），特提出询问。</w:t>
      </w:r>
    </w:p>
    <w:p>
      <w:pPr>
        <w:ind w:firstLine="480"/>
      </w:pPr>
      <w:r>
        <w:rPr/>
        <w:t>一、_____________________（事项一）</w:t>
      </w:r>
    </w:p>
    <w:p>
      <w:pPr>
        <w:ind w:firstLine="480"/>
      </w:pPr>
      <w:r>
        <w:rPr/>
        <w:t>（1）____________________（问题或条款内容）</w:t>
      </w:r>
    </w:p>
    <w:p>
      <w:pPr>
        <w:ind w:firstLine="480"/>
      </w:pPr>
      <w:r>
        <w:rPr/>
        <w:t>（2）____________________（说明疑问或无法理解原因）</w:t>
      </w:r>
    </w:p>
    <w:p>
      <w:pPr>
        <w:ind w:firstLine="480"/>
      </w:pPr>
      <w:r>
        <w:rPr/>
        <w:t>（3）____________________（建议）</w:t>
      </w:r>
    </w:p>
    <w:p>
      <w:pPr>
        <w:ind w:firstLine="480"/>
      </w:pPr>
      <w:r>
        <w:rPr/>
        <w:t>二、_____________________（事项二）</w:t>
      </w:r>
    </w:p>
    <w:p>
      <w:pPr>
        <w:ind w:firstLine="480"/>
      </w:pPr>
      <w:r>
        <w:rPr/>
        <w:t>...</w:t>
      </w:r>
    </w:p>
    <w:p>
      <w:pPr>
        <w:ind w:firstLine="480"/>
      </w:pPr>
      <w:r>
        <w:rPr/>
        <w:t>随附相关证明材料如下：（目录）</w:t>
      </w:r>
    </w:p>
    <w:p>
      <w:pPr>
        <w:jc w:val="right"/>
      </w:pPr>
      <w:r>
        <w:rPr/>
        <w:t>询问人（公章）：_____________________</w:t>
      </w:r>
    </w:p>
    <w:p>
      <w:pPr>
        <w:jc w:val="right"/>
      </w:pPr>
      <w:r>
        <w:rPr/>
        <w:t>法定代表人或授权代表（签字或盖章）：_____________________</w:t>
      </w:r>
    </w:p>
    <w:p>
      <w:pPr>
        <w:jc w:val="right"/>
      </w:pPr>
      <w:r>
        <w:rPr/>
        <w:t>地址/邮编：_____________________</w:t>
      </w:r>
    </w:p>
    <w:p>
      <w:pPr>
        <w:jc w:val="right"/>
      </w:pPr>
      <w:r>
        <w:rPr/>
        <w:t>电话/传真：_____________________</w:t>
      </w:r>
    </w:p>
    <w:p>
      <w:pPr>
        <w:jc w:val="right"/>
      </w:pPr>
      <w:r>
        <w:rPr/>
        <w:t>日期： 年 月 日</w:t>
      </w:r>
    </w:p>
    <w:p>
      <w:pPr>
        <w:ind w:firstLine="480"/>
      </w:pPr>
    </w:p>
    <w:p>
      <w:r>
        <w:rPr/>
        <w:t xml:space="preserve"> </w:t>
      </w:r>
    </w:p>
    <w:p/>
    <w:p>
      <w:pPr>
        <w:jc w:val="center"/>
      </w:pPr>
      <w:r>
        <w:rPr>
          <w:b/>
          <w:sz w:val="24"/>
        </w:rPr>
        <w:t>质疑函</w:t>
      </w:r>
    </w:p>
    <w:p>
      <w:pPr>
        <w:ind w:firstLine="480"/>
      </w:pPr>
      <w:r>
        <w:rPr/>
        <w:t>一、质疑供应商基本信息</w:t>
      </w:r>
    </w:p>
    <w:p>
      <w:pPr>
        <w:ind w:firstLine="480"/>
      </w:pPr>
      <w:r>
        <w:rPr/>
        <w:t>质疑供应商：_____________________</w:t>
      </w:r>
    </w:p>
    <w:p>
      <w:pPr>
        <w:ind w:firstLine="480"/>
      </w:pPr>
      <w:r>
        <w:rPr/>
        <w:t>地址：_____________________邮编：_____________________</w:t>
      </w:r>
    </w:p>
    <w:p>
      <w:pPr>
        <w:ind w:firstLine="480"/>
      </w:pPr>
      <w:r>
        <w:rPr/>
        <w:t>联系：_____________________联系电话：_____________________</w:t>
      </w:r>
    </w:p>
    <w:p>
      <w:pPr>
        <w:ind w:firstLine="480"/>
      </w:pPr>
      <w:r>
        <w:rPr/>
        <w:t>授权代表：_____________________</w:t>
      </w:r>
    </w:p>
    <w:p>
      <w:pPr>
        <w:ind w:firstLine="480"/>
      </w:pPr>
      <w:r>
        <w:rPr/>
        <w:t>联系电话：_____________________</w:t>
      </w:r>
    </w:p>
    <w:p>
      <w:pPr>
        <w:ind w:firstLine="480"/>
      </w:pPr>
      <w:r>
        <w:rPr/>
        <w:t>地址：_____________________邮编：_____________________</w:t>
      </w:r>
    </w:p>
    <w:p>
      <w:pPr>
        <w:ind w:firstLine="480"/>
      </w:pPr>
      <w:r>
        <w:rPr/>
        <w:t>二、质疑项目基本情况</w:t>
      </w:r>
    </w:p>
    <w:p>
      <w:pPr>
        <w:ind w:firstLine="480"/>
      </w:pPr>
      <w:r>
        <w:rPr/>
        <w:t>质疑项目的名称：_____________________</w:t>
      </w:r>
    </w:p>
    <w:p>
      <w:pPr>
        <w:ind w:firstLine="480"/>
      </w:pPr>
      <w:r>
        <w:rPr/>
        <w:t>质疑项目的编号：_____________________ 包号：_____________________</w:t>
      </w:r>
    </w:p>
    <w:p>
      <w:pPr>
        <w:ind w:firstLine="480"/>
      </w:pPr>
      <w:r>
        <w:rPr/>
        <w:t>采购人名称：_____________________</w:t>
      </w:r>
    </w:p>
    <w:p>
      <w:pPr>
        <w:ind w:firstLine="480"/>
      </w:pPr>
      <w:r>
        <w:rPr/>
        <w:t>谈判文件获取日期：_____________________</w:t>
      </w:r>
    </w:p>
    <w:p>
      <w:pPr>
        <w:ind w:firstLine="480"/>
      </w:pPr>
      <w:r>
        <w:rPr/>
        <w:t>三、质疑事项具体内容</w:t>
      </w:r>
    </w:p>
    <w:p>
      <w:pPr>
        <w:ind w:firstLine="480"/>
      </w:pPr>
      <w:r>
        <w:rPr/>
        <w:t>质疑事项1：_____________________</w:t>
      </w:r>
    </w:p>
    <w:p>
      <w:pPr>
        <w:ind w:firstLine="480"/>
      </w:pPr>
      <w:r>
        <w:rPr/>
        <w:t>事实依据：_____________________</w:t>
      </w:r>
    </w:p>
    <w:p>
      <w:pPr>
        <w:ind w:firstLine="480"/>
      </w:pPr>
      <w:r>
        <w:rPr/>
        <w:t>法律依据：_____________________</w:t>
      </w:r>
    </w:p>
    <w:p>
      <w:pPr>
        <w:ind w:firstLine="480"/>
      </w:pPr>
      <w:r>
        <w:rPr/>
        <w:t>质疑事项2</w:t>
      </w:r>
    </w:p>
    <w:p>
      <w:pPr>
        <w:ind w:firstLine="480"/>
      </w:pPr>
      <w:r>
        <w:rPr/>
        <w:t>……</w:t>
      </w:r>
    </w:p>
    <w:p>
      <w:pPr>
        <w:ind w:firstLine="480"/>
      </w:pPr>
      <w:r>
        <w:rPr/>
        <w:t>四、与质疑事项相关的质疑请求</w:t>
      </w:r>
    </w:p>
    <w:p>
      <w:pPr>
        <w:ind w:firstLine="480"/>
      </w:pPr>
      <w:r>
        <w:rPr/>
        <w:t>请求：__________________________________________</w:t>
      </w:r>
    </w:p>
    <w:p>
      <w:pPr>
        <w:jc w:val="right"/>
      </w:pPr>
      <w:r>
        <w:rPr/>
        <w:t>签字(签章)： 公章：</w:t>
      </w:r>
    </w:p>
    <w:p>
      <w:pPr>
        <w:jc w:val="right"/>
      </w:pPr>
      <w:r>
        <w:rPr/>
        <w:t>日期： 年 月 日</w:t>
      </w:r>
    </w:p>
    <w:p>
      <w:pPr>
        <w:ind w:firstLine="480"/>
      </w:pPr>
      <w:r>
        <w:rPr/>
        <w:t>质疑函制作说明：</w:t>
      </w:r>
    </w:p>
    <w:p>
      <w:pPr>
        <w:ind w:firstLine="480"/>
      </w:pPr>
      <w:r>
        <w:rPr/>
        <w:t>1.供应商提出质疑时，应提交质疑函和必要的证明材料。</w:t>
      </w:r>
    </w:p>
    <w:p>
      <w:pPr>
        <w:ind w:firstLine="480"/>
      </w:pPr>
      <w:r>
        <w:rPr/>
        <w:t>2.质疑供应商若委托代理人进行质疑的，质疑函应按要求列明“授权代表”的有关内容，并在附件中提交由质疑供应商签署的授权委托书。授权委托书应载明代理人的姓名或者名称、代理事项、具体权限、期限和相关事项。</w:t>
      </w:r>
    </w:p>
    <w:p>
      <w:pPr>
        <w:ind w:firstLine="480"/>
      </w:pPr>
      <w:r>
        <w:rPr/>
        <w:t>3.质疑供应商若对项目的某一分包进行质疑，质疑函中应列明具体分包号。</w:t>
      </w:r>
    </w:p>
    <w:p>
      <w:pPr>
        <w:ind w:firstLine="480"/>
      </w:pPr>
      <w:r>
        <w:rPr/>
        <w:t>4.质疑函的质疑事项应具体、明确，并有必要的事实依据和法律依据。</w:t>
      </w:r>
    </w:p>
    <w:p>
      <w:pPr>
        <w:ind w:firstLine="480"/>
      </w:pPr>
      <w:r>
        <w:rPr/>
        <w:t>5.质疑函的质疑请求应与质疑事项相关。</w:t>
      </w:r>
    </w:p>
    <w:p>
      <w:pPr>
        <w:ind w:firstLine="480"/>
      </w:pPr>
      <w:r>
        <w:rPr/>
        <w:t>6.质疑供应商为自然人的，质疑函应由本人签字；质疑供应商为法人或者其他组织的，质疑函应由法定代表人、主要负责人，或者其授权代表签字或者盖章，并加盖公章。</w:t>
      </w:r>
    </w:p>
    <w:p>
      <w:pPr>
        <w:ind w:firstLine="480"/>
      </w:pPr>
    </w:p>
    <w:p>
      <w:r>
        <w:rPr/>
        <w:t xml:space="preserve"> </w:t>
      </w:r>
    </w:p>
    <w:p/>
    <w:p>
      <w:pPr>
        <w:jc w:val="center"/>
      </w:pPr>
      <w:r>
        <w:rPr>
          <w:b/>
          <w:sz w:val="24"/>
        </w:rPr>
        <w:t>投诉书</w:t>
      </w:r>
    </w:p>
    <w:p>
      <w:pPr>
        <w:ind w:firstLine="480"/>
      </w:pPr>
      <w:r>
        <w:rPr/>
        <w:t>一、投诉相关主体基本情况</w:t>
      </w:r>
    </w:p>
    <w:p>
      <w:pPr>
        <w:ind w:firstLine="480"/>
      </w:pPr>
      <w:r>
        <w:rPr/>
        <w:t>投诉人：____________________</w:t>
      </w:r>
    </w:p>
    <w:p>
      <w:pPr>
        <w:ind w:firstLine="480"/>
      </w:pPr>
      <w:r>
        <w:rPr/>
        <w:t>地 址：____________________邮编：____________________</w:t>
      </w:r>
    </w:p>
    <w:p>
      <w:pPr>
        <w:ind w:firstLine="480"/>
      </w:pPr>
      <w:r>
        <w:rPr/>
        <w:t>法定代表人/主要负责人：____________________</w:t>
      </w:r>
    </w:p>
    <w:p>
      <w:pPr>
        <w:ind w:firstLine="480"/>
      </w:pPr>
      <w:r>
        <w:rPr/>
        <w:t>联系电话：____________________</w:t>
      </w:r>
    </w:p>
    <w:p>
      <w:pPr>
        <w:ind w:firstLine="480"/>
      </w:pPr>
      <w:r>
        <w:rPr/>
        <w:t>授权代表：____________________联系电话：____________________</w:t>
      </w:r>
    </w:p>
    <w:p>
      <w:pPr>
        <w:ind w:firstLine="480"/>
      </w:pPr>
      <w:r>
        <w:rPr/>
        <w:t>地 址：____________________邮编：____________________</w:t>
      </w:r>
    </w:p>
    <w:p>
      <w:pPr>
        <w:ind w:firstLine="480"/>
      </w:pPr>
      <w:r>
        <w:rPr/>
        <w:t>被投诉人1：____________________</w:t>
      </w:r>
    </w:p>
    <w:p>
      <w:pPr>
        <w:ind w:firstLine="480"/>
      </w:pPr>
      <w:r>
        <w:rPr/>
        <w:t>地址：____________________邮编：____________________</w:t>
      </w:r>
    </w:p>
    <w:p>
      <w:pPr>
        <w:ind w:firstLine="480"/>
      </w:pPr>
      <w:r>
        <w:rPr/>
        <w:t>联系人：____________________联系电话：____________________</w:t>
      </w:r>
    </w:p>
    <w:p>
      <w:pPr>
        <w:ind w:firstLine="480"/>
      </w:pPr>
      <w:r>
        <w:rPr/>
        <w:t>被投诉人2：____________________</w:t>
      </w:r>
    </w:p>
    <w:p>
      <w:pPr>
        <w:ind w:firstLine="480"/>
      </w:pPr>
      <w:r>
        <w:rPr/>
        <w:t>……</w:t>
      </w:r>
    </w:p>
    <w:p>
      <w:pPr>
        <w:ind w:firstLine="480"/>
      </w:pPr>
      <w:r>
        <w:rPr/>
        <w:t>相关供应商：</w:t>
      </w:r>
    </w:p>
    <w:p>
      <w:pPr>
        <w:ind w:firstLine="480"/>
      </w:pPr>
      <w:r>
        <w:rPr/>
        <w:t>地址：____________________邮编：____________________</w:t>
      </w:r>
    </w:p>
    <w:p>
      <w:pPr>
        <w:ind w:firstLine="480"/>
      </w:pPr>
      <w:r>
        <w:rPr/>
        <w:t>联系人：____________________联系电话：____________________</w:t>
      </w:r>
    </w:p>
    <w:p>
      <w:pPr>
        <w:ind w:firstLine="480"/>
      </w:pPr>
      <w:r>
        <w:rPr/>
        <w:t>二、投诉项目基本情况</w:t>
      </w:r>
    </w:p>
    <w:p>
      <w:pPr>
        <w:ind w:firstLine="480"/>
      </w:pPr>
      <w:r>
        <w:rPr/>
        <w:t>采购项目名称：____________________</w:t>
      </w:r>
    </w:p>
    <w:p>
      <w:pPr>
        <w:ind w:firstLine="480"/>
      </w:pPr>
      <w:r>
        <w:rPr/>
        <w:t>采购项目编号： ____________________包号：____________________</w:t>
      </w:r>
    </w:p>
    <w:p>
      <w:pPr>
        <w:ind w:firstLine="480"/>
      </w:pPr>
      <w:r>
        <w:rPr/>
        <w:t>采购人名称：____________________</w:t>
      </w:r>
    </w:p>
    <w:p>
      <w:pPr>
        <w:ind w:firstLine="480"/>
      </w:pPr>
      <w:r>
        <w:rPr/>
        <w:t>代理机构名称：____________________</w:t>
      </w:r>
    </w:p>
    <w:p>
      <w:pPr>
        <w:ind w:firstLine="480"/>
      </w:pPr>
      <w:r>
        <w:rPr/>
        <w:t>谈判文件公告:</w:t>
      </w:r>
      <w:r>
        <w:rPr>
          <w:u w:val="single"/>
        </w:rPr>
        <w:t>是/否</w:t>
      </w:r>
      <w:r>
        <w:rPr/>
        <w:t>公告期限：_____________________</w:t>
      </w:r>
    </w:p>
    <w:p>
      <w:pPr>
        <w:ind w:firstLine="480"/>
      </w:pPr>
      <w:r>
        <w:rPr/>
        <w:t>采购结果公告:</w:t>
      </w:r>
      <w:r>
        <w:rPr>
          <w:u w:val="single"/>
        </w:rPr>
        <w:t>是/否</w:t>
      </w:r>
      <w:r>
        <w:rPr/>
        <w:t>公告期限：_____________________</w:t>
      </w:r>
    </w:p>
    <w:p>
      <w:pPr>
        <w:ind w:firstLine="480"/>
      </w:pPr>
      <w:r>
        <w:rPr/>
        <w:t>三、质疑基本情况</w:t>
      </w:r>
    </w:p>
    <w:p>
      <w:pPr>
        <w:ind w:firstLine="480"/>
      </w:pPr>
      <w:r>
        <w:rPr/>
        <w:t>投诉人于 ____年____月____日,向提出质疑，质疑事项为：</w:t>
      </w:r>
    </w:p>
    <w:p>
      <w:pPr>
        <w:ind w:firstLine="480"/>
      </w:pPr>
      <w:r>
        <w:rPr/>
        <w:t>采购人/代理机构于____年____月____日,就质疑事项作出了答复/没有在法定期限内作出答复。</w:t>
      </w:r>
    </w:p>
    <w:p>
      <w:pPr>
        <w:ind w:firstLine="480"/>
      </w:pPr>
      <w:r>
        <w:rPr/>
        <w:t>四、投诉事项具体内容</w:t>
      </w:r>
    </w:p>
    <w:p>
      <w:pPr>
        <w:ind w:firstLine="480"/>
      </w:pPr>
      <w:r>
        <w:rPr/>
        <w:t>投诉事项 1：_____________________</w:t>
      </w:r>
    </w:p>
    <w:p>
      <w:pPr>
        <w:ind w:firstLine="480"/>
      </w:pPr>
      <w:r>
        <w:rPr/>
        <w:t>事实依据：_____________________</w:t>
      </w:r>
    </w:p>
    <w:p>
      <w:pPr>
        <w:ind w:firstLine="480"/>
      </w:pPr>
      <w:r>
        <w:rPr/>
        <w:t>法律依据：_____________________</w:t>
      </w:r>
    </w:p>
    <w:p>
      <w:pPr>
        <w:ind w:firstLine="480"/>
      </w:pPr>
      <w:r>
        <w:rPr/>
        <w:t>投诉事项2</w:t>
      </w:r>
    </w:p>
    <w:p>
      <w:pPr>
        <w:ind w:firstLine="480"/>
      </w:pPr>
      <w:r>
        <w:rPr/>
        <w:t>……</w:t>
      </w:r>
    </w:p>
    <w:p>
      <w:pPr>
        <w:ind w:firstLine="480"/>
      </w:pPr>
      <w:r>
        <w:rPr/>
        <w:t>五、与投诉事项相关的投诉请求</w:t>
      </w:r>
    </w:p>
    <w:p>
      <w:pPr>
        <w:ind w:firstLine="480"/>
      </w:pPr>
      <w:r>
        <w:rPr/>
        <w:t>请求：________________________</w:t>
      </w:r>
    </w:p>
    <w:p>
      <w:pPr>
        <w:ind w:firstLine="480"/>
      </w:pPr>
    </w:p>
    <w:p>
      <w:pPr>
        <w:jc w:val="right"/>
      </w:pPr>
      <w:r>
        <w:rPr/>
        <w:t>签字(签章)： ________公章________</w:t>
      </w:r>
    </w:p>
    <w:p>
      <w:pPr>
        <w:jc w:val="right"/>
      </w:pPr>
      <w:r>
        <w:rPr/>
        <w:t>日期：____年____月____日</w:t>
      </w:r>
    </w:p>
    <w:p>
      <w:pPr>
        <w:ind w:firstLine="480"/>
      </w:pPr>
    </w:p>
    <w:p>
      <w:pPr>
        <w:ind w:firstLine="480"/>
      </w:pPr>
      <w:r>
        <w:rPr/>
        <w:t>投诉书制作说明：</w:t>
      </w:r>
    </w:p>
    <w:p>
      <w:pPr>
        <w:ind w:firstLine="480"/>
      </w:pPr>
      <w:r>
        <w:rPr/>
        <w:t>1.投诉人提起投诉时，应当提交投诉书和必要的证明材料，并按照被投诉人和与投诉事项有关的供应商数量提供投诉书副本。</w:t>
      </w:r>
    </w:p>
    <w:p>
      <w:pPr>
        <w:ind w:firstLine="480"/>
      </w:pPr>
      <w:r>
        <w:rPr/>
        <w:t>2.投诉人若委托代理人进行投诉的，投诉书应按照要求列明“授权代表”的有关内容，并在附件中提交由投诉人签署的授权委托书。授权委托书应当载明代理人的姓名或者名称、代理事项、具体权限、期限和相关事项。</w:t>
      </w:r>
    </w:p>
    <w:p>
      <w:pPr>
        <w:ind w:firstLine="480"/>
      </w:pPr>
      <w:r>
        <w:rPr/>
        <w:t>3.投诉人若对项目的某一分包进行投诉，投诉书应列明具体分包号。</w:t>
      </w:r>
    </w:p>
    <w:p>
      <w:pPr>
        <w:ind w:firstLine="480"/>
      </w:pPr>
      <w:r>
        <w:rPr/>
        <w:t>4.投诉书应简要列明质疑事项，质疑函、质疑答复等作为附件材料提供。</w:t>
      </w:r>
    </w:p>
    <w:p>
      <w:pPr>
        <w:ind w:firstLine="480"/>
      </w:pPr>
      <w:r>
        <w:rPr/>
        <w:t>5.投诉书的投诉事项应具体、明确，并有必要的事实依据和法律依据。</w:t>
      </w:r>
    </w:p>
    <w:p>
      <w:pPr>
        <w:ind w:firstLine="480"/>
      </w:pPr>
      <w:r>
        <w:rPr/>
        <w:t>6.投诉书的投诉请求应与投诉事项相关。</w:t>
      </w:r>
    </w:p>
    <w:p>
      <w:pPr>
        <w:ind w:firstLine="480"/>
      </w:pPr>
      <w:r>
        <w:rPr/>
        <w:t>7.投诉人为自然人的，投诉书应当由本人签字；投诉人为法人或者其他组织的，投诉书应当由法定代表人、主要负责人，或者其授权代表签字或者盖章，并加盖公章。</w:t>
      </w:r>
    </w:p>
    <w:p>
      <w:pPr>
        <w:ind w:firstLine="480"/>
      </w:pPr>
    </w:p>
    <w:p>
      <w:r>
        <w:rPr/>
        <w:t xml:space="preserve"> </w:t>
      </w:r>
    </w:p>
    <w:p/>
    <w:p>
      <w:r>
        <w:rPr>
          <w:b/>
          <w:sz w:val="28"/>
        </w:rPr>
        <w:t>格式二十二：</w:t>
      </w:r>
    </w:p>
    <w:p>
      <w:pPr>
        <w:ind w:firstLine="480"/>
      </w:pPr>
      <w:r>
        <w:rPr/>
        <w:t>项目实施方案、质量保证及售后服务承诺等内容和格式自拟。</w:t>
      </w:r>
    </w:p>
    <w:p>
      <w:pPr>
        <w:ind w:firstLine="480"/>
      </w:pPr>
    </w:p>
    <w:p>
      <w:r>
        <w:rPr/>
        <w:t xml:space="preserve"> </w:t>
      </w:r>
    </w:p>
    <w:p/>
    <w:p>
      <w:r>
        <w:rPr>
          <w:b/>
          <w:sz w:val="28"/>
        </w:rPr>
        <w:t>格式二十三：</w:t>
      </w:r>
    </w:p>
    <w:p>
      <w:pPr>
        <w:ind w:firstLine="480"/>
      </w:pPr>
      <w:r>
        <w:rPr/>
        <w:t>附件（以下格式文件由供应商根据需要选用）</w:t>
      </w:r>
    </w:p>
    <w:p>
      <w:pPr>
        <w:jc w:val="center"/>
      </w:pPr>
      <w:r>
        <w:rPr>
          <w:b/>
          <w:sz w:val="24"/>
        </w:rPr>
        <w:t>政府采购投标（响应）担保函</w:t>
      </w:r>
    </w:p>
    <w:p>
      <w:pPr>
        <w:jc w:val="right"/>
      </w:pPr>
      <w:r>
        <w:rPr/>
        <w:t>编号：【 】号</w:t>
      </w:r>
    </w:p>
    <w:p>
      <w:pPr>
        <w:ind w:firstLine="480"/>
      </w:pPr>
      <w:r>
        <w:rPr/>
        <w:t>（采购人）：</w:t>
      </w:r>
    </w:p>
    <w:p>
      <w:pPr>
        <w:ind w:firstLine="480"/>
      </w:pPr>
      <w:r>
        <w:rPr/>
        <w:t>鉴于__________（以下简称“投标（响应）人”）拟参加编号为__________的（以下简称“本项目”）投标（响应），根据本项目采购文件，投标（响应）人参加投标（响应）时应向你方交纳投标（响应）保证金，且可以投标（响应）担保函的形式交纳投标（响应）保证金。应投标（响应）人的申请，我方以保证的方式向你方提供如下投标（响应）保证金担保：</w:t>
      </w:r>
    </w:p>
    <w:p>
      <w:r>
        <w:rPr>
          <w:b/>
          <w:sz w:val="28"/>
        </w:rPr>
        <w:t>一、保证责任的情形及保证金额</w:t>
      </w:r>
    </w:p>
    <w:p>
      <w:pPr>
        <w:ind w:firstLine="480"/>
      </w:pPr>
      <w:r>
        <w:rPr/>
        <w:t>（一）在投标（响应）人出现下列情形之一时，我方承担保证责任：</w:t>
      </w:r>
    </w:p>
    <w:p>
      <w:pPr>
        <w:ind w:firstLine="480"/>
      </w:pPr>
      <w:r>
        <w:rPr/>
        <w:t>1.中标（成交）后投标（响应）人无正当理由不与采购人签订《政府采购合同》；</w:t>
      </w:r>
    </w:p>
    <w:p>
      <w:pPr>
        <w:ind w:firstLine="480"/>
      </w:pPr>
      <w:r>
        <w:rPr/>
        <w:t>2.采购文件规定的投标（响应）人应当缴纳保证金的其他情形。</w:t>
      </w:r>
    </w:p>
    <w:p>
      <w:pPr>
        <w:ind w:firstLine="480"/>
      </w:pPr>
      <w:r>
        <w:rPr/>
        <w:t>（二）我方承担保证责任的最高金额为人民币__________元（大写）即本项目的投标（响应）保证金金额。</w:t>
      </w:r>
    </w:p>
    <w:p>
      <w:r>
        <w:rPr>
          <w:b/>
          <w:sz w:val="28"/>
        </w:rPr>
        <w:t>二、保证的方式及保证期间</w:t>
      </w:r>
    </w:p>
    <w:p>
      <w:pPr>
        <w:ind w:firstLine="480"/>
      </w:pPr>
      <w:r>
        <w:rPr/>
        <w:t>我方保证的方式为：连带责任保证。</w:t>
      </w:r>
    </w:p>
    <w:p>
      <w:pPr>
        <w:ind w:firstLine="480"/>
      </w:pPr>
      <w:r>
        <w:rPr/>
        <w:t>我方的保证期间为：本保函自__年__月__日起生效，有效期至开标日后的90天内。</w:t>
      </w:r>
    </w:p>
    <w:p>
      <w:r>
        <w:rPr>
          <w:b/>
          <w:sz w:val="28"/>
        </w:rPr>
        <w:t>三、承担保证责任的程序</w:t>
      </w:r>
    </w:p>
    <w:p>
      <w:pPr>
        <w:ind w:firstLine="480"/>
      </w:pPr>
      <w:r>
        <w:rPr/>
        <w:t>1.你方要求我方承担保证责任的，应在本保函保证期间内向我方发出索赔通知。索赔通知应写明要求索赔的金额，支付款项应到达的账号、户名和开户行，并附有证明投标（响应）人发生我方应承担保证责任情形的事实材料。</w:t>
      </w:r>
    </w:p>
    <w:p>
      <w:pPr>
        <w:ind w:firstLine="480"/>
      </w:pPr>
      <w:r>
        <w:rPr/>
        <w:t>2.我方在收到索赔通知及相关证明材料后，在15个工作日内进行审查，符合应承担保证责任情形的，我方按照你方的要求代投标（响应）人向你方支付相应的索赔款项。</w:t>
      </w:r>
    </w:p>
    <w:p>
      <w:r>
        <w:rPr>
          <w:b/>
          <w:sz w:val="28"/>
        </w:rPr>
        <w:t>四、保证责任的终止</w:t>
      </w:r>
    </w:p>
    <w:p>
      <w:pPr>
        <w:ind w:firstLine="480"/>
      </w:pPr>
      <w:r>
        <w:rPr/>
        <w:t>1.保证期间届满，你方未向我方书面主张保证责任的，自保证期间届满次日起，我方保证责任自动终止。</w:t>
      </w:r>
    </w:p>
    <w:p>
      <w:pPr>
        <w:ind w:firstLine="480"/>
      </w:pPr>
      <w:r>
        <w:rPr/>
        <w:t>2.我方按照本保函向你方履行了保证责任后，自我方向你方支付款项（支付款项从我方账户划出）之日起，保证责任终止。</w:t>
      </w:r>
    </w:p>
    <w:p>
      <w:pPr>
        <w:ind w:firstLine="480"/>
      </w:pPr>
      <w:r>
        <w:rPr/>
        <w:t>3.按照法律法规的规定或出现我方保证责任终止的其它情形的，我方在本保函项下的保证责任终止。</w:t>
      </w:r>
    </w:p>
    <w:p>
      <w:r>
        <w:rPr>
          <w:b/>
          <w:sz w:val="28"/>
        </w:rPr>
        <w:t>五、免责条款</w:t>
      </w:r>
    </w:p>
    <w:p>
      <w:pPr>
        <w:ind w:firstLine="480"/>
      </w:pPr>
      <w:r>
        <w:rPr/>
        <w:t>1.依照法律规定或你方与投标（响应）人的另行约定，全部或者部分免除投标（响应）人投标（响应）保证金义务时，我方亦免除相应的保证责任。</w:t>
      </w:r>
    </w:p>
    <w:p>
      <w:pPr>
        <w:ind w:firstLine="480"/>
      </w:pPr>
      <w:r>
        <w:rPr/>
        <w:t>2.因你方原因致使投标（响应）人发生本保函第一条第（一）款约定情形的，我方不承担保证责任。</w:t>
      </w:r>
    </w:p>
    <w:p>
      <w:pPr>
        <w:ind w:firstLine="480"/>
      </w:pPr>
      <w:r>
        <w:rPr/>
        <w:t>3.因不可抗力造成投标（响应）人发生本保函第一条约定情形的，我方不承担保证责任。</w:t>
      </w:r>
    </w:p>
    <w:p>
      <w:pPr>
        <w:ind w:firstLine="480"/>
      </w:pPr>
      <w:r>
        <w:rPr/>
        <w:t>4.你方或其他有权机关对采购文件进行任何澄清或修改，加重我方保证责任的，我方对加重部分不承担保证责任，但该澄清或修改经我方事先书面同意的除外。</w:t>
      </w:r>
    </w:p>
    <w:p>
      <w:r>
        <w:rPr>
          <w:b/>
          <w:sz w:val="28"/>
        </w:rPr>
        <w:t>六、争议的解决</w:t>
      </w:r>
    </w:p>
    <w:p>
      <w:pPr>
        <w:ind w:firstLine="480"/>
      </w:pPr>
      <w:r>
        <w:rPr/>
        <w:t>因本保函发生的纠纷，由你我双方协商解决，协商不成的，通过诉讼程序解决，诉讼管辖地法院为___________法院。</w:t>
      </w:r>
    </w:p>
    <w:p>
      <w:r>
        <w:rPr>
          <w:b/>
          <w:sz w:val="28"/>
        </w:rPr>
        <w:t>七、保函的生效</w:t>
      </w:r>
    </w:p>
    <w:p>
      <w:pPr>
        <w:ind w:firstLine="480"/>
      </w:pPr>
      <w:r>
        <w:rPr/>
        <w:t>本保函自我方加盖公章之日起生效。</w:t>
      </w:r>
    </w:p>
    <w:p>
      <w:pPr>
        <w:ind w:firstLine="480"/>
      </w:pPr>
    </w:p>
    <w:p>
      <w:pPr>
        <w:jc w:val="right"/>
      </w:pPr>
      <w:r>
        <w:rPr/>
        <w:t>保证人：_______（公章）_______</w:t>
      </w:r>
    </w:p>
    <w:p>
      <w:pPr>
        <w:jc w:val="right"/>
      </w:pPr>
      <w:r>
        <w:rPr/>
        <w:t>联系人：____________________联系电话：____________________</w:t>
      </w:r>
    </w:p>
    <w:p>
      <w:pPr>
        <w:jc w:val="right"/>
      </w:pPr>
      <w:r>
        <w:rPr/>
        <w:t>___年___月___日</w:t>
      </w:r>
    </w:p>
    <w:p>
      <w:pPr>
        <w:rPr>
          <w:rFonts w:hint="eastAsia"/>
          <w:lang w:val="en-US" w:eastAsia="zh-Hans"/>
        </w:rPr>
      </w:pPr>
      <w:r>
        <w:rPr/>
        <w:t>项目</w:t>
      </w:r>
      <w:r>
        <w:rPr>
          <w:rFonts w:hint="eastAsia"/>
          <w:lang w:val="en-US" w:eastAsia="zh-Hans"/>
        </w:rPr>
        <w:t/>
      </w:r>
      <w:bookmarkStart w:id="0" w:name="_GoBack"/>
      <w:bookmarkEnd w:id="0"/>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DejaVu Sans">
    <w:altName w:val="苹方-简"/>
    <w:panose1 w:val="02020603050405020304"/>
    <w:charset w:val="00"/>
    <w:family w:val="roman"/>
    <w:pitch w:val="default"/>
    <w:sig w:usb0="20007A87" w:usb1="80000000" w:usb2="00000008" w:usb3="00000000" w:csb0="000001FF" w:csb1="00000000"/>
  </w:font>
  <w:font w:name="方正书宋_GBK">
    <w:panose1 w:val="02000000000000000000"/>
    <w:charset w:val="86"/>
    <w:family w:val="auto"/>
    <w:pitch w:val="default"/>
    <w:sig w:usb0="A00002BF" w:usb1="38CF7CFA" w:usb2="00082016" w:usb3="00000000" w:csb0="00040001" w:csb1="00000000"/>
  </w:font>
  <w:font w:name="方正黑体_GBK">
    <w:altName w:val="苹方-简"/>
    <w:panose1 w:val="02000000000000000000"/>
    <w:charset w:val="00"/>
    <w:family w:val="auto"/>
    <w:pitch w:val="default"/>
    <w:sig w:usb0="00000001" w:usb1="08000000" w:usb2="00000000" w:usb3="00000000" w:csb0="00040000" w:csb1="00000000"/>
  </w:font>
  <w:font w:name="Cambria">
    <w:altName w:val="苹方-简"/>
    <w:panose1 w:val="02040503050406030204"/>
    <w:charset w:val="00"/>
    <w:family w:val="roman"/>
    <w:pitch w:val="default"/>
    <w:sig w:usb0="00000000" w:usb1="00000000" w:usb2="00000000" w:usb3="00000000" w:csb0="0000019F"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苹方-简">
    <w:panose1 w:val="020B0400000000000000"/>
    <w:charset w:val="86"/>
    <w:family w:val="auto"/>
    <w:pitch w:val="default"/>
    <w:sig w:usb0="A00002FF" w:usb1="7ACFFDFB" w:usb2="00000017" w:usb3="00000000" w:csb0="00040001" w:csb1="00000000"/>
  </w:font>
  <w:font w:name="Helvetica Neue">
    <w:panose1 w:val="02000503000000020004"/>
    <w:charset w:val="00"/>
    <w:family w:val="auto"/>
    <w:pitch w:val="default"/>
    <w:sig w:usb0="E50002FF" w:usb1="500079DB" w:usb2="00000010" w:usb3="00000000" w:csb0="0000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5"/>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3B52B8D"/>
    <w:rsid w:val="177F50ED"/>
    <w:rsid w:val="53B52B8D"/>
    <w:rsid w:val="77F79321"/>
    <w:rsid w:val="BBBF777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pPrDefault>
      <w:pPr/>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Relationships xmlns="http://schemas.openxmlformats.org/package/2006/relationships"><Relationship Id="rId1" Target="styles.xml" Type="http://schemas.openxmlformats.org/officeDocument/2006/relationships/styles"/><Relationship Id="rId10" Target="media/image5.png" Type="http://schemas.openxmlformats.org/officeDocument/2006/relationships/image"/><Relationship Id="rId11" Target="media/image6.png" Type="http://schemas.openxmlformats.org/officeDocument/2006/relationships/image"/><Relationship Id="rId12" Target="media/image7.png" Type="http://schemas.openxmlformats.org/officeDocument/2006/relationships/image"/><Relationship Id="rId13" Target="media/image8.png" Type="http://schemas.openxmlformats.org/officeDocument/2006/relationships/image"/><Relationship Id="rId14" Target="media/image9.png" Type="http://schemas.openxmlformats.org/officeDocument/2006/relationships/image"/><Relationship Id="rId15" Target="media/image10.png" Type="http://schemas.openxmlformats.org/officeDocument/2006/relationships/image"/><Relationship Id="rId2" Target="settings.xml" Type="http://schemas.openxmlformats.org/officeDocument/2006/relationships/settings"/><Relationship Id="rId3" Target="theme/theme1.xml" Type="http://schemas.openxmlformats.org/officeDocument/2006/relationships/theme"/><Relationship Id="rId4" Target="../customXml/item1.xml" Type="http://schemas.openxmlformats.org/officeDocument/2006/relationships/customXml"/><Relationship Id="rId5" Target="fontTable.xml" Type="http://schemas.openxmlformats.org/officeDocument/2006/relationships/fontTable"/><Relationship Id="rId6" Target="media/image1.png" Type="http://schemas.openxmlformats.org/officeDocument/2006/relationships/image"/><Relationship Id="rId7" Target="media/image2.png" Type="http://schemas.openxmlformats.org/officeDocument/2006/relationships/image"/><Relationship Id="rId8" Target="media/image3.png" Type="http://schemas.openxmlformats.org/officeDocument/2006/relationships/image"/><Relationship Id="rId9" Target="media/image4.png" Type="http://schemas.openxmlformats.org/officeDocument/2006/relationships/image"/></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arget="itemProps1.xml" Type="http://schemas.openxmlformats.org/officeDocument/2006/relationships/customXmlProps"/></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Office_3.9.3.6359_F1E327BC-269C-435d-A152-05C5408002CA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2022-04-08T19:57:00Z</dcterms:created>
  <dc:creator>五块钱</dc:creator>
  <cp:lastModifiedBy>五块钱</cp:lastModifiedBy>
  <dcterms:modified xsi:type="dcterms:W3CDTF">2022-04-27T17:40:01Z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2052-3.9.3.6359</vt:lpwstr>
  </property>
</Properties>
</file>