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441900014-2022-00491</w:t>
      </w:r>
    </w:p>
    <w:p>
      <w:pPr>
        <w:jc w:val="center"/>
      </w:pPr>
      <w:r>
        <w:rPr>
          <w:b/>
          <w:sz w:val="24"/>
        </w:rPr>
        <w:t>采购项目编号：</w:t>
      </w:r>
      <w:r>
        <w:rPr>
          <w:b/>
          <w:sz w:val="24"/>
        </w:rPr>
        <w:t>441900014-2022-00491</w:t>
      </w:r>
    </w:p>
    <w:p>
      <w:pPr>
        <w:jc w:val="center"/>
      </w:pPr>
      <w:r>
        <w:rPr>
          <w:b/>
          <w:sz w:val="24"/>
        </w:rPr>
        <w:t>项目名称：</w:t>
      </w:r>
      <w:r>
        <w:rPr>
          <w:b/>
          <w:sz w:val="24"/>
        </w:rPr>
        <w:t>横沥镇垃圾转运站除臭、降尘、污水处理系统采购项目</w:t>
      </w:r>
    </w:p>
    <w:p>
      <w:pPr>
        <w:jc w:val="center"/>
      </w:pPr>
      <w:r>
        <w:rPr>
          <w:b/>
          <w:sz w:val="24"/>
        </w:rPr>
        <w:t>采购人：</w:t>
      </w:r>
      <w:r>
        <w:rPr>
          <w:b/>
          <w:sz w:val="24"/>
        </w:rPr>
        <w:t>东莞市横沥镇公用事业服务中心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东莞市横沥镇公用事业服务中心</w:t>
      </w:r>
      <w:r>
        <w:rPr/>
        <w:t>的委托，采用</w:t>
      </w:r>
      <w:r>
        <w:rPr/>
        <w:t>公开招标</w:t>
      </w:r>
      <w:r>
        <w:rPr/>
        <w:t>方式组织采购</w:t>
      </w:r>
      <w:r>
        <w:rPr/>
        <w:t>横沥镇垃圾转运站除臭、降尘、污水处理系统采购项目</w:t>
      </w:r>
      <w:r>
        <w:rPr/>
        <w:t>。欢迎符合资格条件的国内供应商参加投标。</w:t>
      </w:r>
    </w:p>
    <w:p>
      <w:r>
        <w:rPr>
          <w:b/>
          <w:sz w:val="28"/>
        </w:rPr>
        <w:t>一.项目概述</w:t>
      </w:r>
    </w:p>
    <w:p>
      <w:r>
        <w:rPr>
          <w:b/>
          <w:sz w:val="24"/>
        </w:rPr>
        <w:t>1.名称与编号</w:t>
      </w:r>
    </w:p>
    <w:p>
      <w:pPr>
        <w:ind w:firstLine="480"/>
      </w:pPr>
      <w:r>
        <w:rPr/>
        <w:t>项目名称：</w:t>
      </w:r>
      <w:r>
        <w:rPr/>
        <w:t>横沥镇垃圾转运站除臭、降尘、污水处理系统采购项目</w:t>
      </w:r>
    </w:p>
    <w:p>
      <w:pPr>
        <w:ind w:firstLine="480"/>
      </w:pPr>
      <w:r>
        <w:rPr/>
        <w:t>采购计划编号：</w:t>
      </w:r>
      <w:r>
        <w:rPr/>
        <w:t>441900014-2022-00491</w:t>
      </w:r>
    </w:p>
    <w:p>
      <w:pPr>
        <w:ind w:firstLine="480"/>
      </w:pPr>
      <w:r>
        <w:rPr/>
        <w:t>采购项目编号：</w:t>
      </w:r>
      <w:r>
        <w:rPr/>
        <w:t>441900014-2022-00491</w:t>
      </w:r>
    </w:p>
    <w:p>
      <w:pPr>
        <w:ind w:firstLine="480"/>
      </w:pPr>
      <w:r>
        <w:rPr/>
        <w:t>采购方式：</w:t>
      </w:r>
      <w:r>
        <w:rPr/>
        <w:t>公开招标</w:t>
      </w:r>
    </w:p>
    <w:p>
      <w:pPr>
        <w:ind w:firstLine="480"/>
      </w:pPr>
      <w:r>
        <w:rPr/>
        <w:t>预算金额：</w:t>
      </w:r>
      <w:r>
        <w:rPr/>
        <w:t>2,790,615.78</w:t>
      </w:r>
      <w:r>
        <w:rPr/>
        <w:t>元</w:t>
      </w:r>
    </w:p>
    <w:p>
      <w:r>
        <w:rPr>
          <w:b/>
          <w:sz w:val="24"/>
        </w:rPr>
        <w:t>2.项目内容及需求情况（采购项目技术规格、参数及要求）</w:t>
      </w:r>
    </w:p>
    <w:p>
      <w:pPr>
        <w:ind w:firstLine="480"/>
      </w:pPr>
    </w:p>
    <w:p/>
    <w:p>
      <w:r>
        <w:rPr/>
        <w:t>采购包1(横沥镇垃圾转运站除臭、降尘、污水处理系统采购项目):</w:t>
      </w:r>
    </w:p>
    <w:p>
      <w:r>
        <w:rPr/>
        <w:t>采购包预算金额：2,790,615.78元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其他环境污染防治设备</w:t>
            </w:r>
          </w:p>
        </w:tc>
        <w:tc>
          <w:tcPr>
            <w:tcW w:type="dxa" w:w="2052"/>
          </w:tcPr>
          <w:p>
            <w:r>
              <w:rPr/>
              <w:t>横沥镇垃圾转运站除臭、降尘、污水处理系统采购项目</w:t>
            </w:r>
          </w:p>
        </w:tc>
        <w:tc>
          <w:tcPr>
            <w:tcW w:type="dxa" w:w="977"/>
          </w:tcPr>
          <w:p>
            <w:r>
              <w:rPr/>
              <w:t>1.0000(批)</w:t>
            </w:r>
          </w:p>
        </w:tc>
        <w:tc>
          <w:tcPr>
            <w:tcW w:type="dxa" w:w="977"/>
          </w:tcPr>
          <w:p>
            <w:r>
              <w:rPr/>
              <w:t>详见第二章</w:t>
            </w:r>
          </w:p>
        </w:tc>
        <w:tc>
          <w:tcPr>
            <w:tcW w:type="dxa" w:w="977"/>
          </w:tcPr>
          <w:p>
            <w:r>
              <w:rPr/>
              <w:t>2,790,615.78</w:t>
            </w:r>
          </w:p>
        </w:tc>
        <w:tc>
          <w:tcPr>
            <w:tcW w:type="dxa" w:w="977"/>
          </w:tcPr>
          <w:p>
            <w:r>
              <w:rPr/>
              <w:t>否</w:t>
            </w:r>
          </w:p>
        </w:tc>
      </w:tr>
    </w:tbl>
    <w:p/>
    <w:p>
      <w:r>
        <w:rPr/>
        <w:t>本采购包不接受联合体投标</w:t>
      </w:r>
    </w:p>
    <w:p/>
    <w:p>
      <w:r>
        <w:rPr/>
        <w:t>合同履行期限：签定合同后，待采购人向中标人签发书面发货通知函后60个日历日内交货并完成安装调试。</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采购包1（横沥镇垃圾转运站除臭、降尘、污水处理系统采购项目）：</w:t>
      </w:r>
      <w:r>
        <w:rPr/>
        <w:t>本项目不属于专门面向中小企业的采购项目。</w:t>
      </w:r>
    </w:p>
    <w:p/>
    <w:p>
      <w:r>
        <w:rPr>
          <w:b/>
          <w:sz w:val="24"/>
        </w:rPr>
        <w:t>3.本项目特定的资格要求：</w:t>
      </w:r>
    </w:p>
    <w:p>
      <w:pPr>
        <w:ind w:firstLine="480"/>
      </w:pPr>
    </w:p>
    <w:p/>
    <w:p>
      <w:r>
        <w:rPr/>
        <w:t>采购包1（横沥镇垃圾转运站除臭、降尘、污水处理系统采购项目）：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东莞市横沥镇公用事业服务中心</w:t>
      </w:r>
    </w:p>
    <w:p>
      <w:pPr>
        <w:ind w:firstLine="480"/>
      </w:pPr>
      <w:r>
        <w:rPr/>
        <w:t>地址：</w:t>
      </w:r>
      <w:r>
        <w:rPr/>
        <w:t>东莞市横沥镇常乐路26号</w:t>
      </w:r>
    </w:p>
    <w:p>
      <w:pPr>
        <w:ind w:firstLine="480"/>
      </w:pPr>
      <w:r>
        <w:rPr/>
        <w:t>联系方式：</w:t>
      </w:r>
      <w:r>
        <w:rPr/>
        <w:t>0769-83713616</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本项目为横沥镇垃圾转运站除臭、降尘、污水处理系统采购项目。</w:t>
      </w:r>
    </w:p>
    <w:p/>
    <w:p>
      <w:pPr>
        <w:ind w:firstLine="480"/>
      </w:pPr>
    </w:p>
    <w:p/>
    <w:p>
      <w:r>
        <w:rPr/>
        <w:t>采购包1（横沥镇垃圾转运站除臭、降尘、污水处理系统采购项目）：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签定合同后，待采购人向中标人签发书面发货通知函后60个日历日内交货并完成安装调试。</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1期：支付比例100%，货物送到采购人指定地点，经采购人签收并办理完相关请款程序后付合同金额30%，项目验收合格后待采购人办理完相关请款程序后付至合同金额的100%.</w:t>
            </w:r>
          </w:p>
        </w:tc>
      </w:tr>
      <w:tr>
        <w:tc>
          <w:tcPr>
            <w:tcW w:type="dxa" w:w="4153"/>
          </w:tcPr>
          <w:p>
            <w:r>
              <w:rPr/>
              <w:t>验收要求</w:t>
            </w:r>
          </w:p>
        </w:tc>
        <w:tc>
          <w:tcPr>
            <w:tcW w:type="dxa" w:w="4153"/>
          </w:tcPr>
          <w:p>
            <w:pPr>
              <w:jc w:val="left"/>
            </w:pPr>
          </w:p>
          <w:p/>
          <w:p/>
          <w:p>
            <w:r>
              <w:rPr/>
              <w:t>1期：按国家及相关行业标准进行验收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报价要求:投标报价采取打包报价的方式，投标报价包括材料、工具、人工、管理费、利润、税金、风险、招标代理费用等一切因素所有应该和可能发生的费用因素。</w:t>
            </w:r>
          </w:p>
          <w:p/>
          <w:p>
            <w:r>
              <w:rPr/>
              <w:t>其他要求:（1）保修期：1年（从验收合格之日起计算），质保期内实行维修、保养等“三包”。 设备按生产厂的保修规定执行，免费保修期不少于一年。保修期自验收合格日起计算，维修保养费用计入总价。 保修期后，中标人仍负责有偿提供不低于原厂配置的维修保养服务，收费标准不得高于报价明细和市场价。 （2）安装调试与售后服务： 中标人须负责货物的运输、安装、调试等工作，所产生的费用由中标人负责。 中标人须向采购人提供合同货物安装所需的材料（包括工具、设施、物料等）及技术资料以及组装/维修所需工具。 中标人派出的安装人员应具备相关的专业知识、技术水平、相应资质和能力，熟悉本合同所述货物的规格、技术指标及安装工艺，有足够能力安装、调试本合同的货物并使之达到本合同要求； 中标人已对采购人现场进行详细考察，完全了解现场的状况及环境要求，并承诺不因上述原因对采购人索赔； 中标人提供的产品必须是全新的。所有产品运输到达采购单位时的包装必须是原厂完整的，由采购单位签收后，方可拆包装。有关产品必须符合国家检测标准，或具有有关质检部门出具的产品检验合格证明。 安装调试完成后双方共同进行验收，并签署项目验收报告。 中标人必须在测试与验收前，向采购人提供按本合同的技术规格、技术规范的要求进行的测试与验收方案。 中标人提供的货物不符合合同的质量要求，致使货物未达到买方要求的设计性能，采购人可拒收货物或解除合同。 测试及验收工作由采购人和/或中标人组织，验收合格后，买卖双方签署验收合格证书。 如果中标人没有按以上要求，按采购人安排的时间进行有关工作，采购人有权在相应的付款时间段推迟付款，直至中标人完成此时间段的工作。  验收方法： 检查配套场地建设是否符合要求。 检查设备货物配置和配套设施是否完整、齐全，是否符合各项技术要求。 质量保证及售后服务： 中标人应保证合同项下所供货物是全新的、未使用过的。中标人进一步保证，合同项下提供的全部货物没有设计、材料或工艺上的缺陷（由于按采购人的要求设计或按采购人的规格提供的材料所产生的缺陷除外），或者没有因中标人的行为或疏忽而产生的缺陷，这些缺陷是所供货物在我国现行条件下正常使用可能产生的。 对于影响货物正常工作的必要组成部分，无论在技术规范中指出与否，中标人都应提供并在投标文件中明确列出。 中标人必须提供24小时电话服务热线，保证在接到故障电话（或书面通知）4小时内到达故障现场，并在24小时内修复。 中标人应为采购人提供免费培训，具体包含现场培训和专门培训。现场培训：中标人在设备的组装、调试、验收完毕后即进行现场培训直至采购人基本掌握使用操作、维护保养技术，保证运营单位可以独立操作设备运营。专门培训：中标人就设备的组装、检验、调试、使用和维护等培训，直到采购人受训人员全部掌握运行操作、维护保养技术，并能达到正确检修、维护、排除一般故障为止。 培训方式为技术培训和操作培训。受训人员由采购人确定，培训地点主要在设备安装现场或者由双方约定，培训时间、地点由双方商讨方确定。 （3）投标人应充分结合本招标文件上下文了解项目招标需求、采购文件未尽事宜，将在合同签订或项目执行过程中双方协商确定，供应商须无条件满足采购单位的合理要求。</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其他环境污染防治设备</w:t>
            </w:r>
          </w:p>
        </w:tc>
        <w:tc>
          <w:tcPr>
            <w:tcW w:type="dxa" w:w="1923"/>
          </w:tcPr>
          <w:p>
            <w:r>
              <w:rPr/>
              <w:t>横沥镇垃圾转运站除臭、降尘、污水处理系统采购项目</w:t>
            </w:r>
          </w:p>
        </w:tc>
        <w:tc>
          <w:tcPr>
            <w:tcW w:type="dxa" w:w="385"/>
          </w:tcPr>
          <w:p>
            <w:r>
              <w:rPr/>
              <w:t>批</w:t>
            </w:r>
          </w:p>
        </w:tc>
        <w:tc>
          <w:tcPr>
            <w:tcW w:type="dxa" w:w="769"/>
          </w:tcPr>
          <w:p>
            <w:pPr>
              <w:jc w:val="right"/>
            </w:pPr>
            <w:r>
              <w:rPr/>
              <w:t>1.0000</w:t>
            </w:r>
          </w:p>
        </w:tc>
        <w:tc>
          <w:tcPr>
            <w:tcW w:type="dxa" w:w="769"/>
          </w:tcPr>
          <w:p>
            <w:pPr>
              <w:jc w:val="right"/>
            </w:pPr>
            <w:r>
              <w:rPr/>
              <w:t>2,790,615.78</w:t>
            </w:r>
          </w:p>
        </w:tc>
        <w:tc>
          <w:tcPr>
            <w:tcW w:type="dxa" w:w="769"/>
          </w:tcPr>
          <w:p>
            <w:pPr>
              <w:jc w:val="right"/>
            </w:pPr>
            <w:r>
              <w:rPr/>
              <w:t>2,790,615.78</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横沥镇垃圾转运站除臭、降尘、污水处理系统采购项目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pPr>
            <w:r>
              <w:rPr>
                <w:b/>
                <w:sz w:val="21"/>
              </w:rPr>
              <w:t>一、设备要求</w:t>
            </w:r>
          </w:p>
          <w:p>
            <w:pPr>
              <w:ind w:firstLine="420"/>
            </w:pPr>
            <w:r>
              <w:rPr>
                <w:sz w:val="21"/>
              </w:rPr>
              <w:t>本项目共有6个垃圾转运站。每个垃圾转运站配套一套除臭设备设施及一套污水收集处理设备设施。因每个垃圾转运站的压缩箱卡位数相同，且面积、高度接近，本项目采购的主体设备要求相同，仅管路布置需要根据各个站实际情况进行较小调整，故对采购的货物要求不再依每个垃圾转运站进行区分。投标人需自行考虑项目风险，如有需要可自行现场勘察。</w:t>
            </w:r>
          </w:p>
          <w:p>
            <w:pPr>
              <w:ind w:firstLine="422"/>
            </w:pPr>
            <w:r>
              <w:rPr>
                <w:b/>
                <w:sz w:val="21"/>
              </w:rPr>
              <w:t>（一）废气除臭设备设施要求</w:t>
            </w:r>
          </w:p>
          <w:p>
            <w:pPr>
              <w:ind w:firstLine="420"/>
            </w:pPr>
            <w:r>
              <w:rPr>
                <w:sz w:val="21"/>
              </w:rPr>
              <w:t>垃圾转运站内空间较大，且持续产生恶臭废气，维护人员在长时间作业时会有职业健康危害。针对垃圾转运站的实际情况，废气除臭处理系统由高压喷雾除臭系统、生物喷淋除臭塔、光催化</w:t>
            </w:r>
            <w:r>
              <w:rPr>
                <w:sz w:val="21"/>
              </w:rPr>
              <w:t>UV除臭设备、负压收集系统、离心风机、空气质量检测系统和电气控制系统等设备组成。各设备系统的技术要求如下：</w:t>
            </w:r>
          </w:p>
          <w:p>
            <w:pPr>
              <w:ind w:firstLine="422"/>
            </w:pPr>
            <w:r>
              <w:rPr>
                <w:b/>
                <w:sz w:val="21"/>
              </w:rPr>
              <w:t>1、高压喷雾除臭系统：</w:t>
            </w:r>
          </w:p>
          <w:p>
            <w:pPr>
              <w:ind w:firstLine="420"/>
            </w:pPr>
            <w:r>
              <w:rPr>
                <w:sz w:val="21"/>
              </w:rPr>
              <w:t>安装在垃圾压缩站车间内，雾化喷头沿管线敷设，雾化区域覆盖整个空间。用于车间内空气异味净化，使空间内不断散发出来的臭味在没有散发到周围环境之前予以分解。</w:t>
            </w:r>
          </w:p>
          <w:p>
            <w:pPr>
              <w:ind w:firstLine="420"/>
            </w:pPr>
            <w:r>
              <w:rPr>
                <w:sz w:val="21"/>
              </w:rPr>
              <w:t>除臭净化机理：通过专用的全自动智能高压喷雾除臭系统，将天然植物除臭药剂高压雾化后均匀分散在空气中，除臭药剂中的除臭分子具有很大的比表面积和表面能，能有效降解空气中异味分子，并与异味分子（如硫化氢、硫醇、甲醛、氨气等）发生聚合、取代、转换和分解等化学反应，改变异味分子的原有分子结构，并使之降解，生成对人体无害，无味的产物，使之去除臭味而且无二次污染。主要参数要求如下：</w:t>
            </w:r>
          </w:p>
          <w:p>
            <w:pPr>
              <w:ind w:firstLine="420"/>
            </w:pPr>
            <w:r>
              <w:rPr>
                <w:sz w:val="21"/>
              </w:rPr>
              <w:t>（</w:t>
            </w:r>
            <w:r>
              <w:rPr>
                <w:sz w:val="21"/>
              </w:rPr>
              <w:t>1）微雾除臭主机为立式全不锈钢材质，美观大气。</w:t>
            </w:r>
          </w:p>
          <w:p>
            <w:pPr>
              <w:ind w:firstLine="420"/>
            </w:pPr>
            <w:r>
              <w:rPr>
                <w:sz w:val="21"/>
              </w:rPr>
              <w:t>（</w:t>
            </w:r>
            <w:r>
              <w:rPr>
                <w:sz w:val="21"/>
              </w:rPr>
              <w:t>2）高压雾化泵：380V，2.2KW，泵流量≥8L/min输出压力:50-70 bar。</w:t>
            </w:r>
          </w:p>
          <w:p>
            <w:pPr>
              <w:ind w:firstLine="420"/>
            </w:pPr>
            <w:r>
              <w:rPr>
                <w:sz w:val="21"/>
              </w:rPr>
              <w:t>（</w:t>
            </w:r>
            <w:r>
              <w:rPr>
                <w:sz w:val="21"/>
              </w:rPr>
              <w:t>3）全自动智能电控系统：手动/自动双运行模式+智能启停+循环时控+缺水断电保护。</w:t>
            </w:r>
          </w:p>
          <w:p>
            <w:pPr>
              <w:ind w:firstLine="420"/>
            </w:pPr>
            <w:r>
              <w:rPr>
                <w:sz w:val="21"/>
              </w:rPr>
              <w:t>（</w:t>
            </w:r>
            <w:r>
              <w:rPr>
                <w:sz w:val="21"/>
              </w:rPr>
              <w:t>4）配置双联 “超级过滤”净水系统（前置过滤器用于自来水初滤，后置过滤器滤芯为核心过滤，防止雾化喷头堵塞，并自带排污功能）。</w:t>
            </w:r>
          </w:p>
          <w:p>
            <w:pPr>
              <w:ind w:firstLine="420"/>
            </w:pPr>
            <w:r>
              <w:rPr>
                <w:sz w:val="21"/>
              </w:rPr>
              <w:t>（</w:t>
            </w:r>
            <w:r>
              <w:rPr>
                <w:sz w:val="21"/>
              </w:rPr>
              <w:t>5）配置自动配药系统，配药比例可调。</w:t>
            </w:r>
          </w:p>
          <w:p>
            <w:pPr>
              <w:ind w:firstLine="420"/>
            </w:pPr>
            <w:r>
              <w:rPr>
                <w:sz w:val="21"/>
              </w:rPr>
              <w:t>（</w:t>
            </w:r>
            <w:r>
              <w:rPr>
                <w:sz w:val="21"/>
              </w:rPr>
              <w:t>6）高压喷雾不锈钢管道：9.52X4mm,耐压100巴，坚固美观，抗化学腐蚀、耐老化。</w:t>
            </w:r>
          </w:p>
          <w:p>
            <w:pPr>
              <w:ind w:firstLine="420"/>
            </w:pPr>
            <w:r>
              <w:rPr>
                <w:sz w:val="21"/>
              </w:rPr>
              <w:t>（</w:t>
            </w:r>
            <w:r>
              <w:rPr>
                <w:sz w:val="21"/>
              </w:rPr>
              <w:t>7）高精度微雾喷头：微米级雾化效果，喷雾量0.02-0.05L/min;，内置高强度陶瓷片。</w:t>
            </w:r>
          </w:p>
          <w:p>
            <w:pPr>
              <w:ind w:firstLine="420"/>
            </w:pPr>
            <w:r>
              <w:rPr>
                <w:sz w:val="21"/>
              </w:rPr>
              <w:t>（</w:t>
            </w:r>
            <w:r>
              <w:rPr>
                <w:sz w:val="21"/>
              </w:rPr>
              <w:t>8）高压喷雾专属配件：高压直接，高压弯头，高压三通，高压管道堵头，高压喷头底座等均为耐高压材料制成。</w:t>
            </w:r>
          </w:p>
          <w:p>
            <w:pPr>
              <w:ind w:firstLine="420"/>
            </w:pPr>
            <w:r>
              <w:rPr>
                <w:sz w:val="21"/>
              </w:rPr>
              <w:t>（</w:t>
            </w:r>
            <w:r>
              <w:rPr>
                <w:sz w:val="21"/>
              </w:rPr>
              <w:t>9）除臭药剂：天然植物除臭药剂。</w:t>
            </w:r>
          </w:p>
          <w:p>
            <w:pPr>
              <w:ind w:firstLine="422"/>
            </w:pPr>
            <w:r>
              <w:rPr>
                <w:b/>
                <w:sz w:val="21"/>
              </w:rPr>
              <w:t>2、生物喷淋除臭塔：</w:t>
            </w:r>
          </w:p>
          <w:p>
            <w:pPr>
              <w:ind w:firstLine="420"/>
            </w:pPr>
            <w:r>
              <w:rPr>
                <w:sz w:val="21"/>
              </w:rPr>
              <w:t>由塔体、喷淋系统、循环水泵及填料等组成，塔体采用</w:t>
            </w:r>
            <w:r>
              <w:rPr>
                <w:sz w:val="21"/>
              </w:rPr>
              <w:t>10mm的抗紫外线PP材质板材制造，并在喷淋塔里面加载一定PP材质的多面空心球以增加气液接触面积。补水排水系统自动控制，使用配液液位计+电磁阀人性化控制系统设备的运行，降低人工维护量。主要参数要求如下：</w:t>
            </w:r>
          </w:p>
          <w:p>
            <w:pPr>
              <w:ind w:firstLine="420"/>
            </w:pPr>
            <w:r>
              <w:rPr>
                <w:sz w:val="21"/>
              </w:rPr>
              <w:t>塔体外型尺寸</w:t>
            </w:r>
            <w:r>
              <w:rPr>
                <w:sz w:val="21"/>
              </w:rPr>
              <w:t>: Ø1800x3500mm;</w:t>
            </w:r>
          </w:p>
          <w:p>
            <w:pPr>
              <w:ind w:firstLine="420"/>
            </w:pPr>
            <w:r>
              <w:rPr>
                <w:sz w:val="21"/>
              </w:rPr>
              <w:t>处理风量</w:t>
            </w:r>
            <w:r>
              <w:rPr>
                <w:sz w:val="21"/>
              </w:rPr>
              <w:t>:≥18000m³/h;</w:t>
            </w:r>
          </w:p>
          <w:p>
            <w:pPr>
              <w:ind w:firstLine="420"/>
            </w:pPr>
            <w:r>
              <w:rPr>
                <w:sz w:val="21"/>
              </w:rPr>
              <w:t>气速</w:t>
            </w:r>
            <w:r>
              <w:rPr>
                <w:sz w:val="21"/>
              </w:rPr>
              <w:t>: ≤3m/s;</w:t>
            </w:r>
          </w:p>
          <w:p>
            <w:pPr>
              <w:ind w:firstLine="420"/>
            </w:pPr>
            <w:r>
              <w:rPr>
                <w:sz w:val="21"/>
              </w:rPr>
              <w:t>停留时间</w:t>
            </w:r>
            <w:r>
              <w:rPr>
                <w:sz w:val="21"/>
              </w:rPr>
              <w:t>:≥2s;</w:t>
            </w:r>
          </w:p>
          <w:p>
            <w:pPr>
              <w:ind w:firstLine="420"/>
            </w:pPr>
            <w:r>
              <w:rPr>
                <w:sz w:val="21"/>
              </w:rPr>
              <w:t>风阻</w:t>
            </w:r>
            <w:r>
              <w:rPr>
                <w:sz w:val="21"/>
              </w:rPr>
              <w:t>:≤650Pa;</w:t>
            </w:r>
          </w:p>
          <w:p>
            <w:pPr>
              <w:ind w:firstLine="420"/>
            </w:pPr>
            <w:r>
              <w:rPr>
                <w:sz w:val="21"/>
              </w:rPr>
              <w:t>循环泵功率：</w:t>
            </w:r>
            <w:r>
              <w:rPr>
                <w:sz w:val="21"/>
              </w:rPr>
              <w:t>1.5KW</w:t>
            </w:r>
          </w:p>
          <w:p>
            <w:pPr>
              <w:ind w:firstLine="422"/>
            </w:pPr>
            <w:r>
              <w:rPr>
                <w:b/>
                <w:sz w:val="21"/>
              </w:rPr>
              <w:t>3、光催化UV除臭设备：</w:t>
            </w:r>
          </w:p>
          <w:p>
            <w:pPr>
              <w:ind w:firstLine="420"/>
            </w:pPr>
            <w:r>
              <w:rPr>
                <w:sz w:val="21"/>
              </w:rPr>
              <w:t>需确保反应速率快，处理效果好，操作简便，环保且无任何二次污染。设备主要由进出风口、过滤网、</w:t>
            </w:r>
            <w:r>
              <w:rPr>
                <w:sz w:val="21"/>
              </w:rPr>
              <w:t>UV灯管、控制箱、活性炭净化层等组成。 主要参数要求如下：</w:t>
            </w:r>
          </w:p>
          <w:p>
            <w:pPr>
              <w:ind w:firstLine="420"/>
            </w:pPr>
            <w:r>
              <w:rPr>
                <w:sz w:val="21"/>
              </w:rPr>
              <w:t>主要材质：</w:t>
            </w:r>
            <w:r>
              <w:rPr>
                <w:sz w:val="21"/>
              </w:rPr>
              <w:t>SUS304；</w:t>
            </w:r>
          </w:p>
          <w:p>
            <w:pPr>
              <w:ind w:firstLine="420"/>
            </w:pPr>
            <w:r>
              <w:rPr>
                <w:sz w:val="21"/>
              </w:rPr>
              <w:t>寿命</w:t>
            </w:r>
            <w:r>
              <w:rPr>
                <w:sz w:val="21"/>
              </w:rPr>
              <w:t>: ≥1 万小时;</w:t>
            </w:r>
          </w:p>
          <w:p>
            <w:pPr>
              <w:ind w:firstLine="420"/>
            </w:pPr>
            <w:r>
              <w:rPr>
                <w:sz w:val="21"/>
              </w:rPr>
              <w:t>功率</w:t>
            </w:r>
            <w:r>
              <w:rPr>
                <w:sz w:val="21"/>
              </w:rPr>
              <w:t>/电压：3.6KW/220V</w:t>
            </w:r>
          </w:p>
          <w:p>
            <w:pPr>
              <w:ind w:firstLine="420"/>
            </w:pPr>
            <w:r>
              <w:rPr>
                <w:sz w:val="21"/>
              </w:rPr>
              <w:t>24组UV紫外线灯管</w:t>
            </w:r>
          </w:p>
          <w:p>
            <w:pPr>
              <w:ind w:firstLine="420"/>
            </w:pPr>
            <w:r>
              <w:rPr>
                <w:sz w:val="21"/>
              </w:rPr>
              <w:t>一组光催化网</w:t>
            </w:r>
          </w:p>
          <w:p>
            <w:pPr>
              <w:ind w:firstLine="420"/>
            </w:pPr>
            <w:r>
              <w:rPr>
                <w:sz w:val="21"/>
              </w:rPr>
              <w:t>一初效过滤棉</w:t>
            </w:r>
          </w:p>
          <w:p>
            <w:pPr>
              <w:ind w:firstLine="420"/>
            </w:pPr>
            <w:r>
              <w:rPr>
                <w:sz w:val="21"/>
              </w:rPr>
              <w:t>一组活性炭过滤棉</w:t>
            </w:r>
          </w:p>
          <w:p>
            <w:pPr>
              <w:ind w:firstLine="420"/>
            </w:pPr>
            <w:r>
              <w:rPr>
                <w:sz w:val="21"/>
              </w:rPr>
              <w:t>一组温控仪</w:t>
            </w:r>
          </w:p>
          <w:p>
            <w:pPr>
              <w:ind w:firstLine="422"/>
            </w:pPr>
            <w:r>
              <w:rPr>
                <w:b/>
                <w:sz w:val="21"/>
              </w:rPr>
              <w:t>4、负压收集系统：</w:t>
            </w:r>
          </w:p>
          <w:p>
            <w:pPr>
              <w:ind w:firstLine="420"/>
            </w:pPr>
            <w:r>
              <w:rPr>
                <w:sz w:val="21"/>
              </w:rPr>
              <w:t xml:space="preserve">  </w:t>
            </w:r>
            <w:r>
              <w:rPr>
                <w:sz w:val="21"/>
              </w:rPr>
              <w:t>由集气罩、支管道、主管道、三通、直通、法兰、手动阀门等组成。主要材质为</w:t>
            </w:r>
            <w:r>
              <w:rPr>
                <w:sz w:val="21"/>
              </w:rPr>
              <w:t>PP料，厚度≥6mm。</w:t>
            </w:r>
          </w:p>
          <w:p>
            <w:pPr>
              <w:ind w:firstLine="422"/>
            </w:pPr>
            <w:r>
              <w:rPr>
                <w:b/>
                <w:sz w:val="21"/>
              </w:rPr>
              <w:t>5、风机：</w:t>
            </w:r>
          </w:p>
          <w:p>
            <w:pPr>
              <w:ind w:firstLine="420"/>
            </w:pPr>
            <w:r>
              <w:rPr>
                <w:sz w:val="21"/>
              </w:rPr>
              <w:t>采用后置式布置，可以减少原始废气对风机的腐蚀和磨损、净化塔在负压条件下操作布风均匀、气液传质稳定、除气雾效率好、废气无泄漏等，可以使得处理效果更佳，同时对风机起到较好的保护。主要参数要求如下：</w:t>
            </w:r>
          </w:p>
          <w:p>
            <w:pPr>
              <w:ind w:firstLine="420"/>
            </w:pPr>
            <w:r>
              <w:rPr>
                <w:sz w:val="21"/>
              </w:rPr>
              <w:t>电源</w:t>
            </w:r>
            <w:r>
              <w:rPr>
                <w:sz w:val="21"/>
              </w:rPr>
              <w:t>:AC380,50Hz;</w:t>
            </w:r>
          </w:p>
          <w:p>
            <w:pPr>
              <w:ind w:firstLine="420"/>
            </w:pPr>
            <w:r>
              <w:rPr>
                <w:sz w:val="21"/>
              </w:rPr>
              <w:t>功率</w:t>
            </w:r>
            <w:r>
              <w:rPr>
                <w:sz w:val="21"/>
              </w:rPr>
              <w:t>:11kW;</w:t>
            </w:r>
          </w:p>
          <w:p>
            <w:pPr>
              <w:ind w:firstLine="420"/>
            </w:pPr>
            <w:r>
              <w:rPr>
                <w:sz w:val="21"/>
              </w:rPr>
              <w:t>转速</w:t>
            </w:r>
            <w:r>
              <w:rPr>
                <w:sz w:val="21"/>
              </w:rPr>
              <w:t>:1650r/min;</w:t>
            </w:r>
          </w:p>
          <w:p>
            <w:pPr>
              <w:ind w:firstLine="420"/>
            </w:pPr>
            <w:r>
              <w:rPr>
                <w:sz w:val="21"/>
              </w:rPr>
              <w:t>风量</w:t>
            </w:r>
            <w:r>
              <w:rPr>
                <w:sz w:val="21"/>
              </w:rPr>
              <w:t>: ≥15000m3/h;</w:t>
            </w:r>
          </w:p>
          <w:p>
            <w:pPr>
              <w:ind w:firstLine="420"/>
            </w:pPr>
            <w:r>
              <w:rPr>
                <w:sz w:val="21"/>
              </w:rPr>
              <w:t>压抑：</w:t>
            </w:r>
            <w:r>
              <w:rPr>
                <w:sz w:val="21"/>
              </w:rPr>
              <w:t>1600～2250 Pa;</w:t>
            </w:r>
          </w:p>
          <w:p>
            <w:pPr>
              <w:ind w:firstLine="420"/>
            </w:pPr>
            <w:r>
              <w:rPr>
                <w:sz w:val="21"/>
              </w:rPr>
              <w:t>噪音</w:t>
            </w:r>
            <w:r>
              <w:rPr>
                <w:sz w:val="21"/>
              </w:rPr>
              <w:t>:≤65dB;</w:t>
            </w:r>
          </w:p>
          <w:p>
            <w:pPr>
              <w:ind w:firstLine="422"/>
            </w:pPr>
            <w:r>
              <w:rPr>
                <w:b/>
                <w:sz w:val="21"/>
              </w:rPr>
              <w:t>6、空气质量检测系统：</w:t>
            </w:r>
          </w:p>
          <w:p>
            <w:pPr>
              <w:ind w:firstLine="420"/>
            </w:pPr>
            <w:r>
              <w:rPr>
                <w:sz w:val="21"/>
              </w:rPr>
              <w:t>由供电单元、采样单元、样气处理单元、传感器检测单元、数据处理单元、显示单元和传输单位组成。空气中的氨气、硫化氢、臭气成分等通过各传感器的检测后，利于内置的微电脑控制模块将恶臭模型进行分析计算，得出精确的数据，并实时显示空气质量指数；</w:t>
            </w:r>
          </w:p>
          <w:p>
            <w:pPr>
              <w:ind w:firstLine="422"/>
            </w:pPr>
            <w:r>
              <w:rPr>
                <w:b/>
                <w:sz w:val="21"/>
              </w:rPr>
              <w:t>7、电气控制系统：</w:t>
            </w:r>
          </w:p>
          <w:p>
            <w:pPr>
              <w:ind w:firstLine="420"/>
            </w:pPr>
            <w:r>
              <w:rPr>
                <w:sz w:val="21"/>
              </w:rPr>
              <w:t>由不锈钢电箱、</w:t>
            </w:r>
            <w:r>
              <w:rPr>
                <w:sz w:val="21"/>
              </w:rPr>
              <w:t>PLC控制器、触屏显示器和电气组件等组成，手动/自由及远程控制模式。</w:t>
            </w:r>
          </w:p>
        </w:tc>
      </w:tr>
      <w:tr>
        <w:tc>
          <w:tcPr>
            <w:tcW w:type="dxa" w:w="2076"/>
          </w:tcPr>
          <w:p/>
        </w:tc>
        <w:tc>
          <w:tcPr>
            <w:tcW w:type="dxa" w:w="415"/>
          </w:tcPr>
          <w:p>
            <w:r>
              <w:rPr/>
              <w:t>2</w:t>
            </w:r>
          </w:p>
        </w:tc>
        <w:tc>
          <w:tcPr>
            <w:tcW w:type="dxa" w:w="5814"/>
          </w:tcPr>
          <w:p>
            <w:pPr>
              <w:jc w:val="center"/>
            </w:pPr>
            <w:r>
              <w:rPr>
                <w:b/>
                <w:sz w:val="21"/>
              </w:rPr>
              <w:t>表</w:t>
            </w:r>
            <w:r>
              <w:rPr>
                <w:b/>
                <w:sz w:val="21"/>
              </w:rPr>
              <w:t>1. 废气除臭处理设备技术参数表</w:t>
            </w:r>
          </w:p>
          <w:tbl>
            <w:tblPr>
              <w:tblBorders>
                <w:top w:val="none" w:color="000000" w:sz="4"/>
                <w:left w:val="none" w:color="000000" w:sz="4"/>
                <w:bottom w:val="none" w:color="000000" w:sz="4"/>
                <w:right w:val="none" w:color="000000" w:sz="4"/>
                <w:insideH w:val="none"/>
                <w:insideV w:val="none"/>
              </w:tblBorders>
            </w:tblPr>
            <w:tblGrid>
              <w:gridCol w:w="425"/>
              <w:gridCol w:w="682"/>
              <w:gridCol w:w="1375"/>
              <w:gridCol w:w="1414"/>
              <w:gridCol w:w="851"/>
              <w:gridCol w:w="425"/>
              <w:gridCol w:w="425"/>
            </w:tblGrid>
            <w:tr>
              <w:tc>
                <w:tcPr>
                  <w:tcW w:type="dxa" w:w="42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682"/>
                  <w:tcBorders>
                    <w:top w:val="single" w:color="000000" w:sz="4"/>
                    <w:left w:val="single" w:color="000000" w:sz="4"/>
                    <w:bottom w:val="single" w:color="000000" w:sz="4"/>
                    <w:right w:val="single" w:color="000000" w:sz="4"/>
                  </w:tcBorders>
                  <w:vAlign w:val="top"/>
                </w:tcPr>
                <w:p>
                  <w:pPr>
                    <w:jc w:val="center"/>
                  </w:pPr>
                  <w:r>
                    <w:rPr>
                      <w:b/>
                      <w:sz w:val="21"/>
                    </w:rPr>
                    <w:t>设备</w:t>
                  </w:r>
                </w:p>
              </w:tc>
              <w:tc>
                <w:tcPr>
                  <w:tcW w:type="dxa" w:w="1375"/>
                  <w:tcBorders>
                    <w:top w:val="single" w:color="000000" w:sz="4"/>
                    <w:left w:val="single" w:color="000000" w:sz="4"/>
                    <w:bottom w:val="single" w:color="000000" w:sz="4"/>
                    <w:right w:val="single" w:color="000000" w:sz="4"/>
                  </w:tcBorders>
                  <w:vAlign w:val="top"/>
                </w:tcPr>
                <w:p>
                  <w:pPr>
                    <w:jc w:val="center"/>
                  </w:pPr>
                  <w:r>
                    <w:rPr>
                      <w:b/>
                      <w:sz w:val="21"/>
                    </w:rPr>
                    <w:t>名称</w:t>
                  </w:r>
                </w:p>
              </w:tc>
              <w:tc>
                <w:tcPr>
                  <w:tcW w:type="dxa" w:w="1414"/>
                  <w:tcBorders>
                    <w:top w:val="single" w:color="000000" w:sz="4"/>
                    <w:left w:val="single" w:color="000000" w:sz="4"/>
                    <w:bottom w:val="single" w:color="000000" w:sz="4"/>
                    <w:right w:val="single" w:color="000000" w:sz="4"/>
                  </w:tcBorders>
                  <w:vAlign w:val="top"/>
                </w:tcPr>
                <w:p>
                  <w:pPr>
                    <w:jc w:val="center"/>
                  </w:pPr>
                  <w:r>
                    <w:rPr>
                      <w:b/>
                      <w:sz w:val="21"/>
                    </w:rPr>
                    <w:t>参数</w:t>
                  </w:r>
                </w:p>
              </w:tc>
              <w:tc>
                <w:tcPr>
                  <w:tcW w:type="dxa" w:w="851"/>
                  <w:tcBorders>
                    <w:top w:val="single" w:color="000000" w:sz="4"/>
                    <w:left w:val="single" w:color="000000" w:sz="4"/>
                    <w:bottom w:val="single" w:color="000000" w:sz="4"/>
                    <w:right w:val="single" w:color="000000" w:sz="4"/>
                  </w:tcBorders>
                  <w:vAlign w:val="top"/>
                </w:tcPr>
                <w:p>
                  <w:pPr>
                    <w:jc w:val="center"/>
                  </w:pPr>
                  <w:r>
                    <w:rPr>
                      <w:b/>
                      <w:sz w:val="21"/>
                    </w:rPr>
                    <w:t>材质</w:t>
                  </w:r>
                </w:p>
              </w:tc>
              <w:tc>
                <w:tcPr>
                  <w:tcW w:type="dxa" w:w="425"/>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425"/>
                  <w:tcBorders>
                    <w:top w:val="single" w:color="000000" w:sz="4"/>
                    <w:left w:val="single" w:color="000000" w:sz="4"/>
                    <w:bottom w:val="single" w:color="000000" w:sz="4"/>
                    <w:right w:val="single" w:color="000000" w:sz="4"/>
                  </w:tcBorders>
                  <w:vAlign w:val="top"/>
                </w:tcPr>
                <w:p>
                  <w:pPr>
                    <w:jc w:val="center"/>
                  </w:pPr>
                  <w:r>
                    <w:rPr>
                      <w:b/>
                      <w:sz w:val="21"/>
                    </w:rPr>
                    <w:t>单位</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82"/>
                  <w:vMerge w:val="restart"/>
                  <w:tcBorders>
                    <w:top w:val="none" w:color="000000" w:sz="4"/>
                    <w:left w:val="single" w:color="000000" w:sz="4"/>
                    <w:bottom w:val="single" w:color="000000" w:sz="4"/>
                    <w:right w:val="single" w:color="000000" w:sz="4"/>
                  </w:tcBorders>
                  <w:vAlign w:val="top"/>
                </w:tcPr>
                <w:p>
                  <w:pPr>
                    <w:jc w:val="center"/>
                  </w:pPr>
                  <w:r>
                    <w:rPr>
                      <w:sz w:val="21"/>
                    </w:rPr>
                    <w:t>全自动智能高压喷雾除臭系统</w:t>
                  </w:r>
                </w:p>
              </w:tc>
              <w:tc>
                <w:tcPr>
                  <w:tcW w:type="dxa" w:w="1375"/>
                  <w:tcBorders>
                    <w:top w:val="none" w:color="000000" w:sz="4"/>
                    <w:left w:val="single" w:color="000000" w:sz="4"/>
                    <w:bottom w:val="single" w:color="000000" w:sz="4"/>
                    <w:right w:val="single" w:color="000000" w:sz="4"/>
                  </w:tcBorders>
                  <w:vAlign w:val="top"/>
                </w:tcPr>
                <w:p>
                  <w:pPr>
                    <w:jc w:val="center"/>
                  </w:pPr>
                  <w:r>
                    <w:rPr>
                      <w:sz w:val="21"/>
                    </w:rPr>
                    <w:t>防水机箱</w:t>
                  </w:r>
                </w:p>
                <w:p>
                  <w:pPr>
                    <w:jc w:val="center"/>
                  </w:pPr>
                  <w:r>
                    <w:rPr>
                      <w:sz w:val="21"/>
                    </w:rPr>
                    <w:t>（内置水箱、药箱）</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1200x600x1000（±50mm）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304不锈钢</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▲高压泵功率/电压</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2.2kw-380v</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铜芯</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高压雾化喷头组件</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3010-三段-过滤网</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铜镀镍</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高压不锈钢管道</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Ø9.52mm*4mm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304不锈钢</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米</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连接管件、直通头、弯头、卡钳、接头等</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Ø9.52mm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304不锈钢</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682"/>
                  <w:vMerge w:val="restart"/>
                  <w:tcBorders>
                    <w:top w:val="none" w:color="000000" w:sz="4"/>
                    <w:left w:val="single" w:color="000000" w:sz="4"/>
                    <w:bottom w:val="single" w:color="000000" w:sz="4"/>
                    <w:right w:val="single" w:color="000000" w:sz="4"/>
                  </w:tcBorders>
                  <w:vAlign w:val="top"/>
                </w:tcPr>
                <w:p>
                  <w:pPr>
                    <w:jc w:val="center"/>
                  </w:pPr>
                  <w:r>
                    <w:rPr>
                      <w:sz w:val="21"/>
                    </w:rPr>
                    <w:t>生物喷淋除臭塔</w:t>
                  </w:r>
                </w:p>
              </w:tc>
              <w:tc>
                <w:tcPr>
                  <w:tcW w:type="dxa" w:w="1375"/>
                  <w:tcBorders>
                    <w:top w:val="none" w:color="000000" w:sz="4"/>
                    <w:left w:val="single" w:color="000000" w:sz="4"/>
                    <w:bottom w:val="single" w:color="000000" w:sz="4"/>
                    <w:right w:val="single" w:color="000000" w:sz="4"/>
                  </w:tcBorders>
                  <w:vAlign w:val="top"/>
                </w:tcPr>
                <w:p>
                  <w:pPr>
                    <w:jc w:val="center"/>
                  </w:pPr>
                  <w:r>
                    <w:rPr>
                      <w:sz w:val="21"/>
                    </w:rPr>
                    <w:t>▲除臭塔</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≥Ø1800x3500（±50mm）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除臭填料</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2层空心球</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▲循环水泵</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1.5kw</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喷淋管</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自动加药泵</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3L/H</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药剂桶</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MC-100L</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82"/>
                  <w:vMerge w:val="restart"/>
                  <w:tcBorders>
                    <w:top w:val="none" w:color="000000" w:sz="4"/>
                    <w:left w:val="single" w:color="000000" w:sz="4"/>
                    <w:bottom w:val="single" w:color="000000" w:sz="4"/>
                    <w:right w:val="single" w:color="000000" w:sz="4"/>
                  </w:tcBorders>
                  <w:vAlign w:val="top"/>
                </w:tcPr>
                <w:p>
                  <w:pPr>
                    <w:jc w:val="center"/>
                  </w:pPr>
                  <w:r>
                    <w:rPr>
                      <w:sz w:val="22"/>
                    </w:rPr>
                    <w:t>△</w:t>
                  </w:r>
                  <w:r>
                    <w:rPr>
                      <w:b/>
                      <w:sz w:val="21"/>
                    </w:rPr>
                    <w:t>光催化</w:t>
                  </w:r>
                  <w:r>
                    <w:rPr>
                      <w:b/>
                      <w:sz w:val="21"/>
                    </w:rPr>
                    <w:t>UV除臭设备</w:t>
                  </w:r>
                </w:p>
              </w:tc>
              <w:tc>
                <w:tcPr>
                  <w:tcW w:type="dxa" w:w="1375"/>
                  <w:tcBorders>
                    <w:top w:val="none" w:color="000000" w:sz="4"/>
                    <w:left w:val="single" w:color="000000" w:sz="4"/>
                    <w:bottom w:val="single" w:color="000000" w:sz="4"/>
                    <w:right w:val="single" w:color="000000" w:sz="4"/>
                  </w:tcBorders>
                  <w:vAlign w:val="top"/>
                </w:tcPr>
                <w:p>
                  <w:pPr>
                    <w:jc w:val="center"/>
                  </w:pPr>
                  <w:r>
                    <w:rPr>
                      <w:sz w:val="21"/>
                    </w:rPr>
                    <w:t>设备主体</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2400x1100x1050 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304不锈钢</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▲功率</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3.6KW / 24组UV紫外线灯管</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682"/>
                  <w:vMerge/>
                  <w:tcBorders>
                    <w:top w:val="none" w:color="000000" w:sz="4"/>
                    <w:left w:val="single" w:color="000000" w:sz="4"/>
                    <w:bottom w:val="single" w:color="000000" w:sz="4"/>
                    <w:right w:val="single" w:color="000000" w:sz="4"/>
                  </w:tcBorders>
                </w:tcPr>
                <w:p/>
              </w:tc>
              <w:tc>
                <w:tcPr>
                  <w:tcW w:type="dxa" w:w="1375"/>
                  <w:vMerge w:val="restart"/>
                  <w:tcBorders>
                    <w:top w:val="none" w:color="000000" w:sz="4"/>
                    <w:left w:val="single" w:color="000000" w:sz="4"/>
                    <w:bottom w:val="single" w:color="000000" w:sz="4"/>
                    <w:right w:val="single" w:color="000000" w:sz="4"/>
                  </w:tcBorders>
                  <w:vAlign w:val="top"/>
                </w:tcPr>
                <w:p>
                  <w:pPr>
                    <w:jc w:val="center"/>
                  </w:pPr>
                  <w:r>
                    <w:rPr>
                      <w:sz w:val="21"/>
                    </w:rPr>
                    <w:t>过滤装置</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初效过滤棉</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682"/>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1414"/>
                  <w:tcBorders>
                    <w:top w:val="none" w:color="000000" w:sz="4"/>
                    <w:left w:val="single" w:color="000000" w:sz="4"/>
                    <w:bottom w:val="single" w:color="000000" w:sz="4"/>
                    <w:right w:val="single" w:color="000000" w:sz="4"/>
                  </w:tcBorders>
                  <w:vAlign w:val="top"/>
                </w:tcPr>
                <w:p>
                  <w:pPr>
                    <w:jc w:val="center"/>
                  </w:pPr>
                  <w:r>
                    <w:rPr>
                      <w:sz w:val="21"/>
                    </w:rPr>
                    <w:t>活性炭过滤棉</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682"/>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1414"/>
                  <w:tcBorders>
                    <w:top w:val="none" w:color="000000" w:sz="4"/>
                    <w:left w:val="single" w:color="000000" w:sz="4"/>
                    <w:bottom w:val="single" w:color="000000" w:sz="4"/>
                    <w:right w:val="single" w:color="000000" w:sz="4"/>
                  </w:tcBorders>
                  <w:vAlign w:val="top"/>
                </w:tcPr>
                <w:p>
                  <w:pPr>
                    <w:jc w:val="center"/>
                  </w:pPr>
                  <w:r>
                    <w:rPr>
                      <w:sz w:val="21"/>
                    </w:rPr>
                    <w:t>光催化网</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682"/>
                  <w:vMerge w:val="restart"/>
                  <w:tcBorders>
                    <w:top w:val="none" w:color="000000" w:sz="4"/>
                    <w:left w:val="single" w:color="000000" w:sz="4"/>
                    <w:bottom w:val="single" w:color="000000" w:sz="4"/>
                    <w:right w:val="single" w:color="000000" w:sz="4"/>
                  </w:tcBorders>
                  <w:vAlign w:val="top"/>
                </w:tcPr>
                <w:p>
                  <w:pPr>
                    <w:jc w:val="center"/>
                  </w:pPr>
                  <w:r>
                    <w:rPr>
                      <w:sz w:val="21"/>
                    </w:rPr>
                    <w:t>负压收集系统</w:t>
                  </w:r>
                </w:p>
              </w:tc>
              <w:tc>
                <w:tcPr>
                  <w:tcW w:type="dxa" w:w="1375"/>
                  <w:tcBorders>
                    <w:top w:val="none" w:color="000000" w:sz="4"/>
                    <w:left w:val="single" w:color="000000" w:sz="4"/>
                    <w:bottom w:val="single" w:color="000000" w:sz="4"/>
                    <w:right w:val="single" w:color="000000" w:sz="4"/>
                  </w:tcBorders>
                  <w:vAlign w:val="top"/>
                </w:tcPr>
                <w:p>
                  <w:pPr>
                    <w:jc w:val="center"/>
                  </w:pPr>
                  <w:r>
                    <w:rPr>
                      <w:sz w:val="21"/>
                    </w:rPr>
                    <w:t>风管、弯头、三通</w:t>
                  </w:r>
                </w:p>
                <w:p>
                  <w:pPr>
                    <w:jc w:val="center"/>
                  </w:pPr>
                  <w:r>
                    <w:rPr>
                      <w:sz w:val="21"/>
                    </w:rPr>
                    <w:t>（主管</w:t>
                  </w:r>
                  <w:r>
                    <w:rPr>
                      <w:sz w:val="21"/>
                    </w:rPr>
                    <w:t>)</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Ø600mm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PP材质</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米</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风管、弯头、三通</w:t>
                  </w:r>
                </w:p>
                <w:p>
                  <w:pPr>
                    <w:jc w:val="center"/>
                  </w:pPr>
                  <w:r>
                    <w:rPr>
                      <w:sz w:val="21"/>
                    </w:rPr>
                    <w:t>（支管</w:t>
                  </w:r>
                  <w:r>
                    <w:rPr>
                      <w:sz w:val="21"/>
                    </w:rPr>
                    <w:t>)</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Ø400mm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PP材质</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米</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风管、弯头、三通</w:t>
                  </w:r>
                </w:p>
                <w:p>
                  <w:pPr>
                    <w:jc w:val="center"/>
                  </w:pPr>
                  <w:r>
                    <w:rPr>
                      <w:sz w:val="21"/>
                    </w:rPr>
                    <w:t>（支管</w:t>
                  </w:r>
                  <w:r>
                    <w:rPr>
                      <w:sz w:val="21"/>
                    </w:rPr>
                    <w:t>)</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Ø200mm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PP材质</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米</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风管</w:t>
                  </w:r>
                  <w:r>
                    <w:rPr>
                      <w:sz w:val="21"/>
                    </w:rPr>
                    <w:t>(方形支管)</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350x200mm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PP材质</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手动风阀</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350x200mm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PP材质</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集气罩</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3000x2000x700mm加工成型</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PP材质</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百叶型集气罩</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350x700mm</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PP材质</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682"/>
                  <w:vMerge w:val="restart"/>
                  <w:tcBorders>
                    <w:top w:val="none" w:color="000000" w:sz="4"/>
                    <w:left w:val="single" w:color="000000" w:sz="4"/>
                    <w:bottom w:val="single" w:color="000000" w:sz="4"/>
                    <w:right w:val="single" w:color="000000" w:sz="4"/>
                  </w:tcBorders>
                  <w:vAlign w:val="top"/>
                </w:tcPr>
                <w:p>
                  <w:pPr>
                    <w:jc w:val="center"/>
                  </w:pPr>
                  <w:r>
                    <w:rPr>
                      <w:sz w:val="21"/>
                    </w:rPr>
                    <w:t>离心风机</w:t>
                  </w:r>
                </w:p>
              </w:tc>
              <w:tc>
                <w:tcPr>
                  <w:tcW w:type="dxa" w:w="1375"/>
                  <w:tcBorders>
                    <w:top w:val="none" w:color="000000" w:sz="4"/>
                    <w:left w:val="single" w:color="000000" w:sz="4"/>
                    <w:bottom w:val="single" w:color="000000" w:sz="4"/>
                    <w:right w:val="single" w:color="000000" w:sz="4"/>
                  </w:tcBorders>
                  <w:vAlign w:val="top"/>
                </w:tcPr>
                <w:p>
                  <w:pPr>
                    <w:jc w:val="center"/>
                  </w:pPr>
                  <w:r>
                    <w:rPr>
                      <w:sz w:val="21"/>
                    </w:rPr>
                    <w:t>电机功率</w:t>
                  </w:r>
                  <w:r>
                    <w:rPr>
                      <w:sz w:val="21"/>
                    </w:rPr>
                    <w:t>/电压</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11 Kw/380Vac</w:t>
                  </w:r>
                </w:p>
              </w:tc>
              <w:tc>
                <w:tcPr>
                  <w:tcW w:type="dxa" w:w="851"/>
                  <w:vMerge w:val="restart"/>
                  <w:tcBorders>
                    <w:top w:val="none" w:color="000000" w:sz="4"/>
                    <w:left w:val="single" w:color="000000" w:sz="4"/>
                    <w:bottom w:val="single" w:color="000000" w:sz="4"/>
                    <w:right w:val="single" w:color="000000" w:sz="4"/>
                  </w:tcBorders>
                  <w:vAlign w:val="top"/>
                </w:tcPr>
                <w:p>
                  <w:pPr>
                    <w:jc w:val="center"/>
                  </w:pPr>
                  <w:r>
                    <w:rPr>
                      <w:sz w:val="21"/>
                    </w:rPr>
                    <w:t>碳钢</w:t>
                  </w:r>
                </w:p>
              </w:tc>
              <w:tc>
                <w:tcPr>
                  <w:tcW w:type="dxa" w:w="425"/>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vMerge w:val="restart"/>
                  <w:tcBorders>
                    <w:top w:val="none" w:color="000000" w:sz="4"/>
                    <w:left w:val="single" w:color="000000" w:sz="4"/>
                    <w:bottom w:val="single" w:color="000000" w:sz="4"/>
                    <w:right w:val="single" w:color="000000" w:sz="4"/>
                  </w:tcBorders>
                  <w:vAlign w:val="top"/>
                </w:tcPr>
                <w:p>
                  <w:pPr>
                    <w:jc w:val="center"/>
                  </w:pPr>
                  <w:r>
                    <w:rPr>
                      <w:sz w:val="21"/>
                    </w:rPr>
                    <w:t>台</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流量</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≥15000m³/h</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全压</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1600～2250pa</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682"/>
                  <w:vMerge/>
                  <w:tcBorders>
                    <w:top w:val="none" w:color="000000" w:sz="4"/>
                    <w:left w:val="single" w:color="000000" w:sz="4"/>
                    <w:bottom w:val="single" w:color="000000" w:sz="4"/>
                    <w:right w:val="single" w:color="000000" w:sz="4"/>
                  </w:tcBorders>
                </w:tcPr>
                <w:p/>
              </w:tc>
              <w:tc>
                <w:tcPr>
                  <w:tcW w:type="dxa" w:w="1375"/>
                  <w:tcBorders>
                    <w:top w:val="none" w:color="000000" w:sz="4"/>
                    <w:left w:val="single" w:color="000000" w:sz="4"/>
                    <w:bottom w:val="single" w:color="000000" w:sz="4"/>
                    <w:right w:val="single" w:color="000000" w:sz="4"/>
                  </w:tcBorders>
                  <w:vAlign w:val="top"/>
                </w:tcPr>
                <w:p>
                  <w:pPr>
                    <w:jc w:val="center"/>
                  </w:pPr>
                  <w:r>
                    <w:rPr>
                      <w:sz w:val="21"/>
                    </w:rPr>
                    <w:t>转速</w:t>
                  </w:r>
                </w:p>
              </w:tc>
              <w:tc>
                <w:tcPr>
                  <w:tcW w:type="dxa" w:w="1414"/>
                  <w:tcBorders>
                    <w:top w:val="none" w:color="000000" w:sz="4"/>
                    <w:left w:val="single" w:color="000000" w:sz="4"/>
                    <w:bottom w:val="single" w:color="000000" w:sz="4"/>
                    <w:right w:val="single" w:color="000000" w:sz="4"/>
                  </w:tcBorders>
                  <w:vAlign w:val="top"/>
                </w:tcPr>
                <w:p>
                  <w:pPr>
                    <w:jc w:val="center"/>
                  </w:pPr>
                  <w:r>
                    <w:rPr>
                      <w:sz w:val="21"/>
                    </w:rPr>
                    <w:t>1650r/min</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682"/>
                  <w:tcBorders>
                    <w:top w:val="none" w:color="000000" w:sz="4"/>
                    <w:left w:val="single" w:color="000000" w:sz="4"/>
                    <w:bottom w:val="single" w:color="000000" w:sz="4"/>
                    <w:right w:val="single" w:color="000000" w:sz="4"/>
                  </w:tcBorders>
                  <w:vAlign w:val="top"/>
                </w:tcPr>
                <w:p>
                  <w:pPr>
                    <w:jc w:val="center"/>
                  </w:pPr>
                  <w:r>
                    <w:rPr>
                      <w:sz w:val="21"/>
                    </w:rPr>
                    <w:t>空气质量检测系统</w:t>
                  </w:r>
                </w:p>
              </w:tc>
              <w:tc>
                <w:tcPr>
                  <w:tcW w:type="dxa" w:w="2789"/>
                  <w:gridSpan w:val="2"/>
                  <w:tcBorders>
                    <w:top w:val="none" w:color="000000" w:sz="4"/>
                    <w:left w:val="single" w:color="000000" w:sz="4"/>
                    <w:bottom w:val="single" w:color="000000" w:sz="4"/>
                    <w:right w:val="single" w:color="000000" w:sz="4"/>
                  </w:tcBorders>
                  <w:vAlign w:val="top"/>
                </w:tcPr>
                <w:p>
                  <w:pPr>
                    <w:jc w:val="center"/>
                  </w:pPr>
                  <w:r>
                    <w:rPr>
                      <w:sz w:val="21"/>
                    </w:rPr>
                    <w:t>▲实时监测氨气、硫化氢、TVOC等</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682"/>
                  <w:tcBorders>
                    <w:top w:val="none" w:color="000000" w:sz="4"/>
                    <w:left w:val="single" w:color="000000" w:sz="4"/>
                    <w:bottom w:val="single" w:color="000000" w:sz="4"/>
                    <w:right w:val="single" w:color="000000" w:sz="4"/>
                  </w:tcBorders>
                  <w:vAlign w:val="top"/>
                </w:tcPr>
                <w:p>
                  <w:pPr>
                    <w:jc w:val="center"/>
                  </w:pPr>
                  <w:r>
                    <w:rPr>
                      <w:sz w:val="21"/>
                    </w:rPr>
                    <w:t>电气控制系统</w:t>
                  </w:r>
                </w:p>
              </w:tc>
              <w:tc>
                <w:tcPr>
                  <w:tcW w:type="dxa" w:w="2789"/>
                  <w:gridSpan w:val="2"/>
                  <w:tcBorders>
                    <w:top w:val="none" w:color="000000" w:sz="4"/>
                    <w:left w:val="single" w:color="000000" w:sz="4"/>
                    <w:bottom w:val="single" w:color="000000" w:sz="4"/>
                    <w:right w:val="single" w:color="000000" w:sz="4"/>
                  </w:tcBorders>
                  <w:vAlign w:val="top"/>
                </w:tcPr>
                <w:p>
                  <w:pPr>
                    <w:jc w:val="center"/>
                  </w:pPr>
                  <w:r>
                    <w:rPr>
                      <w:sz w:val="21"/>
                    </w:rPr>
                    <w:t>▲PLC控制模块、触屏等</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pPr>
                    <w:jc w:val="center"/>
                  </w:pPr>
                  <w:r>
                    <w:rPr>
                      <w:sz w:val="21"/>
                    </w:rPr>
                    <w:t>套</w:t>
                  </w:r>
                </w:p>
              </w:tc>
            </w:tr>
          </w:tbl>
        </w:tc>
      </w:tr>
      <w:tr>
        <w:tc>
          <w:tcPr>
            <w:tcW w:type="dxa" w:w="2076"/>
          </w:tcPr>
          <w:p/>
        </w:tc>
        <w:tc>
          <w:tcPr>
            <w:tcW w:type="dxa" w:w="415"/>
          </w:tcPr>
          <w:p>
            <w:r>
              <w:rPr/>
              <w:t>3</w:t>
            </w:r>
          </w:p>
        </w:tc>
        <w:tc>
          <w:tcPr>
            <w:tcW w:type="dxa" w:w="5814"/>
          </w:tcPr>
          <w:p>
            <w:pPr>
              <w:ind w:firstLine="422"/>
            </w:pPr>
            <w:r>
              <w:rPr>
                <w:b/>
                <w:sz w:val="21"/>
              </w:rPr>
              <w:t>（</w:t>
            </w:r>
            <w:r>
              <w:rPr>
                <w:b/>
                <w:sz w:val="21"/>
              </w:rPr>
              <w:t>二</w:t>
            </w:r>
            <w:r>
              <w:rPr>
                <w:b/>
                <w:sz w:val="21"/>
              </w:rPr>
              <w:t>）</w:t>
            </w:r>
            <w:r>
              <w:rPr>
                <w:b/>
                <w:sz w:val="21"/>
              </w:rPr>
              <w:t>污水收集处理设备设施技术要求</w:t>
            </w:r>
          </w:p>
          <w:p>
            <w:pPr>
              <w:ind w:firstLine="420"/>
            </w:pPr>
            <w:r>
              <w:rPr>
                <w:sz w:val="21"/>
              </w:rPr>
              <w:t>垃圾转运站在生产过程产生的垃圾水及清洗车辆、设备的生产污水经处理后，达到纳污标准后再排入临近的市政管网；本项目的污水处理设备设施主要由污水收集管网、隔油沉渣池、污水处理一体化设备等组成，同时项目包含污水收集管道铺设的土建施工。</w:t>
            </w:r>
          </w:p>
          <w:p>
            <w:pPr>
              <w:ind w:firstLine="420"/>
            </w:pPr>
            <w:r>
              <w:rPr>
                <w:sz w:val="21"/>
              </w:rPr>
              <w:t>1、</w:t>
            </w:r>
            <w:r>
              <w:rPr>
                <w:sz w:val="21"/>
              </w:rPr>
              <w:t>转运站的</w:t>
            </w:r>
            <w:r>
              <w:rPr>
                <w:sz w:val="21"/>
              </w:rPr>
              <w:t>3面设置≥160mm宽不锈钢U形明沟，厚度≥3mm, 施工时应内高外底，预留坡度，避免污水存积。</w:t>
            </w:r>
          </w:p>
          <w:p>
            <w:pPr>
              <w:ind w:firstLine="420"/>
            </w:pPr>
            <w:r>
              <w:rPr>
                <w:sz w:val="21"/>
              </w:rPr>
              <w:t>2</w:t>
            </w:r>
            <w:r>
              <w:rPr>
                <w:sz w:val="21"/>
              </w:rPr>
              <w:t>、</w:t>
            </w:r>
            <w:r>
              <w:rPr>
                <w:sz w:val="21"/>
              </w:rPr>
              <w:t>转运站的入口设置</w:t>
            </w:r>
            <w:r>
              <w:rPr>
                <w:sz w:val="21"/>
              </w:rPr>
              <w:t>300mm宽排水沟，合理设置深度（需保证转运站污水能及时排出，不存积），上设铸铁沟盖.</w:t>
            </w:r>
          </w:p>
          <w:p>
            <w:pPr>
              <w:ind w:firstLine="420"/>
            </w:pPr>
            <w:r>
              <w:rPr>
                <w:sz w:val="21"/>
              </w:rPr>
              <w:t>3</w:t>
            </w:r>
            <w:r>
              <w:rPr>
                <w:sz w:val="21"/>
              </w:rPr>
              <w:t>、</w:t>
            </w:r>
            <w:r>
              <w:rPr>
                <w:sz w:val="21"/>
              </w:rPr>
              <w:t>隔油沉砂池主体为混凝土构筑，容积</w:t>
            </w:r>
            <w:r>
              <w:rPr>
                <w:sz w:val="21"/>
              </w:rPr>
              <w:t>≥2m</w:t>
            </w:r>
            <w:r>
              <w:rPr>
                <w:sz w:val="21"/>
                <w:vertAlign w:val="superscript"/>
              </w:rPr>
              <w:t>3</w:t>
            </w:r>
            <w:r>
              <w:rPr>
                <w:sz w:val="21"/>
              </w:rPr>
              <w:t>；内设不锈钢网罩，上盖为不锈钢盖板，方便每日清理。</w:t>
            </w:r>
          </w:p>
          <w:p>
            <w:pPr>
              <w:ind w:firstLine="420"/>
            </w:pPr>
            <w:r>
              <w:rPr>
                <w:sz w:val="21"/>
              </w:rPr>
              <w:t>4</w:t>
            </w:r>
            <w:r>
              <w:rPr>
                <w:sz w:val="21"/>
              </w:rPr>
              <w:t>、</w:t>
            </w:r>
            <w:r>
              <w:rPr>
                <w:sz w:val="21"/>
              </w:rPr>
              <w:t>集装箱式一体化污水处理设备内部设置水解酸化池、生物接触氧化池、二沉池和消毒池；辅助电器设备一套（电磁流量计</w:t>
            </w:r>
            <w:r>
              <w:rPr>
                <w:sz w:val="21"/>
              </w:rPr>
              <w:t>1套、爆气风机1套、污水提升泵2套、液位控制器1套，电磁阀3套等），设备占地≤10m</w:t>
            </w:r>
            <w:r>
              <w:rPr>
                <w:sz w:val="21"/>
                <w:vertAlign w:val="superscript"/>
              </w:rPr>
              <w:t>2</w:t>
            </w:r>
            <w:r>
              <w:rPr>
                <w:sz w:val="21"/>
              </w:rPr>
              <w:t>（不算外部管线）；</w:t>
            </w:r>
          </w:p>
          <w:p>
            <w:pPr>
              <w:ind w:firstLine="420"/>
            </w:pPr>
            <w:r>
              <w:rPr>
                <w:sz w:val="21"/>
              </w:rPr>
              <w:t>设备电压要求：</w:t>
            </w:r>
            <w:r>
              <w:rPr>
                <w:sz w:val="21"/>
              </w:rPr>
              <w:t>380Vac；</w:t>
            </w:r>
          </w:p>
          <w:p>
            <w:pPr>
              <w:ind w:firstLine="420"/>
            </w:pPr>
            <w:r>
              <w:rPr>
                <w:sz w:val="21"/>
              </w:rPr>
              <w:t>设备总功率：</w:t>
            </w:r>
            <w:r>
              <w:rPr>
                <w:sz w:val="21"/>
              </w:rPr>
              <w:t>≤3kw；</w:t>
            </w:r>
          </w:p>
          <w:p>
            <w:pPr>
              <w:ind w:firstLine="420"/>
            </w:pPr>
            <w:r>
              <w:rPr>
                <w:sz w:val="21"/>
              </w:rPr>
              <w:t>控制系统：自动控制</w:t>
            </w:r>
            <w:r>
              <w:rPr>
                <w:sz w:val="21"/>
              </w:rPr>
              <w:t>/手动控制；</w:t>
            </w:r>
          </w:p>
          <w:p>
            <w:pPr>
              <w:ind w:firstLine="420"/>
            </w:pPr>
            <w:r>
              <w:rPr>
                <w:sz w:val="21"/>
              </w:rPr>
              <w:t>设备使用年限：主体部件</w:t>
            </w:r>
            <w:r>
              <w:rPr>
                <w:sz w:val="21"/>
              </w:rPr>
              <w:t>≥10年</w:t>
            </w:r>
          </w:p>
          <w:p>
            <w:pPr>
              <w:ind w:firstLine="420"/>
            </w:pPr>
            <w:r>
              <w:rPr>
                <w:sz w:val="21"/>
              </w:rPr>
              <w:t>5</w:t>
            </w:r>
            <w:r>
              <w:rPr>
                <w:sz w:val="21"/>
              </w:rPr>
              <w:t>、</w:t>
            </w:r>
            <w:r>
              <w:rPr>
                <w:sz w:val="21"/>
              </w:rPr>
              <w:t>另外，配置一套室内消火栓箱，内部配置消防卷盘，长度</w:t>
            </w:r>
            <w:r>
              <w:rPr>
                <w:sz w:val="21"/>
              </w:rPr>
              <w:t>≥25米。</w:t>
            </w:r>
          </w:p>
          <w:p>
            <w:pPr>
              <w:jc w:val="center"/>
            </w:pPr>
            <w:r>
              <w:rPr>
                <w:b/>
                <w:sz w:val="21"/>
              </w:rPr>
              <w:t>表</w:t>
            </w:r>
            <w:r>
              <w:rPr>
                <w:b/>
                <w:sz w:val="21"/>
              </w:rPr>
              <w:t>2. 一体化污水处理设备技术参数表</w:t>
            </w:r>
          </w:p>
          <w:tbl>
            <w:tblPr>
              <w:tblBorders>
                <w:top w:val="none" w:color="000000" w:sz="4"/>
                <w:left w:val="none" w:color="000000" w:sz="4"/>
                <w:bottom w:val="none" w:color="000000" w:sz="4"/>
                <w:right w:val="none" w:color="000000" w:sz="4"/>
                <w:insideH w:val="none"/>
                <w:insideV w:val="none"/>
              </w:tblBorders>
            </w:tblPr>
            <w:tblGrid>
              <w:gridCol w:w="336"/>
              <w:gridCol w:w="1306"/>
              <w:gridCol w:w="1563"/>
              <w:gridCol w:w="1602"/>
              <w:gridCol w:w="455"/>
              <w:gridCol w:w="336"/>
            </w:tblGrid>
            <w:tr>
              <w:tc>
                <w:tcPr>
                  <w:tcW w:type="dxa" w:w="33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306"/>
                  <w:tcBorders>
                    <w:top w:val="single" w:color="000000" w:sz="4"/>
                    <w:left w:val="none" w:color="000000" w:sz="4"/>
                    <w:bottom w:val="single" w:color="000000" w:sz="4"/>
                    <w:right w:val="none" w:color="000000" w:sz="4"/>
                  </w:tcBorders>
                  <w:vAlign w:val="top"/>
                </w:tcPr>
                <w:p>
                  <w:pPr>
                    <w:jc w:val="center"/>
                  </w:pPr>
                  <w:r>
                    <w:rPr>
                      <w:b/>
                      <w:sz w:val="21"/>
                    </w:rPr>
                    <w:t>名称</w:t>
                  </w:r>
                </w:p>
              </w:tc>
              <w:tc>
                <w:tcPr>
                  <w:tcW w:type="dxa" w:w="1563"/>
                  <w:tcBorders>
                    <w:top w:val="single" w:color="000000" w:sz="4"/>
                    <w:left w:val="single" w:color="000000" w:sz="4"/>
                    <w:bottom w:val="single" w:color="000000" w:sz="4"/>
                    <w:right w:val="single" w:color="000000" w:sz="4"/>
                  </w:tcBorders>
                  <w:vAlign w:val="top"/>
                </w:tcPr>
                <w:p>
                  <w:pPr>
                    <w:jc w:val="center"/>
                  </w:pPr>
                  <w:r>
                    <w:rPr>
                      <w:b/>
                      <w:sz w:val="21"/>
                    </w:rPr>
                    <w:t>规格参数</w:t>
                  </w:r>
                </w:p>
              </w:tc>
              <w:tc>
                <w:tcPr>
                  <w:tcW w:type="dxa" w:w="1602"/>
                  <w:tcBorders>
                    <w:top w:val="single" w:color="000000" w:sz="4"/>
                    <w:left w:val="none" w:color="000000" w:sz="4"/>
                    <w:bottom w:val="single" w:color="000000" w:sz="4"/>
                    <w:right w:val="none" w:color="000000" w:sz="4"/>
                  </w:tcBorders>
                  <w:vAlign w:val="top"/>
                </w:tcPr>
                <w:p>
                  <w:pPr>
                    <w:jc w:val="center"/>
                  </w:pPr>
                  <w:r>
                    <w:rPr>
                      <w:b/>
                      <w:sz w:val="21"/>
                    </w:rPr>
                    <w:t>材质</w:t>
                  </w:r>
                </w:p>
              </w:tc>
              <w:tc>
                <w:tcPr>
                  <w:tcW w:type="dxa" w:w="455"/>
                  <w:tcBorders>
                    <w:top w:val="single" w:color="000000" w:sz="4"/>
                    <w:left w:val="single" w:color="000000" w:sz="4"/>
                    <w:bottom w:val="single" w:color="000000" w:sz="4"/>
                    <w:right w:val="none" w:color="000000" w:sz="4"/>
                  </w:tcBorders>
                  <w:vAlign w:val="top"/>
                </w:tcPr>
                <w:p>
                  <w:pPr>
                    <w:jc w:val="center"/>
                  </w:pPr>
                  <w:r>
                    <w:rPr>
                      <w:b/>
                      <w:sz w:val="21"/>
                    </w:rPr>
                    <w:t>数量</w:t>
                  </w:r>
                </w:p>
              </w:tc>
              <w:tc>
                <w:tcPr>
                  <w:tcW w:type="dxa" w:w="336"/>
                  <w:tcBorders>
                    <w:top w:val="single" w:color="000000" w:sz="4"/>
                    <w:left w:val="single" w:color="000000" w:sz="4"/>
                    <w:bottom w:val="single" w:color="000000" w:sz="4"/>
                    <w:right w:val="single" w:color="000000" w:sz="4"/>
                  </w:tcBorders>
                  <w:vAlign w:val="top"/>
                </w:tcPr>
                <w:p>
                  <w:pPr>
                    <w:jc w:val="center"/>
                  </w:pPr>
                  <w:r>
                    <w:rPr>
                      <w:b/>
                      <w:sz w:val="21"/>
                    </w:rPr>
                    <w:t>单位</w:t>
                  </w:r>
                </w:p>
              </w:tc>
            </w:tr>
            <w:tr>
              <w:tc>
                <w:tcPr>
                  <w:tcW w:type="dxa" w:w="33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06"/>
                  <w:tcBorders>
                    <w:top w:val="none" w:color="000000" w:sz="4"/>
                    <w:left w:val="none" w:color="000000" w:sz="4"/>
                    <w:bottom w:val="single" w:color="000000" w:sz="4"/>
                    <w:right w:val="none" w:color="000000" w:sz="4"/>
                  </w:tcBorders>
                  <w:vAlign w:val="top"/>
                </w:tcPr>
                <w:p>
                  <w:pPr>
                    <w:jc w:val="center"/>
                  </w:pPr>
                  <w:r>
                    <w:rPr>
                      <w:sz w:val="21"/>
                    </w:rPr>
                    <w:t>设备主体</w:t>
                  </w:r>
                </w:p>
              </w:tc>
              <w:tc>
                <w:tcPr>
                  <w:tcW w:type="dxa" w:w="1563"/>
                  <w:tcBorders>
                    <w:top w:val="none" w:color="000000" w:sz="4"/>
                    <w:left w:val="single" w:color="000000" w:sz="4"/>
                    <w:bottom w:val="single" w:color="000000" w:sz="4"/>
                    <w:right w:val="single" w:color="000000" w:sz="4"/>
                  </w:tcBorders>
                  <w:vAlign w:val="top"/>
                </w:tcPr>
                <w:p>
                  <w:pPr>
                    <w:jc w:val="center"/>
                  </w:pPr>
                  <w:r>
                    <w:rPr>
                      <w:sz w:val="21"/>
                    </w:rPr>
                    <w:t>4000×2000×2000mm</w:t>
                  </w:r>
                </w:p>
              </w:tc>
              <w:tc>
                <w:tcPr>
                  <w:tcW w:type="dxa" w:w="1602"/>
                  <w:tcBorders>
                    <w:top w:val="none" w:color="000000" w:sz="4"/>
                    <w:left w:val="none" w:color="000000" w:sz="4"/>
                    <w:bottom w:val="single" w:color="000000" w:sz="4"/>
                    <w:right w:val="none" w:color="000000" w:sz="4"/>
                  </w:tcBorders>
                  <w:vAlign w:val="top"/>
                </w:tcPr>
                <w:p>
                  <w:pPr>
                    <w:jc w:val="center"/>
                  </w:pPr>
                  <w:r>
                    <w:rPr>
                      <w:sz w:val="21"/>
                    </w:rPr>
                    <w:t>Q235碳钢，厚度≥6mm，环氧沥青漆防腐</w:t>
                  </w:r>
                </w:p>
              </w:tc>
              <w:tc>
                <w:tcPr>
                  <w:tcW w:type="dxa" w:w="455"/>
                  <w:tcBorders>
                    <w:top w:val="none" w:color="000000" w:sz="4"/>
                    <w:left w:val="single" w:color="000000" w:sz="4"/>
                    <w:bottom w:val="single" w:color="000000" w:sz="4"/>
                    <w:right w:val="none" w:color="000000" w:sz="4"/>
                  </w:tcBorders>
                  <w:vAlign w:val="top"/>
                </w:tcPr>
                <w:p>
                  <w:pPr>
                    <w:jc w:val="center"/>
                  </w:pPr>
                  <w:r>
                    <w:rPr>
                      <w:sz w:val="21"/>
                    </w:rPr>
                    <w:t>1</w:t>
                  </w:r>
                </w:p>
              </w:tc>
              <w:tc>
                <w:tcPr>
                  <w:tcW w:type="dxa" w:w="336"/>
                  <w:tcBorders>
                    <w:top w:val="none" w:color="000000" w:sz="4"/>
                    <w:left w:val="single" w:color="000000" w:sz="4"/>
                    <w:bottom w:val="single" w:color="000000" w:sz="4"/>
                    <w:right w:val="single" w:color="000000" w:sz="4"/>
                  </w:tcBorders>
                  <w:vAlign w:val="top"/>
                </w:tcPr>
                <w:p>
                  <w:pPr>
                    <w:jc w:val="center"/>
                  </w:pPr>
                  <w:r>
                    <w:rPr>
                      <w:sz w:val="21"/>
                    </w:rPr>
                    <w:t>座</w:t>
                  </w:r>
                </w:p>
              </w:tc>
            </w:tr>
            <w:tr>
              <w:tc>
                <w:tcPr>
                  <w:tcW w:type="dxa" w:w="336"/>
                  <w:tcBorders>
                    <w:top w:val="none" w:color="000000" w:sz="4"/>
                    <w:left w:val="single" w:color="000000" w:sz="4"/>
                    <w:bottom w:val="none" w:color="000000" w:sz="4"/>
                    <w:right w:val="single" w:color="000000" w:sz="4"/>
                  </w:tcBorders>
                  <w:vAlign w:val="top"/>
                </w:tcPr>
                <w:p>
                  <w:pPr>
                    <w:jc w:val="center"/>
                  </w:pPr>
                  <w:r>
                    <w:rPr>
                      <w:sz w:val="21"/>
                    </w:rPr>
                    <w:t>2</w:t>
                  </w:r>
                </w:p>
              </w:tc>
              <w:tc>
                <w:tcPr>
                  <w:tcW w:type="dxa" w:w="1306"/>
                  <w:tcBorders>
                    <w:top w:val="none" w:color="000000" w:sz="4"/>
                    <w:left w:val="none" w:color="000000" w:sz="4"/>
                    <w:bottom w:val="none" w:color="000000" w:sz="4"/>
                    <w:right w:val="none" w:color="000000" w:sz="4"/>
                  </w:tcBorders>
                  <w:vAlign w:val="top"/>
                </w:tcPr>
                <w:p>
                  <w:pPr>
                    <w:jc w:val="center"/>
                  </w:pPr>
                  <w:r>
                    <w:rPr>
                      <w:sz w:val="21"/>
                    </w:rPr>
                    <w:t>设备寿命</w:t>
                  </w:r>
                </w:p>
              </w:tc>
              <w:tc>
                <w:tcPr>
                  <w:tcW w:type="dxa" w:w="1563"/>
                  <w:tcBorders>
                    <w:top w:val="none" w:color="000000" w:sz="4"/>
                    <w:left w:val="single" w:color="000000" w:sz="4"/>
                    <w:bottom w:val="none" w:color="000000" w:sz="4"/>
                    <w:right w:val="single" w:color="000000" w:sz="4"/>
                  </w:tcBorders>
                  <w:vAlign w:val="top"/>
                </w:tcPr>
                <w:p>
                  <w:pPr>
                    <w:jc w:val="center"/>
                  </w:pPr>
                  <w:r>
                    <w:rPr>
                      <w:sz w:val="21"/>
                    </w:rPr>
                    <w:t>/</w:t>
                  </w:r>
                </w:p>
              </w:tc>
              <w:tc>
                <w:tcPr>
                  <w:tcW w:type="dxa" w:w="1602"/>
                  <w:tcBorders>
                    <w:top w:val="none" w:color="000000" w:sz="4"/>
                    <w:left w:val="none" w:color="000000" w:sz="4"/>
                    <w:bottom w:val="none" w:color="000000" w:sz="4"/>
                    <w:right w:val="none" w:color="000000" w:sz="4"/>
                  </w:tcBorders>
                  <w:vAlign w:val="top"/>
                </w:tcPr>
                <w:p>
                  <w:pPr>
                    <w:jc w:val="center"/>
                  </w:pPr>
                  <w:r>
                    <w:rPr>
                      <w:sz w:val="21"/>
                    </w:rPr>
                    <w:t>/</w:t>
                  </w:r>
                </w:p>
              </w:tc>
              <w:tc>
                <w:tcPr>
                  <w:tcW w:type="dxa" w:w="455"/>
                  <w:tcBorders>
                    <w:top w:val="none" w:color="000000" w:sz="4"/>
                    <w:left w:val="single" w:color="000000" w:sz="4"/>
                    <w:bottom w:val="none" w:color="000000" w:sz="4"/>
                    <w:right w:val="none" w:color="000000" w:sz="4"/>
                  </w:tcBorders>
                  <w:vAlign w:val="top"/>
                </w:tcPr>
                <w:p>
                  <w:pPr>
                    <w:jc w:val="center"/>
                  </w:pPr>
                  <w:r>
                    <w:rPr>
                      <w:sz w:val="21"/>
                    </w:rPr>
                    <w:t>≥10</w:t>
                  </w:r>
                </w:p>
              </w:tc>
              <w:tc>
                <w:tcPr>
                  <w:tcW w:type="dxa" w:w="336"/>
                  <w:tcBorders>
                    <w:top w:val="none" w:color="000000" w:sz="4"/>
                    <w:left w:val="single" w:color="000000" w:sz="4"/>
                    <w:bottom w:val="none" w:color="000000" w:sz="4"/>
                    <w:right w:val="single" w:color="000000" w:sz="4"/>
                  </w:tcBorders>
                  <w:vAlign w:val="top"/>
                </w:tcPr>
                <w:p>
                  <w:pPr>
                    <w:jc w:val="center"/>
                  </w:pPr>
                  <w:r>
                    <w:rPr>
                      <w:sz w:val="21"/>
                    </w:rPr>
                    <w:t>年</w:t>
                  </w:r>
                </w:p>
              </w:tc>
            </w:tr>
            <w:tr>
              <w:tc>
                <w:tcPr>
                  <w:tcW w:type="dxa" w:w="336"/>
                  <w:tcBorders>
                    <w:top w:val="single" w:color="000000" w:sz="4"/>
                    <w:left w:val="single" w:color="000000" w:sz="4"/>
                    <w:bottom w:val="none" w:color="000000" w:sz="4"/>
                    <w:right w:val="single" w:color="000000" w:sz="4"/>
                  </w:tcBorders>
                  <w:vAlign w:val="top"/>
                </w:tcPr>
                <w:p>
                  <w:pPr>
                    <w:jc w:val="center"/>
                  </w:pPr>
                  <w:r>
                    <w:rPr>
                      <w:sz w:val="21"/>
                    </w:rPr>
                    <w:t>3</w:t>
                  </w:r>
                </w:p>
              </w:tc>
              <w:tc>
                <w:tcPr>
                  <w:tcW w:type="dxa" w:w="1306"/>
                  <w:tcBorders>
                    <w:top w:val="single" w:color="000000" w:sz="4"/>
                    <w:left w:val="none" w:color="000000" w:sz="4"/>
                    <w:bottom w:val="none" w:color="000000" w:sz="4"/>
                    <w:right w:val="none" w:color="000000" w:sz="4"/>
                  </w:tcBorders>
                  <w:vAlign w:val="top"/>
                </w:tcPr>
                <w:p>
                  <w:pPr>
                    <w:jc w:val="center"/>
                  </w:pPr>
                  <w:r>
                    <w:rPr>
                      <w:sz w:val="21"/>
                    </w:rPr>
                    <w:t>污水提升泵</w:t>
                  </w:r>
                </w:p>
              </w:tc>
              <w:tc>
                <w:tcPr>
                  <w:tcW w:type="dxa" w:w="1563"/>
                  <w:tcBorders>
                    <w:top w:val="single" w:color="000000" w:sz="4"/>
                    <w:left w:val="single" w:color="000000" w:sz="4"/>
                    <w:bottom w:val="none" w:color="000000" w:sz="4"/>
                    <w:right w:val="single" w:color="000000" w:sz="4"/>
                  </w:tcBorders>
                  <w:vAlign w:val="top"/>
                </w:tcPr>
                <w:p>
                  <w:pPr>
                    <w:jc w:val="center"/>
                  </w:pPr>
                  <w:r>
                    <w:rPr>
                      <w:sz w:val="21"/>
                    </w:rPr>
                    <w:t>50WQ6-16-0.75</w:t>
                  </w:r>
                </w:p>
              </w:tc>
              <w:tc>
                <w:tcPr>
                  <w:tcW w:type="dxa" w:w="1602"/>
                  <w:tcBorders>
                    <w:top w:val="single" w:color="000000" w:sz="4"/>
                    <w:left w:val="none" w:color="000000" w:sz="4"/>
                    <w:bottom w:val="none" w:color="000000" w:sz="4"/>
                    <w:right w:val="none" w:color="000000" w:sz="4"/>
                  </w:tcBorders>
                  <w:vAlign w:val="top"/>
                </w:tcPr>
                <w:p>
                  <w:pPr>
                    <w:jc w:val="center"/>
                  </w:pPr>
                  <w:r>
                    <w:rPr>
                      <w:sz w:val="21"/>
                    </w:rPr>
                    <w:t>/</w:t>
                  </w:r>
                </w:p>
              </w:tc>
              <w:tc>
                <w:tcPr>
                  <w:tcW w:type="dxa" w:w="455"/>
                  <w:tcBorders>
                    <w:top w:val="single" w:color="000000" w:sz="4"/>
                    <w:left w:val="single" w:color="000000" w:sz="4"/>
                    <w:bottom w:val="none" w:color="000000" w:sz="4"/>
                    <w:right w:val="none" w:color="000000" w:sz="4"/>
                  </w:tcBorders>
                  <w:vAlign w:val="top"/>
                </w:tcPr>
                <w:p>
                  <w:pPr>
                    <w:jc w:val="center"/>
                  </w:pPr>
                  <w:r>
                    <w:rPr>
                      <w:sz w:val="21"/>
                    </w:rPr>
                    <w:t>2</w:t>
                  </w:r>
                </w:p>
              </w:tc>
              <w:tc>
                <w:tcPr>
                  <w:tcW w:type="dxa" w:w="336"/>
                  <w:tcBorders>
                    <w:top w:val="single" w:color="000000" w:sz="4"/>
                    <w:left w:val="single" w:color="000000" w:sz="4"/>
                    <w:bottom w:val="none" w:color="000000" w:sz="4"/>
                    <w:right w:val="single" w:color="000000" w:sz="4"/>
                  </w:tcBorders>
                  <w:vAlign w:val="top"/>
                </w:tcPr>
                <w:p>
                  <w:pPr>
                    <w:jc w:val="center"/>
                  </w:pPr>
                  <w:r>
                    <w:rPr>
                      <w:sz w:val="21"/>
                    </w:rPr>
                    <w:t>台</w:t>
                  </w:r>
                </w:p>
              </w:tc>
            </w:tr>
            <w:tr>
              <w:tc>
                <w:tcPr>
                  <w:tcW w:type="dxa" w:w="33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306"/>
                  <w:tcBorders>
                    <w:top w:val="none" w:color="000000" w:sz="4"/>
                    <w:left w:val="none" w:color="000000" w:sz="4"/>
                    <w:bottom w:val="single" w:color="000000" w:sz="4"/>
                    <w:right w:val="none" w:color="000000" w:sz="4"/>
                  </w:tcBorders>
                  <w:vAlign w:val="top"/>
                </w:tcPr>
                <w:p>
                  <w:pPr>
                    <w:jc w:val="center"/>
                  </w:pPr>
                  <w:r>
                    <w:rPr>
                      <w:sz w:val="21"/>
                    </w:rPr>
                    <w:t>曝气风机</w:t>
                  </w:r>
                </w:p>
              </w:tc>
              <w:tc>
                <w:tcPr>
                  <w:tcW w:type="dxa" w:w="1563"/>
                  <w:tcBorders>
                    <w:top w:val="none" w:color="000000" w:sz="4"/>
                    <w:left w:val="single" w:color="000000" w:sz="4"/>
                    <w:bottom w:val="single" w:color="000000" w:sz="4"/>
                    <w:right w:val="single" w:color="000000" w:sz="4"/>
                  </w:tcBorders>
                  <w:vAlign w:val="top"/>
                </w:tcPr>
                <w:p>
                  <w:pPr>
                    <w:jc w:val="center"/>
                  </w:pPr>
                  <w:r>
                    <w:rPr>
                      <w:sz w:val="21"/>
                    </w:rPr>
                    <w:t>HC-30S；功率0.75Kw</w:t>
                  </w:r>
                </w:p>
              </w:tc>
              <w:tc>
                <w:tcPr>
                  <w:tcW w:type="dxa" w:w="1602"/>
                  <w:tcBorders>
                    <w:top w:val="none" w:color="000000" w:sz="4"/>
                    <w:left w:val="none" w:color="000000" w:sz="4"/>
                    <w:bottom w:val="single" w:color="000000" w:sz="4"/>
                    <w:right w:val="none" w:color="000000" w:sz="4"/>
                  </w:tcBorders>
                  <w:vAlign w:val="top"/>
                </w:tcPr>
                <w:p>
                  <w:pPr>
                    <w:jc w:val="center"/>
                  </w:pPr>
                  <w:r>
                    <w:rPr>
                      <w:sz w:val="21"/>
                    </w:rPr>
                    <w:t>/</w:t>
                  </w:r>
                </w:p>
              </w:tc>
              <w:tc>
                <w:tcPr>
                  <w:tcW w:type="dxa" w:w="455"/>
                  <w:tcBorders>
                    <w:top w:val="none" w:color="000000" w:sz="4"/>
                    <w:left w:val="single" w:color="000000" w:sz="4"/>
                    <w:bottom w:val="single" w:color="000000" w:sz="4"/>
                    <w:right w:val="none" w:color="000000" w:sz="4"/>
                  </w:tcBorders>
                  <w:vAlign w:val="top"/>
                </w:tcPr>
                <w:p>
                  <w:pPr>
                    <w:jc w:val="center"/>
                  </w:pPr>
                  <w:r>
                    <w:rPr>
                      <w:sz w:val="21"/>
                    </w:rPr>
                    <w:t>1</w:t>
                  </w:r>
                </w:p>
              </w:tc>
              <w:tc>
                <w:tcPr>
                  <w:tcW w:type="dxa" w:w="336"/>
                  <w:tcBorders>
                    <w:top w:val="none" w:color="000000" w:sz="4"/>
                    <w:left w:val="single" w:color="000000" w:sz="4"/>
                    <w:bottom w:val="single" w:color="000000" w:sz="4"/>
                    <w:right w:val="single" w:color="000000" w:sz="4"/>
                  </w:tcBorders>
                  <w:vAlign w:val="top"/>
                </w:tcPr>
                <w:p>
                  <w:pPr>
                    <w:jc w:val="center"/>
                  </w:pPr>
                  <w:r>
                    <w:rPr>
                      <w:sz w:val="21"/>
                    </w:rPr>
                    <w:t>台</w:t>
                  </w:r>
                </w:p>
              </w:tc>
            </w:tr>
            <w:tr>
              <w:tc>
                <w:tcPr>
                  <w:tcW w:type="dxa" w:w="336"/>
                  <w:tcBorders>
                    <w:top w:val="none" w:color="000000" w:sz="4"/>
                    <w:left w:val="single" w:color="000000" w:sz="4"/>
                    <w:bottom w:val="none" w:color="000000" w:sz="4"/>
                    <w:right w:val="single" w:color="000000" w:sz="4"/>
                  </w:tcBorders>
                  <w:vAlign w:val="top"/>
                </w:tcPr>
                <w:p>
                  <w:pPr>
                    <w:jc w:val="center"/>
                  </w:pPr>
                  <w:r>
                    <w:rPr>
                      <w:sz w:val="21"/>
                    </w:rPr>
                    <w:t>5</w:t>
                  </w:r>
                </w:p>
              </w:tc>
              <w:tc>
                <w:tcPr>
                  <w:tcW w:type="dxa" w:w="1306"/>
                  <w:tcBorders>
                    <w:top w:val="none" w:color="000000" w:sz="4"/>
                    <w:left w:val="none" w:color="000000" w:sz="4"/>
                    <w:bottom w:val="none" w:color="000000" w:sz="4"/>
                    <w:right w:val="none" w:color="000000" w:sz="4"/>
                  </w:tcBorders>
                  <w:vAlign w:val="top"/>
                </w:tcPr>
                <w:p>
                  <w:pPr>
                    <w:jc w:val="center"/>
                  </w:pPr>
                  <w:r>
                    <w:rPr>
                      <w:sz w:val="21"/>
                    </w:rPr>
                    <w:t>填料</w:t>
                  </w:r>
                </w:p>
              </w:tc>
              <w:tc>
                <w:tcPr>
                  <w:tcW w:type="dxa" w:w="1563"/>
                  <w:tcBorders>
                    <w:top w:val="none" w:color="000000" w:sz="4"/>
                    <w:left w:val="single" w:color="000000" w:sz="4"/>
                    <w:bottom w:val="none" w:color="000000" w:sz="4"/>
                    <w:right w:val="single" w:color="000000" w:sz="4"/>
                  </w:tcBorders>
                  <w:vAlign w:val="top"/>
                </w:tcPr>
                <w:p>
                  <w:pPr>
                    <w:jc w:val="center"/>
                  </w:pPr>
                  <w:r>
                    <w:rPr>
                      <w:sz w:val="21"/>
                    </w:rPr>
                    <w:t>Ф150×1800弹性填料</w:t>
                  </w:r>
                </w:p>
              </w:tc>
              <w:tc>
                <w:tcPr>
                  <w:tcW w:type="dxa" w:w="1602"/>
                  <w:tcBorders>
                    <w:top w:val="none" w:color="000000" w:sz="4"/>
                    <w:left w:val="none" w:color="000000" w:sz="4"/>
                    <w:bottom w:val="none" w:color="000000" w:sz="4"/>
                    <w:right w:val="none" w:color="000000" w:sz="4"/>
                  </w:tcBorders>
                  <w:vAlign w:val="top"/>
                </w:tcPr>
                <w:p>
                  <w:pPr>
                    <w:jc w:val="center"/>
                  </w:pPr>
                  <w:r>
                    <w:rPr>
                      <w:sz w:val="21"/>
                    </w:rPr>
                    <w:t>醛化纤维或涤纶丝</w:t>
                  </w:r>
                </w:p>
              </w:tc>
              <w:tc>
                <w:tcPr>
                  <w:tcW w:type="dxa" w:w="455"/>
                  <w:tcBorders>
                    <w:top w:val="none" w:color="000000" w:sz="4"/>
                    <w:left w:val="single" w:color="000000" w:sz="4"/>
                    <w:bottom w:val="none" w:color="000000" w:sz="4"/>
                    <w:right w:val="none" w:color="000000" w:sz="4"/>
                  </w:tcBorders>
                  <w:vAlign w:val="top"/>
                </w:tcPr>
                <w:p>
                  <w:pPr>
                    <w:jc w:val="center"/>
                  </w:pPr>
                  <w:r>
                    <w:rPr>
                      <w:sz w:val="21"/>
                    </w:rPr>
                    <w:t>1</w:t>
                  </w:r>
                </w:p>
              </w:tc>
              <w:tc>
                <w:tcPr>
                  <w:tcW w:type="dxa" w:w="336"/>
                  <w:tcBorders>
                    <w:top w:val="none" w:color="000000" w:sz="4"/>
                    <w:left w:val="single" w:color="000000" w:sz="4"/>
                    <w:bottom w:val="none" w:color="000000" w:sz="4"/>
                    <w:right w:val="single" w:color="000000" w:sz="4"/>
                  </w:tcBorders>
                  <w:vAlign w:val="top"/>
                </w:tcPr>
                <w:p>
                  <w:pPr>
                    <w:jc w:val="center"/>
                  </w:pPr>
                  <w:r>
                    <w:rPr>
                      <w:sz w:val="21"/>
                    </w:rPr>
                    <w:t>套</w:t>
                  </w:r>
                </w:p>
              </w:tc>
            </w:tr>
            <w:tr>
              <w:tc>
                <w:tcPr>
                  <w:tcW w:type="dxa" w:w="33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306"/>
                  <w:tcBorders>
                    <w:top w:val="none" w:color="000000" w:sz="4"/>
                    <w:left w:val="none" w:color="000000" w:sz="4"/>
                    <w:bottom w:val="single" w:color="000000" w:sz="4"/>
                    <w:right w:val="none" w:color="000000" w:sz="4"/>
                  </w:tcBorders>
                  <w:vAlign w:val="top"/>
                </w:tcPr>
                <w:p>
                  <w:pPr>
                    <w:jc w:val="center"/>
                  </w:pPr>
                  <w:r>
                    <w:rPr>
                      <w:sz w:val="21"/>
                    </w:rPr>
                    <w:t>填料支架</w:t>
                  </w:r>
                </w:p>
              </w:tc>
              <w:tc>
                <w:tcPr>
                  <w:tcW w:type="dxa" w:w="1563"/>
                  <w:tcBorders>
                    <w:top w:val="none" w:color="000000" w:sz="4"/>
                    <w:left w:val="single" w:color="000000" w:sz="4"/>
                    <w:bottom w:val="single" w:color="000000" w:sz="4"/>
                    <w:right w:val="single" w:color="000000" w:sz="4"/>
                  </w:tcBorders>
                  <w:vAlign w:val="top"/>
                </w:tcPr>
                <w:p>
                  <w:pPr>
                    <w:jc w:val="center"/>
                  </w:pPr>
                  <w:r>
                    <w:rPr>
                      <w:sz w:val="21"/>
                    </w:rPr>
                    <w:t>型钢组合件</w:t>
                  </w:r>
                </w:p>
              </w:tc>
              <w:tc>
                <w:tcPr>
                  <w:tcW w:type="dxa" w:w="1602"/>
                  <w:tcBorders>
                    <w:top w:val="none" w:color="000000" w:sz="4"/>
                    <w:left w:val="none" w:color="000000" w:sz="4"/>
                    <w:bottom w:val="single" w:color="000000" w:sz="4"/>
                    <w:right w:val="none" w:color="000000" w:sz="4"/>
                  </w:tcBorders>
                  <w:vAlign w:val="top"/>
                </w:tcPr>
                <w:p>
                  <w:pPr>
                    <w:jc w:val="center"/>
                  </w:pPr>
                  <w:r>
                    <w:rPr>
                      <w:sz w:val="21"/>
                    </w:rPr>
                    <w:t>14#圆筋、50#角铁</w:t>
                  </w:r>
                </w:p>
              </w:tc>
              <w:tc>
                <w:tcPr>
                  <w:tcW w:type="dxa" w:w="455"/>
                  <w:tcBorders>
                    <w:top w:val="none" w:color="000000" w:sz="4"/>
                    <w:left w:val="single" w:color="000000" w:sz="4"/>
                    <w:bottom w:val="single" w:color="000000" w:sz="4"/>
                    <w:right w:val="none" w:color="000000" w:sz="4"/>
                  </w:tcBorders>
                  <w:vAlign w:val="top"/>
                </w:tcPr>
                <w:p>
                  <w:pPr>
                    <w:jc w:val="center"/>
                  </w:pPr>
                  <w:r>
                    <w:rPr>
                      <w:sz w:val="21"/>
                    </w:rPr>
                    <w:t>1</w:t>
                  </w:r>
                </w:p>
              </w:tc>
              <w:tc>
                <w:tcPr>
                  <w:tcW w:type="dxa" w:w="336"/>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336"/>
                  <w:tcBorders>
                    <w:top w:val="none" w:color="000000" w:sz="4"/>
                    <w:left w:val="single" w:color="000000" w:sz="4"/>
                    <w:bottom w:val="none" w:color="000000" w:sz="4"/>
                    <w:right w:val="single" w:color="000000" w:sz="4"/>
                  </w:tcBorders>
                  <w:vAlign w:val="top"/>
                </w:tcPr>
                <w:p>
                  <w:pPr>
                    <w:jc w:val="center"/>
                  </w:pPr>
                  <w:r>
                    <w:rPr>
                      <w:sz w:val="21"/>
                    </w:rPr>
                    <w:t>7</w:t>
                  </w:r>
                </w:p>
              </w:tc>
              <w:tc>
                <w:tcPr>
                  <w:tcW w:type="dxa" w:w="1306"/>
                  <w:tcBorders>
                    <w:top w:val="none" w:color="000000" w:sz="4"/>
                    <w:left w:val="none" w:color="000000" w:sz="4"/>
                    <w:bottom w:val="none" w:color="000000" w:sz="4"/>
                    <w:right w:val="none" w:color="000000" w:sz="4"/>
                  </w:tcBorders>
                  <w:vAlign w:val="top"/>
                </w:tcPr>
                <w:p>
                  <w:pPr>
                    <w:jc w:val="center"/>
                  </w:pPr>
                  <w:r>
                    <w:rPr>
                      <w:sz w:val="21"/>
                    </w:rPr>
                    <w:t>曝气装置</w:t>
                  </w:r>
                </w:p>
              </w:tc>
              <w:tc>
                <w:tcPr>
                  <w:tcW w:type="dxa" w:w="1563"/>
                  <w:tcBorders>
                    <w:top w:val="none" w:color="000000" w:sz="4"/>
                    <w:left w:val="single" w:color="000000" w:sz="4"/>
                    <w:bottom w:val="none" w:color="000000" w:sz="4"/>
                    <w:right w:val="single" w:color="000000" w:sz="4"/>
                  </w:tcBorders>
                  <w:vAlign w:val="top"/>
                </w:tcPr>
                <w:p>
                  <w:pPr>
                    <w:jc w:val="center"/>
                  </w:pPr>
                  <w:r>
                    <w:rPr>
                      <w:sz w:val="21"/>
                    </w:rPr>
                    <w:t>Φ215微孔曝气头</w:t>
                  </w:r>
                </w:p>
              </w:tc>
              <w:tc>
                <w:tcPr>
                  <w:tcW w:type="dxa" w:w="1602"/>
                  <w:tcBorders>
                    <w:top w:val="none" w:color="000000" w:sz="4"/>
                    <w:left w:val="none" w:color="000000" w:sz="4"/>
                    <w:bottom w:val="none" w:color="000000" w:sz="4"/>
                    <w:right w:val="none" w:color="000000" w:sz="4"/>
                  </w:tcBorders>
                  <w:vAlign w:val="top"/>
                </w:tcPr>
                <w:p>
                  <w:pPr>
                    <w:jc w:val="center"/>
                  </w:pPr>
                  <w:r>
                    <w:rPr>
                      <w:sz w:val="21"/>
                    </w:rPr>
                    <w:t>PP+ABS</w:t>
                  </w:r>
                </w:p>
              </w:tc>
              <w:tc>
                <w:tcPr>
                  <w:tcW w:type="dxa" w:w="455"/>
                  <w:tcBorders>
                    <w:top w:val="none" w:color="000000" w:sz="4"/>
                    <w:left w:val="single" w:color="000000" w:sz="4"/>
                    <w:bottom w:val="none" w:color="000000" w:sz="4"/>
                    <w:right w:val="none" w:color="000000" w:sz="4"/>
                  </w:tcBorders>
                  <w:vAlign w:val="top"/>
                </w:tcPr>
                <w:p>
                  <w:pPr>
                    <w:jc w:val="center"/>
                  </w:pPr>
                  <w:r>
                    <w:rPr>
                      <w:sz w:val="21"/>
                    </w:rPr>
                    <w:t>1</w:t>
                  </w:r>
                </w:p>
              </w:tc>
              <w:tc>
                <w:tcPr>
                  <w:tcW w:type="dxa" w:w="336"/>
                  <w:tcBorders>
                    <w:top w:val="none" w:color="000000" w:sz="4"/>
                    <w:left w:val="single" w:color="000000" w:sz="4"/>
                    <w:bottom w:val="none" w:color="000000" w:sz="4"/>
                    <w:right w:val="single" w:color="000000" w:sz="4"/>
                  </w:tcBorders>
                  <w:vAlign w:val="top"/>
                </w:tcPr>
                <w:p>
                  <w:pPr>
                    <w:jc w:val="center"/>
                  </w:pPr>
                  <w:r>
                    <w:rPr>
                      <w:sz w:val="21"/>
                    </w:rPr>
                    <w:t>套</w:t>
                  </w:r>
                </w:p>
              </w:tc>
            </w:tr>
            <w:tr>
              <w:tc>
                <w:tcPr>
                  <w:tcW w:type="dxa" w:w="33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306"/>
                  <w:tcBorders>
                    <w:top w:val="none" w:color="000000" w:sz="4"/>
                    <w:left w:val="none" w:color="000000" w:sz="4"/>
                    <w:bottom w:val="single" w:color="000000" w:sz="4"/>
                    <w:right w:val="none" w:color="000000" w:sz="4"/>
                  </w:tcBorders>
                  <w:vAlign w:val="top"/>
                </w:tcPr>
                <w:p>
                  <w:pPr>
                    <w:jc w:val="center"/>
                  </w:pPr>
                  <w:r>
                    <w:rPr>
                      <w:sz w:val="21"/>
                    </w:rPr>
                    <w:t>曝气管路</w:t>
                  </w:r>
                </w:p>
              </w:tc>
              <w:tc>
                <w:tcPr>
                  <w:tcW w:type="dxa" w:w="1563"/>
                  <w:tcBorders>
                    <w:top w:val="none" w:color="000000" w:sz="4"/>
                    <w:left w:val="single" w:color="000000" w:sz="4"/>
                    <w:bottom w:val="single" w:color="000000" w:sz="4"/>
                    <w:right w:val="single" w:color="000000" w:sz="4"/>
                  </w:tcBorders>
                  <w:vAlign w:val="top"/>
                </w:tcPr>
                <w:p>
                  <w:pPr>
                    <w:jc w:val="center"/>
                  </w:pPr>
                  <w:r>
                    <w:rPr>
                      <w:sz w:val="21"/>
                    </w:rPr>
                    <w:t>DN50主支管</w:t>
                  </w:r>
                </w:p>
              </w:tc>
              <w:tc>
                <w:tcPr>
                  <w:tcW w:type="dxa" w:w="1602"/>
                  <w:tcBorders>
                    <w:top w:val="none" w:color="000000" w:sz="4"/>
                    <w:left w:val="none" w:color="000000" w:sz="4"/>
                    <w:bottom w:val="single" w:color="000000" w:sz="4"/>
                    <w:right w:val="none" w:color="000000" w:sz="4"/>
                  </w:tcBorders>
                  <w:vAlign w:val="top"/>
                </w:tcPr>
                <w:p>
                  <w:pPr>
                    <w:jc w:val="center"/>
                  </w:pPr>
                  <w:r>
                    <w:rPr>
                      <w:sz w:val="21"/>
                    </w:rPr>
                    <w:t>U-PVC</w:t>
                  </w:r>
                </w:p>
              </w:tc>
              <w:tc>
                <w:tcPr>
                  <w:tcW w:type="dxa" w:w="455"/>
                  <w:tcBorders>
                    <w:top w:val="none" w:color="000000" w:sz="4"/>
                    <w:left w:val="single" w:color="000000" w:sz="4"/>
                    <w:bottom w:val="single" w:color="000000" w:sz="4"/>
                    <w:right w:val="none" w:color="000000" w:sz="4"/>
                  </w:tcBorders>
                  <w:vAlign w:val="top"/>
                </w:tcPr>
                <w:p>
                  <w:pPr>
                    <w:jc w:val="center"/>
                  </w:pPr>
                  <w:r>
                    <w:rPr>
                      <w:sz w:val="21"/>
                    </w:rPr>
                    <w:t>1</w:t>
                  </w:r>
                </w:p>
              </w:tc>
              <w:tc>
                <w:tcPr>
                  <w:tcW w:type="dxa" w:w="336"/>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336"/>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306"/>
                  <w:tcBorders>
                    <w:top w:val="none" w:color="000000" w:sz="4"/>
                    <w:left w:val="none" w:color="000000" w:sz="4"/>
                    <w:bottom w:val="single" w:color="000000" w:sz="4"/>
                    <w:right w:val="none" w:color="000000" w:sz="4"/>
                  </w:tcBorders>
                  <w:vAlign w:val="top"/>
                </w:tcPr>
                <w:p>
                  <w:pPr>
                    <w:jc w:val="center"/>
                  </w:pPr>
                  <w:r>
                    <w:rPr>
                      <w:sz w:val="21"/>
                    </w:rPr>
                    <w:t>液位控制系统</w:t>
                  </w:r>
                </w:p>
              </w:tc>
              <w:tc>
                <w:tcPr>
                  <w:tcW w:type="dxa" w:w="1563"/>
                  <w:tcBorders>
                    <w:top w:val="none" w:color="000000" w:sz="4"/>
                    <w:left w:val="single" w:color="000000" w:sz="4"/>
                    <w:bottom w:val="single" w:color="000000" w:sz="4"/>
                    <w:right w:val="single" w:color="000000" w:sz="4"/>
                  </w:tcBorders>
                  <w:vAlign w:val="top"/>
                </w:tcPr>
                <w:p>
                  <w:pPr>
                    <w:jc w:val="center"/>
                  </w:pPr>
                  <w:r>
                    <w:rPr>
                      <w:sz w:val="21"/>
                    </w:rPr>
                    <w:t>高低液位控制</w:t>
                  </w:r>
                </w:p>
              </w:tc>
              <w:tc>
                <w:tcPr>
                  <w:tcW w:type="dxa" w:w="1602"/>
                  <w:tcBorders>
                    <w:top w:val="none" w:color="000000" w:sz="4"/>
                    <w:left w:val="none" w:color="000000" w:sz="4"/>
                    <w:bottom w:val="single" w:color="000000" w:sz="4"/>
                    <w:right w:val="none" w:color="000000" w:sz="4"/>
                  </w:tcBorders>
                  <w:vAlign w:val="top"/>
                </w:tcPr>
                <w:p>
                  <w:pPr>
                    <w:jc w:val="center"/>
                  </w:pPr>
                  <w:r>
                    <w:rPr>
                      <w:sz w:val="21"/>
                    </w:rPr>
                    <w:t>/</w:t>
                  </w:r>
                </w:p>
              </w:tc>
              <w:tc>
                <w:tcPr>
                  <w:tcW w:type="dxa" w:w="455"/>
                  <w:tcBorders>
                    <w:top w:val="none" w:color="000000" w:sz="4"/>
                    <w:left w:val="single" w:color="000000" w:sz="4"/>
                    <w:bottom w:val="single" w:color="000000" w:sz="4"/>
                    <w:right w:val="none" w:color="000000" w:sz="4"/>
                  </w:tcBorders>
                  <w:vAlign w:val="top"/>
                </w:tcPr>
                <w:p>
                  <w:pPr>
                    <w:jc w:val="center"/>
                  </w:pPr>
                  <w:r>
                    <w:rPr>
                      <w:sz w:val="21"/>
                    </w:rPr>
                    <w:t>1</w:t>
                  </w:r>
                </w:p>
              </w:tc>
              <w:tc>
                <w:tcPr>
                  <w:tcW w:type="dxa" w:w="336"/>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33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306"/>
                  <w:tcBorders>
                    <w:top w:val="none" w:color="000000" w:sz="4"/>
                    <w:left w:val="none" w:color="000000" w:sz="4"/>
                    <w:bottom w:val="single" w:color="000000" w:sz="4"/>
                    <w:right w:val="none" w:color="000000" w:sz="4"/>
                  </w:tcBorders>
                  <w:vAlign w:val="top"/>
                </w:tcPr>
                <w:p>
                  <w:pPr>
                    <w:jc w:val="center"/>
                  </w:pPr>
                  <w:r>
                    <w:rPr>
                      <w:sz w:val="21"/>
                    </w:rPr>
                    <w:t>设备净重</w:t>
                  </w:r>
                </w:p>
              </w:tc>
              <w:tc>
                <w:tcPr>
                  <w:tcW w:type="dxa" w:w="1563"/>
                  <w:tcBorders>
                    <w:top w:val="none" w:color="000000" w:sz="4"/>
                    <w:left w:val="single" w:color="000000" w:sz="4"/>
                    <w:bottom w:val="single" w:color="000000" w:sz="4"/>
                    <w:right w:val="single" w:color="000000" w:sz="4"/>
                  </w:tcBorders>
                  <w:vAlign w:val="top"/>
                </w:tcPr>
                <w:p>
                  <w:pPr>
                    <w:jc w:val="center"/>
                  </w:pPr>
                  <w:r>
                    <w:rPr>
                      <w:sz w:val="21"/>
                    </w:rPr>
                    <w:t>/</w:t>
                  </w:r>
                </w:p>
              </w:tc>
              <w:tc>
                <w:tcPr>
                  <w:tcW w:type="dxa" w:w="1602"/>
                  <w:tcBorders>
                    <w:top w:val="none" w:color="000000" w:sz="4"/>
                    <w:left w:val="none" w:color="000000" w:sz="4"/>
                    <w:bottom w:val="single" w:color="000000" w:sz="4"/>
                    <w:right w:val="none" w:color="000000" w:sz="4"/>
                  </w:tcBorders>
                  <w:vAlign w:val="top"/>
                </w:tcPr>
                <w:p>
                  <w:pPr>
                    <w:jc w:val="center"/>
                  </w:pPr>
                  <w:r>
                    <w:rPr>
                      <w:sz w:val="21"/>
                    </w:rPr>
                    <w:t>/</w:t>
                  </w:r>
                </w:p>
              </w:tc>
              <w:tc>
                <w:tcPr>
                  <w:tcW w:type="dxa" w:w="455"/>
                  <w:tcBorders>
                    <w:top w:val="none" w:color="000000" w:sz="4"/>
                    <w:left w:val="single" w:color="000000" w:sz="4"/>
                    <w:bottom w:val="single" w:color="000000" w:sz="4"/>
                    <w:right w:val="none" w:color="000000" w:sz="4"/>
                  </w:tcBorders>
                  <w:vAlign w:val="top"/>
                </w:tcPr>
                <w:p>
                  <w:pPr>
                    <w:jc w:val="center"/>
                  </w:pPr>
                  <w:r>
                    <w:rPr>
                      <w:sz w:val="21"/>
                    </w:rPr>
                    <w:t>2</w:t>
                  </w:r>
                </w:p>
              </w:tc>
              <w:tc>
                <w:tcPr>
                  <w:tcW w:type="dxa" w:w="336"/>
                  <w:tcBorders>
                    <w:top w:val="none" w:color="000000" w:sz="4"/>
                    <w:left w:val="single" w:color="000000" w:sz="4"/>
                    <w:bottom w:val="single" w:color="000000" w:sz="4"/>
                    <w:right w:val="single" w:color="000000" w:sz="4"/>
                  </w:tcBorders>
                  <w:vAlign w:val="top"/>
                </w:tcPr>
                <w:p>
                  <w:pPr>
                    <w:jc w:val="center"/>
                  </w:pPr>
                  <w:r>
                    <w:rPr>
                      <w:sz w:val="21"/>
                    </w:rPr>
                    <w:t>吨</w:t>
                  </w:r>
                </w:p>
              </w:tc>
            </w:tr>
            <w:tr>
              <w:tc>
                <w:tcPr>
                  <w:tcW w:type="dxa" w:w="33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306"/>
                  <w:tcBorders>
                    <w:top w:val="none" w:color="000000" w:sz="4"/>
                    <w:left w:val="none" w:color="000000" w:sz="4"/>
                    <w:bottom w:val="single" w:color="000000" w:sz="4"/>
                    <w:right w:val="none" w:color="000000" w:sz="4"/>
                  </w:tcBorders>
                  <w:vAlign w:val="top"/>
                </w:tcPr>
                <w:p>
                  <w:pPr>
                    <w:jc w:val="center"/>
                  </w:pPr>
                  <w:r>
                    <w:rPr>
                      <w:sz w:val="21"/>
                    </w:rPr>
                    <w:t>满载重量</w:t>
                  </w:r>
                </w:p>
              </w:tc>
              <w:tc>
                <w:tcPr>
                  <w:tcW w:type="dxa" w:w="1563"/>
                  <w:tcBorders>
                    <w:top w:val="none" w:color="000000" w:sz="4"/>
                    <w:left w:val="single" w:color="000000" w:sz="4"/>
                    <w:bottom w:val="single" w:color="000000" w:sz="4"/>
                    <w:right w:val="single" w:color="000000" w:sz="4"/>
                  </w:tcBorders>
                  <w:vAlign w:val="top"/>
                </w:tcPr>
                <w:p>
                  <w:pPr>
                    <w:jc w:val="center"/>
                  </w:pPr>
                  <w:r>
                    <w:rPr>
                      <w:sz w:val="21"/>
                    </w:rPr>
                    <w:t>/</w:t>
                  </w:r>
                </w:p>
              </w:tc>
              <w:tc>
                <w:tcPr>
                  <w:tcW w:type="dxa" w:w="1602"/>
                  <w:tcBorders>
                    <w:top w:val="none" w:color="000000" w:sz="4"/>
                    <w:left w:val="none" w:color="000000" w:sz="4"/>
                    <w:bottom w:val="single" w:color="000000" w:sz="4"/>
                    <w:right w:val="none" w:color="000000" w:sz="4"/>
                  </w:tcBorders>
                  <w:vAlign w:val="top"/>
                </w:tcPr>
                <w:p>
                  <w:pPr>
                    <w:jc w:val="center"/>
                  </w:pPr>
                  <w:r>
                    <w:rPr>
                      <w:sz w:val="21"/>
                    </w:rPr>
                    <w:t>/</w:t>
                  </w:r>
                </w:p>
              </w:tc>
              <w:tc>
                <w:tcPr>
                  <w:tcW w:type="dxa" w:w="455"/>
                  <w:tcBorders>
                    <w:top w:val="none" w:color="000000" w:sz="4"/>
                    <w:left w:val="single" w:color="000000" w:sz="4"/>
                    <w:bottom w:val="single" w:color="000000" w:sz="4"/>
                    <w:right w:val="none" w:color="000000" w:sz="4"/>
                  </w:tcBorders>
                  <w:vAlign w:val="top"/>
                </w:tcPr>
                <w:p>
                  <w:pPr>
                    <w:jc w:val="center"/>
                  </w:pPr>
                  <w:r>
                    <w:rPr>
                      <w:sz w:val="21"/>
                    </w:rPr>
                    <w:t>≤16</w:t>
                  </w:r>
                </w:p>
              </w:tc>
              <w:tc>
                <w:tcPr>
                  <w:tcW w:type="dxa" w:w="336"/>
                  <w:tcBorders>
                    <w:top w:val="none" w:color="000000" w:sz="4"/>
                    <w:left w:val="single" w:color="000000" w:sz="4"/>
                    <w:bottom w:val="single" w:color="000000" w:sz="4"/>
                    <w:right w:val="single" w:color="000000" w:sz="4"/>
                  </w:tcBorders>
                  <w:vAlign w:val="top"/>
                </w:tcPr>
                <w:p>
                  <w:pPr>
                    <w:jc w:val="center"/>
                  </w:pPr>
                  <w:r>
                    <w:rPr>
                      <w:sz w:val="21"/>
                    </w:rPr>
                    <w:t>吨</w:t>
                  </w:r>
                </w:p>
              </w:tc>
            </w:tr>
          </w:tbl>
          <w:p>
            <w:pPr>
              <w:ind w:firstLine="422"/>
            </w:pPr>
          </w:p>
          <w:p/>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东莞市横沥镇公用事业服务中心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采购包1：保证金人民币：28,000.00元整。</w:t>
            </w:r>
          </w:p>
          <w:p>
            <w:r>
              <w:rPr/>
              <w:t>开户单位：</w:t>
            </w:r>
            <w:r>
              <w:rPr/>
              <w:t>广东政通招标有限公司</w:t>
            </w:r>
          </w:p>
          <w:p>
            <w:r>
              <w:rPr/>
              <w:t>开户账号：</w:t>
            </w:r>
            <w:r>
              <w:rPr/>
              <w:t>6232590699050048576</w:t>
            </w:r>
          </w:p>
          <w:p>
            <w:r>
              <w:rPr/>
              <w:t>开户银行：</w:t>
            </w:r>
            <w:r>
              <w:rPr/>
              <w:t>广发银行股份有限公司东莞新城支行</w:t>
            </w:r>
          </w:p>
          <w:p>
            <w:r>
              <w:rPr/>
              <w:t>支票提交方式：</w:t>
            </w:r>
            <w:r>
              <w:rPr/>
              <w:t>/</w:t>
            </w:r>
          </w:p>
          <w:p>
            <w:r>
              <w:rPr/>
              <w:t>汇票、本票提交方式：</w:t>
            </w:r>
            <w:r>
              <w:rPr/>
              <w:t>/</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横沥镇垃圾转运站除臭、降尘、污水处理系统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采购包1（横沥镇垃圾转运站除臭、降尘、污水处理系统采购项目）：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货物由小微企业制造，即货物由小微企业生产且使用该小微企业商号或者注册商标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采购包1（横沥镇垃圾转运站除臭、降尘、污水处理系统采购项目）：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采购包1（横沥镇垃圾转运站除臭、降尘、污水处理系统采购项目）：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横沥镇垃圾转运站除臭、降尘、污水处理系统采购项目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(6.0分)</w:t>
            </w:r>
            <w:r>
              <w:rPr/>
              <w:t>，（等次分值选择：</w:t>
            </w:r>
            <w:r>
              <w:rPr/>
              <w:t>0.0;</w:t>
            </w:r>
            <w:r>
              <w:rPr/>
              <w:t>1.0;</w:t>
            </w:r>
            <w:r>
              <w:rPr/>
              <w:t>2.0;</w:t>
            </w:r>
            <w:r>
              <w:rPr/>
              <w:t>3.0;</w:t>
            </w:r>
            <w:r>
              <w:rPr/>
              <w:t>4.0;</w:t>
            </w:r>
            <w:r>
              <w:rPr/>
              <w:t>5.0;</w:t>
            </w:r>
            <w:r>
              <w:rPr/>
              <w:t>6.0;</w:t>
            </w:r>
            <w:r>
              <w:rPr/>
              <w:t>）</w:t>
            </w:r>
          </w:p>
        </w:tc>
        <w:tc>
          <w:tcPr>
            <w:tcW w:type="dxa" w:w="5076"/>
          </w:tcPr>
          <w:p>
            <w:pPr>
              <w:jc w:val="left"/>
            </w:pPr>
            <w:r>
              <w:rPr/>
              <w:t>对所投产品的技术参数响应情况（对应用户需求书主要货物技术指标要求标注“▲”的参数为重要参数，如果负偏离或不响应，则每项扣1分，扣完6分为止）。 ①对用户需求中的带“▲”技术指标条款，用户需求书要求提供证明资料的，则投标文件中须提供对应产品参数的证明资料并加盖投标人公章； ②对用户需求书中带“▲”技术指标条款，用户需求书未要求提供证明资料的，则投标文件中须提供所投产品彩页原件或原厂商的官方技术白皮书或原厂商所作的技术参数说明等详细技术资料并加盖投标人公章。 （投标人必须按所投产品实际参数进行响应，否则视为提供虚假材料谋取中标资格。）</w:t>
            </w:r>
          </w:p>
        </w:tc>
      </w:tr>
      <w:tr>
        <w:tc>
          <w:tcPr>
            <w:tcW w:type="dxa" w:w="922"/>
            <w:gridSpan w:val="2"/>
            <w:vMerge/>
          </w:tcPr>
          <w:p/>
        </w:tc>
        <w:tc>
          <w:tcPr>
            <w:tcW w:type="dxa" w:w="2307"/>
          </w:tcPr>
          <w:p>
            <w:pPr>
              <w:jc w:val="left"/>
            </w:pPr>
            <w:r>
              <w:rPr/>
              <w:t>项目实施方案 (12.0分)</w:t>
            </w:r>
            <w:r>
              <w:rPr/>
              <w:t>，（等次分值选择：</w:t>
            </w:r>
            <w:r>
              <w:rPr/>
              <w:t>0.0;</w:t>
            </w:r>
            <w:r>
              <w:rPr/>
              <w:t>1.0;</w:t>
            </w:r>
            <w:r>
              <w:rPr/>
              <w:t>4.0;</w:t>
            </w:r>
            <w:r>
              <w:rPr/>
              <w:t>8.0;</w:t>
            </w:r>
            <w:r>
              <w:rPr/>
              <w:t>12.0;</w:t>
            </w:r>
            <w:r>
              <w:rPr/>
              <w:t>）</w:t>
            </w:r>
          </w:p>
        </w:tc>
        <w:tc>
          <w:tcPr>
            <w:tcW w:type="dxa" w:w="5076"/>
          </w:tcPr>
          <w:p>
            <w:pPr>
              <w:jc w:val="left"/>
            </w:pPr>
            <w:r>
              <w:rPr/>
              <w:t>根据投标人项目进度安排、供货期、安装调试、验收等项目实施方案进行综合评审： 项目进度安排及供货期安排非常合理，安装调试、验收方案科学高效，有利于本项目实施，得12分； 项目进度安排及供货期安排基本合理，安装调试、验收方案合理，较有利于本项目实施，得8分； 项目进度安排及供货期安排一般，安装调试、验收方案一般，实施方案一般，得4分； 项目进度安排及供货期安排不合理，安装调试、验收方案较差，实施方案较差，得1分； 未提供方案不得分。</w:t>
            </w:r>
          </w:p>
        </w:tc>
      </w:tr>
      <w:tr>
        <w:tc>
          <w:tcPr>
            <w:tcW w:type="dxa" w:w="922"/>
            <w:gridSpan w:val="2"/>
            <w:vMerge/>
          </w:tcPr>
          <w:p/>
        </w:tc>
        <w:tc>
          <w:tcPr>
            <w:tcW w:type="dxa" w:w="2307"/>
          </w:tcPr>
          <w:p>
            <w:pPr>
              <w:jc w:val="left"/>
            </w:pPr>
            <w:r>
              <w:rPr/>
              <w:t>质量保证和技术支持 (12.0分)</w:t>
            </w:r>
            <w:r>
              <w:rPr/>
              <w:t>，（等次分值选择：</w:t>
            </w:r>
            <w:r>
              <w:rPr/>
              <w:t>0.0;</w:t>
            </w:r>
            <w:r>
              <w:rPr/>
              <w:t>1.0;</w:t>
            </w:r>
            <w:r>
              <w:rPr/>
              <w:t>4.0;</w:t>
            </w:r>
            <w:r>
              <w:rPr/>
              <w:t>8.0;</w:t>
            </w:r>
            <w:r>
              <w:rPr/>
              <w:t>12.0;</w:t>
            </w:r>
            <w:r>
              <w:rPr/>
              <w:t>）</w:t>
            </w:r>
          </w:p>
        </w:tc>
        <w:tc>
          <w:tcPr>
            <w:tcW w:type="dxa" w:w="5076"/>
          </w:tcPr>
          <w:p>
            <w:pPr>
              <w:jc w:val="left"/>
            </w:pPr>
            <w:r>
              <w:rPr/>
              <w:t>根据所投产品的技术支持、质量保证、培训计划、质保期内的人员驻点计划等情况进行综合评审： 为项目提供非常充足技术支持，质量保证方案及培训计划非常完善，质保期内的人员驻点安排科学合理，得12分； 为项目提供较充足技术支持，质量保证方案及培训计划基本完善，质保期内的人员驻点安排较科学合理，得8分； 为项目提供技术支持、质量保证方案一般，培训计划一般，质保期内人员驻点安排欠妥，得4分； 为项目提供技术支持、质量保证方案较差，培训计划不完善，质保期内的人员驻点安排差，得1分； 未提供方案不得分。</w:t>
            </w:r>
          </w:p>
        </w:tc>
      </w:tr>
      <w:tr>
        <w:tc>
          <w:tcPr>
            <w:tcW w:type="dxa" w:w="922"/>
            <w:gridSpan w:val="2"/>
            <w:vMerge/>
          </w:tcPr>
          <w:p/>
        </w:tc>
        <w:tc>
          <w:tcPr>
            <w:tcW w:type="dxa" w:w="2307"/>
          </w:tcPr>
          <w:p>
            <w:pPr>
              <w:jc w:val="left"/>
            </w:pPr>
            <w:r>
              <w:rPr/>
              <w:t>管理规章制度的建设 (10.0分)</w:t>
            </w:r>
            <w:r>
              <w:rPr/>
              <w:t>，（等次分值选择：</w:t>
            </w:r>
            <w:r>
              <w:rPr/>
              <w:t>0.0;</w:t>
            </w:r>
            <w:r>
              <w:rPr/>
              <w:t>1.0;</w:t>
            </w:r>
            <w:r>
              <w:rPr/>
              <w:t>3.0;</w:t>
            </w:r>
            <w:r>
              <w:rPr/>
              <w:t>6.0;</w:t>
            </w:r>
            <w:r>
              <w:rPr/>
              <w:t>10.0;</w:t>
            </w:r>
            <w:r>
              <w:rPr/>
              <w:t>）</w:t>
            </w:r>
          </w:p>
        </w:tc>
        <w:tc>
          <w:tcPr>
            <w:tcW w:type="dxa" w:w="5076"/>
          </w:tcPr>
          <w:p>
            <w:pPr>
              <w:jc w:val="left"/>
            </w:pPr>
            <w:r>
              <w:rPr/>
              <w:t>根据供应商提供的全过程规章管理制度（包括制度的全面性及规范化等）进行综合评审： 全过程规章管理制度非常完善的，得10分； 全过程规章管理制度较完善的，得6分； 全过程规章管理制度一般的，得3分； 管理规章制度较差的，得1分； 未提供方案不得分。</w:t>
            </w:r>
          </w:p>
        </w:tc>
      </w:tr>
      <w:tr>
        <w:tc>
          <w:tcPr>
            <w:tcW w:type="dxa" w:w="922"/>
            <w:gridSpan w:val="2"/>
            <w:vMerge/>
          </w:tcPr>
          <w:p/>
        </w:tc>
        <w:tc>
          <w:tcPr>
            <w:tcW w:type="dxa" w:w="2307"/>
          </w:tcPr>
          <w:p>
            <w:pPr>
              <w:jc w:val="left"/>
            </w:pPr>
            <w:r>
              <w:rPr/>
              <w:t>售后服务 (10.0分)</w:t>
            </w:r>
            <w:r>
              <w:rPr/>
              <w:t>，（等次分值选择：</w:t>
            </w:r>
            <w:r>
              <w:rPr/>
              <w:t>0.0;</w:t>
            </w:r>
            <w:r>
              <w:rPr/>
              <w:t>1.0;</w:t>
            </w:r>
            <w:r>
              <w:rPr/>
              <w:t>3.0;</w:t>
            </w:r>
            <w:r>
              <w:rPr/>
              <w:t>6.0;</w:t>
            </w:r>
            <w:r>
              <w:rPr/>
              <w:t>10.0;</w:t>
            </w:r>
            <w:r>
              <w:rPr/>
              <w:t>）</w:t>
            </w:r>
          </w:p>
        </w:tc>
        <w:tc>
          <w:tcPr>
            <w:tcW w:type="dxa" w:w="5076"/>
          </w:tcPr>
          <w:p>
            <w:pPr>
              <w:jc w:val="left"/>
            </w:pPr>
            <w:r>
              <w:rPr/>
              <w:t>根据投标人提供售后服务方案进行综合评审： 方案科学完整合理，可行性强，可操作性强，针对性强，得10分； 方案较完整合理，可行性较强，可操作性较强，针对性较强，得6分； 方案基本完整，可行性一般，可操作性一般，针对性一般，得3分； 方案不完整，可行性差，可操作性差，针对性差，得1分； 未提供方案不得分。</w:t>
            </w:r>
          </w:p>
        </w:tc>
      </w:tr>
      <w:tr>
        <w:tc>
          <w:tcPr>
            <w:tcW w:type="dxa" w:w="922"/>
            <w:gridSpan w:val="2"/>
            <w:vMerge w:val="restart"/>
          </w:tcPr>
          <w:p>
            <w:pPr>
              <w:jc w:val="center"/>
            </w:pPr>
            <w:r>
              <w:rPr/>
              <w:t>商务部分</w:t>
            </w:r>
          </w:p>
        </w:tc>
        <w:tc>
          <w:tcPr>
            <w:tcW w:type="dxa" w:w="2307"/>
          </w:tcPr>
          <w:p>
            <w:pPr>
              <w:jc w:val="left"/>
            </w:pPr>
            <w:r>
              <w:rPr/>
              <w:t>项目业绩 (15.0分)</w:t>
            </w:r>
            <w:r>
              <w:rPr/>
              <w:t>，（等次分值选择：</w:t>
            </w:r>
            <w:r>
              <w:rPr/>
              <w:t>0.0;</w:t>
            </w:r>
            <w:r>
              <w:rPr/>
              <w:t>5.0;</w:t>
            </w:r>
            <w:r>
              <w:rPr/>
              <w:t>10.0;</w:t>
            </w:r>
            <w:r>
              <w:rPr/>
              <w:t>15.0;</w:t>
            </w:r>
            <w:r>
              <w:rPr/>
              <w:t>）</w:t>
            </w:r>
          </w:p>
        </w:tc>
        <w:tc>
          <w:tcPr>
            <w:tcW w:type="dxa" w:w="5076"/>
          </w:tcPr>
          <w:p>
            <w:pPr>
              <w:jc w:val="left"/>
            </w:pPr>
            <w:r>
              <w:rPr/>
              <w:t>投标人具有污水处理（或除臭或除尘或环卫）类设备供货业绩的，每提供一个业绩得5分，本项最高得15分。 注：须合同复印件加盖投标人公章，否则不得分。</w:t>
            </w:r>
          </w:p>
        </w:tc>
      </w:tr>
      <w:tr>
        <w:tc>
          <w:tcPr>
            <w:tcW w:type="dxa" w:w="922"/>
            <w:gridSpan w:val="2"/>
            <w:vMerge/>
          </w:tcPr>
          <w:p/>
        </w:tc>
        <w:tc>
          <w:tcPr>
            <w:tcW w:type="dxa" w:w="2307"/>
          </w:tcPr>
          <w:p>
            <w:pPr>
              <w:jc w:val="left"/>
            </w:pPr>
            <w:r>
              <w:rPr/>
              <w:t>服务便利性 (5.0分)</w:t>
            </w:r>
            <w:r>
              <w:rPr/>
              <w:t>，（等次分值选择：</w:t>
            </w:r>
            <w:r>
              <w:rPr/>
              <w:t>0.0;</w:t>
            </w:r>
            <w:r>
              <w:rPr/>
              <w:t>1.0;</w:t>
            </w:r>
            <w:r>
              <w:rPr/>
              <w:t>3.0;</w:t>
            </w:r>
            <w:r>
              <w:rPr/>
              <w:t>5.0;</w:t>
            </w:r>
            <w:r>
              <w:rPr/>
              <w:t>）</w:t>
            </w:r>
          </w:p>
        </w:tc>
        <w:tc>
          <w:tcPr>
            <w:tcW w:type="dxa" w:w="5076"/>
          </w:tcPr>
          <w:p>
            <w:pPr>
              <w:jc w:val="left"/>
            </w:pPr>
            <w:r>
              <w:rPr/>
              <w:t>根据投标人提供的服务响应时间承诺进行评分。 （1）投标人承诺在接到采购人通知后1小时内到现场，得5分； （2）投标人承诺在接到采购人通知后2小时内到现场，得3分； （3）投标人承诺在接到采购人通知后3小时内到现场，得1分； （4）投标人未承诺或承诺在接到采购人通知后超过3小时到现场，不得分。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签定地点：</w:t>
      </w:r>
    </w:p>
    <w:p>
      <w:pPr>
        <w:jc w:val="both"/>
      </w:pPr>
      <w:r>
        <w:rPr>
          <w:rFonts w:ascii="宋体" w:hAnsi="宋体" w:cs="宋体" w:eastAsia="宋体"/>
          <w:sz w:val="27"/>
        </w:rPr>
        <w:t>签定日期：　　　年　　月　　日</w:t>
      </w:r>
      <w:r>
        <w:rPr>
          <w:rFonts w:ascii="宋体" w:hAnsi="宋体" w:cs="宋体" w:eastAsia="宋体"/>
          <w:sz w:val="27"/>
        </w:rPr>
        <w:t>签定日期：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441900014-2022-00491</w:t>
      </w:r>
    </w:p>
    <w:p>
      <w:pPr>
        <w:jc w:val="center"/>
      </w:pPr>
      <w:r>
        <w:rPr>
          <w:b/>
          <w:sz w:val="24"/>
        </w:rPr>
        <w:t>采购项目编号：</w:t>
      </w:r>
      <w:r>
        <w:rPr>
          <w:b/>
          <w:sz w:val="24"/>
        </w:rPr>
        <w:t>441900014-2022-00491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横沥镇垃圾转运站除臭、降尘、污水处理系统采购项目</w:t>
      </w:r>
      <w:r>
        <w:rPr/>
        <w:t>项目的招标[采购项目编号为：</w:t>
      </w:r>
      <w:r>
        <w:rPr>
          <w:u w:val="single"/>
        </w:rPr>
        <w:t>441900014-2022-00491</w:t>
      </w:r>
      <w:r>
        <w:rPr/>
        <w:t>]，我方愿参与投标。</w:t>
      </w:r>
    </w:p>
    <w:p>
      <w:pPr>
        <w:ind w:firstLine="480"/>
      </w:pPr>
      <w:r>
        <w:rPr/>
        <w:t>我方确认收到贵方提供的</w:t>
      </w:r>
      <w:r>
        <w:rPr>
          <w:u w:val="single"/>
        </w:rPr>
        <w:t>横沥镇垃圾转运站除臭、降尘、污水处理系统采购项目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横沥镇垃圾转运站除臭、降尘、污水处理系统采购项目</w:t>
      </w:r>
      <w:r>
        <w:rPr/>
        <w:t>项目采购[采购项目编号为</w:t>
      </w:r>
      <w:r>
        <w:rPr/>
        <w:t>441900014-2022-00491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横沥镇垃圾转运站除臭、降尘、污水处理系统采购项目</w:t>
      </w:r>
      <w:r>
        <w:rPr/>
        <w:t>招标中获中标（采购项目编号：</w:t>
      </w:r>
      <w:r>
        <w:rPr/>
        <w:t>441900014-2022-00491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横沥镇垃圾转运站除臭、降尘、污水处理系统采购项目</w:t>
      </w:r>
      <w:r>
        <w:rPr/>
        <w:t>项目（采购项目编号：</w:t>
      </w:r>
      <w:r>
        <w:rPr/>
        <w:t>441900014-2022-00491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