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GDZT2022129B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东莞市第二高级中学旧教学楼外墙修缮及外侧窗更换项目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东莞市第二高级中学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5"/>
        <w:spacing w:before="0" w:after="0" w:line="360" w:lineRule="auto"/>
        <w:jc w:val="center"/>
        <w:rPr>
          <w:rFonts w:ascii="宋体" w:hAnsi="宋体" w:eastAsia="宋体" w:cs="宋体"/>
          <w:color w:val="auto"/>
          <w:highlight w:val="none"/>
        </w:rPr>
      </w:pPr>
      <w:bookmarkStart w:id="2" w:name="_Toc7988"/>
      <w:bookmarkStart w:id="3" w:name="_Toc1420"/>
      <w:bookmarkStart w:id="4" w:name="_Toc885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eastAsia="宋体"/>
          <w:b/>
          <w:color w:val="auto"/>
          <w:sz w:val="21"/>
          <w:szCs w:val="21"/>
          <w:highlight w:val="none"/>
          <w:u w:val="single"/>
        </w:rPr>
        <w:t>东莞市第二高级中学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eastAsia="宋体"/>
          <w:b/>
          <w:color w:val="auto"/>
          <w:sz w:val="21"/>
          <w:szCs w:val="21"/>
          <w:highlight w:val="none"/>
          <w:u w:val="single"/>
        </w:rPr>
        <w:t>东莞市第二高级中学旧教学楼外墙修缮及外侧窗更换项目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编号：GDZT2022129B；</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名称：东莞市第二高级中学旧教学楼外墙修缮及外侧窗更换项目；</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0"/>
        <w:gridCol w:w="5301"/>
        <w:gridCol w:w="450"/>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b/>
                <w:color w:val="auto"/>
                <w:sz w:val="21"/>
                <w:szCs w:val="21"/>
                <w:highlight w:val="none"/>
                <w:u w:val="single"/>
              </w:rPr>
              <w:t>东莞市第二高级中学旧教学楼外墙修缮及外侧窗更换项目</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1,405,471.92</w:t>
            </w:r>
            <w:r>
              <w:rPr>
                <w:rFonts w:hint="eastAsia" w:ascii="宋体" w:hAnsi="宋体" w:eastAsia="宋体"/>
                <w:color w:val="auto"/>
                <w:sz w:val="21"/>
                <w:szCs w:val="21"/>
                <w:highlight w:val="none"/>
              </w:rPr>
              <w:t>元</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rPr>
      </w:pPr>
      <w:r>
        <w:rPr>
          <w:rFonts w:hint="eastAsia"/>
          <w:color w:val="auto"/>
          <w:highlight w:val="none"/>
        </w:rPr>
        <w:t>供应商必须具</w:t>
      </w:r>
      <w:r>
        <w:rPr>
          <w:rFonts w:hint="eastAsia"/>
          <w:color w:val="auto"/>
          <w:highlight w:val="none"/>
          <w:lang w:val="en-US" w:eastAsia="zh-CN"/>
        </w:rPr>
        <w:t>有</w:t>
      </w:r>
      <w:r>
        <w:rPr>
          <w:rFonts w:hint="eastAsia"/>
          <w:color w:val="auto"/>
          <w:highlight w:val="none"/>
        </w:rPr>
        <w:t>施工综合资质</w:t>
      </w:r>
      <w:r>
        <w:rPr>
          <w:rFonts w:hint="eastAsia"/>
          <w:color w:val="auto"/>
          <w:highlight w:val="none"/>
          <w:lang w:eastAsia="zh-CN"/>
        </w:rPr>
        <w:t>【</w:t>
      </w:r>
      <w:r>
        <w:rPr>
          <w:rFonts w:hint="eastAsia"/>
          <w:color w:val="auto"/>
          <w:highlight w:val="none"/>
        </w:rPr>
        <w:t>或更换资质证书前有效期内施工总承包企业特级资质</w:t>
      </w:r>
      <w:r>
        <w:rPr>
          <w:rFonts w:hint="eastAsia"/>
          <w:color w:val="auto"/>
          <w:highlight w:val="none"/>
          <w:lang w:eastAsia="zh-CN"/>
        </w:rPr>
        <w:t>】</w:t>
      </w:r>
      <w:r>
        <w:rPr>
          <w:rFonts w:hint="eastAsia"/>
          <w:color w:val="auto"/>
          <w:highlight w:val="none"/>
        </w:rPr>
        <w:t>，或具有建筑工程施工总承包乙级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或更换资质证书前有效期内建筑工程施工总承包三级或以上资质</w:t>
      </w:r>
      <w:r>
        <w:rPr>
          <w:rFonts w:hint="eastAsia"/>
          <w:color w:val="auto"/>
          <w:highlight w:val="none"/>
          <w:lang w:eastAsia="zh-CN"/>
        </w:rPr>
        <w:t>】</w:t>
      </w:r>
      <w:r>
        <w:rPr>
          <w:rFonts w:hint="eastAsia"/>
          <w:color w:val="auto"/>
          <w:highlight w:val="none"/>
        </w:rPr>
        <w:t>，或具有建筑装修装饰工程专业承包资质乙级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或更换资质证书前有效期内建筑装修装饰工程专业承包二级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注：上述资质要求，依据住房和城乡建设部2020年11月30日关于印发《建设工程企业资质管理制度改革方案》的通知，在更换资质证书前有效期内适用于本项目资质证书的均为有效资格条件。</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20</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13</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20</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200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27</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6</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27</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采购人联系人：傅</w:t>
      </w:r>
      <w:r>
        <w:rPr>
          <w:rFonts w:hint="eastAsia" w:ascii="宋体" w:hAnsi="宋体"/>
          <w:bCs/>
          <w:color w:val="auto"/>
          <w:sz w:val="21"/>
          <w:szCs w:val="21"/>
          <w:highlight w:val="none"/>
          <w:lang w:val="en-US" w:eastAsia="zh-CN"/>
        </w:rPr>
        <w:t>先生</w:t>
      </w:r>
      <w:bookmarkStart w:id="401" w:name="_GoBack"/>
      <w:bookmarkEnd w:id="401"/>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地址：东莞市东城区东城南路11号</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22464912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4"/>
        <w:spacing w:before="0" w:after="0" w:line="240" w:lineRule="auto"/>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Toc4043"/>
      <w:bookmarkStart w:id="10" w:name="_Hlk55300595"/>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18413"/>
      <w:bookmarkStart w:id="16" w:name="_Toc462"/>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价格分计算方法：满足磋商文件要求且价格最低的响应报价为评标基准价，其价格分为满分。其他供应商的价格分统一按照下列公式计算：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响应报价得分=(评标基准价／响应报价)×价格权值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商务评分（</w:t>
            </w:r>
            <w:r>
              <w:rPr>
                <w:rFonts w:hint="eastAsia" w:asci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zh-CN"/>
              </w:rPr>
              <w:t>具有由国家认监委批准设立的认证机构颁发并在有效期内的质量管理体系认证、环境管理体系认证、职业健康安全管理体系认证</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企业诚信</w:t>
            </w:r>
            <w:r>
              <w:rPr>
                <w:rFonts w:hint="eastAsia" w:ascii="宋体" w:hAnsi="宋体" w:eastAsia="宋体" w:cs="宋体"/>
                <w:bCs/>
                <w:color w:val="auto"/>
                <w:sz w:val="21"/>
                <w:szCs w:val="21"/>
                <w:highlight w:val="none"/>
                <w:lang w:val="zh-CN"/>
              </w:rPr>
              <w:t>管理体系认证</w:t>
            </w:r>
            <w:r>
              <w:rPr>
                <w:rFonts w:hint="eastAsia" w:ascii="宋体" w:eastAsia="宋体" w:cs="宋体"/>
                <w:bCs/>
                <w:color w:val="auto"/>
                <w:sz w:val="21"/>
                <w:szCs w:val="21"/>
                <w:highlight w:val="none"/>
                <w:lang w:val="en-US" w:eastAsia="zh-CN"/>
              </w:rPr>
              <w:t>证书的</w:t>
            </w:r>
            <w:r>
              <w:rPr>
                <w:rFonts w:hint="eastAsia" w:ascii="宋体" w:hAnsi="宋体" w:eastAsia="宋体" w:cs="宋体"/>
                <w:bCs/>
                <w:color w:val="auto"/>
                <w:sz w:val="21"/>
                <w:szCs w:val="21"/>
                <w:highlight w:val="none"/>
                <w:lang w:val="zh-CN"/>
              </w:rPr>
              <w:t>，每具有一个得</w:t>
            </w: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注：须提供有效证书复印件并加盖供应商公章，不符合以上要求的不得分。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w:t>
            </w:r>
            <w:r>
              <w:rPr>
                <w:rFonts w:hint="eastAsia" w:ascii="宋体" w:hAnsi="宋体" w:eastAsia="宋体" w:cs="宋体"/>
                <w:bCs/>
                <w:color w:val="auto"/>
                <w:sz w:val="21"/>
                <w:szCs w:val="21"/>
                <w:highlight w:val="none"/>
              </w:rPr>
              <w:t>具有</w:t>
            </w:r>
            <w:r>
              <w:rPr>
                <w:rFonts w:hint="eastAsia" w:ascii="宋体" w:hAnsi="宋体" w:eastAsia="宋体" w:cs="宋体"/>
                <w:bCs/>
                <w:color w:val="auto"/>
                <w:sz w:val="21"/>
                <w:szCs w:val="21"/>
                <w:highlight w:val="none"/>
                <w:lang w:val="zh-CN"/>
              </w:rPr>
              <w:t>装修修缮</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或翻新改造工程</w:t>
            </w:r>
            <w:r>
              <w:rPr>
                <w:rFonts w:hint="eastAsia" w:ascii="宋体" w:eastAsia="宋体" w:cs="宋体"/>
                <w:bCs/>
                <w:color w:val="auto"/>
                <w:sz w:val="21"/>
                <w:szCs w:val="21"/>
                <w:highlight w:val="none"/>
                <w:lang w:val="zh-CN"/>
              </w:rPr>
              <w:t>）</w:t>
            </w:r>
            <w:r>
              <w:rPr>
                <w:rFonts w:hint="eastAsia" w:ascii="宋体" w:hAnsi="宋体" w:eastAsia="宋体" w:cs="宋体"/>
                <w:bCs/>
                <w:color w:val="auto"/>
                <w:sz w:val="21"/>
                <w:szCs w:val="21"/>
                <w:highlight w:val="none"/>
              </w:rPr>
              <w:t>类</w:t>
            </w:r>
            <w:r>
              <w:rPr>
                <w:rFonts w:hint="eastAsia" w:ascii="宋体" w:hAnsi="宋体" w:eastAsia="宋体" w:cs="宋体"/>
                <w:bCs/>
                <w:color w:val="auto"/>
                <w:sz w:val="21"/>
                <w:szCs w:val="21"/>
                <w:highlight w:val="none"/>
                <w:lang w:val="zh-CN"/>
              </w:rPr>
              <w:t>项目业绩</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注：须提供合同复印件并加盖供应商公章，不符合以上要求</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根据供应商提供的服务响应时间承诺进行评分。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（1）供应商承诺在接到采购人通知后1小时内到现场，得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（2）供应商承诺在接到采购人通知后2小时内到现场，得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（3）供应商承诺在接到采购人通知后3小时内到现场，得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（4）供应商未承诺或承诺在接到采购人通知后超过3小时到现场，不得分。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注：须提供服务承诺书并加盖供应商公章，否则不得分。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技术评分（</w:t>
            </w:r>
            <w:r>
              <w:rPr>
                <w:rFonts w:hint="eastAsia" w:ascii="宋体" w:hAnsi="宋体" w:cs="宋体"/>
                <w:bCs/>
                <w:color w:val="auto"/>
                <w:sz w:val="21"/>
                <w:szCs w:val="21"/>
                <w:highlight w:val="none"/>
                <w:lang w:val="en-US" w:eastAsia="zh-CN"/>
              </w:rPr>
              <w:t>50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根据供应商对本项目现场的熟悉程度、理解及项目重点和难点的分析，以及根据项目重点和难点所采取的措施等进行评价。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现场的熟悉程度深入，重点和难点分析合理、所采取的应急计划和措施可行性强，得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深入，重点和难点分析</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合理、所采取的应急计划和措施可行性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现场的熟悉程度一般，重点和难点分析</w:t>
            </w:r>
            <w:r>
              <w:rPr>
                <w:rFonts w:hint="eastAsia" w:ascii="宋体" w:hAnsi="宋体" w:eastAsia="宋体" w:cs="宋体"/>
                <w:bCs/>
                <w:color w:val="auto"/>
                <w:sz w:val="21"/>
                <w:szCs w:val="21"/>
                <w:highlight w:val="none"/>
                <w:lang w:val="en-US" w:eastAsia="zh-CN"/>
              </w:rPr>
              <w:t>基本合理</w:t>
            </w:r>
            <w:r>
              <w:rPr>
                <w:rFonts w:hint="eastAsia" w:ascii="宋体" w:hAnsi="宋体" w:eastAsia="宋体" w:cs="宋体"/>
                <w:bCs/>
                <w:color w:val="auto"/>
                <w:sz w:val="21"/>
                <w:szCs w:val="21"/>
                <w:highlight w:val="none"/>
              </w:rPr>
              <w:t>、所采取的应急计划和措施可行性一般，得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现场的熟悉程度肤浅，重点和难点分析基本合理、所采取的应急计划和措施可行性较差，得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施工组织方案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施工组织方案的科学性、可行性、完善性等进行综合评价：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施工组织方案针对性强、科学合理、可行有效，得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可行，得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施工组织方案针对性一般、合理</w:t>
            </w:r>
            <w:r>
              <w:rPr>
                <w:rFonts w:hint="eastAsia" w:ascii="宋体" w:hAnsi="宋体" w:eastAsia="宋体" w:cs="宋体"/>
                <w:bCs/>
                <w:color w:val="auto"/>
                <w:sz w:val="21"/>
                <w:szCs w:val="21"/>
                <w:highlight w:val="none"/>
                <w:lang w:val="en-US" w:eastAsia="zh-CN"/>
              </w:rPr>
              <w:t>性一般</w:t>
            </w:r>
            <w:r>
              <w:rPr>
                <w:rFonts w:hint="eastAsia" w:ascii="宋体" w:hAnsi="宋体" w:eastAsia="宋体" w:cs="宋体"/>
                <w:bCs/>
                <w:color w:val="auto"/>
                <w:sz w:val="21"/>
                <w:szCs w:val="21"/>
                <w:highlight w:val="none"/>
                <w:lang w:val="zh-CN"/>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施工组织方案针对性差、不够合理，得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安全文明方案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提供的安全文明措施、配套设备设施、达到的标准及承诺等进行综合评价: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完整科学、可行性强，完全满足并优于招标文件要求，得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强，满足并优于招标文件要求，得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根据供应商提供的应急方案（包括但不限于人员应急方案、现场施工应急方案、恶劣天气应急方案等）进行综合评审：</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方案科学合理完整，可操作性强，可行性强，针对性强，得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方案科学</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合理完整，可操作性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方案基本完整，可操作性一般，可行性一般，针对性一般，得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方案不完整，可操作性差，可行性差，针对性差，得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验收方案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供应商提供的</w:t>
            </w:r>
            <w:r>
              <w:rPr>
                <w:rFonts w:hint="eastAsia" w:ascii="宋体" w:hAnsi="宋体" w:eastAsia="宋体" w:cs="宋体"/>
                <w:bCs/>
                <w:color w:val="auto"/>
                <w:sz w:val="21"/>
                <w:szCs w:val="21"/>
                <w:highlight w:val="none"/>
                <w:lang w:val="zh-CN"/>
              </w:rPr>
              <w:t>验收方案、承诺验收达到标准、整改方案及标准等进行综合评价: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完整科学、可行性强，完全满足并优于招标文件要求，得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强，满足并优于招标文件要求，得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规章制度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根据供应商的规章管理制度进行</w:t>
            </w:r>
            <w:r>
              <w:rPr>
                <w:rFonts w:hint="eastAsia" w:ascii="宋体" w:hAnsi="宋体" w:eastAsia="宋体" w:cs="宋体"/>
                <w:bCs/>
                <w:color w:val="auto"/>
                <w:sz w:val="21"/>
                <w:szCs w:val="21"/>
                <w:highlight w:val="none"/>
              </w:rPr>
              <w:t>综合评审：</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制度完善科学，可行性强，得</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zh-CN"/>
              </w:rPr>
              <w:t>；</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制度基本完整，可行性一般，得</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分；</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制度不完整，可行性较差，得</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未提供</w:t>
            </w:r>
            <w:r>
              <w:rPr>
                <w:rFonts w:hint="eastAsia" w:ascii="宋体" w:hAnsi="宋体" w:eastAsia="宋体" w:cs="宋体"/>
                <w:bCs/>
                <w:color w:val="auto"/>
                <w:sz w:val="21"/>
                <w:szCs w:val="21"/>
                <w:highlight w:val="none"/>
              </w:rPr>
              <w:t>制度</w:t>
            </w:r>
            <w:r>
              <w:rPr>
                <w:rFonts w:hint="eastAsia" w:ascii="宋体" w:hAnsi="宋体" w:eastAsia="宋体" w:cs="宋体"/>
                <w:bCs/>
                <w:color w:val="auto"/>
                <w:sz w:val="21"/>
                <w:szCs w:val="21"/>
                <w:highlight w:val="none"/>
                <w:lang w:val="zh-CN"/>
              </w:rPr>
              <w:t>，得0分。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（2）供应商根据以上评分要求提供的响应材料因模糊不清导致评标委员会无法清晰辨认进行评审的，视为无效材料。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firstLine="0"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（3）若因疫情原因暂缓统一托收或阶段性减免社会保险费而导致无法打印社保缴费证明的需提供书面说明并加盖供应商公章，否则不得分。</w:t>
            </w:r>
          </w:p>
        </w:tc>
      </w:tr>
    </w:tbl>
    <w:p>
      <w:pPr>
        <w:bidi w:val="0"/>
        <w:rPr>
          <w:rFonts w:hint="eastAsia"/>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9685"/>
      <w:bookmarkStart w:id="18" w:name="_Toc24511"/>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4"/>
        <w:keepNext w:val="0"/>
        <w:keepLines w:val="0"/>
        <w:spacing w:before="0" w:after="0" w:line="360" w:lineRule="auto"/>
        <w:jc w:val="center"/>
        <w:rPr>
          <w:rFonts w:ascii="宋体" w:hAnsi="宋体" w:eastAsia="宋体"/>
          <w:color w:val="auto"/>
          <w:sz w:val="24"/>
          <w:szCs w:val="21"/>
          <w:highlight w:val="none"/>
        </w:rPr>
      </w:pPr>
      <w:bookmarkStart w:id="21" w:name="_Toc6968687"/>
      <w:bookmarkStart w:id="22" w:name="_Toc6882675"/>
      <w:bookmarkStart w:id="23" w:name="_Toc28014"/>
      <w:bookmarkStart w:id="24" w:name="_Toc466786434"/>
      <w:bookmarkStart w:id="25" w:name="_Toc24057"/>
      <w:bookmarkStart w:id="26" w:name="_Toc102277756"/>
      <w:bookmarkStart w:id="27" w:name="_Toc507407359"/>
      <w:bookmarkStart w:id="28" w:name="_Toc467236724"/>
      <w:bookmarkStart w:id="29" w:name="_Toc480020241"/>
      <w:bookmarkStart w:id="30" w:name="_Toc48207756"/>
      <w:bookmarkStart w:id="31" w:name="_Toc479991566"/>
      <w:bookmarkStart w:id="32" w:name="_Toc468157520"/>
      <w:bookmarkStart w:id="33" w:name="_Toc458262599"/>
      <w:bookmarkStart w:id="34" w:name="_Toc480021037"/>
      <w:bookmarkStart w:id="35" w:name="_Toc480171863"/>
      <w:bookmarkStart w:id="36" w:name="_Toc468606013"/>
      <w:bookmarkStart w:id="37" w:name="_Toc467987807"/>
      <w:bookmarkStart w:id="38" w:name="_Toc480010692"/>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5"/>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475249114"/>
      <w:bookmarkStart w:id="41" w:name="_Toc10228"/>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5"/>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102277757"/>
      <w:bookmarkStart w:id="47" w:name="_Toc466786435"/>
      <w:bookmarkStart w:id="48" w:name="_Toc507407360"/>
      <w:bookmarkStart w:id="49" w:name="_Toc6882676"/>
      <w:bookmarkStart w:id="50" w:name="_Toc6968688"/>
    </w:p>
    <w:p>
      <w:pPr>
        <w:pStyle w:val="5"/>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5"/>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5"/>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63" w:name="_Toc18108"/>
      <w:bookmarkStart w:id="64" w:name="_Toc110953834"/>
      <w:bookmarkStart w:id="65" w:name="_Toc1619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5"/>
        <w:keepNext w:val="0"/>
        <w:keepLines w:val="0"/>
        <w:numPr>
          <w:ilvl w:val="0"/>
          <w:numId w:val="3"/>
        </w:numPr>
        <w:adjustRightInd/>
        <w:spacing w:before="0" w:after="0" w:line="360" w:lineRule="auto"/>
        <w:rPr>
          <w:rFonts w:hAnsi="宋体"/>
          <w:color w:val="auto"/>
          <w:sz w:val="21"/>
          <w:szCs w:val="21"/>
          <w:highlight w:val="none"/>
        </w:rPr>
      </w:pPr>
      <w:bookmarkStart w:id="70" w:name="_Toc21439"/>
      <w:bookmarkStart w:id="71" w:name="_Toc110953836"/>
      <w:bookmarkStart w:id="72" w:name="_Toc4511"/>
      <w:bookmarkStart w:id="73" w:name="_Toc507407361"/>
      <w:bookmarkStart w:id="74" w:name="_Toc102277758"/>
      <w:bookmarkStart w:id="75" w:name="_Toc466786436"/>
      <w:bookmarkStart w:id="76" w:name="_Toc6882677"/>
      <w:bookmarkStart w:id="77" w:name="_Toc6968689"/>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2"/>
        <w:rPr>
          <w:rFonts w:ascii="宋体" w:hAnsi="宋体" w:eastAsia="宋体" w:cs="宋体"/>
          <w:color w:val="auto"/>
          <w:sz w:val="21"/>
          <w:szCs w:val="21"/>
          <w:highlight w:val="none"/>
        </w:rPr>
      </w:pPr>
    </w:p>
    <w:bookmarkEnd w:id="73"/>
    <w:bookmarkEnd w:id="74"/>
    <w:bookmarkEnd w:id="75"/>
    <w:bookmarkEnd w:id="76"/>
    <w:bookmarkEnd w:id="77"/>
    <w:p>
      <w:pPr>
        <w:pStyle w:val="4"/>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466786437"/>
      <w:bookmarkStart w:id="82" w:name="_Toc6968690"/>
      <w:bookmarkStart w:id="83" w:name="_Toc102277759"/>
      <w:bookmarkStart w:id="84" w:name="_Toc6882678"/>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5"/>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5"/>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1" w:name="_Toc11910"/>
      <w:bookmarkStart w:id="92" w:name="_Toc110953840"/>
      <w:bookmarkStart w:id="93" w:name="_Toc26897"/>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4" w:name="_Toc1662"/>
      <w:bookmarkStart w:id="95" w:name="_Toc110953841"/>
      <w:bookmarkStart w:id="96" w:name="_Toc15387"/>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9" w:name="_Toc467987824"/>
      <w:bookmarkStart w:id="100" w:name="_Toc480020258"/>
      <w:bookmarkStart w:id="101" w:name="_Toc503758471"/>
      <w:bookmarkStart w:id="102" w:name="_Toc479991583"/>
      <w:bookmarkStart w:id="103" w:name="_Toc480010709"/>
      <w:bookmarkStart w:id="104" w:name="_Toc468606030"/>
      <w:bookmarkStart w:id="105" w:name="_Toc468157537"/>
      <w:bookmarkStart w:id="106" w:name="_Toc110953842"/>
      <w:bookmarkStart w:id="107" w:name="_Toc458262615"/>
      <w:bookmarkStart w:id="108" w:name="_Toc25734"/>
      <w:bookmarkStart w:id="109" w:name="_Toc480171880"/>
      <w:bookmarkStart w:id="110" w:name="_Toc10456"/>
      <w:bookmarkStart w:id="111" w:name="_Toc467236741"/>
      <w:bookmarkStart w:id="112" w:name="_Toc454701382"/>
      <w:bookmarkStart w:id="113" w:name="_Toc480021054"/>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2"/>
        <w:rPr>
          <w:rFonts w:ascii="宋体" w:hAnsi="宋体" w:eastAsia="宋体" w:cs="宋体"/>
          <w:color w:val="auto"/>
          <w:sz w:val="21"/>
          <w:szCs w:val="21"/>
          <w:highlight w:val="none"/>
        </w:rPr>
      </w:pPr>
    </w:p>
    <w:bookmarkEnd w:id="81"/>
    <w:bookmarkEnd w:id="82"/>
    <w:bookmarkEnd w:id="83"/>
    <w:bookmarkEnd w:id="84"/>
    <w:bookmarkEnd w:id="85"/>
    <w:p>
      <w:pPr>
        <w:pStyle w:val="4"/>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7006"/>
      <w:bookmarkStart w:id="116" w:name="_Toc110953843"/>
      <w:bookmarkStart w:id="117" w:name="_Toc6882679"/>
      <w:bookmarkStart w:id="118" w:name="_Toc102277760"/>
      <w:bookmarkStart w:id="119" w:name="_Toc6968691"/>
      <w:bookmarkStart w:id="120" w:name="_Toc507407363"/>
      <w:bookmarkStart w:id="121" w:name="_Toc466786438"/>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5"/>
        <w:keepNext w:val="0"/>
        <w:keepLines w:val="0"/>
        <w:numPr>
          <w:ilvl w:val="0"/>
          <w:numId w:val="3"/>
        </w:numPr>
        <w:adjustRightInd/>
        <w:spacing w:before="0" w:after="0" w:line="360" w:lineRule="auto"/>
        <w:rPr>
          <w:rFonts w:hAnsi="宋体"/>
          <w:color w:val="auto"/>
          <w:sz w:val="21"/>
          <w:szCs w:val="21"/>
          <w:highlight w:val="none"/>
        </w:rPr>
      </w:pPr>
      <w:bookmarkStart w:id="122" w:name="_Toc4400"/>
      <w:bookmarkStart w:id="123" w:name="_Toc110953844"/>
      <w:bookmarkStart w:id="124" w:name="_Toc13611"/>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25" w:name="_Toc6425"/>
      <w:bookmarkStart w:id="126" w:name="_Toc5658"/>
      <w:bookmarkStart w:id="127" w:name="_Toc11095384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5"/>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5"/>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6" w:name="_Toc10080"/>
      <w:bookmarkStart w:id="137" w:name="_Toc1080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8" w:name="_Toc17978"/>
      <w:bookmarkStart w:id="139" w:name="_Toc535141844"/>
      <w:bookmarkStart w:id="140" w:name="_Toc17157"/>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5"/>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5"/>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2"/>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8" w:name="_Toc37756778"/>
      <w:bookmarkStart w:id="159" w:name="_Toc3829"/>
      <w:bookmarkStart w:id="160" w:name="_Toc31756"/>
      <w:bookmarkStart w:id="161" w:name="_Toc110953852"/>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5"/>
        <w:keepNext w:val="0"/>
        <w:keepLines w:val="0"/>
        <w:numPr>
          <w:ilvl w:val="0"/>
          <w:numId w:val="3"/>
        </w:numPr>
        <w:adjustRightInd/>
        <w:spacing w:before="0" w:after="0" w:line="360" w:lineRule="auto"/>
        <w:rPr>
          <w:rFonts w:hAnsi="宋体"/>
          <w:color w:val="auto"/>
          <w:sz w:val="21"/>
          <w:szCs w:val="21"/>
          <w:highlight w:val="none"/>
        </w:rPr>
      </w:pPr>
      <w:bookmarkStart w:id="163" w:name="_Toc29253"/>
      <w:bookmarkStart w:id="164" w:name="_Toc18000"/>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65" w:name="_Toc8165"/>
      <w:bookmarkStart w:id="166" w:name="_Toc12802"/>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5"/>
        <w:keepNext w:val="0"/>
        <w:keepLines w:val="0"/>
        <w:numPr>
          <w:ilvl w:val="0"/>
          <w:numId w:val="3"/>
        </w:numPr>
        <w:adjustRightInd/>
        <w:spacing w:before="0" w:after="0" w:line="360" w:lineRule="auto"/>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69" w:name="_Toc20114"/>
      <w:bookmarkStart w:id="170" w:name="_Toc17155"/>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4"/>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5"/>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4"/>
        <w:keepNext w:val="0"/>
        <w:keepLines w:val="0"/>
        <w:spacing w:before="0" w:after="0" w:line="360" w:lineRule="auto"/>
        <w:jc w:val="center"/>
        <w:rPr>
          <w:rFonts w:ascii="宋体" w:hAnsi="宋体" w:eastAsia="宋体"/>
          <w:color w:val="auto"/>
          <w:sz w:val="24"/>
          <w:szCs w:val="21"/>
          <w:highlight w:val="none"/>
        </w:rPr>
      </w:pPr>
      <w:bookmarkStart w:id="176" w:name="_Toc18389"/>
      <w:bookmarkStart w:id="177" w:name="_Toc7834"/>
      <w:bookmarkStart w:id="178" w:name="_Toc52021538"/>
      <w:bookmarkStart w:id="179" w:name="_Toc486671570"/>
      <w:bookmarkStart w:id="180" w:name="_Toc476976198"/>
      <w:bookmarkStart w:id="181" w:name="_Toc51756491"/>
      <w:bookmarkStart w:id="182" w:name="_Toc467050236"/>
      <w:bookmarkStart w:id="183" w:name="_Toc467049706"/>
      <w:bookmarkStart w:id="184" w:name="_Toc457975339"/>
      <w:bookmarkStart w:id="185" w:name="_Toc51939456"/>
      <w:bookmarkStart w:id="186" w:name="_Toc52027926"/>
      <w:bookmarkStart w:id="187" w:name="_Toc467236766"/>
      <w:bookmarkStart w:id="188" w:name="_Toc56353011"/>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5"/>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4"/>
        <w:spacing w:before="0" w:after="0" w:line="240" w:lineRule="auto"/>
        <w:rPr>
          <w:rFonts w:hint="eastAsia"/>
          <w:color w:val="auto"/>
          <w:sz w:val="28"/>
          <w:szCs w:val="28"/>
          <w:highlight w:val="none"/>
        </w:rPr>
      </w:pPr>
      <w:bookmarkStart w:id="191" w:name="_Toc7011"/>
      <w:bookmarkStart w:id="192" w:name="_Toc31854"/>
      <w:bookmarkStart w:id="193" w:name="_Toc316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2"/>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2"/>
        <w:gridCol w:w="1369"/>
        <w:gridCol w:w="67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条款名称</w:t>
            </w:r>
          </w:p>
        </w:tc>
        <w:tc>
          <w:tcPr>
            <w:tcW w:w="384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工期及质保期要求</w:t>
            </w:r>
          </w:p>
        </w:tc>
        <w:tc>
          <w:tcPr>
            <w:tcW w:w="384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签订合同后，</w:t>
            </w:r>
            <w:r>
              <w:rPr>
                <w:rFonts w:hint="eastAsia" w:ascii="宋体" w:hAnsi="宋体"/>
                <w:color w:val="auto"/>
                <w:sz w:val="21"/>
                <w:szCs w:val="21"/>
                <w:highlight w:val="none"/>
                <w:lang w:val="en-US" w:eastAsia="zh-CN"/>
              </w:rPr>
              <w:t>45</w:t>
            </w:r>
            <w:r>
              <w:rPr>
                <w:rFonts w:hint="eastAsia" w:ascii="宋体" w:hAnsi="宋体" w:eastAsia="宋体"/>
                <w:color w:val="auto"/>
                <w:sz w:val="21"/>
                <w:szCs w:val="21"/>
                <w:highlight w:val="none"/>
              </w:rPr>
              <w:t>天内完成（包括供货、施工、安装、调试、验收工作）。项目整体质保期为</w:t>
            </w:r>
            <w:r>
              <w:rPr>
                <w:rFonts w:hint="eastAsia" w:ascii="宋体" w:hAnsi="宋体"/>
                <w:color w:val="auto"/>
                <w:sz w:val="21"/>
                <w:szCs w:val="21"/>
                <w:highlight w:val="none"/>
                <w:lang w:val="en-US" w:eastAsia="zh-CN"/>
              </w:rPr>
              <w:t>三</w:t>
            </w:r>
            <w:r>
              <w:rPr>
                <w:rFonts w:hint="eastAsia" w:ascii="宋体" w:hAnsi="宋体" w:eastAsia="宋体"/>
                <w:color w:val="auto"/>
                <w:sz w:val="21"/>
                <w:szCs w:val="21"/>
                <w:highlight w:val="none"/>
              </w:rPr>
              <w:t>年。施工完毕，并经</w:t>
            </w:r>
            <w:r>
              <w:rPr>
                <w:rFonts w:hint="eastAsia" w:ascii="宋体" w:hAnsi="宋体" w:eastAsia="宋体"/>
                <w:color w:val="auto"/>
                <w:sz w:val="21"/>
                <w:szCs w:val="21"/>
                <w:highlight w:val="none"/>
                <w:lang w:eastAsia="zh-CN"/>
              </w:rPr>
              <w:t>采购方</w:t>
            </w:r>
            <w:r>
              <w:rPr>
                <w:rFonts w:hint="eastAsia" w:ascii="宋体" w:hAnsi="宋体" w:eastAsia="宋体"/>
                <w:color w:val="auto"/>
                <w:sz w:val="21"/>
                <w:szCs w:val="21"/>
                <w:highlight w:val="none"/>
              </w:rPr>
              <w:t>验收合格之日起进入质保期，如遇雨季顺延。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项目地点</w:t>
            </w:r>
          </w:p>
        </w:tc>
        <w:tc>
          <w:tcPr>
            <w:tcW w:w="384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4</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报价内容</w:t>
            </w:r>
          </w:p>
        </w:tc>
        <w:tc>
          <w:tcPr>
            <w:tcW w:w="384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报价一律以人民币报价，其中包括货品价格、税费、安装、施工、运杂费、检测费、项目措施费、工程审核费、施工材料上楼搬运费、办公场所施工配合费、规费、水电拆除暂估及不可预见费用等；供应商成交总价为签订合同价格。在合同有效期内，合同价不受市场价格变化的影响。</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2、承包范围：包人工、材料、机械、工期、质量、安全、文明施工，包调试、试运行、验收，包保修及相关服务的方式进行总包干。</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3、为完成本工程的一切安全施工、文明施工、周边环境的原状恢复费、保险费等以及按政策法规、规范要求实施的工序所引起的费用必须包含在投标报价内，工程结算时不另行追加。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付款方式</w:t>
            </w:r>
          </w:p>
        </w:tc>
        <w:tc>
          <w:tcPr>
            <w:tcW w:w="384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color w:val="auto"/>
                <w:sz w:val="21"/>
                <w:szCs w:val="21"/>
                <w:highlight w:val="none"/>
                <w:lang w:val="en-US" w:eastAsia="zh-CN"/>
              </w:rPr>
            </w:pPr>
            <w:r>
              <w:rPr>
                <w:rFonts w:hint="eastAsia" w:ascii="宋体" w:hAnsi="宋体" w:cs="宋体"/>
                <w:highlight w:val="none"/>
                <w:lang w:val="en-US" w:eastAsia="zh-CN"/>
              </w:rPr>
              <w:t>1</w:t>
            </w:r>
            <w:r>
              <w:rPr>
                <w:rFonts w:hint="eastAsia" w:ascii="宋体" w:hAnsi="宋体" w:eastAsia="宋体" w:cs="宋体"/>
                <w:highlight w:val="none"/>
                <w:lang w:val="en-US" w:eastAsia="zh-CN"/>
              </w:rPr>
              <w:t>、</w:t>
            </w:r>
            <w:r>
              <w:rPr>
                <w:rFonts w:hint="eastAsia" w:ascii="宋体" w:hAnsi="宋体" w:eastAsia="宋体"/>
                <w:color w:val="auto"/>
                <w:sz w:val="21"/>
                <w:szCs w:val="21"/>
                <w:highlight w:val="none"/>
                <w:lang w:eastAsia="zh-CN"/>
              </w:rPr>
              <w:t>签订合同</w:t>
            </w:r>
            <w:r>
              <w:rPr>
                <w:rFonts w:hint="eastAsia" w:ascii="宋体" w:hAnsi="宋体"/>
                <w:color w:val="auto"/>
                <w:sz w:val="21"/>
                <w:szCs w:val="21"/>
                <w:highlight w:val="none"/>
                <w:lang w:val="en-US" w:eastAsia="zh-CN"/>
              </w:rPr>
              <w:t>后，中标人自交</w:t>
            </w:r>
            <w:r>
              <w:rPr>
                <w:rFonts w:hint="eastAsia" w:ascii="宋体" w:hAnsi="宋体" w:eastAsia="宋体"/>
                <w:color w:val="auto"/>
                <w:sz w:val="21"/>
                <w:szCs w:val="21"/>
                <w:highlight w:val="none"/>
                <w:lang w:eastAsia="zh-CN"/>
              </w:rPr>
              <w:t>合同总价</w:t>
            </w:r>
            <w:r>
              <w:rPr>
                <w:rFonts w:hint="eastAsia" w:ascii="宋体" w:hAnsi="宋体"/>
                <w:color w:val="auto"/>
                <w:sz w:val="21"/>
                <w:szCs w:val="21"/>
                <w:highlight w:val="none"/>
                <w:lang w:val="en-US" w:eastAsia="zh-CN"/>
              </w:rPr>
              <w:t>的5%作为质保金，质保期满后，中标人无违约行为，采购人于7个工作日内无息退还中标人。</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color w:val="auto"/>
                <w:sz w:val="21"/>
                <w:szCs w:val="21"/>
                <w:highlight w:val="none"/>
                <w:lang w:eastAsia="zh-CN"/>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eastAsia="zh-CN"/>
              </w:rPr>
              <w:t>签订合同进场</w:t>
            </w:r>
            <w:r>
              <w:rPr>
                <w:rFonts w:hint="eastAsia" w:ascii="宋体" w:hAnsi="宋体"/>
                <w:color w:val="auto"/>
                <w:sz w:val="21"/>
                <w:szCs w:val="21"/>
                <w:highlight w:val="none"/>
                <w:lang w:val="en-US" w:eastAsia="zh-CN"/>
              </w:rPr>
              <w:t>后，采购人向中标人于7个工作日内支</w:t>
            </w:r>
            <w:r>
              <w:rPr>
                <w:rFonts w:hint="eastAsia" w:ascii="宋体" w:hAnsi="宋体" w:eastAsia="宋体"/>
                <w:color w:val="auto"/>
                <w:sz w:val="21"/>
                <w:szCs w:val="21"/>
                <w:highlight w:val="none"/>
                <w:lang w:eastAsia="zh-CN"/>
              </w:rPr>
              <w:t>付合同总价的</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color w:val="auto"/>
                <w:sz w:val="21"/>
                <w:szCs w:val="21"/>
                <w:highlight w:val="none"/>
                <w:lang w:eastAsia="zh-CN"/>
              </w:rPr>
            </w:pP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lang w:eastAsia="zh-CN"/>
              </w:rPr>
              <w:t>工程完工后</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采购人向中标人于7个工作日内</w:t>
            </w:r>
            <w:r>
              <w:rPr>
                <w:rFonts w:hint="eastAsia" w:ascii="宋体" w:hAnsi="宋体" w:eastAsia="宋体"/>
                <w:color w:val="auto"/>
                <w:sz w:val="21"/>
                <w:szCs w:val="21"/>
                <w:highlight w:val="none"/>
                <w:lang w:eastAsia="zh-CN"/>
              </w:rPr>
              <w:t>支付至合同总价</w:t>
            </w:r>
            <w:r>
              <w:rPr>
                <w:rFonts w:hint="eastAsia" w:ascii="宋体" w:hAnsi="宋体"/>
                <w:color w:val="auto"/>
                <w:sz w:val="21"/>
                <w:szCs w:val="21"/>
                <w:highlight w:val="none"/>
                <w:lang w:val="en-US" w:eastAsia="zh-CN"/>
              </w:rPr>
              <w:t>80</w:t>
            </w: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lang w:eastAsia="zh-CN"/>
              </w:rPr>
              <w:t>竣工验收并结算后</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采购人向中标人于7个工作日内支</w:t>
            </w:r>
            <w:r>
              <w:rPr>
                <w:rFonts w:hint="eastAsia" w:ascii="宋体" w:hAnsi="宋体" w:eastAsia="宋体"/>
                <w:color w:val="auto"/>
                <w:sz w:val="21"/>
                <w:szCs w:val="21"/>
                <w:highlight w:val="none"/>
                <w:lang w:eastAsia="zh-CN"/>
              </w:rPr>
              <w:t>付至合同总价</w:t>
            </w:r>
            <w:r>
              <w:rPr>
                <w:rFonts w:hint="eastAsia" w:ascii="宋体" w:hAnsi="宋体"/>
                <w:color w:val="auto"/>
                <w:sz w:val="21"/>
                <w:szCs w:val="21"/>
                <w:highlight w:val="none"/>
                <w:lang w:val="en-US" w:eastAsia="zh-CN"/>
              </w:rPr>
              <w:t>的100</w:t>
            </w:r>
            <w:r>
              <w:rPr>
                <w:rFonts w:hint="eastAsia" w:ascii="宋体" w:hAnsi="宋体" w:eastAsia="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其它要求</w:t>
            </w:r>
          </w:p>
        </w:tc>
        <w:tc>
          <w:tcPr>
            <w:tcW w:w="3843" w:type="pct"/>
          </w:tcPr>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ascii="宋体" w:hAnsi="宋体" w:eastAsia="宋体"/>
                <w:color w:val="auto"/>
                <w:sz w:val="21"/>
                <w:szCs w:val="21"/>
                <w:highlight w:val="none"/>
                <w:lang w:val="en-US" w:eastAsia="zh-CN"/>
              </w:rPr>
            </w:pPr>
            <w:r>
              <w:rPr>
                <w:rFonts w:hint="eastAsia" w:ascii="宋体" w:hAnsi="宋体" w:eastAsia="宋体" w:cs="Times New Roman"/>
                <w:b/>
                <w:bCs/>
                <w:color w:val="auto"/>
                <w:sz w:val="21"/>
                <w:szCs w:val="21"/>
                <w:highlight w:val="none"/>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w:t>
            </w:r>
            <w:r>
              <w:rPr>
                <w:rFonts w:hint="eastAsia" w:ascii="宋体" w:hAnsi="宋体" w:eastAsia="宋体" w:cs="宋体"/>
                <w:color w:val="auto"/>
                <w:sz w:val="21"/>
                <w:szCs w:val="21"/>
                <w:highlight w:val="none"/>
              </w:rPr>
              <w:t>必须为</w:t>
            </w:r>
            <w:r>
              <w:rPr>
                <w:rFonts w:hint="eastAsia" w:ascii="宋体" w:hAnsi="宋体" w:eastAsia="宋体" w:cs="宋体"/>
                <w:color w:val="auto"/>
                <w:sz w:val="21"/>
                <w:szCs w:val="21"/>
                <w:highlight w:val="none"/>
                <w:lang w:val="en-US" w:eastAsia="zh-CN"/>
              </w:rPr>
              <w:t>广东政府采购智慧云平台电子卖场中的集中采购的装修工程目录内</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如未进入目录，则须</w:t>
            </w:r>
            <w:r>
              <w:rPr>
                <w:rFonts w:hint="eastAsia" w:ascii="宋体" w:hAnsi="宋体" w:eastAsia="宋体" w:cs="宋体"/>
                <w:color w:val="auto"/>
                <w:sz w:val="21"/>
                <w:szCs w:val="21"/>
                <w:highlight w:val="none"/>
              </w:rPr>
              <w:t>作出单独承诺，</w:t>
            </w:r>
            <w:r>
              <w:rPr>
                <w:rFonts w:hint="eastAsia" w:ascii="宋体" w:hAnsi="宋体" w:eastAsia="宋体" w:cs="宋体"/>
                <w:color w:val="auto"/>
                <w:sz w:val="21"/>
                <w:szCs w:val="21"/>
                <w:highlight w:val="none"/>
                <w:lang w:val="en-US" w:eastAsia="zh-CN"/>
              </w:rPr>
              <w:t>中标后五个工作日内办理相关手续</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否则</w:t>
            </w:r>
            <w:r>
              <w:rPr>
                <w:rFonts w:hint="eastAsia" w:ascii="宋体" w:hAnsi="宋体" w:eastAsia="宋体" w:cs="宋体"/>
                <w:color w:val="auto"/>
                <w:sz w:val="21"/>
                <w:szCs w:val="21"/>
                <w:highlight w:val="none"/>
              </w:rPr>
              <w:t>采购人有权取消其中标资格。</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单位在</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过程中必须采取足够的安全措施，确保施工的安全，并自行负责相关安全责任。</w:t>
            </w:r>
            <w:r>
              <w:rPr>
                <w:rFonts w:hint="eastAsia" w:ascii="宋体" w:hAnsi="宋体" w:eastAsia="宋体"/>
                <w:color w:val="auto"/>
                <w:sz w:val="21"/>
                <w:szCs w:val="21"/>
                <w:highlight w:val="none"/>
                <w:lang w:eastAsia="zh-CN"/>
              </w:rPr>
              <w:t>采购方</w:t>
            </w:r>
            <w:r>
              <w:rPr>
                <w:rFonts w:hint="eastAsia" w:ascii="宋体" w:hAnsi="宋体" w:eastAsia="宋体"/>
                <w:color w:val="auto"/>
                <w:sz w:val="21"/>
                <w:szCs w:val="21"/>
                <w:highlight w:val="none"/>
              </w:rPr>
              <w:t>只负责基本供水供电，施工工程中发生的任何安全生产事故与</w:t>
            </w:r>
            <w:r>
              <w:rPr>
                <w:rFonts w:hint="eastAsia" w:ascii="宋体" w:hAnsi="宋体" w:eastAsia="宋体"/>
                <w:color w:val="auto"/>
                <w:sz w:val="21"/>
                <w:szCs w:val="21"/>
                <w:highlight w:val="none"/>
                <w:lang w:eastAsia="zh-CN"/>
              </w:rPr>
              <w:t>采购方</w:t>
            </w:r>
            <w:r>
              <w:rPr>
                <w:rFonts w:hint="eastAsia" w:ascii="宋体" w:hAnsi="宋体" w:eastAsia="宋体"/>
                <w:color w:val="auto"/>
                <w:sz w:val="21"/>
                <w:szCs w:val="21"/>
                <w:highlight w:val="none"/>
              </w:rPr>
              <w:t>无关。</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单位在</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过程中，如需对场地作局部破损，必须在修缮实施前取得采购人的书面同意，并承诺负责恢复原状，采购人不另行支付任何费用。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、项目过程中所产生的废弃材料（如废弃土方、拆除废料等）须由</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单位按安装相关规定自行安排处理，采购方将不再另外支付相关费用。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rPr>
              <w:t>、修缮安装及维护过程中，必须保证不得影响采购方办公秩序，否则由此所产生的一切负面影响将由中标单位承担。</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、项目未尽事宜将在采购合同中另行约定，</w:t>
            </w:r>
            <w:r>
              <w:rPr>
                <w:rFonts w:hint="eastAsia" w:ascii="宋体" w:hAnsi="宋体" w:eastAsia="宋体"/>
                <w:color w:val="auto"/>
                <w:sz w:val="21"/>
                <w:szCs w:val="21"/>
                <w:highlight w:val="none"/>
                <w:lang w:eastAsia="zh-CN"/>
              </w:rPr>
              <w:t>施工</w:t>
            </w:r>
            <w:r>
              <w:rPr>
                <w:rFonts w:hint="eastAsia" w:ascii="宋体" w:hAnsi="宋体" w:eastAsia="宋体"/>
                <w:color w:val="auto"/>
                <w:sz w:val="21"/>
                <w:szCs w:val="21"/>
                <w:highlight w:val="none"/>
              </w:rPr>
              <w:t>单位需无条件同意采购单位基于为顺利完成本项目所提出的各项合理要求。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、项目清单为本次采购最低要求，各供应商可以自行优化计划，为本项目设计最优投标方案。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373"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合同条款</w:t>
            </w:r>
          </w:p>
        </w:tc>
        <w:tc>
          <w:tcPr>
            <w:tcW w:w="3843" w:type="pct"/>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供应商实质响应合同各条款。</w:t>
            </w:r>
          </w:p>
        </w:tc>
      </w:tr>
    </w:tbl>
    <w:p>
      <w:pPr>
        <w:bidi w:val="0"/>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pStyle w:val="2"/>
        <w:rPr>
          <w:rFonts w:hint="eastAsia"/>
          <w:color w:val="auto"/>
          <w:highlight w:val="none"/>
          <w:lang w:val="en-US" w:eastAsia="zh-CN"/>
        </w:rPr>
      </w:pPr>
    </w:p>
    <w:p>
      <w:pPr>
        <w:rPr>
          <w:rFonts w:hint="eastAsia"/>
          <w:color w:val="auto"/>
          <w:highlight w:val="none"/>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95" w:name="_Toc19981"/>
      <w:r>
        <w:rPr>
          <w:rFonts w:hint="eastAsia" w:ascii="宋体" w:hAnsi="宋体"/>
          <w:color w:val="auto"/>
          <w:highlight w:val="none"/>
          <w:lang w:val="en-US" w:eastAsia="zh-CN"/>
        </w:rPr>
        <w:t>第二章 技术需求书</w:t>
      </w:r>
      <w:bookmarkEnd w:id="195"/>
    </w:p>
    <w:p>
      <w:pPr>
        <w:pStyle w:val="6"/>
        <w:bidi w:val="0"/>
        <w:rPr>
          <w:color w:val="auto"/>
          <w:highlight w:val="none"/>
        </w:rPr>
      </w:pPr>
      <w:bookmarkStart w:id="196" w:name="_Toc31278"/>
      <w:bookmarkStart w:id="197" w:name="_Toc24679"/>
      <w:bookmarkStart w:id="198" w:name="_Toc14462"/>
      <w:bookmarkStart w:id="199" w:name="_Toc13112"/>
      <w:r>
        <w:rPr>
          <w:rFonts w:hint="eastAsia"/>
          <w:color w:val="auto"/>
          <w:highlight w:val="none"/>
          <w:lang w:val="en-US" w:eastAsia="zh-CN"/>
        </w:rPr>
        <w:t>一、</w:t>
      </w:r>
      <w:r>
        <w:rPr>
          <w:rFonts w:hint="eastAsia"/>
          <w:color w:val="auto"/>
          <w:highlight w:val="none"/>
        </w:rPr>
        <w:t>项目概况</w:t>
      </w:r>
    </w:p>
    <w:p>
      <w:pPr>
        <w:spacing w:after="0" w:line="360" w:lineRule="auto"/>
        <w:ind w:firstLine="630" w:firstLineChars="3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本项目对东莞市第二高级中学旧教学楼外墙面装饰拆除改造、部分外侧窗拆除更换、雨棚拆除新做等。</w:t>
      </w:r>
    </w:p>
    <w:p>
      <w:pPr>
        <w:bidi w:val="0"/>
        <w:rPr>
          <w:color w:val="auto"/>
          <w:highlight w:val="none"/>
        </w:rPr>
      </w:pPr>
    </w:p>
    <w:p>
      <w:pPr>
        <w:pStyle w:val="6"/>
        <w:bidi w:val="0"/>
        <w:rPr>
          <w:rFonts w:eastAsia="宋体"/>
          <w:color w:val="auto"/>
          <w:highlight w:val="none"/>
        </w:rPr>
      </w:pPr>
      <w:r>
        <w:rPr>
          <w:rFonts w:hint="eastAsia" w:eastAsia="宋体"/>
          <w:color w:val="auto"/>
          <w:highlight w:val="none"/>
          <w:lang w:val="en-US" w:eastAsia="zh-CN"/>
        </w:rPr>
        <w:t>二、</w:t>
      </w:r>
      <w:r>
        <w:rPr>
          <w:rFonts w:hint="eastAsia" w:eastAsia="宋体"/>
          <w:color w:val="auto"/>
          <w:highlight w:val="none"/>
        </w:rPr>
        <w:t>技术标准和要求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1、本招标项目的材料、施工、验收须达到现行中华人民共和国以及省、自治区、直辖市、市或行业的工程建设标准、规范的要求。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2、施工要求：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2.1.所采用的材料、设备必须满足国家有关技术操作规程的要求。</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2.2施工组织方案需列明保证施工进度计划实施及保证质量、安全生产、文明施工、环境保护的措施；中标（成交）供应商应结合自身的实际情况制定合理的施工进度计划。</w:t>
      </w:r>
    </w:p>
    <w:p>
      <w:pPr>
        <w:spacing w:after="0"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2.3.结合施工现场的实际情况进行施工组织设计（如须采用较复杂的施工技术的施工方案），施工中因施工方案及施工措施所引起的费用由中标（成交）供应商负责。</w:t>
      </w:r>
    </w:p>
    <w:p>
      <w:pPr>
        <w:bidi w:val="0"/>
        <w:rPr>
          <w:color w:val="auto"/>
          <w:highlight w:val="none"/>
        </w:rPr>
      </w:pPr>
    </w:p>
    <w:p>
      <w:pPr>
        <w:pStyle w:val="6"/>
        <w:bidi w:val="0"/>
        <w:rPr>
          <w:rFonts w:hint="eastAsia" w:eastAsia="宋体"/>
          <w:color w:val="auto"/>
          <w:highlight w:val="none"/>
        </w:rPr>
      </w:pPr>
      <w:r>
        <w:rPr>
          <w:rFonts w:hint="eastAsia" w:eastAsia="宋体"/>
          <w:color w:val="auto"/>
          <w:highlight w:val="none"/>
          <w:lang w:val="en-US" w:eastAsia="zh-CN"/>
        </w:rPr>
        <w:t>三、</w:t>
      </w:r>
      <w:r>
        <w:rPr>
          <w:rFonts w:hint="eastAsia" w:eastAsia="宋体"/>
          <w:color w:val="auto"/>
          <w:highlight w:val="none"/>
        </w:rPr>
        <w:t>质量保证</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1、自项目竣工验收合格之日起算，在质保期内因质量问题以及工程竣工未交付采购人之前因中标（成交）供应商保管不力而导致的返工、翻工、维修等各项相关费用均由中标（成交）供应商承担。</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在施工过程中，中标（成交）供应商必须保证质量，选用的材料和施工质量要求符合合同所列标准。如中标（成交）供应商投标时承诺的技术标准高于采购人要求，则按中标（成交）供应商投标文件的要求标准提供产品及施工。</w:t>
      </w:r>
    </w:p>
    <w:p>
      <w:pPr>
        <w:spacing w:after="0" w:line="360" w:lineRule="auto"/>
        <w:ind w:firstLine="420" w:firstLineChars="200"/>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3、中标（成交）供应商应建立并实施符合工程各项要求的质量管理体系，如因中标（成交）供应商原因，使得项目工作受到影响，相应责任由中标（成交）供应商承担</w:t>
      </w:r>
      <w:r>
        <w:rPr>
          <w:rFonts w:hint="eastAsia" w:ascii="宋体" w:hAnsi="宋体" w:eastAsia="宋体" w:cs="宋体"/>
          <w:color w:val="auto"/>
          <w:sz w:val="21"/>
          <w:szCs w:val="21"/>
          <w:highlight w:val="none"/>
          <w:lang w:eastAsia="zh-CN"/>
        </w:rPr>
        <w:t>。</w:t>
      </w:r>
    </w:p>
    <w:p>
      <w:pPr>
        <w:pStyle w:val="2"/>
        <w:rPr>
          <w:color w:val="auto"/>
          <w:highlight w:val="none"/>
        </w:rPr>
      </w:pPr>
    </w:p>
    <w:p>
      <w:pPr>
        <w:pStyle w:val="6"/>
        <w:bidi w:val="0"/>
        <w:rPr>
          <w:rFonts w:hint="eastAsia" w:eastAsia="宋体"/>
          <w:color w:val="auto"/>
          <w:highlight w:val="none"/>
        </w:rPr>
      </w:pPr>
      <w:r>
        <w:rPr>
          <w:rFonts w:hint="eastAsia" w:eastAsia="宋体"/>
          <w:color w:val="auto"/>
          <w:highlight w:val="none"/>
          <w:lang w:val="en-US" w:eastAsia="zh-CN"/>
        </w:rPr>
        <w:t>四、</w:t>
      </w:r>
      <w:r>
        <w:rPr>
          <w:rFonts w:hint="eastAsia" w:eastAsia="宋体"/>
          <w:color w:val="auto"/>
          <w:highlight w:val="none"/>
        </w:rPr>
        <w:t>服务企业应当履行下列义务</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1、遵守国家法律、法规和政策，遵守社会公德，自觉维护建筑市场秩序。</w:t>
      </w:r>
    </w:p>
    <w:p>
      <w:pPr>
        <w:spacing w:after="0" w:line="360" w:lineRule="auto"/>
        <w:ind w:firstLine="420" w:firstLineChars="200"/>
        <w:textAlignment w:val="baseline"/>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2、遵守诚实信用原则，积极与采购人建立良好合作关系，认真履行服务合同。</w:t>
      </w:r>
    </w:p>
    <w:p>
      <w:pPr>
        <w:spacing w:after="0"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3、严格服从管理要求，自觉接受履约评价。</w:t>
      </w:r>
    </w:p>
    <w:p>
      <w:pPr>
        <w:bidi w:val="0"/>
        <w:rPr>
          <w:rFonts w:hint="eastAsia"/>
          <w:color w:val="auto"/>
          <w:highlight w:val="none"/>
        </w:rPr>
      </w:pPr>
    </w:p>
    <w:p>
      <w:pPr>
        <w:pStyle w:val="6"/>
        <w:numPr>
          <w:ilvl w:val="0"/>
          <w:numId w:val="20"/>
        </w:numPr>
        <w:bidi w:val="0"/>
        <w:rPr>
          <w:rFonts w:hint="eastAsia" w:eastAsia="宋体"/>
          <w:color w:val="auto"/>
          <w:highlight w:val="none"/>
          <w:lang w:val="en-US" w:eastAsia="zh-CN"/>
        </w:rPr>
      </w:pPr>
      <w:r>
        <w:rPr>
          <w:rFonts w:hint="eastAsia" w:eastAsia="宋体"/>
          <w:color w:val="auto"/>
          <w:highlight w:val="none"/>
          <w:lang w:val="en-US" w:eastAsia="zh-CN"/>
        </w:rPr>
        <w:t>工程量清单</w:t>
      </w:r>
    </w:p>
    <w:p>
      <w:pPr>
        <w:numPr>
          <w:ilvl w:val="0"/>
          <w:numId w:val="0"/>
        </w:numPr>
        <w:rPr>
          <w:rFonts w:hint="default"/>
          <w:color w:val="auto"/>
          <w:highlight w:val="none"/>
          <w:lang w:val="en-US" w:eastAsia="zh-CN"/>
        </w:rPr>
      </w:pPr>
    </w:p>
    <w:tbl>
      <w:tblPr>
        <w:tblStyle w:val="22"/>
        <w:tblW w:w="8220" w:type="dxa"/>
        <w:tblInd w:w="0" w:type="dxa"/>
        <w:shd w:val="clear" w:color="auto" w:fill="auto"/>
        <w:tblLayout w:type="autofit"/>
        <w:tblCellMar>
          <w:top w:w="0" w:type="dxa"/>
          <w:left w:w="0" w:type="dxa"/>
          <w:bottom w:w="0" w:type="dxa"/>
          <w:right w:w="0" w:type="dxa"/>
        </w:tblCellMar>
      </w:tblPr>
      <w:tblGrid>
        <w:gridCol w:w="615"/>
        <w:gridCol w:w="1545"/>
        <w:gridCol w:w="4065"/>
        <w:gridCol w:w="870"/>
        <w:gridCol w:w="1125"/>
      </w:tblGrid>
      <w:tr>
        <w:tblPrEx>
          <w:shd w:val="clear" w:color="auto" w:fill="auto"/>
          <w:tblCellMar>
            <w:top w:w="0" w:type="dxa"/>
            <w:left w:w="0" w:type="dxa"/>
            <w:bottom w:w="0" w:type="dxa"/>
            <w:right w:w="0" w:type="dxa"/>
          </w:tblCellMar>
        </w:tblPrEx>
        <w:trPr>
          <w:trHeight w:val="360" w:hRule="atLeast"/>
        </w:trPr>
        <w:tc>
          <w:tcPr>
            <w:tcW w:w="615"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序号</w:t>
            </w:r>
          </w:p>
        </w:tc>
        <w:tc>
          <w:tcPr>
            <w:tcW w:w="154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项目名称</w:t>
            </w:r>
          </w:p>
        </w:tc>
        <w:tc>
          <w:tcPr>
            <w:tcW w:w="406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项目特征描述</w:t>
            </w:r>
          </w:p>
        </w:tc>
        <w:tc>
          <w:tcPr>
            <w:tcW w:w="87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计量</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单位</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工程数量</w:t>
            </w:r>
          </w:p>
        </w:tc>
      </w:tr>
      <w:tr>
        <w:tblPrEx>
          <w:shd w:val="clear" w:color="auto" w:fill="auto"/>
          <w:tblCellMar>
            <w:top w:w="0" w:type="dxa"/>
            <w:left w:w="0" w:type="dxa"/>
            <w:bottom w:w="0" w:type="dxa"/>
            <w:right w:w="0" w:type="dxa"/>
          </w:tblCellMar>
        </w:tblPrEx>
        <w:trPr>
          <w:trHeight w:val="360" w:hRule="atLeast"/>
        </w:trPr>
        <w:tc>
          <w:tcPr>
            <w:tcW w:w="615"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54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406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87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c>
          <w:tcPr>
            <w:tcW w:w="112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36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c>
          <w:tcPr>
            <w:tcW w:w="56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拆除工程</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r>
      <w:tr>
        <w:tblPrEx>
          <w:tblCellMar>
            <w:top w:w="0" w:type="dxa"/>
            <w:left w:w="0" w:type="dxa"/>
            <w:bottom w:w="0" w:type="dxa"/>
            <w:right w:w="0" w:type="dxa"/>
          </w:tblCellMar>
        </w:tblPrEx>
        <w:trPr>
          <w:trHeight w:val="825"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立面块料拆除</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1.拆除部位:外墙面原有旧马赛克瓷片</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2.废料运距:投标人自行考虑</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m2</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4813.14</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原有铁片收缩缝拆除</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1.原有铁片收缩缝拆除</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2.废料运距:投标人自行考虑</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44.00</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原有阳光雨棚拆除</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1.拆除原有阳光雨棚</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2.废料运距:投标人自行考虑</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m2</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31.70</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拆除原有空调铁支架</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1.构件名称:原有空调铁支架</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2.废料运距:投标人自行考虑</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68.00</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拆除原有镀锌铁皮广告字</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1.构件名称:拆除原有镀锌铁皮广告字 翻新后利用</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40.00</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拆除外墙110PVC排水管</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1.拆除外墙PVC100排水管</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115.70</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拆除外墙25PVC排水管</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1.拆除外墙PVC25排水管</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198.10</w:t>
            </w:r>
          </w:p>
        </w:tc>
      </w:tr>
      <w:tr>
        <w:tblPrEx>
          <w:shd w:val="clear" w:color="auto" w:fill="auto"/>
          <w:tblCellMar>
            <w:top w:w="0" w:type="dxa"/>
            <w:left w:w="0" w:type="dxa"/>
            <w:bottom w:w="0" w:type="dxa"/>
            <w:right w:w="0" w:type="dxa"/>
          </w:tblCellMar>
        </w:tblPrEx>
        <w:trPr>
          <w:trHeight w:val="36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c>
          <w:tcPr>
            <w:tcW w:w="56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【拆除工程】分部小计</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6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c>
          <w:tcPr>
            <w:tcW w:w="56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 xml:space="preserve"> 装修工程</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156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墙面一般抹灰</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1.部位:外墙面</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2.刷1mm厚介面剂</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3.面层厚度、砂浆配合比:3mm厚抗裂砂浆2遍，共6厚，面贴玻璃纤维网布一层</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m2</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4813.14</w:t>
            </w:r>
          </w:p>
        </w:tc>
      </w:tr>
      <w:tr>
        <w:tblPrEx>
          <w:shd w:val="clear" w:color="auto" w:fill="auto"/>
          <w:tblCellMar>
            <w:top w:w="0" w:type="dxa"/>
            <w:left w:w="0" w:type="dxa"/>
            <w:bottom w:w="0" w:type="dxa"/>
            <w:right w:w="0" w:type="dxa"/>
          </w:tblCellMar>
        </w:tblPrEx>
        <w:trPr>
          <w:trHeight w:val="825"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墙面涂膜防水</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1.部位:外墙面</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2.防水膜品种:2mm厚聚合物JS防水1遍</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m2</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4813.14</w:t>
            </w:r>
          </w:p>
        </w:tc>
      </w:tr>
      <w:tr>
        <w:tblPrEx>
          <w:shd w:val="clear" w:color="auto" w:fill="auto"/>
          <w:tblCellMar>
            <w:top w:w="0" w:type="dxa"/>
            <w:left w:w="0" w:type="dxa"/>
            <w:bottom w:w="0" w:type="dxa"/>
            <w:right w:w="0" w:type="dxa"/>
          </w:tblCellMar>
        </w:tblPrEx>
        <w:trPr>
          <w:trHeight w:val="40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墙面喷刷涂料</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1.喷刷涂料部位:外墙</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2.刮腻子遍数：批环保外墙腻子灰两遍，打磨抛光</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3.涂料品种、喷刷遍数：油无机外墙防水环保底漆二遍，油无机外墙防水环保面漆二次</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m2</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4813.14</w:t>
            </w:r>
          </w:p>
        </w:tc>
      </w:tr>
      <w:tr>
        <w:tblPrEx>
          <w:shd w:val="clear" w:color="auto" w:fill="auto"/>
          <w:tblCellMar>
            <w:top w:w="0" w:type="dxa"/>
            <w:left w:w="0" w:type="dxa"/>
            <w:bottom w:w="0" w:type="dxa"/>
            <w:right w:w="0" w:type="dxa"/>
          </w:tblCellMar>
        </w:tblPrEx>
        <w:trPr>
          <w:trHeight w:val="120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铝合金窗</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1.框、扇材质:90系列1.4mm厚铝合推拉窗</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2.玻璃品种、厚度:5厚钢化清玻</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m2</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377.00</w:t>
            </w:r>
          </w:p>
        </w:tc>
      </w:tr>
      <w:tr>
        <w:tblPrEx>
          <w:shd w:val="clear" w:color="auto" w:fill="auto"/>
          <w:tblCellMar>
            <w:top w:w="0" w:type="dxa"/>
            <w:left w:w="0" w:type="dxa"/>
            <w:bottom w:w="0" w:type="dxa"/>
            <w:right w:w="0" w:type="dxa"/>
          </w:tblCellMar>
        </w:tblPrEx>
        <w:trPr>
          <w:trHeight w:val="192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12</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采光天棚</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1.骨架类型:304不锈钢支架固定墙面</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2.固定材料品种、规格:25MM*38MM1.5厚304不锈钢方通骨架</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3.面层材料品种、规格:5厘厚透明PC阳光雨棚盖面铝边条固定到骨架</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m2</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31.7</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13</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不锈钢支架</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1.钢材品种、规格:装回原有不锈钢支架</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68.00</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14</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安装原有镀锌铁皮广告字</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1.钢材品种、规格:装回原有镀锌铁片及钛金广告字</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个</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40.00</w:t>
            </w:r>
          </w:p>
        </w:tc>
      </w:tr>
      <w:tr>
        <w:tblPrEx>
          <w:shd w:val="clear" w:color="auto" w:fill="auto"/>
          <w:tblCellMar>
            <w:top w:w="0" w:type="dxa"/>
            <w:left w:w="0" w:type="dxa"/>
            <w:bottom w:w="0" w:type="dxa"/>
            <w:right w:w="0" w:type="dxa"/>
          </w:tblCellMar>
        </w:tblPrEx>
        <w:trPr>
          <w:trHeight w:val="94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15</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空调器</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1.拆卸原室外空调主机</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2.更换空调管保温棉7米并安装调试原室外空调主机</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台</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68.00</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16</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铺种草皮</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1.养护期:1个月</w:t>
            </w:r>
            <w:r>
              <w:rPr>
                <w:rFonts w:hint="eastAsia" w:ascii="宋体" w:hAnsi="宋体" w:eastAsia="宋体" w:cs="宋体"/>
                <w:i w:val="0"/>
                <w:color w:val="auto"/>
                <w:kern w:val="0"/>
                <w:sz w:val="21"/>
                <w:szCs w:val="21"/>
                <w:highlight w:val="none"/>
                <w:u w:val="none"/>
                <w:lang w:val="en-US" w:eastAsia="zh-CN" w:bidi="ar"/>
              </w:rPr>
              <w:br w:type="textWrapping"/>
            </w:r>
            <w:r>
              <w:rPr>
                <w:rFonts w:hint="eastAsia" w:ascii="宋体" w:hAnsi="宋体" w:eastAsia="宋体" w:cs="宋体"/>
                <w:i w:val="0"/>
                <w:color w:val="auto"/>
                <w:kern w:val="0"/>
                <w:sz w:val="21"/>
                <w:szCs w:val="21"/>
                <w:highlight w:val="none"/>
                <w:u w:val="none"/>
                <w:lang w:val="en-US" w:eastAsia="zh-CN" w:bidi="ar"/>
              </w:rPr>
              <w:t>2.草皮种类:复原地面草皮</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m2</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119.00</w:t>
            </w:r>
          </w:p>
        </w:tc>
      </w:tr>
      <w:tr>
        <w:tblPrEx>
          <w:shd w:val="clear" w:color="auto" w:fill="auto"/>
          <w:tblCellMar>
            <w:top w:w="0" w:type="dxa"/>
            <w:left w:w="0" w:type="dxa"/>
            <w:bottom w:w="0" w:type="dxa"/>
            <w:right w:w="0" w:type="dxa"/>
          </w:tblCellMar>
        </w:tblPrEx>
        <w:trPr>
          <w:trHeight w:val="57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17</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墙面变形缝</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1.盖缝材料: 新做20公分宽1.0厚304不锈钢收缩缝</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44.00</w:t>
            </w:r>
          </w:p>
        </w:tc>
      </w:tr>
      <w:tr>
        <w:tblPrEx>
          <w:shd w:val="clear" w:color="auto" w:fill="auto"/>
          <w:tblCellMar>
            <w:top w:w="0" w:type="dxa"/>
            <w:left w:w="0" w:type="dxa"/>
            <w:bottom w:w="0" w:type="dxa"/>
            <w:right w:w="0" w:type="dxa"/>
          </w:tblCellMar>
        </w:tblPrEx>
        <w:trPr>
          <w:trHeight w:val="36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18</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排水管</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1.材质:PVC100排水管</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115.68</w:t>
            </w:r>
          </w:p>
        </w:tc>
      </w:tr>
      <w:tr>
        <w:tblPrEx>
          <w:shd w:val="clear" w:color="auto" w:fill="auto"/>
          <w:tblCellMar>
            <w:top w:w="0" w:type="dxa"/>
            <w:left w:w="0" w:type="dxa"/>
            <w:bottom w:w="0" w:type="dxa"/>
            <w:right w:w="0" w:type="dxa"/>
          </w:tblCellMar>
        </w:tblPrEx>
        <w:trPr>
          <w:trHeight w:val="36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19</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排水管</w:t>
            </w:r>
          </w:p>
        </w:tc>
        <w:tc>
          <w:tcPr>
            <w:tcW w:w="406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1.材质:PVC25排水管</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m</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198.06</w:t>
            </w:r>
          </w:p>
        </w:tc>
      </w:tr>
      <w:tr>
        <w:tblPrEx>
          <w:shd w:val="clear" w:color="auto" w:fill="auto"/>
          <w:tblCellMar>
            <w:top w:w="0" w:type="dxa"/>
            <w:left w:w="0" w:type="dxa"/>
            <w:bottom w:w="0" w:type="dxa"/>
            <w:right w:w="0" w:type="dxa"/>
          </w:tblCellMar>
        </w:tblPrEx>
        <w:trPr>
          <w:trHeight w:val="36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c>
          <w:tcPr>
            <w:tcW w:w="56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【装修工程】分部小计</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auto"/>
                <w:sz w:val="21"/>
                <w:szCs w:val="21"/>
                <w:highlight w:val="none"/>
                <w:u w:val="none"/>
              </w:rPr>
            </w:pP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rPr>
            </w:pPr>
          </w:p>
        </w:tc>
      </w:tr>
      <w:tr>
        <w:tblPrEx>
          <w:shd w:val="clear" w:color="auto" w:fill="auto"/>
          <w:tblCellMar>
            <w:top w:w="0" w:type="dxa"/>
            <w:left w:w="0" w:type="dxa"/>
            <w:bottom w:w="0" w:type="dxa"/>
            <w:right w:w="0" w:type="dxa"/>
          </w:tblCellMar>
        </w:tblPrEx>
        <w:trPr>
          <w:trHeight w:val="360" w:hRule="atLeast"/>
        </w:trPr>
        <w:tc>
          <w:tcPr>
            <w:tcW w:w="615"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bidi="ar-SA"/>
              </w:rPr>
              <w:t>20</w:t>
            </w:r>
          </w:p>
        </w:tc>
        <w:tc>
          <w:tcPr>
            <w:tcW w:w="5610" w:type="dxa"/>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措施项目费</w:t>
            </w:r>
          </w:p>
        </w:tc>
        <w:tc>
          <w:tcPr>
            <w:tcW w:w="87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项</w:t>
            </w:r>
          </w:p>
        </w:tc>
        <w:tc>
          <w:tcPr>
            <w:tcW w:w="112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1</w:t>
            </w:r>
          </w:p>
        </w:tc>
      </w:tr>
    </w:tbl>
    <w:p>
      <w:pPr>
        <w:pStyle w:val="2"/>
        <w:rPr>
          <w:color w:val="auto"/>
          <w:highlight w:val="none"/>
        </w:rPr>
      </w:pPr>
    </w:p>
    <w:p>
      <w:pPr>
        <w:spacing w:after="0" w:line="360" w:lineRule="auto"/>
        <w:ind w:firstLine="422" w:firstLineChars="200"/>
        <w:rPr>
          <w:rFonts w:ascii="宋体" w:hAnsi="宋体" w:eastAsia="宋体" w:cs="Times New Roman"/>
          <w:b/>
          <w:bCs/>
          <w:color w:val="auto"/>
          <w:sz w:val="21"/>
          <w:szCs w:val="21"/>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12485"/>
      <w:bookmarkStart w:id="201" w:name="_Toc21448"/>
    </w:p>
    <w:p>
      <w:pPr>
        <w:bidi w:val="0"/>
        <w:rPr>
          <w:rFonts w:hint="eastAsia" w:eastAsia="宋体"/>
          <w:color w:val="auto"/>
          <w:highlight w:val="none"/>
          <w:lang w:eastAsia="zh-CN"/>
        </w:rPr>
      </w:pPr>
    </w:p>
    <w:p>
      <w:pPr>
        <w:pStyle w:val="2"/>
        <w:rPr>
          <w:rFonts w:hint="eastAsia" w:eastAsia="宋体"/>
          <w:color w:val="auto"/>
          <w:highlight w:val="none"/>
          <w:lang w:eastAsia="zh-CN"/>
        </w:rPr>
      </w:pPr>
    </w:p>
    <w:p>
      <w:pPr>
        <w:rPr>
          <w:rFonts w:hint="eastAsia" w:eastAsia="宋体"/>
          <w:color w:val="auto"/>
          <w:highlight w:val="none"/>
          <w:lang w:eastAsia="zh-CN"/>
        </w:rPr>
      </w:pPr>
    </w:p>
    <w:p>
      <w:pPr>
        <w:pStyle w:val="2"/>
        <w:rPr>
          <w:rFonts w:hint="eastAsia" w:eastAsia="宋体"/>
          <w:color w:val="auto"/>
          <w:highlight w:val="none"/>
          <w:lang w:eastAsia="zh-CN"/>
        </w:rPr>
      </w:pPr>
    </w:p>
    <w:p>
      <w:pPr>
        <w:rPr>
          <w:rFonts w:hint="eastAsia" w:eastAsia="宋体"/>
          <w:color w:val="auto"/>
          <w:highlight w:val="none"/>
          <w:lang w:eastAsia="zh-CN"/>
        </w:rPr>
      </w:pPr>
    </w:p>
    <w:p>
      <w:pPr>
        <w:pStyle w:val="2"/>
        <w:rPr>
          <w:rFonts w:hint="eastAsia" w:eastAsia="宋体"/>
          <w:color w:val="auto"/>
          <w:highlight w:val="none"/>
          <w:lang w:eastAsia="zh-CN"/>
        </w:rPr>
      </w:pPr>
    </w:p>
    <w:p>
      <w:pPr>
        <w:rPr>
          <w:rFonts w:hint="eastAsia"/>
          <w:color w:val="auto"/>
          <w:highlight w:val="none"/>
          <w:lang w:eastAsia="zh-CN"/>
        </w:rPr>
      </w:pPr>
    </w:p>
    <w:p>
      <w:pPr>
        <w:pStyle w:val="4"/>
        <w:spacing w:before="0" w:after="0" w:line="240" w:lineRule="auto"/>
        <w:rPr>
          <w:color w:val="auto"/>
          <w:sz w:val="28"/>
          <w:szCs w:val="28"/>
          <w:highlight w:val="none"/>
        </w:rPr>
      </w:pPr>
      <w:bookmarkStart w:id="202"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3430"/>
      <w:bookmarkStart w:id="204" w:name="_Toc21155"/>
      <w:bookmarkStart w:id="205" w:name="_Toc1534"/>
    </w:p>
    <w:p>
      <w:pPr>
        <w:pStyle w:val="5"/>
        <w:spacing w:before="0" w:after="0" w:line="240" w:lineRule="auto"/>
        <w:jc w:val="center"/>
        <w:rPr>
          <w:rFonts w:ascii="宋体" w:hAnsi="宋体" w:eastAsia="宋体" w:cs="宋体"/>
          <w:color w:val="auto"/>
          <w:highlight w:val="none"/>
        </w:rPr>
      </w:pPr>
      <w:bookmarkStart w:id="206" w:name="_Toc16730"/>
      <w:bookmarkStart w:id="207" w:name="_Toc29470"/>
      <w:bookmarkStart w:id="208" w:name="_Toc19575"/>
      <w:r>
        <w:rPr>
          <w:rFonts w:hint="eastAsia" w:ascii="宋体" w:hAnsi="宋体" w:eastAsia="宋体" w:cs="宋体"/>
          <w:color w:val="auto"/>
          <w:highlight w:val="none"/>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2"/>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209" w:name="_Toc23749"/>
      <w:bookmarkStart w:id="210" w:name="_Toc31587"/>
      <w:bookmarkStart w:id="211" w:name="_Toc1515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26830"/>
      <w:bookmarkStart w:id="213" w:name="_Toc2434"/>
      <w:bookmarkStart w:id="214" w:name="_Toc6790"/>
      <w:r>
        <w:rPr>
          <w:rFonts w:hint="eastAsia"/>
          <w:color w:val="auto"/>
          <w:highlight w:val="none"/>
          <w:lang w:eastAsia="zh-CN"/>
        </w:rPr>
        <w:t>响应文件</w:t>
      </w:r>
      <w:r>
        <w:rPr>
          <w:rFonts w:hint="eastAsia"/>
          <w:color w:val="auto"/>
          <w:highlight w:val="none"/>
        </w:rPr>
        <w:t>目录</w:t>
      </w:r>
      <w:bookmarkEnd w:id="212"/>
      <w:bookmarkEnd w:id="213"/>
      <w:bookmarkEnd w:id="214"/>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28116"/>
      <w:bookmarkStart w:id="216" w:name="_Toc18893"/>
      <w:bookmarkStart w:id="217" w:name="_Toc25502"/>
      <w:r>
        <w:rPr>
          <w:rFonts w:hint="eastAsia"/>
          <w:color w:val="auto"/>
          <w:highlight w:val="none"/>
        </w:rPr>
        <w:t>评分标准索引表</w:t>
      </w:r>
      <w:bookmarkEnd w:id="215"/>
      <w:bookmarkEnd w:id="216"/>
      <w:bookmarkEnd w:id="217"/>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1"/>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22080"/>
      <w:bookmarkStart w:id="219" w:name="_Toc19057"/>
      <w:bookmarkStart w:id="220" w:name="_Toc30640"/>
      <w:r>
        <w:rPr>
          <w:rFonts w:hint="eastAsia"/>
          <w:color w:val="auto"/>
          <w:highlight w:val="none"/>
          <w:lang w:val="en-US" w:eastAsia="zh-CN"/>
        </w:rPr>
        <w:t>第一章价格文件</w:t>
      </w:r>
      <w:bookmarkEnd w:id="218"/>
      <w:bookmarkEnd w:id="219"/>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4168"/>
      <w:bookmarkStart w:id="222" w:name="_Toc29262"/>
      <w:r>
        <w:rPr>
          <w:rFonts w:hint="eastAsia"/>
          <w:color w:val="auto"/>
          <w:highlight w:val="none"/>
          <w:lang w:val="en-US" w:eastAsia="zh-CN"/>
        </w:rPr>
        <w:t>一、报价一览表</w:t>
      </w:r>
      <w:bookmarkEnd w:id="221"/>
      <w:bookmarkEnd w:id="222"/>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29258"/>
      <w:bookmarkStart w:id="224" w:name="_Toc31062"/>
      <w:r>
        <w:rPr>
          <w:rFonts w:hint="eastAsia"/>
          <w:color w:val="auto"/>
          <w:highlight w:val="none"/>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0974"/>
      <w:bookmarkStart w:id="226" w:name="_Toc1473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6718"/>
      <w:bookmarkStart w:id="228" w:name="_Toc17483"/>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8170"/>
      <w:bookmarkStart w:id="230" w:name="_Toc10853"/>
      <w:r>
        <w:rPr>
          <w:rFonts w:hint="eastAsia"/>
          <w:color w:val="auto"/>
          <w:highlight w:val="none"/>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8560"/>
      <w:bookmarkStart w:id="232" w:name="_Toc312"/>
      <w:r>
        <w:rPr>
          <w:rFonts w:hint="eastAsia"/>
          <w:color w:val="auto"/>
          <w:highlight w:val="none"/>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30277"/>
      <w:bookmarkStart w:id="234" w:name="_Toc508958703"/>
      <w:bookmarkStart w:id="235" w:name="_Toc508898066"/>
      <w:bookmarkStart w:id="236" w:name="_Toc509479530"/>
      <w:bookmarkStart w:id="237" w:name="_Toc510171693"/>
      <w:bookmarkStart w:id="238" w:name="_Toc17761"/>
      <w:bookmarkStart w:id="239" w:name="_Toc22970"/>
      <w:bookmarkStart w:id="240" w:name="_Toc508960153"/>
      <w:bookmarkStart w:id="241" w:name="_Toc509844825"/>
      <w:bookmarkStart w:id="242" w:name="_Toc20910"/>
      <w:bookmarkStart w:id="243" w:name="_Toc30247"/>
      <w:bookmarkStart w:id="244" w:name="_Toc509927455"/>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28527"/>
      <w:bookmarkStart w:id="246" w:name="_Toc21053"/>
      <w:bookmarkStart w:id="247" w:name="_Toc5447"/>
      <w:bookmarkStart w:id="248" w:name="_Toc508960154"/>
      <w:bookmarkStart w:id="249" w:name="_Toc509927456"/>
      <w:bookmarkStart w:id="250" w:name="_Toc26216"/>
      <w:bookmarkStart w:id="251" w:name="_Toc508958704"/>
      <w:bookmarkStart w:id="252" w:name="_Toc508898067"/>
      <w:bookmarkStart w:id="253" w:name="_Toc31520"/>
      <w:bookmarkStart w:id="254" w:name="_Toc509844826"/>
      <w:bookmarkStart w:id="255" w:name="_Toc509479531"/>
      <w:bookmarkStart w:id="256" w:name="_Toc510171694"/>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509479532"/>
      <w:bookmarkStart w:id="258" w:name="_Toc9148"/>
      <w:bookmarkStart w:id="259" w:name="_Toc28126"/>
      <w:bookmarkStart w:id="260" w:name="_Toc28626"/>
      <w:bookmarkStart w:id="261" w:name="_Toc510171695"/>
      <w:bookmarkStart w:id="262" w:name="_Toc508898068"/>
      <w:bookmarkStart w:id="263" w:name="_Toc24848"/>
      <w:bookmarkStart w:id="264" w:name="_Toc508958705"/>
      <w:bookmarkStart w:id="265" w:name="_Toc508960155"/>
      <w:bookmarkStart w:id="266" w:name="_Toc509927457"/>
      <w:bookmarkStart w:id="267" w:name="_Toc509844827"/>
      <w:bookmarkStart w:id="268" w:name="_Toc14653"/>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510171696"/>
      <w:bookmarkStart w:id="270" w:name="_Toc22981"/>
      <w:bookmarkStart w:id="271" w:name="_Toc508898069"/>
      <w:bookmarkStart w:id="272" w:name="_Toc7858"/>
      <w:bookmarkStart w:id="273" w:name="_Toc9837"/>
      <w:bookmarkStart w:id="274" w:name="_Toc28686"/>
      <w:bookmarkStart w:id="275" w:name="_Toc509844828"/>
      <w:bookmarkStart w:id="276" w:name="_Toc509479533"/>
      <w:bookmarkStart w:id="277" w:name="_Toc509927458"/>
      <w:bookmarkStart w:id="278" w:name="_Toc28044"/>
      <w:bookmarkStart w:id="279" w:name="_Toc508960156"/>
      <w:bookmarkStart w:id="280" w:name="_Toc508958706"/>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508898070"/>
      <w:bookmarkStart w:id="282" w:name="_Toc508960157"/>
      <w:bookmarkStart w:id="283" w:name="_Toc509927459"/>
      <w:bookmarkStart w:id="284" w:name="_Toc509844829"/>
      <w:bookmarkStart w:id="285" w:name="_Toc509479534"/>
      <w:bookmarkStart w:id="286" w:name="_Toc5289"/>
      <w:bookmarkStart w:id="287" w:name="_Toc510171697"/>
      <w:bookmarkStart w:id="288" w:name="_Toc18843"/>
      <w:bookmarkStart w:id="289" w:name="_Toc50895870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486"/>
      <w:bookmarkStart w:id="291" w:name="_Toc23948"/>
      <w:r>
        <w:rPr>
          <w:rFonts w:hint="eastAsia"/>
          <w:color w:val="auto"/>
          <w:highlight w:val="none"/>
          <w:lang w:val="en-US" w:eastAsia="zh-CN"/>
        </w:rPr>
        <w:t>第二章商务文件</w:t>
      </w:r>
      <w:bookmarkEnd w:id="290"/>
      <w:bookmarkEnd w:id="291"/>
    </w:p>
    <w:bookmarkEnd w:id="220"/>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4151"/>
      <w:bookmarkStart w:id="293" w:name="_Toc23787"/>
      <w:r>
        <w:rPr>
          <w:rFonts w:hint="eastAsia"/>
          <w:color w:val="auto"/>
          <w:highlight w:val="none"/>
          <w:lang w:val="en-US" w:eastAsia="zh-CN"/>
        </w:rPr>
        <w:t>一、响应函</w:t>
      </w:r>
      <w:bookmarkEnd w:id="292"/>
      <w:bookmarkEnd w:id="293"/>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27961"/>
      <w:bookmarkStart w:id="295" w:name="_Toc15719"/>
      <w:r>
        <w:rPr>
          <w:rFonts w:hint="eastAsia"/>
          <w:color w:val="auto"/>
          <w:highlight w:val="none"/>
          <w:lang w:val="en-US" w:eastAsia="zh-CN"/>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296"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335"/>
      <w:bookmarkStart w:id="298" w:name="_Toc21273"/>
      <w:r>
        <w:rPr>
          <w:rFonts w:hint="eastAsia"/>
          <w:color w:val="auto"/>
          <w:highlight w:val="none"/>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13243"/>
      <w:bookmarkStart w:id="300" w:name="_Toc32128"/>
      <w:r>
        <w:rPr>
          <w:rFonts w:hint="eastAsia"/>
          <w:color w:val="auto"/>
          <w:highlight w:val="none"/>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11689"/>
      <w:bookmarkStart w:id="302" w:name="_Toc5918"/>
      <w:r>
        <w:rPr>
          <w:rFonts w:hint="eastAsia"/>
          <w:color w:val="auto"/>
          <w:highlight w:val="none"/>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4013"/>
      <w:bookmarkStart w:id="305" w:name="_Toc1197"/>
      <w:r>
        <w:rPr>
          <w:rFonts w:hint="eastAsia"/>
          <w:color w:val="auto"/>
          <w:highlight w:val="none"/>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11992"/>
      <w:bookmarkStart w:id="307" w:name="_Toc17470"/>
      <w:bookmarkStart w:id="308" w:name="_Toc29995"/>
      <w:bookmarkStart w:id="309" w:name="_Toc1511"/>
      <w:bookmarkStart w:id="310" w:name="_Toc4926"/>
      <w:bookmarkStart w:id="311" w:name="_Toc24210"/>
      <w:bookmarkStart w:id="312" w:name="_Toc5919"/>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29439"/>
      <w:bookmarkStart w:id="314" w:name="_Toc12706"/>
      <w:r>
        <w:rPr>
          <w:rFonts w:hint="eastAsia"/>
          <w:color w:val="auto"/>
          <w:highlight w:val="none"/>
          <w:lang w:val="en-US" w:eastAsia="zh-CN"/>
        </w:rPr>
        <w:t>八、</w:t>
      </w:r>
      <w:r>
        <w:rPr>
          <w:rFonts w:hint="eastAsia"/>
          <w:color w:val="auto"/>
          <w:highlight w:val="none"/>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14482"/>
      <w:bookmarkStart w:id="316" w:name="_Toc23341"/>
      <w:r>
        <w:rPr>
          <w:rFonts w:hint="eastAsia"/>
          <w:color w:val="auto"/>
          <w:highlight w:val="none"/>
          <w:lang w:val="en-US" w:eastAsia="zh-CN"/>
        </w:rPr>
        <w:t>九、</w:t>
      </w:r>
      <w:r>
        <w:rPr>
          <w:rFonts w:hint="eastAsia"/>
          <w:color w:val="auto"/>
          <w:highlight w:val="none"/>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31815"/>
      <w:bookmarkStart w:id="319" w:name="_Toc13653"/>
      <w:r>
        <w:rPr>
          <w:rFonts w:hint="eastAsia"/>
          <w:color w:val="auto"/>
          <w:highlight w:val="none"/>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1975"/>
      <w:bookmarkStart w:id="321" w:name="_Toc21582"/>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2"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25391"/>
      <w:bookmarkStart w:id="324" w:name="_Toc7350"/>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25650"/>
      <w:bookmarkStart w:id="326" w:name="_Toc14688"/>
      <w:r>
        <w:rPr>
          <w:rFonts w:hint="eastAsia"/>
          <w:color w:val="auto"/>
          <w:highlight w:val="none"/>
          <w:lang w:val="en-US" w:eastAsia="zh-CN"/>
        </w:rPr>
        <w:t>第三章技术文件</w:t>
      </w:r>
      <w:bookmarkEnd w:id="322"/>
      <w:bookmarkEnd w:id="325"/>
      <w:bookmarkEnd w:id="32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7092"/>
      <w:bookmarkStart w:id="328" w:name="_Toc13588"/>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18668"/>
      <w:bookmarkStart w:id="331" w:name="_Toc26078"/>
      <w:bookmarkStart w:id="332" w:name="_Toc6080"/>
      <w:bookmarkStart w:id="333" w:name="_Toc4464"/>
      <w:bookmarkStart w:id="334" w:name="_Toc1274"/>
      <w:bookmarkStart w:id="335" w:name="_Toc4827"/>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28702"/>
      <w:bookmarkStart w:id="337" w:name="_Toc10734"/>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9642"/>
            <w:bookmarkStart w:id="339" w:name="_Toc27079"/>
            <w:bookmarkStart w:id="340" w:name="_Toc29560"/>
            <w:bookmarkStart w:id="341" w:name="_Toc2784"/>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27090"/>
            <w:bookmarkStart w:id="343" w:name="_Toc10045"/>
            <w:bookmarkStart w:id="344" w:name="_Toc1016"/>
            <w:bookmarkStart w:id="345" w:name="_Toc4304"/>
            <w:bookmarkStart w:id="346" w:name="_Toc12049"/>
            <w:bookmarkStart w:id="347" w:name="_Toc2700"/>
            <w:bookmarkStart w:id="348" w:name="_Toc26124"/>
            <w:bookmarkStart w:id="349" w:name="_Toc14815"/>
            <w:bookmarkStart w:id="350" w:name="_Toc22448"/>
            <w:bookmarkStart w:id="351" w:name="_Toc6189"/>
            <w:bookmarkStart w:id="352" w:name="_Toc16872"/>
            <w:bookmarkStart w:id="353" w:name="_Toc15368"/>
            <w:bookmarkStart w:id="354" w:name="_Toc21739"/>
            <w:bookmarkStart w:id="355" w:name="_Toc15903"/>
            <w:bookmarkStart w:id="356" w:name="_Toc32531"/>
            <w:bookmarkStart w:id="357" w:name="_Toc19251"/>
            <w:bookmarkStart w:id="358" w:name="_Toc22917"/>
            <w:bookmarkStart w:id="359" w:name="_Toc27442"/>
            <w:bookmarkStart w:id="360" w:name="_Toc22879"/>
            <w:bookmarkStart w:id="361" w:name="_Toc24662"/>
            <w:bookmarkStart w:id="362" w:name="_Toc21809"/>
            <w:bookmarkStart w:id="363" w:name="_Toc8490"/>
            <w:bookmarkStart w:id="364" w:name="_Toc7333"/>
            <w:bookmarkStart w:id="365" w:name="_Toc831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10122"/>
            <w:bookmarkStart w:id="367" w:name="_Toc2408"/>
            <w:bookmarkStart w:id="368" w:name="_Toc22153"/>
            <w:bookmarkStart w:id="369" w:name="_Toc21496"/>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16003"/>
            <w:bookmarkStart w:id="371" w:name="_Toc27285"/>
            <w:bookmarkStart w:id="372" w:name="_Toc29838"/>
            <w:bookmarkStart w:id="373" w:name="_Toc16432"/>
            <w:bookmarkStart w:id="374" w:name="_Toc5563"/>
            <w:bookmarkStart w:id="375" w:name="_Toc20820"/>
            <w:bookmarkStart w:id="376" w:name="_Toc17642"/>
            <w:bookmarkStart w:id="377" w:name="_Toc3701"/>
            <w:bookmarkStart w:id="378" w:name="_Toc20139"/>
            <w:bookmarkStart w:id="379" w:name="_Toc1330"/>
            <w:bookmarkStart w:id="380" w:name="_Toc5992"/>
            <w:bookmarkStart w:id="381" w:name="_Toc1912"/>
            <w:bookmarkStart w:id="382" w:name="_Toc27185"/>
            <w:bookmarkStart w:id="383" w:name="_Toc17296"/>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3520"/>
            <w:bookmarkStart w:id="385" w:name="_Toc19105"/>
            <w:bookmarkStart w:id="386" w:name="_Toc857"/>
            <w:bookmarkStart w:id="387" w:name="_Toc31920"/>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3"/>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328"/>
      <w:bookmarkStart w:id="392" w:name="_Toc16875"/>
      <w:r>
        <w:rPr>
          <w:rFonts w:hint="eastAsia"/>
          <w:color w:val="auto"/>
          <w:highlight w:val="none"/>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27978"/>
      <w:bookmarkStart w:id="394" w:name="_Toc15431"/>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2"/>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26782"/>
      <w:bookmarkStart w:id="397" w:name="_Toc17348"/>
      <w:r>
        <w:rPr>
          <w:rFonts w:hint="eastAsia"/>
          <w:color w:val="auto"/>
          <w:highlight w:val="none"/>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13881"/>
      <w:bookmarkStart w:id="400" w:name="_Toc22736"/>
      <w:r>
        <w:rPr>
          <w:rFonts w:hint="eastAsia"/>
          <w:color w:val="auto"/>
          <w:highlight w:val="none"/>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9F8F7DA4"/>
    <w:multiLevelType w:val="singleLevel"/>
    <w:tmpl w:val="9F8F7DA4"/>
    <w:lvl w:ilvl="0" w:tentative="0">
      <w:start w:val="5"/>
      <w:numFmt w:val="chineseCounting"/>
      <w:suff w:val="nothing"/>
      <w:lvlText w:val="%1、"/>
      <w:lvlJc w:val="left"/>
      <w:rPr>
        <w:rFonts w:hint="eastAsia"/>
      </w:rPr>
    </w:lvl>
  </w:abstractNum>
  <w:abstractNum w:abstractNumId="4">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5">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6">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7">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8">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9">
    <w:nsid w:val="CFF174A5"/>
    <w:multiLevelType w:val="singleLevel"/>
    <w:tmpl w:val="CFF174A5"/>
    <w:lvl w:ilvl="0" w:tentative="0">
      <w:start w:val="1"/>
      <w:numFmt w:val="decimal"/>
      <w:suff w:val="nothing"/>
      <w:lvlText w:val="%1、"/>
      <w:lvlJc w:val="left"/>
    </w:lvl>
  </w:abstractNum>
  <w:abstractNum w:abstractNumId="10">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1">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4">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5">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6">
    <w:nsid w:val="316010E5"/>
    <w:multiLevelType w:val="singleLevel"/>
    <w:tmpl w:val="316010E5"/>
    <w:lvl w:ilvl="0" w:tentative="0">
      <w:start w:val="1"/>
      <w:numFmt w:val="decimal"/>
      <w:suff w:val="nothing"/>
      <w:lvlText w:val="%1．"/>
      <w:lvlJc w:val="left"/>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2"/>
  </w:num>
  <w:num w:numId="2">
    <w:abstractNumId w:val="18"/>
  </w:num>
  <w:num w:numId="3">
    <w:abstractNumId w:val="11"/>
  </w:num>
  <w:num w:numId="4">
    <w:abstractNumId w:val="23"/>
  </w:num>
  <w:num w:numId="5">
    <w:abstractNumId w:val="19"/>
  </w:num>
  <w:num w:numId="6">
    <w:abstractNumId w:val="5"/>
  </w:num>
  <w:num w:numId="7">
    <w:abstractNumId w:val="6"/>
  </w:num>
  <w:num w:numId="8">
    <w:abstractNumId w:val="0"/>
  </w:num>
  <w:num w:numId="9">
    <w:abstractNumId w:val="1"/>
  </w:num>
  <w:num w:numId="10">
    <w:abstractNumId w:val="17"/>
  </w:num>
  <w:num w:numId="11">
    <w:abstractNumId w:val="15"/>
  </w:num>
  <w:num w:numId="12">
    <w:abstractNumId w:val="8"/>
  </w:num>
  <w:num w:numId="13">
    <w:abstractNumId w:val="7"/>
  </w:num>
  <w:num w:numId="14">
    <w:abstractNumId w:val="20"/>
  </w:num>
  <w:num w:numId="15">
    <w:abstractNumId w:val="4"/>
  </w:num>
  <w:num w:numId="16">
    <w:abstractNumId w:val="10"/>
  </w:num>
  <w:num w:numId="17">
    <w:abstractNumId w:val="13"/>
  </w:num>
  <w:num w:numId="18">
    <w:abstractNumId w:val="14"/>
  </w:num>
  <w:num w:numId="19">
    <w:abstractNumId w:val="21"/>
  </w:num>
  <w:num w:numId="20">
    <w:abstractNumId w:val="3"/>
  </w:num>
  <w:num w:numId="21">
    <w:abstractNumId w:val="9"/>
  </w:num>
  <w:num w:numId="22">
    <w:abstractNumId w:val="12"/>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A534D5"/>
    <w:rsid w:val="0AA650EB"/>
    <w:rsid w:val="0AB8066A"/>
    <w:rsid w:val="0AF47339"/>
    <w:rsid w:val="0B22594B"/>
    <w:rsid w:val="0B6709D0"/>
    <w:rsid w:val="0B797387"/>
    <w:rsid w:val="0BC044BE"/>
    <w:rsid w:val="0BDF26F7"/>
    <w:rsid w:val="0C264099"/>
    <w:rsid w:val="0C2B4952"/>
    <w:rsid w:val="0C7B2220"/>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1200D07"/>
    <w:rsid w:val="11DA73AF"/>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135859"/>
    <w:rsid w:val="19A2789F"/>
    <w:rsid w:val="1A3109F9"/>
    <w:rsid w:val="1A460CF5"/>
    <w:rsid w:val="1A7F297D"/>
    <w:rsid w:val="1AB16AC1"/>
    <w:rsid w:val="1B034A52"/>
    <w:rsid w:val="1B1F34AD"/>
    <w:rsid w:val="1B8D5DC6"/>
    <w:rsid w:val="1BA7712F"/>
    <w:rsid w:val="1BFE1D3B"/>
    <w:rsid w:val="1C2775EC"/>
    <w:rsid w:val="1C750ECE"/>
    <w:rsid w:val="1CA22168"/>
    <w:rsid w:val="1D0836D7"/>
    <w:rsid w:val="1D196139"/>
    <w:rsid w:val="1D3A2A58"/>
    <w:rsid w:val="1DB85900"/>
    <w:rsid w:val="1DF051AF"/>
    <w:rsid w:val="1E010AF7"/>
    <w:rsid w:val="1E0178EB"/>
    <w:rsid w:val="1E301173"/>
    <w:rsid w:val="1E38333E"/>
    <w:rsid w:val="1E5C7612"/>
    <w:rsid w:val="1EA40BB4"/>
    <w:rsid w:val="1F43381C"/>
    <w:rsid w:val="1F84495C"/>
    <w:rsid w:val="1FA4148D"/>
    <w:rsid w:val="1FA86F5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58C3BEC"/>
    <w:rsid w:val="25A92CDD"/>
    <w:rsid w:val="25E44366"/>
    <w:rsid w:val="25E576CC"/>
    <w:rsid w:val="260E3862"/>
    <w:rsid w:val="262569FC"/>
    <w:rsid w:val="26344C9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586210"/>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FF27D2"/>
    <w:rsid w:val="311573CF"/>
    <w:rsid w:val="31170995"/>
    <w:rsid w:val="31264A30"/>
    <w:rsid w:val="31884E67"/>
    <w:rsid w:val="31A0275E"/>
    <w:rsid w:val="31B7357A"/>
    <w:rsid w:val="31E14405"/>
    <w:rsid w:val="31ED6B08"/>
    <w:rsid w:val="31F915C9"/>
    <w:rsid w:val="322650EA"/>
    <w:rsid w:val="32610CE6"/>
    <w:rsid w:val="328464CE"/>
    <w:rsid w:val="32AB70C5"/>
    <w:rsid w:val="32DC33E0"/>
    <w:rsid w:val="335D0AF5"/>
    <w:rsid w:val="33614D0F"/>
    <w:rsid w:val="3370088C"/>
    <w:rsid w:val="33A3154A"/>
    <w:rsid w:val="33DC2F78"/>
    <w:rsid w:val="3428227C"/>
    <w:rsid w:val="343B1793"/>
    <w:rsid w:val="34672D35"/>
    <w:rsid w:val="35260F83"/>
    <w:rsid w:val="35602226"/>
    <w:rsid w:val="356B72E7"/>
    <w:rsid w:val="3572424F"/>
    <w:rsid w:val="35FC3844"/>
    <w:rsid w:val="36794DEF"/>
    <w:rsid w:val="36AD519D"/>
    <w:rsid w:val="36B57705"/>
    <w:rsid w:val="37406AD8"/>
    <w:rsid w:val="374F1A0B"/>
    <w:rsid w:val="37A103ED"/>
    <w:rsid w:val="37EA5E6E"/>
    <w:rsid w:val="37FF016F"/>
    <w:rsid w:val="38427C0B"/>
    <w:rsid w:val="387C5ABE"/>
    <w:rsid w:val="389B3A1E"/>
    <w:rsid w:val="38EB6119"/>
    <w:rsid w:val="399E320F"/>
    <w:rsid w:val="39DE33DA"/>
    <w:rsid w:val="39FA5B4A"/>
    <w:rsid w:val="39FE0BE9"/>
    <w:rsid w:val="3A3C1AAF"/>
    <w:rsid w:val="3A4B7CC1"/>
    <w:rsid w:val="3A51228C"/>
    <w:rsid w:val="3A552E60"/>
    <w:rsid w:val="3A5D642F"/>
    <w:rsid w:val="3AB210FC"/>
    <w:rsid w:val="3ACE216B"/>
    <w:rsid w:val="3AD95C13"/>
    <w:rsid w:val="3B261E51"/>
    <w:rsid w:val="3B973F88"/>
    <w:rsid w:val="3BCD72F7"/>
    <w:rsid w:val="3C414142"/>
    <w:rsid w:val="3C9121FF"/>
    <w:rsid w:val="3CE114D9"/>
    <w:rsid w:val="3CF737A2"/>
    <w:rsid w:val="3CF7509A"/>
    <w:rsid w:val="3D10295A"/>
    <w:rsid w:val="3E0572FD"/>
    <w:rsid w:val="3E1A5292"/>
    <w:rsid w:val="3E5A7FE7"/>
    <w:rsid w:val="3EC8179E"/>
    <w:rsid w:val="3EF66B2E"/>
    <w:rsid w:val="3F217914"/>
    <w:rsid w:val="3FD70BB0"/>
    <w:rsid w:val="3FFB55AC"/>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FD694D"/>
    <w:rsid w:val="434A6D8F"/>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B86103"/>
    <w:rsid w:val="4A0030EE"/>
    <w:rsid w:val="4AB75B3A"/>
    <w:rsid w:val="4AC36065"/>
    <w:rsid w:val="4B560086"/>
    <w:rsid w:val="4B7501F5"/>
    <w:rsid w:val="4B8C2DEB"/>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0403E3A"/>
    <w:rsid w:val="61027308"/>
    <w:rsid w:val="612E1A5D"/>
    <w:rsid w:val="616A73F6"/>
    <w:rsid w:val="61816046"/>
    <w:rsid w:val="62182687"/>
    <w:rsid w:val="62391564"/>
    <w:rsid w:val="62816669"/>
    <w:rsid w:val="62BA0953"/>
    <w:rsid w:val="62D03A7C"/>
    <w:rsid w:val="62F16BCB"/>
    <w:rsid w:val="62F648FE"/>
    <w:rsid w:val="63341DB1"/>
    <w:rsid w:val="63447612"/>
    <w:rsid w:val="63907004"/>
    <w:rsid w:val="639A73C1"/>
    <w:rsid w:val="63A10995"/>
    <w:rsid w:val="63A573AB"/>
    <w:rsid w:val="63C23EFA"/>
    <w:rsid w:val="63E52E10"/>
    <w:rsid w:val="643A070A"/>
    <w:rsid w:val="644C573D"/>
    <w:rsid w:val="64660CBB"/>
    <w:rsid w:val="648667A7"/>
    <w:rsid w:val="64DB383A"/>
    <w:rsid w:val="65032F85"/>
    <w:rsid w:val="65136B50"/>
    <w:rsid w:val="657E2A35"/>
    <w:rsid w:val="65A94E9D"/>
    <w:rsid w:val="65C60A92"/>
    <w:rsid w:val="65C7105B"/>
    <w:rsid w:val="65F3550D"/>
    <w:rsid w:val="662203DD"/>
    <w:rsid w:val="66576253"/>
    <w:rsid w:val="666B723B"/>
    <w:rsid w:val="6678045A"/>
    <w:rsid w:val="66DD6702"/>
    <w:rsid w:val="679406CB"/>
    <w:rsid w:val="67C35C0B"/>
    <w:rsid w:val="681233D2"/>
    <w:rsid w:val="681D5EE5"/>
    <w:rsid w:val="68652AB3"/>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723594"/>
    <w:rsid w:val="6B805156"/>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592303"/>
    <w:rsid w:val="6F5F5B74"/>
    <w:rsid w:val="6F8F583F"/>
    <w:rsid w:val="6F9B1C65"/>
    <w:rsid w:val="6FD47A25"/>
    <w:rsid w:val="6FF44026"/>
    <w:rsid w:val="6FFB146E"/>
    <w:rsid w:val="701A5C74"/>
    <w:rsid w:val="706516C3"/>
    <w:rsid w:val="70864A71"/>
    <w:rsid w:val="70896E68"/>
    <w:rsid w:val="714556B4"/>
    <w:rsid w:val="715B60E9"/>
    <w:rsid w:val="71E96309"/>
    <w:rsid w:val="71EA1FED"/>
    <w:rsid w:val="72284A0C"/>
    <w:rsid w:val="72854629"/>
    <w:rsid w:val="72C16204"/>
    <w:rsid w:val="730313F6"/>
    <w:rsid w:val="731E1007"/>
    <w:rsid w:val="73370D24"/>
    <w:rsid w:val="7359268C"/>
    <w:rsid w:val="739503EB"/>
    <w:rsid w:val="73A05B28"/>
    <w:rsid w:val="73C07D69"/>
    <w:rsid w:val="73E352ED"/>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F70999"/>
    <w:rsid w:val="79FE1DDD"/>
    <w:rsid w:val="7A075767"/>
    <w:rsid w:val="7A212062"/>
    <w:rsid w:val="7A282A11"/>
    <w:rsid w:val="7AB90FF6"/>
    <w:rsid w:val="7AC21562"/>
    <w:rsid w:val="7AD474A4"/>
    <w:rsid w:val="7B115232"/>
    <w:rsid w:val="7B401C35"/>
    <w:rsid w:val="7B416BDC"/>
    <w:rsid w:val="7B5350AD"/>
    <w:rsid w:val="7B6867EB"/>
    <w:rsid w:val="7B697C89"/>
    <w:rsid w:val="7B7635D5"/>
    <w:rsid w:val="7B8D34C3"/>
    <w:rsid w:val="7B971D84"/>
    <w:rsid w:val="7BF32F03"/>
    <w:rsid w:val="7C1724A5"/>
    <w:rsid w:val="7C8E3CCF"/>
    <w:rsid w:val="7CA54112"/>
    <w:rsid w:val="7CE50CE4"/>
    <w:rsid w:val="7D2E5ABF"/>
    <w:rsid w:val="7DCA1E7A"/>
    <w:rsid w:val="7E2142A2"/>
    <w:rsid w:val="7E4F5384"/>
    <w:rsid w:val="7E5A6DFA"/>
    <w:rsid w:val="7E7B0BF2"/>
    <w:rsid w:val="7E7C7A78"/>
    <w:rsid w:val="7E8D75B6"/>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76</Pages>
  <Words>32399</Words>
  <Characters>33416</Characters>
  <Lines>264</Lines>
  <Paragraphs>74</Paragraphs>
  <TotalTime>0</TotalTime>
  <ScaleCrop>false</ScaleCrop>
  <LinksUpToDate>false</LinksUpToDate>
  <CharactersWithSpaces>35800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2022-06-13T07:23:13Z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DEAB68F8B36B40FD9478E3D7C6D629D6</vt:lpwstr>
  </property>
</Properties>
</file>