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4"/>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ind w:left="0" w:leftChars="0" w:firstLine="0" w:firstLineChars="0"/>
        <w:rPr>
          <w:rFonts w:hint="eastAsia" w:ascii="黑体" w:eastAsia="黑体"/>
          <w:color w:val="auto"/>
          <w:szCs w:val="21"/>
          <w:highlight w:val="none"/>
          <w:lang w:eastAsia="zh-CN"/>
        </w:rPr>
      </w:pPr>
    </w:p>
    <w:p>
      <w:pPr>
        <w:pStyle w:val="3"/>
        <w:ind w:left="0" w:leftChars="0" w:firstLine="0" w:firstLineChars="0"/>
        <w:rPr>
          <w:rFonts w:hint="eastAsia" w:ascii="黑体" w:eastAsia="黑体"/>
          <w:color w:val="auto"/>
          <w:szCs w:val="21"/>
          <w:highlight w:val="none"/>
          <w:lang w:eastAsia="zh-CN"/>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GDZT2022122A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东莞市南城第一幼儿园教学玩具设备采购项目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东莞市南城第一幼儿园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3"/>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6"/>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rPr>
          <w:rFonts w:hint="eastAsia"/>
          <w:b/>
          <w:bCs/>
          <w:color w:val="auto"/>
          <w:sz w:val="24"/>
          <w:szCs w:val="24"/>
          <w:highlight w:val="none"/>
          <w:lang w:val="en-US" w:eastAsia="zh-CN"/>
        </w:rPr>
      </w:pPr>
      <w:r>
        <w:rPr>
          <w:rFonts w:hint="eastAsia"/>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9</w:t>
      </w:r>
      <w:bookmarkStart w:id="385" w:name="_GoBack"/>
      <w:bookmarkEnd w:id="385"/>
      <w:r>
        <w:rPr>
          <w:rFonts w:hint="eastAsia"/>
          <w:b/>
          <w:bCs/>
          <w:color w:val="auto"/>
          <w:sz w:val="24"/>
          <w:szCs w:val="24"/>
          <w:highlight w:val="none"/>
          <w:lang w:val="en-US" w:eastAsia="zh-CN"/>
        </w:rPr>
        <w:t>、公司位置：</w:t>
      </w: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2"/>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6"/>
        <w:spacing w:before="0" w:after="0" w:line="360" w:lineRule="auto"/>
        <w:jc w:val="center"/>
        <w:rPr>
          <w:rFonts w:ascii="宋体" w:hAnsi="宋体" w:eastAsia="宋体" w:cs="宋体"/>
          <w:color w:val="auto"/>
          <w:highlight w:val="none"/>
        </w:rPr>
      </w:pPr>
      <w:bookmarkStart w:id="2" w:name="_Toc1420"/>
      <w:bookmarkStart w:id="3" w:name="_Toc7123"/>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bCs/>
          <w:color w:val="auto"/>
          <w:sz w:val="21"/>
          <w:szCs w:val="21"/>
          <w:highlight w:val="none"/>
          <w:u w:val="single"/>
          <w:lang w:eastAsia="zh-CN"/>
        </w:rPr>
        <w:t>东莞市南城第一幼儿园</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东莞市南城第一幼儿园教学玩具设备采购项目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编号：GDZT2022122A；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bCs/>
          <w:color w:val="auto"/>
          <w:sz w:val="21"/>
          <w:szCs w:val="21"/>
          <w:highlight w:val="none"/>
          <w:u w:val="single"/>
          <w:lang w:eastAsia="zh-CN"/>
        </w:rPr>
        <w:t>东莞市南城第一幼儿园教学玩具设备采购项目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6"/>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bCs/>
                <w:color w:val="auto"/>
                <w:sz w:val="21"/>
                <w:szCs w:val="21"/>
                <w:highlight w:val="none"/>
                <w:u w:val="single"/>
                <w:lang w:eastAsia="zh-CN"/>
              </w:rPr>
              <w:t>东莞市南城第一幼儿园教学玩具设备采购项目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374</w:t>
            </w:r>
            <w:r>
              <w:rPr>
                <w:rFonts w:hint="eastAsia" w:ascii="宋体" w:hAnsi="宋体"/>
                <w:color w:val="auto"/>
                <w:sz w:val="21"/>
                <w:szCs w:val="21"/>
                <w:highlight w:val="none"/>
                <w:lang w:val="en-US" w:eastAsia="zh-CN"/>
              </w:rPr>
              <w:t>,</w:t>
            </w:r>
            <w:r>
              <w:rPr>
                <w:rFonts w:hint="eastAsia" w:ascii="宋体" w:hAnsi="宋体" w:eastAsia="宋体"/>
                <w:color w:val="auto"/>
                <w:sz w:val="21"/>
                <w:szCs w:val="21"/>
                <w:highlight w:val="none"/>
              </w:rPr>
              <w:t>970</w:t>
            </w:r>
            <w:r>
              <w:rPr>
                <w:rFonts w:hint="eastAsia" w:ascii="宋体" w:hAnsi="宋体"/>
                <w:color w:val="auto"/>
                <w:sz w:val="21"/>
                <w:szCs w:val="21"/>
                <w:highlight w:val="none"/>
                <w:lang w:val="en-US" w:eastAsia="zh-CN"/>
              </w:rPr>
              <w:t>.00</w:t>
            </w:r>
            <w:r>
              <w:rPr>
                <w:rFonts w:hint="eastAsia" w:ascii="宋体" w:hAnsi="宋体" w:eastAsia="宋体"/>
                <w:color w:val="auto"/>
                <w:sz w:val="21"/>
                <w:szCs w:val="21"/>
                <w:highlight w:val="none"/>
              </w:rPr>
              <w:t>元</w:t>
            </w:r>
          </w:p>
        </w:tc>
      </w:tr>
    </w:tbl>
    <w:p>
      <w:pPr>
        <w:pStyle w:val="4"/>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4"/>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11" w:firstLineChars="196"/>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无</w:t>
      </w:r>
      <w:r>
        <w:rPr>
          <w:rFonts w:hint="eastAsia" w:ascii="宋体" w:hAnsi="宋体"/>
          <w:color w:val="auto"/>
          <w:sz w:val="21"/>
          <w:szCs w:val="21"/>
          <w:highlight w:val="none"/>
          <w:lang w:val="en-US" w:eastAsia="zh-CN"/>
        </w:rPr>
        <w:t>。</w:t>
      </w: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采购人联系人：余</w:t>
      </w:r>
      <w:r>
        <w:rPr>
          <w:rFonts w:hint="eastAsia" w:ascii="宋体" w:hAnsi="宋体"/>
          <w:bCs/>
          <w:color w:val="auto"/>
          <w:sz w:val="21"/>
          <w:szCs w:val="21"/>
          <w:highlight w:val="none"/>
          <w:lang w:val="en-US" w:eastAsia="zh-CN"/>
        </w:rPr>
        <w:t>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w:t>
      </w:r>
      <w:r>
        <w:rPr>
          <w:rFonts w:hint="eastAsia" w:ascii="宋体" w:hAnsi="宋体"/>
          <w:color w:val="auto"/>
          <w:sz w:val="21"/>
          <w:szCs w:val="21"/>
          <w:highlight w:val="none"/>
          <w:lang w:eastAsia="zh-CN"/>
        </w:rPr>
        <w:t>东莞市南城街道</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22998117</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p>
    <w:p>
      <w:pPr>
        <w:pStyle w:val="4"/>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br w:type="page"/>
      </w:r>
    </w:p>
    <w:p>
      <w:pPr>
        <w:pStyle w:val="2"/>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pStyle w:val="3"/>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Hlk55300595"/>
      <w:bookmarkStart w:id="9" w:name="_Toc5749"/>
      <w:bookmarkStart w:id="10" w:name="_Toc13473"/>
      <w:bookmarkStart w:id="11" w:name="_Toc9572"/>
      <w:r>
        <w:rPr>
          <w:rFonts w:hint="eastAsia"/>
          <w:color w:val="auto"/>
          <w:sz w:val="28"/>
          <w:szCs w:val="28"/>
          <w:highlight w:val="none"/>
          <w:lang w:val="en-US" w:eastAsia="zh-CN"/>
        </w:rPr>
        <w:br w:type="page"/>
      </w: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6"/>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9"/>
              <w:keepNext w:val="0"/>
              <w:keepLines w:val="0"/>
              <w:pageBreakBefore w:val="0"/>
              <w:kinsoku/>
              <w:wordWrap/>
              <w:overflowPunct/>
              <w:topLinePunct w:val="0"/>
              <w:autoSpaceDE/>
              <w:autoSpaceDN/>
              <w:bidi w:val="0"/>
              <w:spacing w:after="0" w:line="240" w:lineRule="auto"/>
              <w:ind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left="0" w:leftChars="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left="0" w:leftChars="0" w:firstLine="0" w:firstLineChars="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651" w:type="dxa"/>
            <w:vMerge w:val="restart"/>
            <w:tcBorders>
              <w:top w:val="single" w:color="auto" w:sz="4" w:space="0"/>
              <w:left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90"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企业证书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投标人或产品制造商</w:t>
            </w:r>
            <w:r>
              <w:rPr>
                <w:rFonts w:hint="eastAsia" w:ascii="宋体" w:hAnsi="宋体" w:eastAsia="宋体" w:cs="宋体"/>
                <w:color w:val="auto"/>
                <w:sz w:val="21"/>
                <w:szCs w:val="21"/>
                <w:highlight w:val="none"/>
                <w:lang w:val="en-US" w:eastAsia="zh-CN"/>
              </w:rPr>
              <w:t>具有教学仪器研究成果鉴定证书（A类）得2分，本项最高得2分。</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420" w:firstLineChars="200"/>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注：须提证书复印件加盖投标人公章，否则不得分。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val="0"/>
                <w:i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651" w:type="dxa"/>
            <w:vMerge w:val="continue"/>
            <w:tcBorders>
              <w:left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highlight w:val="none"/>
                <w:lang w:val="en-US" w:eastAsia="zh-CN"/>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投标人或产品制造商</w:t>
            </w:r>
            <w:r>
              <w:rPr>
                <w:rFonts w:hint="eastAsia" w:ascii="宋体" w:hAnsi="宋体" w:eastAsia="宋体" w:cs="宋体"/>
                <w:color w:val="auto"/>
                <w:sz w:val="21"/>
                <w:szCs w:val="21"/>
                <w:highlight w:val="none"/>
                <w:lang w:val="en-US" w:eastAsia="zh-CN"/>
              </w:rPr>
              <w:t>售后服务通过有效期内的《商品售后服务评价体系》五星级售后服务认证同时售后服务人员获得售后服务管理师资格证书的，得3分，缺项不得分，本项最高得3分。</w:t>
            </w:r>
          </w:p>
          <w:p>
            <w:pPr>
              <w:keepNext w:val="0"/>
              <w:keepLines w:val="0"/>
              <w:pageBreakBefore w:val="0"/>
              <w:numPr>
                <w:ilvl w:val="-1"/>
                <w:numId w:val="0"/>
              </w:numPr>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注：须提证书复印件加盖投标人公章，否则不得分。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eastAsia="宋体" w:cs="宋体"/>
                <w:b w:val="0"/>
                <w:bCs w:val="0"/>
                <w:i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51" w:type="dxa"/>
            <w:vMerge w:val="continue"/>
            <w:tcBorders>
              <w:left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highlight w:val="none"/>
                <w:lang w:val="en-US" w:eastAsia="zh-CN"/>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投标人或产品制造商</w:t>
            </w:r>
            <w:r>
              <w:rPr>
                <w:rFonts w:hint="eastAsia" w:ascii="宋体" w:hAnsi="宋体" w:eastAsia="宋体" w:cs="宋体"/>
                <w:color w:val="auto"/>
                <w:sz w:val="21"/>
                <w:szCs w:val="21"/>
                <w:highlight w:val="none"/>
                <w:lang w:val="en-US" w:eastAsia="zh-CN"/>
              </w:rPr>
              <w:t>沙水玩具类产品：沙筛、沙水盆、沙铲、漏斗、透明细圆直管、多孔透明细圆直管、透明粗圆直管、软管、剖面直管、支架底座、支架管、弯头、变径直通、直通、等径三通、阀门、管帽、阻流片、水车、轮船通过中国国家强制性产品认证的，每提供一个得0.5分，本项最高得10分。</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 xml:space="preserve"> 注：须提供产品认证证书复印件加盖投标人公章，否则不得分。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eastAsia="宋体" w:cs="宋体"/>
                <w:b w:val="0"/>
                <w:bCs w:val="0"/>
                <w:i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产品检测报告</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1.提供班级区域材料-农场：符合GB6675.1-2014、GB6675.2-2014、GB6675.3-2014、GB6675.4-2014要求的检测报告复印件，得2分。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2.提供班级区域材料-熊孩子搬苹果：符合GB6675.1-2014、GB6675.2-2014、GB6675.3-2014、GB6675.4-2014要求的检测报告复印件，得2分。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3.提供班级区域材料-我喜欢我自己：符合GB6675.1-2014、GB6675.2-2014、GB6675.3-2014、GB6675.4-2014要求的检测报告复印件，得2分。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4.提供班级区域材料-超市：符合GB6675.1-2014、GB6675.2-2014、GB6675.3-2014、GB6675.4-2014要求的检测报告复印件，得2分。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5.提供班级区域材料-情景创意盒：符合GB6675.1-2014、GB6675.2-2014、GB6675.3-2014、GB6675.4-2014要求的检测报告复印件，得2分。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6.提供班级区域材料-套杯魔法：符合GB6675.1-2014、GB6675.2-2014、GB6675.3-2014、GB6675.4-2014要求的检测报告复印件，得2分。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7.提供班级区域材料-你会和我做朋友吗：符合GB6675.1-2014、GB6675.2-2014、GB6675.3-2014、GB6675.4-2014要求的检测报告复印件，得2分。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rPr>
            </w:pPr>
            <w:r>
              <w:rPr>
                <w:rFonts w:hint="eastAsia" w:ascii="宋体" w:hAnsi="宋体" w:eastAsia="宋体" w:cs="宋体"/>
                <w:b w:val="0"/>
                <w:bCs w:val="0"/>
                <w:color w:val="auto"/>
                <w:sz w:val="21"/>
                <w:szCs w:val="21"/>
                <w:highlight w:val="none"/>
              </w:rPr>
              <w:t>注：</w:t>
            </w:r>
            <w:r>
              <w:rPr>
                <w:rFonts w:hint="eastAsia" w:ascii="宋体" w:hAnsi="宋体" w:eastAsia="宋体" w:cs="宋体"/>
                <w:b w:val="0"/>
                <w:bCs w:val="0"/>
                <w:color w:val="auto"/>
                <w:sz w:val="21"/>
                <w:szCs w:val="21"/>
                <w:highlight w:val="none"/>
                <w:lang w:val="en-US" w:eastAsia="zh-CN"/>
              </w:rPr>
              <w:t>须</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val="en-US" w:eastAsia="zh-CN"/>
              </w:rPr>
              <w:t>第三方</w:t>
            </w:r>
            <w:r>
              <w:rPr>
                <w:rFonts w:hint="eastAsia" w:ascii="宋体" w:hAnsi="宋体" w:eastAsia="宋体" w:cs="宋体"/>
                <w:b w:val="0"/>
                <w:bCs w:val="0"/>
                <w:color w:val="auto"/>
                <w:sz w:val="21"/>
                <w:szCs w:val="21"/>
                <w:highlight w:val="none"/>
              </w:rPr>
              <w:t>检测机构出具的检测报告</w:t>
            </w:r>
            <w:r>
              <w:rPr>
                <w:rFonts w:hint="eastAsia" w:ascii="宋体" w:hAnsi="宋体" w:eastAsia="宋体" w:cs="宋体"/>
                <w:b w:val="0"/>
                <w:bCs w:val="0"/>
                <w:color w:val="auto"/>
                <w:sz w:val="21"/>
                <w:szCs w:val="21"/>
                <w:highlight w:val="none"/>
                <w:lang w:val="en-US" w:eastAsia="zh-CN"/>
              </w:rPr>
              <w:t>复印件并加盖投标人公章，否则不得分。</w:t>
            </w:r>
            <w:r>
              <w:rPr>
                <w:rFonts w:hint="eastAsia" w:ascii="宋体" w:hAnsi="宋体" w:cs="宋体"/>
                <w:bCs/>
                <w:color w:val="auto"/>
                <w:szCs w:val="21"/>
                <w:highlight w:val="none"/>
              </w:rPr>
              <w:t>（投标人必须按所投产品实际参数进行响应，否则视为提供虚假材料谋取中标资格。）</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val="0"/>
                <w:i w:val="0"/>
                <w:color w:val="auto"/>
                <w:sz w:val="21"/>
                <w:szCs w:val="21"/>
                <w:highlight w:val="none"/>
                <w:u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项目供货方案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lang w:val="en-US" w:eastAsia="zh-CN"/>
              </w:rPr>
              <w:t>投标人提供</w:t>
            </w:r>
            <w:r>
              <w:rPr>
                <w:rFonts w:hint="eastAsia" w:ascii="宋体" w:hAnsi="宋体" w:eastAsia="宋体" w:cs="宋体"/>
                <w:color w:val="auto"/>
                <w:sz w:val="21"/>
                <w:szCs w:val="21"/>
                <w:highlight w:val="none"/>
              </w:rPr>
              <w:t>项目供货方案</w:t>
            </w:r>
            <w:r>
              <w:rPr>
                <w:rFonts w:hint="eastAsia" w:ascii="宋体" w:hAnsi="宋体" w:eastAsia="宋体" w:cs="宋体"/>
                <w:bCs/>
                <w:color w:val="auto"/>
                <w:sz w:val="21"/>
                <w:szCs w:val="21"/>
                <w:highlight w:val="none"/>
                <w:lang w:val="zh-CN"/>
              </w:rPr>
              <w:t>，包括但不限于供货方案</w:t>
            </w:r>
            <w:r>
              <w:rPr>
                <w:rFonts w:hint="eastAsia" w:ascii="宋体" w:hAnsi="宋体" w:eastAsia="宋体" w:cs="宋体"/>
                <w:bCs/>
                <w:color w:val="auto"/>
                <w:sz w:val="21"/>
                <w:szCs w:val="21"/>
                <w:highlight w:val="none"/>
                <w:lang w:val="en-US" w:eastAsia="zh-CN"/>
              </w:rPr>
              <w:t>完整性、合理性、可行性</w:t>
            </w:r>
            <w:r>
              <w:rPr>
                <w:rFonts w:hint="eastAsia" w:ascii="宋体" w:hAnsi="宋体" w:eastAsia="宋体" w:cs="宋体"/>
                <w:bCs/>
                <w:color w:val="auto"/>
                <w:sz w:val="21"/>
                <w:szCs w:val="21"/>
                <w:highlight w:val="none"/>
                <w:lang w:val="zh-CN"/>
              </w:rPr>
              <w:t>等情况</w:t>
            </w:r>
            <w:r>
              <w:rPr>
                <w:rFonts w:hint="eastAsia" w:ascii="宋体" w:hAnsi="宋体" w:eastAsia="宋体" w:cs="宋体"/>
                <w:color w:val="auto"/>
                <w:kern w:val="0"/>
                <w:sz w:val="21"/>
                <w:szCs w:val="21"/>
                <w:highlight w:val="none"/>
                <w:lang w:val="en-US" w:eastAsia="zh-CN"/>
              </w:rPr>
              <w:t>进行综合评审：</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完整、</w:t>
            </w:r>
            <w:r>
              <w:rPr>
                <w:rFonts w:hint="eastAsia" w:ascii="宋体" w:hAnsi="宋体" w:eastAsia="宋体" w:cs="宋体"/>
                <w:bCs/>
                <w:color w:val="auto"/>
                <w:sz w:val="21"/>
                <w:szCs w:val="21"/>
                <w:highlight w:val="none"/>
                <w:lang w:val="zh-CN"/>
              </w:rPr>
              <w:t>科学合理、可行性强</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w:t>
            </w:r>
            <w:r>
              <w:rPr>
                <w:rFonts w:hint="eastAsia" w:ascii="宋体" w:hAnsi="宋体" w:eastAsia="宋体" w:cs="宋体"/>
                <w:bCs/>
                <w:color w:val="auto"/>
                <w:sz w:val="21"/>
                <w:szCs w:val="21"/>
                <w:highlight w:val="none"/>
                <w:lang w:val="en-US" w:eastAsia="zh-CN"/>
              </w:rPr>
              <w:t>较合理</w:t>
            </w:r>
            <w:r>
              <w:rPr>
                <w:rFonts w:hint="eastAsia" w:ascii="宋体" w:hAnsi="宋体" w:eastAsia="宋体" w:cs="宋体"/>
                <w:bCs/>
                <w:color w:val="auto"/>
                <w:sz w:val="21"/>
                <w:szCs w:val="21"/>
                <w:highlight w:val="none"/>
                <w:lang w:val="zh-CN"/>
              </w:rPr>
              <w:t>，可行性较</w:t>
            </w:r>
            <w:r>
              <w:rPr>
                <w:rFonts w:hint="eastAsia" w:ascii="宋体" w:hAnsi="宋体" w:eastAsia="宋体" w:cs="宋体"/>
                <w:bCs/>
                <w:color w:val="auto"/>
                <w:sz w:val="21"/>
                <w:szCs w:val="21"/>
                <w:highlight w:val="none"/>
                <w:lang w:val="en-US" w:eastAsia="zh-CN"/>
              </w:rPr>
              <w:t>强的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lang w:val="zh-CN"/>
              </w:rPr>
              <w:t>，可行性一般</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pStyle w:val="39"/>
              <w:keepNext w:val="0"/>
              <w:keepLines w:val="0"/>
              <w:pageBreakBefore w:val="0"/>
              <w:widowControl/>
              <w:shd w:val="clear"/>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 w:val="21"/>
                <w:szCs w:val="21"/>
                <w:highlight w:val="none"/>
                <w:lang w:val="en-US" w:eastAsia="zh-CN"/>
              </w:rPr>
              <w:t>进度安排措施方案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lang w:val="en-US" w:eastAsia="zh-CN"/>
              </w:rPr>
              <w:t>投标人提供</w:t>
            </w:r>
            <w:r>
              <w:rPr>
                <w:rFonts w:hint="eastAsia" w:ascii="宋体" w:hAnsi="宋体" w:eastAsia="宋体" w:cs="宋体"/>
                <w:color w:val="auto"/>
                <w:sz w:val="21"/>
                <w:szCs w:val="21"/>
                <w:highlight w:val="none"/>
                <w:lang w:val="en-US" w:eastAsia="zh-CN"/>
              </w:rPr>
              <w:t>进度安排措施方案</w:t>
            </w:r>
            <w:r>
              <w:rPr>
                <w:rFonts w:hint="eastAsia" w:ascii="宋体" w:hAnsi="宋体" w:eastAsia="宋体" w:cs="宋体"/>
                <w:bCs/>
                <w:color w:val="auto"/>
                <w:sz w:val="21"/>
                <w:szCs w:val="21"/>
                <w:highlight w:val="none"/>
                <w:lang w:val="zh-CN"/>
              </w:rPr>
              <w:t>，包括但不限于</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color w:val="auto"/>
                <w:sz w:val="21"/>
                <w:szCs w:val="21"/>
                <w:highlight w:val="none"/>
                <w:lang w:val="en-US" w:eastAsia="zh-CN"/>
              </w:rPr>
              <w:t>进度安排措施方案</w:t>
            </w:r>
            <w:r>
              <w:rPr>
                <w:rFonts w:hint="eastAsia" w:ascii="宋体" w:hAnsi="宋体" w:eastAsia="宋体" w:cs="宋体"/>
                <w:bCs/>
                <w:color w:val="auto"/>
                <w:sz w:val="21"/>
                <w:szCs w:val="21"/>
                <w:highlight w:val="none"/>
                <w:lang w:val="en-US" w:eastAsia="zh-CN"/>
              </w:rPr>
              <w:t>完整性、合理性、可行性</w:t>
            </w:r>
            <w:r>
              <w:rPr>
                <w:rFonts w:hint="eastAsia" w:ascii="宋体" w:hAnsi="宋体" w:eastAsia="宋体" w:cs="宋体"/>
                <w:bCs/>
                <w:color w:val="auto"/>
                <w:sz w:val="21"/>
                <w:szCs w:val="21"/>
                <w:highlight w:val="none"/>
                <w:lang w:val="zh-CN"/>
              </w:rPr>
              <w:t>等情况</w:t>
            </w:r>
            <w:r>
              <w:rPr>
                <w:rFonts w:hint="eastAsia" w:ascii="宋体" w:hAnsi="宋体" w:eastAsia="宋体" w:cs="宋体"/>
                <w:color w:val="auto"/>
                <w:kern w:val="0"/>
                <w:sz w:val="21"/>
                <w:szCs w:val="21"/>
                <w:highlight w:val="none"/>
                <w:lang w:val="en-US" w:eastAsia="zh-CN"/>
              </w:rPr>
              <w:t>进行综合评审：</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完整、</w:t>
            </w:r>
            <w:r>
              <w:rPr>
                <w:rFonts w:hint="eastAsia" w:ascii="宋体" w:hAnsi="宋体" w:eastAsia="宋体" w:cs="宋体"/>
                <w:bCs/>
                <w:color w:val="auto"/>
                <w:sz w:val="21"/>
                <w:szCs w:val="21"/>
                <w:highlight w:val="none"/>
                <w:lang w:val="zh-CN"/>
              </w:rPr>
              <w:t>科学合理、可行性强</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w:t>
            </w:r>
            <w:r>
              <w:rPr>
                <w:rFonts w:hint="eastAsia" w:ascii="宋体" w:hAnsi="宋体" w:eastAsia="宋体" w:cs="宋体"/>
                <w:bCs/>
                <w:color w:val="auto"/>
                <w:sz w:val="21"/>
                <w:szCs w:val="21"/>
                <w:highlight w:val="none"/>
                <w:lang w:val="en-US" w:eastAsia="zh-CN"/>
              </w:rPr>
              <w:t>较合理</w:t>
            </w:r>
            <w:r>
              <w:rPr>
                <w:rFonts w:hint="eastAsia" w:ascii="宋体" w:hAnsi="宋体" w:eastAsia="宋体" w:cs="宋体"/>
                <w:bCs/>
                <w:color w:val="auto"/>
                <w:sz w:val="21"/>
                <w:szCs w:val="21"/>
                <w:highlight w:val="none"/>
                <w:lang w:val="zh-CN"/>
              </w:rPr>
              <w:t>，可行性较</w:t>
            </w:r>
            <w:r>
              <w:rPr>
                <w:rFonts w:hint="eastAsia" w:ascii="宋体" w:hAnsi="宋体" w:eastAsia="宋体" w:cs="宋体"/>
                <w:bCs/>
                <w:color w:val="auto"/>
                <w:sz w:val="21"/>
                <w:szCs w:val="21"/>
                <w:highlight w:val="none"/>
                <w:lang w:val="en-US" w:eastAsia="zh-CN"/>
              </w:rPr>
              <w:t>强的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lang w:val="zh-CN"/>
              </w:rPr>
              <w:t>，可行性一般</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pStyle w:val="39"/>
              <w:keepNext w:val="0"/>
              <w:keepLines w:val="0"/>
              <w:pageBreakBefore w:val="0"/>
              <w:widowControl/>
              <w:shd w:val="clear"/>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 w:val="21"/>
                <w:szCs w:val="21"/>
                <w:highlight w:val="none"/>
              </w:rPr>
              <w:t>质量保障措施及应急方案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根据投标人提供质量保障措施方案及应急方案</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包括但不限于质量目标、项目质量的控制和应急方案措施</w:t>
            </w:r>
            <w:r>
              <w:rPr>
                <w:rFonts w:hint="eastAsia" w:ascii="宋体" w:hAnsi="宋体" w:eastAsia="宋体" w:cs="宋体"/>
                <w:bCs/>
                <w:color w:val="auto"/>
                <w:sz w:val="21"/>
                <w:szCs w:val="21"/>
                <w:highlight w:val="none"/>
                <w:lang w:val="en-US" w:eastAsia="zh-CN"/>
              </w:rPr>
              <w:t>等</w:t>
            </w:r>
            <w:r>
              <w:rPr>
                <w:rFonts w:hint="eastAsia" w:ascii="宋体" w:hAnsi="宋体" w:eastAsia="宋体" w:cs="宋体"/>
                <w:color w:val="auto"/>
                <w:kern w:val="0"/>
                <w:sz w:val="21"/>
                <w:szCs w:val="21"/>
                <w:highlight w:val="none"/>
                <w:lang w:val="en-US" w:eastAsia="zh-CN"/>
              </w:rPr>
              <w:t>进行综合评审：</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质量目标非常明确、项目质量的控制详细、检验手段非常科学，应急方案非常具体可行</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质量目标比较明确、项目质量的控制较为详细、检验手段比较科学，应急方案比较具体可行</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质量目标基本明确、项目质量的控制一般、检验手段一般，安全、应急方案一般</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9"/>
              <w:keepNext w:val="0"/>
              <w:keepLines w:val="0"/>
              <w:pageBreakBefore w:val="0"/>
              <w:widowControl/>
              <w:shd w:val="clear"/>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响应项目安排的售后服务响应、应急服务响应、故障响应、质量保证体系及措施、服务承诺等进行</w:t>
            </w:r>
            <w:r>
              <w:rPr>
                <w:rFonts w:hint="eastAsia" w:ascii="宋体" w:hAnsi="宋体" w:eastAsia="宋体" w:cs="宋体"/>
                <w:color w:val="auto"/>
                <w:kern w:val="0"/>
                <w:sz w:val="21"/>
                <w:szCs w:val="21"/>
                <w:highlight w:val="none"/>
                <w:lang w:val="en-US" w:eastAsia="zh-CN"/>
              </w:rPr>
              <w:t>综合评审：</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售后服务方案完整科学、可行性强，优于或完全满足项目用户需求的，得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售后服务方案完整、可行性较强，满足项目用户需求的，得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widowControl/>
              <w:shd w:val="clear"/>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售后服务方案基本完整、可行性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lang w:val="zh-CN"/>
              </w:rPr>
              <w:t>，基本符合项目用户需求的，得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pStyle w:val="39"/>
              <w:keepNext w:val="0"/>
              <w:keepLines w:val="0"/>
              <w:pageBreakBefore w:val="0"/>
              <w:widowControl/>
              <w:shd w:val="clear"/>
              <w:kinsoku/>
              <w:wordWrap/>
              <w:overflowPunct/>
              <w:topLinePunct w:val="0"/>
              <w:autoSpaceDE/>
              <w:autoSpaceDN/>
              <w:bidi w:val="0"/>
              <w:spacing w:after="0" w:line="24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Cs/>
                <w:color w:val="auto"/>
                <w:sz w:val="21"/>
                <w:szCs w:val="21"/>
                <w:highlight w:val="none"/>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shd w:val="clear"/>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val="0"/>
                <w:bCs w:val="0"/>
                <w:i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eastAsia="zh-CN"/>
              </w:rPr>
              <w:t>企业</w:t>
            </w:r>
            <w:r>
              <w:rPr>
                <w:rFonts w:hint="eastAsia" w:ascii="宋体" w:hAnsi="宋体" w:eastAsia="宋体" w:cs="宋体"/>
                <w:b w:val="0"/>
                <w:bCs w:val="0"/>
                <w:color w:val="auto"/>
                <w:sz w:val="21"/>
                <w:szCs w:val="21"/>
                <w:highlight w:val="none"/>
              </w:rPr>
              <w:t>生产能力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spacing w:after="0" w:line="24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据投标人或产品制造商距</w:t>
            </w:r>
            <w:r>
              <w:rPr>
                <w:rFonts w:hint="eastAsia"/>
                <w:color w:val="auto"/>
                <w:highlight w:val="none"/>
                <w:lang w:eastAsia="zh-CN"/>
              </w:rPr>
              <w:t>开标截止时间前</w:t>
            </w:r>
            <w:r>
              <w:rPr>
                <w:rFonts w:hint="eastAsia"/>
                <w:color w:val="auto"/>
                <w:highlight w:val="none"/>
                <w:lang w:val="en-US" w:eastAsia="zh-CN"/>
              </w:rPr>
              <w:t>三</w:t>
            </w:r>
            <w:r>
              <w:rPr>
                <w:rFonts w:hint="eastAsia"/>
                <w:color w:val="auto"/>
                <w:highlight w:val="none"/>
                <w:lang w:eastAsia="zh-CN"/>
              </w:rPr>
              <w:t>年内</w:t>
            </w:r>
            <w:r>
              <w:rPr>
                <w:rFonts w:hint="eastAsia"/>
                <w:color w:val="auto"/>
                <w:highlight w:val="none"/>
              </w:rPr>
              <w:t>的生产能力</w:t>
            </w:r>
            <w:r>
              <w:rPr>
                <w:rFonts w:hint="eastAsia"/>
                <w:color w:val="auto"/>
                <w:highlight w:val="none"/>
                <w:lang w:val="en-US" w:eastAsia="zh-CN"/>
              </w:rPr>
              <w:t>进行评审，</w:t>
            </w:r>
            <w:r>
              <w:rPr>
                <w:rFonts w:hint="eastAsia"/>
                <w:color w:val="auto"/>
                <w:highlight w:val="none"/>
                <w:lang w:eastAsia="zh-CN"/>
              </w:rPr>
              <w:t>生产设备包括：数控榫槽机、打磨平台、粉尘清除机、腻子机、环保喷漆房、双灯干燥机、双辊涂布机、电脑裁板锯、封边机、数控开料机、六面钻加工中心、双面刨木机、木工除尘设备、单辊机，</w:t>
            </w:r>
            <w:r>
              <w:rPr>
                <w:rFonts w:hint="eastAsia"/>
                <w:color w:val="auto"/>
                <w:highlight w:val="none"/>
                <w:lang w:val="en-US" w:eastAsia="zh-CN"/>
              </w:rPr>
              <w:t>以上生产设备</w:t>
            </w:r>
            <w:r>
              <w:rPr>
                <w:rFonts w:hint="eastAsia"/>
                <w:color w:val="auto"/>
                <w:highlight w:val="none"/>
                <w:lang w:eastAsia="zh-CN"/>
              </w:rPr>
              <w:t>每</w:t>
            </w:r>
            <w:r>
              <w:rPr>
                <w:rFonts w:hint="eastAsia"/>
                <w:color w:val="auto"/>
                <w:highlight w:val="none"/>
                <w:lang w:val="en-US" w:eastAsia="zh-CN"/>
              </w:rPr>
              <w:t>具有一类</w:t>
            </w:r>
            <w:r>
              <w:rPr>
                <w:rFonts w:hint="eastAsia"/>
                <w:color w:val="auto"/>
                <w:highlight w:val="none"/>
                <w:lang w:eastAsia="zh-CN"/>
              </w:rPr>
              <w:t>得</w:t>
            </w:r>
            <w:r>
              <w:rPr>
                <w:rFonts w:hint="eastAsia"/>
                <w:color w:val="auto"/>
                <w:highlight w:val="none"/>
                <w:lang w:val="en-US" w:eastAsia="zh-CN"/>
              </w:rPr>
              <w:t>0.5分，本项最高得7分。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lang w:val="zh-CN"/>
              </w:rPr>
            </w:pPr>
            <w:r>
              <w:rPr>
                <w:rFonts w:hint="eastAsia"/>
                <w:color w:val="auto"/>
                <w:highlight w:val="none"/>
                <w:lang w:val="en-US" w:eastAsia="zh-CN"/>
              </w:rPr>
              <w:t>注：须</w:t>
            </w:r>
            <w:r>
              <w:rPr>
                <w:rFonts w:hint="eastAsia"/>
                <w:color w:val="auto"/>
                <w:highlight w:val="none"/>
                <w:lang w:eastAsia="zh-CN"/>
              </w:rPr>
              <w:t>提供</w:t>
            </w:r>
            <w:r>
              <w:rPr>
                <w:rFonts w:hint="eastAsia"/>
                <w:color w:val="auto"/>
                <w:highlight w:val="none"/>
                <w:lang w:val="en-US" w:eastAsia="zh-CN"/>
              </w:rPr>
              <w:t>距</w:t>
            </w:r>
            <w:r>
              <w:rPr>
                <w:rFonts w:hint="eastAsia"/>
                <w:color w:val="auto"/>
                <w:highlight w:val="none"/>
                <w:lang w:eastAsia="zh-CN"/>
              </w:rPr>
              <w:t>开标截止时间前</w:t>
            </w:r>
            <w:r>
              <w:rPr>
                <w:rFonts w:hint="eastAsia"/>
                <w:color w:val="auto"/>
                <w:highlight w:val="none"/>
                <w:lang w:val="en-US" w:eastAsia="zh-CN"/>
              </w:rPr>
              <w:t>三</w:t>
            </w:r>
            <w:r>
              <w:rPr>
                <w:rFonts w:hint="eastAsia"/>
                <w:color w:val="auto"/>
                <w:highlight w:val="none"/>
                <w:lang w:eastAsia="zh-CN"/>
              </w:rPr>
              <w:t>年内的专业</w:t>
            </w:r>
            <w:r>
              <w:rPr>
                <w:rFonts w:hint="eastAsia"/>
                <w:color w:val="auto"/>
                <w:highlight w:val="none"/>
              </w:rPr>
              <w:t>生产设备清单</w:t>
            </w:r>
            <w:r>
              <w:rPr>
                <w:rFonts w:hint="eastAsia"/>
                <w:color w:val="auto"/>
                <w:highlight w:val="none"/>
                <w:lang w:val="en-US" w:eastAsia="zh-CN"/>
              </w:rPr>
              <w:t>及</w:t>
            </w:r>
            <w:r>
              <w:rPr>
                <w:rFonts w:hint="eastAsia"/>
                <w:color w:val="auto"/>
                <w:highlight w:val="none"/>
              </w:rPr>
              <w:t>购置发票</w:t>
            </w:r>
            <w:r>
              <w:rPr>
                <w:rFonts w:hint="eastAsia"/>
                <w:color w:val="auto"/>
                <w:highlight w:val="none"/>
                <w:lang w:val="en-US" w:eastAsia="zh-CN"/>
              </w:rPr>
              <w:t>复印件</w:t>
            </w:r>
            <w:r>
              <w:rPr>
                <w:rFonts w:hint="eastAsia"/>
                <w:color w:val="auto"/>
                <w:highlight w:val="none"/>
              </w:rPr>
              <w:t>或税控系统截图的复印件</w:t>
            </w:r>
            <w:r>
              <w:rPr>
                <w:rFonts w:hint="eastAsia"/>
                <w:color w:val="auto"/>
                <w:highlight w:val="none"/>
                <w:lang w:val="en-US" w:eastAsia="zh-CN"/>
              </w:rPr>
              <w:t>加盖投标人公章，不符合以上要求不得分。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val="0"/>
                <w:i w:val="0"/>
                <w:color w:val="auto"/>
                <w:kern w:val="0"/>
                <w:sz w:val="21"/>
                <w:szCs w:val="21"/>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9"/>
              <w:keepNext w:val="0"/>
              <w:keepLines w:val="0"/>
              <w:pageBreakBefore w:val="0"/>
              <w:kinsoku/>
              <w:wordWrap/>
              <w:overflowPunct/>
              <w:topLinePunct w:val="0"/>
              <w:autoSpaceDE/>
              <w:autoSpaceDN/>
              <w:bidi w:val="0"/>
              <w:spacing w:after="0"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样品</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根据投标人所提供样品齐全、质量优劣、规格尺寸、样品材质、整体外观、牢固性、耐用性、便捷性情况进行综合评审∶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（1）所提供样品齐全、质量优劣、规格尺寸、样品材质、整体外观、牢固性、耐用性、便捷性情况等各方面综合性强的为优，得9分。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（2）所提供样品齐全、质量优劣、规格尺寸、样品材质、整体外观、牢固性、耐用性、便捷性情况等各方面综合性较强的为良，得5分。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（3）所提供样品齐全、质量优劣、规格尺寸、样品材质、整体外观、牢固性、耐用性、便捷性情况等各方面综合性一般的为差，得2分。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 w:val="0"/>
                <w:bCs w:val="0"/>
                <w:color w:val="auto"/>
                <w:sz w:val="21"/>
                <w:szCs w:val="21"/>
                <w:highlight w:val="none"/>
                <w:lang w:val="en-US" w:eastAsia="zh-CN"/>
              </w:rPr>
              <w:t>（4）所提供样品不齐全的，样品规格尺寸及款式与需求不同的，得0分。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 w:val="0"/>
                <w:bCs w:val="0"/>
                <w:i w:val="0"/>
                <w:color w:val="auto"/>
                <w:sz w:val="21"/>
                <w:szCs w:val="21"/>
                <w:highlight w:val="none"/>
                <w:u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9"/>
              <w:keepNext w:val="0"/>
              <w:keepLines w:val="0"/>
              <w:pageBreakBefore w:val="0"/>
              <w:kinsoku/>
              <w:wordWrap/>
              <w:overflowPunct/>
              <w:topLinePunct w:val="0"/>
              <w:autoSpaceDE/>
              <w:autoSpaceDN/>
              <w:bidi w:val="0"/>
              <w:spacing w:after="0" w:line="240" w:lineRule="auto"/>
              <w:ind w:left="0" w:leftChars="0" w:firstLine="0" w:firstLineChars="0"/>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29685"/>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6"/>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19746"/>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7"/>
        <w:widowControl w:val="0"/>
        <w:overflowPunct w:val="0"/>
        <w:spacing w:before="0" w:after="0" w:line="240" w:lineRule="auto"/>
        <w:rPr>
          <w:rFonts w:ascii="宋体" w:hAnsi="宋体" w:eastAsia="宋体"/>
          <w:color w:val="auto"/>
          <w:sz w:val="21"/>
          <w:szCs w:val="21"/>
          <w:highlight w:val="none"/>
        </w:rPr>
      </w:pPr>
      <w:bookmarkStart w:id="24" w:name="_Toc18488"/>
      <w:bookmarkStart w:id="25" w:name="_Toc22803"/>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4" w:name="_Toc2996"/>
      <w:bookmarkStart w:id="35" w:name="_Toc3780"/>
      <w:bookmarkStart w:id="36" w:name="_Toc9710"/>
      <w:r>
        <w:rPr>
          <w:rFonts w:hint="eastAsia" w:ascii="宋体" w:hAnsi="宋体" w:eastAsia="宋体"/>
          <w:color w:val="auto"/>
          <w:sz w:val="21"/>
          <w:szCs w:val="21"/>
          <w:highlight w:val="none"/>
        </w:rPr>
        <w:t>3.货物和服务</w:t>
      </w:r>
      <w:bookmarkEnd w:id="34"/>
      <w:bookmarkEnd w:id="35"/>
      <w:bookmarkEnd w:id="36"/>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25040"/>
      <w:bookmarkStart w:id="42" w:name="_Toc19094"/>
      <w:r>
        <w:rPr>
          <w:rFonts w:hint="eastAsia" w:ascii="宋体" w:hAnsi="宋体" w:eastAsia="宋体"/>
          <w:color w:val="auto"/>
          <w:sz w:val="21"/>
          <w:szCs w:val="21"/>
          <w:highlight w:val="none"/>
        </w:rPr>
        <w:t>5.知识产权</w:t>
      </w:r>
      <w:bookmarkEnd w:id="40"/>
      <w:bookmarkEnd w:id="41"/>
      <w:bookmarkEnd w:id="42"/>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7"/>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657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51" w:name="_Toc18115"/>
      <w:bookmarkStart w:id="52" w:name="_Toc2704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7"/>
        <w:widowControl w:val="0"/>
        <w:overflowPunct w:val="0"/>
        <w:spacing w:before="0" w:after="0" w:line="240" w:lineRule="auto"/>
        <w:rPr>
          <w:rFonts w:ascii="宋体" w:hAnsi="宋体" w:eastAsia="宋体"/>
          <w:color w:val="auto"/>
          <w:sz w:val="21"/>
          <w:szCs w:val="21"/>
          <w:highlight w:val="none"/>
        </w:rPr>
      </w:pPr>
      <w:bookmarkStart w:id="53" w:name="_Toc1423"/>
      <w:bookmarkStart w:id="54" w:name="_Toc13494"/>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6"/>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4773"/>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7434"/>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12145"/>
      <w:bookmarkStart w:id="66" w:name="_Toc307934854"/>
      <w:bookmarkStart w:id="67" w:name="_Toc382049103"/>
      <w:bookmarkStart w:id="68" w:name="_Toc303084256"/>
      <w:bookmarkStart w:id="69" w:name="_Toc28866"/>
      <w:bookmarkStart w:id="70" w:name="_Toc18999"/>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3882"/>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6"/>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6"/>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259"/>
      <w:bookmarkStart w:id="78" w:name="_Toc7847"/>
      <w:r>
        <w:rPr>
          <w:rFonts w:hint="eastAsia" w:ascii="宋体" w:hAnsi="宋体" w:eastAsia="宋体"/>
          <w:color w:val="auto"/>
          <w:sz w:val="21"/>
          <w:szCs w:val="21"/>
          <w:highlight w:val="none"/>
        </w:rPr>
        <w:t>13.投标报价说明</w:t>
      </w:r>
      <w:bookmarkEnd w:id="76"/>
      <w:bookmarkEnd w:id="77"/>
      <w:bookmarkEnd w:id="78"/>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27724"/>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6"/>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30257"/>
      <w:bookmarkStart w:id="88" w:name="_Toc12456"/>
      <w:bookmarkStart w:id="89" w:name="_Toc2581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31124"/>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24997"/>
      <w:bookmarkStart w:id="96" w:name="_Toc23678"/>
      <w:bookmarkStart w:id="97" w:name="_Toc29590"/>
      <w:bookmarkStart w:id="98" w:name="_Toc473"/>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17417"/>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9649"/>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23477"/>
      <w:bookmarkStart w:id="108" w:name="_Toc382049112"/>
      <w:bookmarkStart w:id="109" w:name="_Toc9777"/>
      <w:bookmarkStart w:id="110" w:name="_Toc5900"/>
      <w:bookmarkStart w:id="111" w:name="_Toc7689"/>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15569"/>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4"/>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29574"/>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4251"/>
      <w:bookmarkStart w:id="120" w:name="_Toc27700"/>
      <w:r>
        <w:rPr>
          <w:rFonts w:hint="eastAsia" w:ascii="宋体" w:hAnsi="宋体" w:eastAsia="宋体"/>
          <w:color w:val="auto"/>
          <w:sz w:val="21"/>
          <w:szCs w:val="21"/>
          <w:highlight w:val="none"/>
        </w:rPr>
        <w:t>22.开标</w:t>
      </w:r>
      <w:bookmarkEnd w:id="118"/>
      <w:bookmarkEnd w:id="119"/>
      <w:bookmarkEnd w:id="120"/>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26402"/>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6"/>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1742"/>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22192"/>
      <w:bookmarkStart w:id="134" w:name="_Toc7593"/>
      <w:bookmarkStart w:id="135" w:name="_Toc17683"/>
      <w:r>
        <w:rPr>
          <w:rFonts w:hint="eastAsia" w:ascii="宋体" w:hAnsi="宋体" w:eastAsia="宋体"/>
          <w:color w:val="auto"/>
          <w:sz w:val="21"/>
          <w:szCs w:val="21"/>
          <w:highlight w:val="none"/>
        </w:rPr>
        <w:t>27.优惠政策</w:t>
      </w:r>
      <w:bookmarkEnd w:id="133"/>
      <w:bookmarkEnd w:id="134"/>
      <w:bookmarkEnd w:id="135"/>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31141"/>
      <w:bookmarkStart w:id="138" w:name="_Toc20328"/>
      <w:bookmarkStart w:id="139" w:name="_Toc22591"/>
      <w:bookmarkStart w:id="140" w:name="_Toc12115"/>
      <w:bookmarkStart w:id="141" w:name="_Toc382049120"/>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42" w:name="_Toc12251"/>
      <w:bookmarkStart w:id="143" w:name="_Toc29310"/>
      <w:bookmarkStart w:id="144"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27817"/>
      <w:bookmarkStart w:id="147" w:name="_Toc6696"/>
      <w:bookmarkStart w:id="148" w:name="_Toc17778"/>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508284013"/>
      <w:bookmarkStart w:id="150" w:name="_Toc12440"/>
      <w:bookmarkStart w:id="151" w:name="_Toc23136"/>
      <w:bookmarkStart w:id="152" w:name="_Toc29283"/>
      <w:r>
        <w:rPr>
          <w:rFonts w:hint="eastAsia" w:ascii="宋体" w:hAnsi="宋体" w:eastAsia="宋体"/>
          <w:color w:val="auto"/>
          <w:sz w:val="21"/>
          <w:szCs w:val="21"/>
          <w:highlight w:val="none"/>
        </w:rPr>
        <w:t>30.发布采购结果</w:t>
      </w:r>
      <w:bookmarkEnd w:id="149"/>
      <w:bookmarkEnd w:id="150"/>
      <w:bookmarkEnd w:id="151"/>
      <w:bookmarkEnd w:id="152"/>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2262"/>
      <w:bookmarkStart w:id="155" w:name="_Toc27279"/>
      <w:r>
        <w:rPr>
          <w:rFonts w:hint="eastAsia" w:ascii="宋体" w:hAnsi="宋体" w:eastAsia="宋体"/>
          <w:color w:val="auto"/>
          <w:sz w:val="21"/>
          <w:szCs w:val="21"/>
          <w:highlight w:val="none"/>
        </w:rPr>
        <w:t>31.合同的签订与履行</w:t>
      </w:r>
      <w:bookmarkEnd w:id="153"/>
      <w:bookmarkEnd w:id="154"/>
      <w:bookmarkEnd w:id="155"/>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投标人可以根据采购项目的实际情况，拟在中标后将中标项目的非主体、非关键性工作分包，分包承担主体应当具备相应资质条件且不得再次分包。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5756"/>
      <w:bookmarkStart w:id="157" w:name="_Toc29009"/>
      <w:bookmarkStart w:id="158" w:name="_Toc2744"/>
      <w:bookmarkStart w:id="159" w:name="_Toc7405"/>
      <w:bookmarkStart w:id="160" w:name="_Toc382049124"/>
      <w:bookmarkStart w:id="161" w:name="_Toc303084277"/>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w:t>
      </w:r>
    </w:p>
    <w:p>
      <w:pPr>
        <w:pageBreakBefore w:val="0"/>
        <w:widowControl w:val="0"/>
        <w:numPr>
          <w:ilvl w:val="0"/>
          <w:numId w:val="0"/>
        </w:numPr>
        <w:tabs>
          <w:tab w:val="left" w:pos="907"/>
        </w:tabs>
        <w:kinsoku/>
        <w:wordWrap/>
        <w:topLinePunct w:val="0"/>
        <w:autoSpaceDE/>
        <w:autoSpaceDN/>
        <w:bidi w:val="0"/>
        <w:adjustRightInd/>
        <w:snapToGrid/>
        <w:spacing w:after="0" w:line="360" w:lineRule="auto"/>
        <w:ind w:leftChars="0"/>
        <w:jc w:val="both"/>
        <w:textAlignment w:val="auto"/>
        <w:rPr>
          <w:rFonts w:hint="eastAsia" w:ascii="宋体" w:hAnsi="宋体" w:eastAsia="宋体"/>
          <w:color w:val="auto"/>
          <w:sz w:val="21"/>
          <w:szCs w:val="21"/>
          <w:highlight w:val="none"/>
        </w:rPr>
      </w:pPr>
    </w:p>
    <w:p>
      <w:pPr>
        <w:pageBreakBefore w:val="0"/>
        <w:widowControl w:val="0"/>
        <w:numPr>
          <w:ilvl w:val="0"/>
          <w:numId w:val="0"/>
        </w:numPr>
        <w:tabs>
          <w:tab w:val="left" w:pos="907"/>
        </w:tabs>
        <w:kinsoku/>
        <w:wordWrap/>
        <w:topLinePunct w:val="0"/>
        <w:autoSpaceDE/>
        <w:autoSpaceDN/>
        <w:bidi w:val="0"/>
        <w:adjustRightInd/>
        <w:snapToGrid/>
        <w:spacing w:after="0" w:line="360" w:lineRule="auto"/>
        <w:ind w:left="420" w:leftChars="200"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证金的申请、履约保证金汇款凭证复印件、采购合同、采购项目验收报告原件、中标通知书复印件，前往采购人办理履约保证金退还手续。</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7360"/>
      <w:bookmarkStart w:id="164"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7974"/>
      <w:bookmarkStart w:id="166" w:name="_Toc25498"/>
      <w:bookmarkStart w:id="167" w:name="_Toc22900"/>
      <w:r>
        <w:rPr>
          <w:rFonts w:hint="eastAsia" w:ascii="宋体" w:hAnsi="宋体" w:eastAsia="宋体"/>
          <w:color w:val="auto"/>
          <w:sz w:val="21"/>
          <w:szCs w:val="21"/>
          <w:highlight w:val="none"/>
        </w:rPr>
        <w:t>33.询问</w:t>
      </w:r>
      <w:bookmarkEnd w:id="165"/>
      <w:bookmarkEnd w:id="166"/>
      <w:bookmarkEnd w:id="167"/>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11264"/>
      <w:bookmarkStart w:id="169" w:name="_Toc2767"/>
      <w:bookmarkStart w:id="170" w:name="_Toc8234"/>
      <w:r>
        <w:rPr>
          <w:rFonts w:hint="eastAsia" w:ascii="宋体" w:hAnsi="宋体" w:eastAsia="宋体"/>
          <w:color w:val="auto"/>
          <w:sz w:val="21"/>
          <w:szCs w:val="21"/>
          <w:highlight w:val="none"/>
        </w:rPr>
        <w:t>34.质疑</w:t>
      </w:r>
      <w:bookmarkEnd w:id="168"/>
      <w:bookmarkEnd w:id="169"/>
      <w:bookmarkEnd w:id="170"/>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6"/>
        <w:numPr>
          <w:ilvl w:val="0"/>
          <w:numId w:val="0"/>
        </w:numPr>
        <w:spacing w:before="0" w:after="0" w:line="480" w:lineRule="auto"/>
        <w:ind w:leftChars="0"/>
        <w:jc w:val="center"/>
        <w:rPr>
          <w:rFonts w:ascii="宋体" w:hAnsi="宋体" w:eastAsia="宋体"/>
          <w:color w:val="auto"/>
          <w:highlight w:val="none"/>
        </w:rPr>
      </w:pPr>
      <w:bookmarkStart w:id="171" w:name="_Toc8919"/>
      <w:bookmarkStart w:id="172" w:name="_Toc24383"/>
      <w:bookmarkStart w:id="173"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7"/>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6548"/>
      <w:bookmarkStart w:id="175" w:name="_Toc21187"/>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6"/>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7" w:name="_Toc7011"/>
      <w:bookmarkStart w:id="178" w:name="_Toc382"/>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6"/>
        <w:keepNext/>
        <w:keepLines/>
        <w:pageBreakBefore w:val="0"/>
        <w:widowControl/>
        <w:numPr>
          <w:ilvl w:val="0"/>
          <w:numId w:val="0"/>
        </w:numPr>
        <w:shd w:val="clea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bookmarkStart w:id="181" w:name="_Toc24679"/>
      <w:bookmarkStart w:id="182" w:name="_Toc31278"/>
      <w:bookmarkStart w:id="183" w:name="_Toc13112"/>
      <w:bookmarkStart w:id="184" w:name="_Toc14462"/>
      <w:r>
        <w:rPr>
          <w:rFonts w:hint="eastAsia" w:ascii="宋体" w:hAnsi="宋体"/>
          <w:color w:val="auto"/>
          <w:highlight w:val="none"/>
          <w:lang w:val="en-US" w:eastAsia="zh-CN"/>
        </w:rPr>
        <w:t>第一章 商务需求书</w:t>
      </w:r>
      <w:bookmarkEnd w:id="180"/>
    </w:p>
    <w:tbl>
      <w:tblPr>
        <w:tblStyle w:val="26"/>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6"/>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合同签订后 </w:t>
            </w:r>
            <w:r>
              <w:rPr>
                <w:rFonts w:hint="eastAsia" w:ascii="宋体" w:hAnsi="宋体" w:cs="宋体"/>
                <w:color w:val="auto"/>
                <w:sz w:val="21"/>
                <w:szCs w:val="21"/>
                <w:highlight w:val="none"/>
                <w:lang w:val="en-US" w:eastAsia="zh-CN"/>
              </w:rPr>
              <w:t>40</w:t>
            </w:r>
            <w:r>
              <w:rPr>
                <w:rFonts w:hint="eastAsia" w:ascii="宋体" w:hAnsi="宋体" w:eastAsia="宋体" w:cs="宋体"/>
                <w:color w:val="auto"/>
                <w:sz w:val="21"/>
                <w:szCs w:val="21"/>
                <w:highlight w:val="none"/>
                <w:lang w:eastAsia="zh-CN"/>
              </w:rPr>
              <w:t xml:space="preserve"> 日内</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合同签订</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供货及安装完成</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经验收合格并收到</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 xml:space="preserve">提供的发票后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个工作日内</w:t>
            </w:r>
            <w:r>
              <w:rPr>
                <w:rFonts w:hint="eastAsia" w:ascii="宋体" w:hAnsi="宋体" w:cs="宋体"/>
                <w:color w:val="auto"/>
                <w:sz w:val="21"/>
                <w:szCs w:val="21"/>
                <w:highlight w:val="none"/>
                <w:lang w:val="en-US" w:eastAsia="zh-CN"/>
              </w:rPr>
              <w:t>支</w:t>
            </w:r>
            <w:r>
              <w:rPr>
                <w:rFonts w:hint="eastAsia" w:ascii="宋体" w:hAnsi="宋体" w:eastAsia="宋体" w:cs="宋体"/>
                <w:color w:val="auto"/>
                <w:sz w:val="21"/>
                <w:szCs w:val="21"/>
                <w:highlight w:val="none"/>
                <w:lang w:eastAsia="zh-CN"/>
              </w:rPr>
              <w:t>付至合同总</w:t>
            </w:r>
            <w:r>
              <w:rPr>
                <w:rFonts w:hint="eastAsia" w:ascii="宋体" w:hAnsi="宋体" w:cs="宋体"/>
                <w:color w:val="auto"/>
                <w:sz w:val="21"/>
                <w:szCs w:val="21"/>
                <w:highlight w:val="none"/>
                <w:lang w:val="en-US" w:eastAsia="zh-CN"/>
              </w:rPr>
              <w:t>额</w:t>
            </w:r>
            <w:r>
              <w:rPr>
                <w:rFonts w:hint="eastAsia" w:ascii="宋体" w:hAnsi="宋体" w:eastAsia="宋体" w:cs="宋体"/>
                <w:color w:val="auto"/>
                <w:sz w:val="21"/>
                <w:szCs w:val="21"/>
                <w:highlight w:val="none"/>
                <w:lang w:eastAsia="zh-CN"/>
              </w:rPr>
              <w:t>的 9</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剩余</w:t>
            </w:r>
            <w:r>
              <w:rPr>
                <w:rFonts w:hint="eastAsia" w:ascii="宋体" w:hAnsi="宋体" w:eastAsia="宋体" w:cs="宋体"/>
                <w:color w:val="auto"/>
                <w:sz w:val="21"/>
                <w:szCs w:val="21"/>
                <w:highlight w:val="none"/>
                <w:lang w:eastAsia="zh-CN"/>
              </w:rPr>
              <w:t>合同总</w:t>
            </w:r>
            <w:r>
              <w:rPr>
                <w:rFonts w:hint="eastAsia" w:ascii="宋体" w:hAnsi="宋体" w:cs="宋体"/>
                <w:color w:val="auto"/>
                <w:sz w:val="21"/>
                <w:szCs w:val="21"/>
                <w:highlight w:val="none"/>
                <w:lang w:val="en-US" w:eastAsia="zh-CN"/>
              </w:rPr>
              <w:t>额的5%作为</w:t>
            </w:r>
            <w:r>
              <w:rPr>
                <w:rFonts w:hint="eastAsia" w:ascii="宋体" w:hAnsi="宋体" w:cs="宋体"/>
                <w:color w:val="auto"/>
                <w:szCs w:val="21"/>
                <w:highlight w:val="none"/>
              </w:rPr>
              <w:t>履约金</w:t>
            </w:r>
            <w:r>
              <w:rPr>
                <w:rFonts w:hint="eastAsia" w:ascii="宋体" w:hAnsi="宋体" w:cs="宋体"/>
                <w:color w:val="auto"/>
                <w:sz w:val="21"/>
                <w:szCs w:val="21"/>
                <w:highlight w:val="none"/>
                <w:lang w:val="en-US" w:eastAsia="zh-CN"/>
              </w:rPr>
              <w:t>，自</w:t>
            </w:r>
            <w:r>
              <w:rPr>
                <w:rFonts w:hint="eastAsia" w:ascii="宋体" w:hAnsi="宋体" w:cs="宋体"/>
                <w:color w:val="auto"/>
                <w:szCs w:val="21"/>
                <w:highlight w:val="none"/>
              </w:rPr>
              <w:t>验收合格之日起一年</w:t>
            </w:r>
            <w:r>
              <w:rPr>
                <w:rFonts w:hint="eastAsia" w:ascii="宋体" w:hAnsi="宋体" w:eastAsia="宋体" w:cs="宋体"/>
                <w:color w:val="auto"/>
                <w:sz w:val="21"/>
                <w:szCs w:val="21"/>
                <w:highlight w:val="none"/>
                <w:lang w:eastAsia="zh-CN"/>
              </w:rPr>
              <w:t>并收到</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提供的发票</w:t>
            </w:r>
            <w:r>
              <w:rPr>
                <w:rFonts w:hint="eastAsia" w:ascii="宋体" w:hAnsi="宋体" w:cs="宋体"/>
                <w:color w:val="auto"/>
                <w:szCs w:val="21"/>
                <w:highlight w:val="none"/>
              </w:rPr>
              <w:t>后</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个工作日内</w:t>
            </w:r>
            <w:r>
              <w:rPr>
                <w:rFonts w:hint="eastAsia" w:ascii="宋体" w:hAnsi="宋体" w:cs="宋体"/>
                <w:color w:val="auto"/>
                <w:szCs w:val="21"/>
                <w:highlight w:val="none"/>
                <w:lang w:val="en-US" w:eastAsia="zh-CN"/>
              </w:rPr>
              <w:t>一次性付清。</w:t>
            </w:r>
          </w:p>
          <w:p>
            <w:pPr>
              <w:keepNext w:val="0"/>
              <w:keepLines w:val="0"/>
              <w:pageBreakBefore w:val="0"/>
              <w:widowControl/>
              <w:shd w:val="clear"/>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Cs w:val="21"/>
                <w:highlight w:val="none"/>
              </w:rPr>
              <w:t>注:因采购人使用的是财政资金,采购人在前款规定的付款时间为向政府来购支付部门提出协理财政支付申请手续的时间</w:t>
            </w:r>
            <w:r>
              <w:rPr>
                <w:rFonts w:hint="eastAsia" w:ascii="宋体" w:hAnsi="宋体" w:cs="宋体"/>
                <w:color w:val="auto"/>
                <w:szCs w:val="21"/>
                <w:highlight w:val="none"/>
                <w:lang w:eastAsia="zh-CN"/>
              </w:rPr>
              <w:t>（</w:t>
            </w:r>
            <w:r>
              <w:rPr>
                <w:rFonts w:hint="eastAsia" w:ascii="宋体" w:hAnsi="宋体" w:cs="宋体"/>
                <w:color w:val="auto"/>
                <w:szCs w:val="21"/>
                <w:highlight w:val="none"/>
              </w:rPr>
              <w:t>不含政府财政支付部门审核的时间),在规定时间内提出支付申请手续后视为来购人已经按期支付。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货物产地及</w:t>
            </w:r>
            <w:r>
              <w:rPr>
                <w:rFonts w:hint="eastAsia" w:ascii="宋体" w:hAnsi="宋体" w:cs="宋体"/>
                <w:color w:val="auto"/>
                <w:sz w:val="21"/>
                <w:szCs w:val="21"/>
                <w:highlight w:val="none"/>
                <w:lang w:val="en-US" w:eastAsia="zh-CN"/>
              </w:rPr>
              <w:t>验收</w:t>
            </w:r>
            <w:r>
              <w:rPr>
                <w:rFonts w:hint="default" w:ascii="宋体" w:hAnsi="宋体" w:eastAsia="宋体" w:cs="宋体"/>
                <w:color w:val="auto"/>
                <w:sz w:val="21"/>
                <w:szCs w:val="21"/>
                <w:highlight w:val="none"/>
                <w:lang w:val="en-US" w:eastAsia="zh-CN"/>
              </w:rPr>
              <w:t>标准</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1．中标人保证其所提供的货物为全新的产品。</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2．本合同所指的货物及服务应符合中华人民共和国国家标准或行业标准。如果中华人民共和国没有相关标准的，则采用货物来源国适用的官方标准。这些标准必须是有关机构发布的最新版本的标准。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包装、保险及发运、保管要求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设备材料的包装必须是制造商原厂包装，其包装均应有良好的防湿、防锈、防潮、防雨、防腐及防碰撞的措施。凡由于包装不良造成的损失和由此产生的费用均由投标人承担。</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中标人负责将设备材料货到现场过程中的全部运输，包括装卸车、货物现场的搬运。</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各种设备必须提供装箱清单，按装箱清单验收货物。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货物在现场的保管由中标人负责，直至项目安装、验收完毕。</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货物在系统安装调试验收合格前的保险由中标人负责，中标人负责其派出的现场服务人员人身意外保险。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设备至采购人指定的使用现场的包装、保险及发运等环节和费用均由中标人负责。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质保期及售后服务要求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货物质保期为采购人和中标人双方签署验收合格证书之日起至少</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年，质保期内中标人必须进行质量“三包”，对质保期内中标人对所供货物实行包修、包换、包退、包维护保养，期满后可同时提供终身有偿维修保养服务。</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质保期内，如设备或零部件因非人为因素出现故障而造成短期停用时，则质保期和免费维修期相应顺延。如停用时间累计超过60天则质保期重新计算。</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必须提供7×24小时电话服务热线，保证在接到采购人电话后12小时内响应，在响应后24小时内到达现场，并在48小时内完成解决方案。若在72小时内仍未能有效解决，中标人须免费提供同档次的设备予采购人临时使用</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shd w:val="clear"/>
        <w:rPr>
          <w:rFonts w:hint="eastAsia" w:ascii="宋体" w:hAnsi="宋体"/>
          <w:color w:val="auto"/>
          <w:highlight w:val="none"/>
          <w:lang w:val="en-US" w:eastAsia="zh-CN"/>
        </w:rPr>
      </w:pPr>
      <w:bookmarkStart w:id="185" w:name="_Toc19316"/>
      <w:r>
        <w:rPr>
          <w:rFonts w:hint="eastAsia" w:ascii="宋体" w:hAnsi="宋体"/>
          <w:color w:val="auto"/>
          <w:highlight w:val="none"/>
          <w:lang w:val="en-US" w:eastAsia="zh-CN"/>
        </w:rPr>
        <w:br w:type="page"/>
      </w:r>
    </w:p>
    <w:p>
      <w:pPr>
        <w:pStyle w:val="6"/>
        <w:keepNext/>
        <w:keepLines/>
        <w:pageBreakBefore w:val="0"/>
        <w:widowControl/>
        <w:numPr>
          <w:ilvl w:val="0"/>
          <w:numId w:val="0"/>
        </w:numPr>
        <w:shd w:val="clea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第二章 技术需求书</w:t>
      </w:r>
      <w:bookmarkEnd w:id="185"/>
    </w:p>
    <w:p>
      <w:pPr>
        <w:shd w:val="clear"/>
        <w:snapToGrid w:val="0"/>
        <w:spacing w:line="360" w:lineRule="auto"/>
        <w:ind w:left="361" w:hanging="361" w:hangingChars="150"/>
        <w:outlineLvl w:val="3"/>
        <w:rPr>
          <w:rFonts w:hint="eastAsia" w:ascii="宋体" w:hAnsi="宋体"/>
          <w:color w:val="auto"/>
          <w:sz w:val="24"/>
          <w:highlight w:val="none"/>
        </w:rPr>
      </w:pPr>
      <w:r>
        <w:rPr>
          <w:rFonts w:hint="eastAsia" w:ascii="宋体" w:hAnsi="宋体"/>
          <w:b/>
          <w:color w:val="auto"/>
          <w:sz w:val="24"/>
          <w:highlight w:val="none"/>
          <w:lang w:val="en-US" w:eastAsia="zh-CN"/>
        </w:rPr>
        <w:t>一</w:t>
      </w:r>
      <w:r>
        <w:rPr>
          <w:rFonts w:hint="eastAsia" w:ascii="宋体" w:hAnsi="宋体"/>
          <w:b/>
          <w:color w:val="auto"/>
          <w:sz w:val="24"/>
          <w:highlight w:val="none"/>
        </w:rPr>
        <w:t>、项目基本要求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1、投标人必须承诺提供厂商原装、全新的、符合用户提出的有关质量标准的设备、货物。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2、所有货物在开箱检验时必须完好，无破损，配置与装箱单相符。货物外观清洁，标记编号以及盘面显示等字体清晰，明确。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3、对于影响货物正常工作的必要组成部分，无论在技术规范中指出与否，投标人都应提供并在投标文件中明确列出。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4、投标人必须保证产品符合相关验收标准，并通过验收后，再移交采购人。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5、投标人所投设备应符合中华人民共和国有关规范和安全要求；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、投标人须负责投标货物的设计、制造、运输、验收、培训；</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7、投标报价应包含货物的制造、运输、验收、试运行和售后服务、培训等的全包价（含税）；</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8、本项目为一个整体，投标人必须对本项目整体进行投标，不能只对其中一部分货物进行投标，且要提供详细的技术资料；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9、投标人提供的产品必须符合招标文件要求的技术参数及功能要求；</w:t>
      </w:r>
    </w:p>
    <w:p>
      <w:pPr>
        <w:shd w:val="clear"/>
        <w:snapToGrid w:val="0"/>
        <w:spacing w:line="360" w:lineRule="auto"/>
        <w:ind w:left="361" w:hanging="361" w:hangingChars="150"/>
        <w:rPr>
          <w:rFonts w:hint="eastAsia" w:ascii="宋体" w:hAnsi="宋体"/>
          <w:b/>
          <w:color w:val="auto"/>
          <w:sz w:val="24"/>
          <w:highlight w:val="none"/>
        </w:rPr>
      </w:pPr>
    </w:p>
    <w:p>
      <w:pPr>
        <w:shd w:val="clear"/>
        <w:snapToGrid w:val="0"/>
        <w:spacing w:line="360" w:lineRule="auto"/>
        <w:ind w:left="361" w:hanging="361" w:hangingChars="150"/>
        <w:outlineLvl w:val="3"/>
        <w:rPr>
          <w:rFonts w:hint="eastAsia" w:ascii="宋体" w:hAnsi="宋体"/>
          <w:b/>
          <w:color w:val="auto"/>
          <w:sz w:val="24"/>
          <w:highlight w:val="none"/>
        </w:rPr>
      </w:pPr>
      <w:r>
        <w:rPr>
          <w:rFonts w:hint="eastAsia" w:ascii="宋体" w:hAnsi="宋体"/>
          <w:b/>
          <w:color w:val="auto"/>
          <w:sz w:val="24"/>
          <w:highlight w:val="none"/>
          <w:lang w:val="en-US" w:eastAsia="zh-CN"/>
        </w:rPr>
        <w:t>二</w:t>
      </w:r>
      <w:r>
        <w:rPr>
          <w:rFonts w:hint="eastAsia" w:ascii="宋体" w:hAnsi="宋体"/>
          <w:b/>
          <w:color w:val="auto"/>
          <w:sz w:val="24"/>
          <w:highlight w:val="none"/>
        </w:rPr>
        <w:t>、项目采购清单及技术参数</w:t>
      </w:r>
    </w:p>
    <w:p>
      <w:pPr>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项目清单汇总：</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2"/>
        <w:gridCol w:w="1316"/>
        <w:gridCol w:w="4661"/>
        <w:gridCol w:w="889"/>
        <w:gridCol w:w="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具体内容</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小班班级区域材料</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角色区、建构区、益智区、表演区、语言区、数学区</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大班班级区域材料</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角色区、建构区、益智区、表演区、语言区、数学区</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美术室材料</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美术室探趣组合</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STEAM室教具类</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教具及日常生活教具</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STEAM室材料类</w:t>
            </w:r>
          </w:p>
        </w:tc>
        <w:tc>
          <w:tcPr>
            <w:tcW w:w="4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积木益智建构</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本清单配置</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包含税收、运输、安装等费用。</w:t>
      </w:r>
    </w:p>
    <w:p>
      <w:pP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班区域材料和美术室、STEAM</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含有课程指导手册及系统的教师培训。</w:t>
      </w:r>
    </w:p>
    <w:p>
      <w:pP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分项清单</w:t>
      </w:r>
    </w:p>
    <w:p>
      <w:pPr>
        <w:numPr>
          <w:ilvl w:val="0"/>
          <w:numId w:val="9"/>
        </w:numPr>
        <w:ind w:left="0" w:leftChars="0" w:firstLine="420" w:firstLineChars="0"/>
        <w:outlineLvl w:val="4"/>
        <w:rPr>
          <w:rFonts w:hint="eastAsia" w:ascii="宋体" w:hAnsi="宋体" w:eastAsia="宋体" w:cs="宋体"/>
          <w:b/>
          <w:bCs/>
          <w:color w:val="auto"/>
          <w:sz w:val="21"/>
          <w:szCs w:val="21"/>
          <w:highlight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小班班级区域材料</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434"/>
        <w:gridCol w:w="890"/>
        <w:gridCol w:w="1319"/>
        <w:gridCol w:w="5011"/>
        <w:gridCol w:w="434"/>
        <w:gridCol w:w="4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小班班级区域材料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角色区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角色区使用手册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双胶纸+铜版纸210mm×285mm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95"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角色区标识牌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白卡纸240mm×482mm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娃娃家之育婴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仿真娃娃</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（全身软胶）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全身软胶搪胶约300mm（高）×200mm（最宽处）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饭盆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PP130mm×100mm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小便盆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PP约150mm×60mm×65mm（高）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勺子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PP约120mm×25mm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叉子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PP约120mm×25mm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安抚奶嘴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奶瓶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PP长120mm×宽55mm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诊所/紧急医药箱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医药箱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木质250mm×200mm×95mm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体温计(磁性)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木质120mm×27mm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温度板（磁性）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木质约60mm×20mm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注射器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木质130mm×40mm×25mm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脱脂棉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木质75mm（高）×35mm（直径），</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内含4块脱脂棉：</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25mm（直径）×10mm（厚）</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消毒水（碘伏）</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木质80mm（高）×38mm（直径）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胶囊（磁性）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药片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木质40mm×24mm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镊子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木质长约100mm，宽约15mm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听诊器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金属+胶管长约750mm，宽约100mm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医生服（含帽子）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涤纶袖长400mm，肩宽300mm，衣长660mm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护士服（含帽子）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涤纶袖长400mm，肩宽300mm，衣长660mm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娃娃家之美妆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梳妆台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木质360mm×180mm×175mm（最高处高）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镜子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木质270mm（最长处）×230mm（宽）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香水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木质85mm（高）×44mm（底面直径）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指甲油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木质62mm（高）×35mm（宽）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唇膏</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木质62mm（高）×17mm（直径）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粉饼</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木质35mm（高）×55mm（直径）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眼影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木质70mm×50mm×24mm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化妆棉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聚酯纤维45mm×45mm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乳液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木质90mm（高）×45mm（底面直径）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理发店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吹风机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木质105mm×125mm×28mm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梳子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木质长：80mm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腰包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布300mm×170m黄色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布长600mm×宽900mm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卷发器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木质65mm（长）×25mm（直径）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娃娃家之客厅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蛋糕</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木质+魔术贴105mm（直径）×26mm（高）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蛋糕盘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木质50mm×100mm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茶叶罐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木质60mm×90mm,1个</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茶壶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木质130mm×110mm×90mm，1个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茶勺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木质80mm×20mm×10mm，2把</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公杯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木质90mm×60mm×50mm，1个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茶包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木质80mm×30mm，2个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茶杯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木质50mm×70mm×40mm，2个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小碟子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木质80mm×10mm,2个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大茶盘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木质300mm×200mm×40mm，1个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娃娃家之厨房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木质直径78mm×45mm高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碟子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筷子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木质长120mm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勺子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木质长110mm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芝麻饼（磁性）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木质68mm×19mm，可分为2小块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油条（磁性）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木质50mm×27mm×104mm，可分为2根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汉堡（磁性）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木质80mm×50mm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煎蛋（磁性）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木质51mm×59mm×11mm，淡黄和蛋清可分开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蛋糕卷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木质+魔术贴蛋糕卷：60mm×50mm，5片；</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小盘子：直径100mm，1个；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蛋糕刀：150mm，1把。</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布约420mm×350mm，白色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煎锅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木质150mm*85mm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平底锅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木质110mm*50mm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木质160mm*90mm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木质110mm*25mm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炒勺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木质110mm×30mm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锅铲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木质140mm*30mm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农场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橘子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木质+魔术贴53mm×53mm,1个；</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苹果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木质+魔术贴56mm×54mm，1个；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柠檬</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木质+魔术贴40mm×60mm，1个；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木质+魔术贴47mm×85mm，1个；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香蕉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木质+魔术贴145mm×30mm，1个；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洋葱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木质+魔术贴47mm×50mm，1个；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西红柿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木质+魔术贴50mm×50mm,1个；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木质+魔术贴50mm×62mm，1个；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玉米</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木质+魔术贴104mm×40mm，1个；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茄子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木质+魔术贴110mm×40mm，1个；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胡萝卜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木质+魔术贴115mm×32mm，1个；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蘑菇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木质+魔术贴30mm×40mm，2个；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木质+魔术贴130mm×25mm，1把；</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木质+魔术贴160mm×90mm，1个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草帽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直径360mm,帽檐宽80mm,高90mm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尖铲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木质+铁质215mm×60mm，1把；</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木质+铁质200mm×70mm，1把；</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三齿耙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木质+铁质150mm×75mm，1把。</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洒水壶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铁质125mm（直径）×235mm（带把手高度）；最宽处：290mm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情景创意盒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铁把手秤</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ABS/镀铬100mm×65mm×20mm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食物模具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PP直径115mm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纸黏土</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黏土20g/包，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黑卷发款发套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P丝46mm，黑色卷发款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黑长直发款发套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P丝</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胡子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环保化纤170mm×230mm，白色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生日蛋糕</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木质，魔术贴直径133mm×25mm(高),加插件高70mm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发型设计板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木质纤维板228mm×150mm，A5，厚度：3mm，板夹厚18mm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扭扭棒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涤纶+铁丝6mm×300mm，随机混色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不织布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聚酯纤维200mm×300mm,1mm厚</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0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纸质240mm×482mm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29"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图片范例卡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36"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情境拼搭任务卡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图卡底座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木质150mm×30mm×20mm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1"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地垫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无纺布985mm×1300mm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59"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半圆形彩窗积木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木质、亚克力120mm（直径）×60mm（高）×30mm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54"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直角三角形彩窗积木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木质、亚克力120mm×60mm×30mm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75"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等边三角形彩窗积木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木质、亚克力120mm×120mm×30mm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17"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矩形彩窗积木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木质、亚克力120mm×60mm×30mm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33"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正方形彩窗积木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木质、亚克力60mm×60mm×30mm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16"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树形积木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4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人偶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木质、粗棉绳、布最高80mm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半单元积木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单元积木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双倍单元积木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小三角形积木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大三角形积木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半柱形积木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木质60mm×30mm×30mm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柱形积木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木质120mm×30mm×30mm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双倍柱形积木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木质240mm×30mm×30mm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双倍圆柱体积木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木质60mm（直径）×120mm（高）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98"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斜坡形积木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半圆环积木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木质240mm（外圈直径)×120mm×30mm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小半圆形积木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大半圆形积木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木质（直径）120mm×60mm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拱桥形积木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锥形积木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木质30mm（直径）×60mm （高）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羊角形积木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木质180mm×180mm（长宽）；柄60mm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四角积木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木质90mm×90mm；四角分别内凹四分之一圆（直径6mm）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铜版纸+双胶纸210mm×285mm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22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双胶纸80g，210mm×285mm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4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白卡纸240mm×482mm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木质106mm×106mm×95mm、93mm×93mm×85mm、80mm×80mm×77mm、68mm×68mm×66mm、53mm×53mm×53mm、40mm×40mm×40mm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点数骰子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木质20mm×20mm×20mm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彩色兔子棋子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木质30mm×17mm×8mm；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红、黄、蓝、绿、白、粉6种颜色，每种颜色各10颗共60颗。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熊孩子搬苹果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游戏控制板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木质440mm×190mm×60mm；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铁棒长42mm，棒端木球直径2mm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红色木球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木质直径45mm，自带包装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苹果奖励卡片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小小建筑师</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工业板200mm×200mm×3mm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木质30mm×30mm×30mm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木质30mm×30mm×25mm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欢乐钓鱼</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磁性保龄球鱼</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木质30mm×30mm×80mm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木质250mm×30mm×10mm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2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钓竿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木质180mm（长）×7mm（直径）</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套圈</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串珠智力盒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智力盒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木质285mm×185mm×42mm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木质27mm×27mm×27mm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椭圆形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木质35mm×19mm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圆柱形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木质28mm×26mm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木质28mm×26mm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花珠形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木质约27mm×20mm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算珠形</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木质8mm×20mm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串珠棍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塑料扣环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塑料35mm×37mm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任务范例卡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52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图形颜色套柱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图形套柱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木质150mm×150mm×65mm；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底板1个；三角柱3个；圆柱3个；长方柱3个；彩色积木19块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昼夜航行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插柱底座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木质195mm×204mm×54mm，1个</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彩色积木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木质共21块</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塑料扣环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塑料35mm×37mm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任务范例卡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铜版纸350g,120mm×120mm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自封袋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塑料160mm×230mm，0.1mm厚</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数字去旅行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数字“2”橙色积木块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木质40mm×40mm×30mm厚，3块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数字“3”红色积木块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木质40mm×40mm×45mm厚，2块</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数字“4”蓝色积木块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木质40mm×40mm×60mm厚，1块</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数字“5”绿色积木块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木质40mm×40mm×75mm厚，1块</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火车头部分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木质火车头1组：木质连接车头带轮底座1个，列车员积木块1个、正方形槽1个、半圆柱块2个、长方形块1个、烟囱块1个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中间车厢部分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木质木质连接，1个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车尾部分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木质木质连接，1个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6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星际迷宫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迷宫游戏板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木质390mm×290mm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几何图形变变变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彩色图形拼片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木质11种形状，共204块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铜版纸200mm×180mm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动物拼图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底盒</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木质220mm×220mm×18mm，1个</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动物形象拼块，共15块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铜版纸350g,80mm×80mm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自封袋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塑料120mm×168mm，0.1mm厚</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磁力拼图-季节变装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磁性拼片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铜版纸+软磁240mm×165mm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翻盖盒子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工业板265mm×190mm×40mm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背景卡片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铜版纸157g，240mm×165mm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铜版纸350g，120mm×120mm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熊孩子的糖果罐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对折棋盘</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工业板320mm×320mm,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熊孩子的糖果罐1/6和2/6</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熊孩子的糖果罐3/6和4/7</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熊孩子的糖果罐5/6和6/7</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棋子底座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指针</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塑料100mm长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水果抱抱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水果卡片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布200mm×240mm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6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进口软不织布450mm×450mm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彩环王国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彩色圆环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木质内径12mm,外径37mm；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红、黄、蓝、绿、橙各10个，共50个</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套柱底座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木质245mm×80mm×22mm，1个</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插柱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木质直径10mm×140mm长，5根</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任务范例卡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铜版纸350g，210mm×57mm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22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雪花片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雪花片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塑料直径34mm，1000片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 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表演区整理标签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材质：不干胶规格：210mm×285mm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材质：纸质规格：234mm×478mm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材质：纸质规格：210mm×285mm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2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蚂蚁和西瓜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蚂蚁发箍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塑料、铁质、平面绒规格：含触角高约300mm,发箍高约140mm,宽约115mm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西瓜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毛绒布料，填充pp棉规格：长约400mm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颜色：红色、黄色、绿色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三只小鸡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小鸡帽子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毛毡规格：头围约400mm，深80mm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颜色：黄色、棕色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老牛帽子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平面绒规格：740mm*480mm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小鸡翅膀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平面绒规格：740mm*480mm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老牛背心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颜色：深棕色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我喜欢我自己</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青蛙帽子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   颜色：绿色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鸭子帽子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   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松鼠帽子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   颜色：棕色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山羊帽子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   颜色：白色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青蛙背心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青蛙短裤</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平面绒规格：380mm*300mm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鸭子翅膀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平面绒规格：740mm*480mm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眼镜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塑料材质：塑料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小兔阿布和布娃娃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兔子发箍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短毛绒规格：发箍总高度约280mm，耳朵高约140mm。发箍宽约280mm，高约135mm。胡萝卜长约105mm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颜色：白色、灰色、粉色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小猪发箍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短毛绒规格：发箍总高度约200mm，耳朵高约130mm。发箍宽约200mm，高约135mm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颜色：白色、米色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小猫玩偶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短毛绒+PP棉规格：长230mm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涤纶规格：长550mm×宽450mm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花环项链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布艺规格：周长960～1000mm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颜色：黄色、红色、绿色、蓝色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猴王吃西瓜</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手偶剧</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木质规格：600mm*500mm*120mm  颜色：原木色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幕布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平面绒规格：300mm*500mm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小猴子手偶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毛绒规格：高250mm，宽150mm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颜色：浅棕色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老猴子手偶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毛绒规格：高250mm，宽150mm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颜色：深棕色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猴王手偶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毛绒规格：高250mm，宽150mm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小红帽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红色斗篷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涤纶规格：长约700mm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篮子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涤纶规格：直径230mm，高200mm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颜色：橙色、黑色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睡帽</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涤纶规格：头围约400mm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颜色：粉色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眼镜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塑料规格：镜框高约50mm，宽约110mm，镜腿长约135mm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大灰狼头饰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颜色：灰色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猎人头饰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拔萝卜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白色马甲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涤纶规格：360mm*430mm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白色毛巾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涤纶规格：300mm*700mm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红色系带</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绸布规格：长1500mm，宽100mm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棉布规格：围裙4700*3500mm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颜色：蓝色、白色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发箍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塑料规格：头围约550mm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裙子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棉麻规格：580mm*300mm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小猫头饰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  规格：头围约550mm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鸭子头饰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  规格：头围约550mm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胡萝卜表演服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毛绒衣服规格：540mm*415mm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帽子规格：260mm*240mm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鞋子规格：170mm*180mm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手摇铃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木质规格：200mm*60mm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 颜色：原木色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沙锤</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木质规格：长115mm   </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大话西游</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黄色表演服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涤纶规格：540mm*415mm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绿色表演服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涤纶规格：540mm*415mm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黑色表演服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涤纶规格：540mm*415mm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虎皮裙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涤纶规格：长约300mm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颜色：黄色、黑色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袈裟</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涤纶规格：630mm*500mm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颜色：红色、黄色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红色系带</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涤纶规格：长约1500mm，宽约750mm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黑色帽子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涤纶规格：头围约550mm，深180mm，耳朵长约150mm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颜色：黑色、白色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红色帽子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涤纶规格：头围约550mm，深160mm，飘带长约360mm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颜色：黄色、红色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gridSpan w:val="6"/>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语言区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语言区使用手册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正16开，64P，封面：200g铜板纸，覆哑膜，单面四色印刷；内芯：80g双胶纸，双面彩色印刷；胶装</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185*260mm，250g白卡；单面四色印刷，双面覆哑膜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区域规则牌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260*370mm，200g铜版纸；单面四色印刷，单面覆哑膜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玩具柜彩色标签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120*75mm，32小张/套；8小张/套，2套/班，80g不干胶；单面四色印刷；单面覆哑膜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玩具说明书</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正16开（185*260mm），200g铜版纸，覆哑膜，双面八色印刷</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装箱说明</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16开，80g双胶纸，单面单色印刷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第1盒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小河边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青蛙头饰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175.918*108.471mm；硬度45度EVA表面印刷，加底托加ABS，加橡筋，宽10mm，长360mm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鸭子头饰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165.784*145.356mm；硬度45度EVA表面印刷，加底托加ABS，加橡筋，宽10mm，长360mm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河马头饰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171.585*151.641mm；硬度45度EVA表面印刷，加底托加ABS，加橡筋，宽10mm，长360mm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乌龟头饰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160*160mm；硬度45度EVA表面印刷，加底托加ABS，加橡筋，宽10mm，长360mm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蛙掌手套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17.5*19cm面布颜色：PANTONE WHITE C(数码印花）里布颜色：PANTONE 3405C；面布：短毛绒里布：边纶布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鸭子翅膀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120*58cm面布颜色：PANTONE 123C</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辅料颜色：PANTONE WHITE C；面布：罗尔呢(250g/m-260g/m）门幅：150cm（100%专纺弹性涤纶纤维）辅料：2.5cm宽橡筋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乌龟背心</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42*48cm面布颜色：PANTONE WHITE C（数码印花）辅料颜色：PANTONE WHITE C；面布：罗尔呢(250g/m-260g/m）门幅：150cm（100%专纺弹性涤纶纤维）辅料：2.5cm宽橡筋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蓝色小河</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142*100cm面布颜色：PANTONE 659C；面布：罗尔呢(250g/m-260g/m）门幅：150cm（100%专纺弹性涤纶纤维）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童话剧绘本</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正16开；8P；封面、内芯157g亚光铜板；封面、内芯105g铜版，封面覆哑膜，八色双面印刷，骑马钉</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第2盒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小兔乖乖</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大灰狼头饰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171.94*115.055mm；硬度45度EVA表面印刷，加底托加ABS，加橡筋，宽10mm，长360mm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兔妈妈头饰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176.601*138.443mm；硬度45度EVA表面印刷，加底托加ABS，加橡筋，宽10mm，长360mm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小兔子1头饰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169.941*138.763mm；硬度45度EVA表面印刷，加底托加ABS，加橡筋，宽10mm，长360mm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小兔子2头饰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171.849*140.406mm；硬度45度EVA表面印刷，加底托加ABS，加橡筋，宽10mm，长360mm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小兔子3头饰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170.418*139.203mm；硬度45度EVA表面印刷，加底托加ABS，加橡筋，宽10mm，长360mm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裙长46*41cm，肩带长54cm，腰带宽25cm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面料颜色：PANTONE 3242C辅料颜色：PANTONE WHITE C；面料：罗尔呢辅料：魔术贴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大灰狼尾巴</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尾巴长35cm，腰带宽3cm面料颜色：PANTONE WHITE C(数码印花）；面料：短毛绒辅料：2.5cm宽橡筋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竹篮道具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正16开；面纸、底纸190g白卡，中层2mm工业纸板，圆角，双面覆哑膜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门道具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正16开；面纸、底纸190g白卡，中层2mm工业纸板，圆角，双面覆哑膜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胡萝卜道具</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正16开；面纸、底纸190g白卡，中层2mm工业纸板，圆角，双面覆哑膜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童话剧剧本</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正16开；8P；封面、内芯157g亚光铜板；封面、内芯105g铜版，封面覆哑膜，八色双面印刷，骑马钉</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第3盒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滑梯真好吃</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215*280*3mm、200*295*3mm、200*295*3mm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215*280*3mm；3mm厚椴木夹板，轮廓及插孔激光切割，1底2面清漆，表面图案热转印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故事拼插板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204*284*3mm（插孔长15mm）（内含24个小部件）；3mm厚椴木夹板，轮廓及插孔激光切割，1底2面清漆，表面图案热转印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滑梯1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17.00*37.00*3mm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滑梯2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30.00*108.01*3mm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滑梯3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69.67*66.11*3mm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正32开（142*210mm）10张；300g白卡，双面八色印刷，双面覆亮膜，模切圆角，每10张入自封袋</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第4盒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龟兔赛跑</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215*280*3mm 、200*295*3mm 、200*295*3mm 、215*280*3mm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故事拼插板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204*284*3mm（插孔长15mm）（内含36个小部件）；3mm厚椴木夹板，轮廓及插孔激光切割，1底2面清漆，表面图案热转印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正32开（142*210mm）10张；300g白卡，双面八色印刷，双面覆亮膜，模切圆角，每10张入自封袋</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第5盒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家·幼儿园</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第1本·家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206*206*2mm；2mm厚工业纸板，内含0.5mm厚软铁布，整体157g铜版纸包裹并印刷，覆亮膜，背板白色底</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第2本·幼儿园</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206*206*2mm；2mm厚工业纸板，内含0.5mm厚软铁布，整体157g铜版纸包裹并印刷，覆亮膜，背板白色底</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棋子磁力板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 3mm厚椴木夹板，底面0.3mm厚软磁,表面128g铜版纸印刷，覆亮膜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环扣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外径30mm，内径24mm，接头最宽不超过5mm（外采件）；材料PE，颜色PANTONE WHITE C</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第6盒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在游乐场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讲述底板-水上乐园</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285*420mm（8开）；370*260mm（正8开）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讲述底板-游乐场</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285*420mm（8开）；370*260mm（正8开）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游戏棋子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（2套，每套8个，共16个）40*40*16mm；榉木，原木色，2底2面清漆，表面热转印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讲述挡板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250*210*3mm；面纸、底纸190g白卡，中层2mm工业纸板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挡板支架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116.52*45.78*3mm；面纸、底纸190g白卡，中层2mm工业纸板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0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第7盒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快乐的周末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370*520mm（四开）；370*260mm（正8开）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讲述底板-动物园</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370*520mm（四开）；370*260mm（正8开）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讲述图卡-家主题</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105*140mm；250g白卡，双面彩色印刷，覆亮膜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讲述图卡-动物园主题</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105*140mm；250g白卡，双面彩色印刷，覆亮膜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25*25*25mm；荷木，原木色，2底2面清漆，表面私印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第8盒</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轨道滑滑乐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贴纸</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正16开；80g不干胶；单面四色印刷；覆哑膜</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轨道底板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100*290*7mm</w:t>
            </w:r>
          </w:p>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颜色分别为PANTONE 485C，PANTONE 2955C，PANTONE 362C，PANTONE 716C；密度板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木笔</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长108.50mm，直径5.89mm；荷木，2底2面清漆，原木色</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gridSpan w:val="6"/>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数学区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数学区使用手册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操作步骤图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正8开，纸质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区域标识牌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区域规则牌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正8开，纸质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玩具柜彩色标签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120*75mm，纸质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装箱说明</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1.海底世界</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双色鱼</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52*50*5mm，密度板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52*50*5mm，密度板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52*54*5mm，密度板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52*54*5mm，密度板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单色鱼</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52*50*5mm，密度板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52*50*5mm，密度板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52*54*5mm，密度板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52*54*5mm，密度板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海底世界底垫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内部操作尺寸为直径420mm，厚2.5mm；涤纶、环保橡胶（3L标胶）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形状骰子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2.分分乐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昆虫卡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物品卡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正16开/92.5*260mm，纸质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3.创意拼图</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等边三角形，边长78.51mm，高5mm，注塑ABS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等边三角形，边长68.51mm，注塑ABS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等边三角形，边长58.51mm，注塑ABS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三角形4</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等边三角形，边长48.51mm，高5mm，注塑ABS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三角形5</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等边三角形，边长38.51mm，高5mm，注塑ABS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半圆形1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直径79.96mm，注塑ABS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半圆形2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直径59.95mm，注塑ABS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半圆形3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直径39.93mm，注塑ABS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圆形4</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直径49.98mm，注塑ABS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圆形5</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边长59.98mm，注塑ABS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边长49.98mm，注塑ABS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边长39.98mm，注塑ABS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长方形1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59.98*35.98*5mm，注塑ABS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长方形2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49.98*29.98*5mm，注塑ABS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长方形3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39.98*23.98*5mm，注塑ABS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眼睛</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60*10*0.6mm，冲压pp</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4.趣味夹子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彩色夹子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59.98*21.98mmTPE</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5.形状纽扣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一孔圆形纽扣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直径37.94*厚度4.11mm，注塑ABS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二孔五角星形纽扣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直径38.58*厚度4.11mm，注塑ABS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三孔心形纽扣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直径40.03*厚度4.11mm，注塑ABS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四孔六边形纽扣</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直径37.4*厚度4.11mm，注塑ABS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点数骰子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棉线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直径2mm，长800mm，棉质/外采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纽扣底板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直径212*厚度7.5mm，注塑ABS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6.叠叠乐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三角形蘑菇钉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30*33*高31mm，注塑ABS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圆形蘑菇钉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直径30*高31mm；30*30*高31mm，注塑ABS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正方形蘑菇钉</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30*30*高31mm，注塑ABS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点数骰子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多孔底板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210*170*10mm，60°EVA带压纹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操作卡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210*170mm，厚0.6mm，冲压PP</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7.动物跳棋</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正方形比色牌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50*50*厚5mm，注塑ABS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长方形比色牌</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30*50*厚5mm，注塑ABS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63</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30*50*厚5mm，注塑ABS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20mm高圆环，直径90m，注塑ABS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30mm高圆环，直径90mm，注塑ABS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40mm高圆环，直径90mm，注塑ABS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圆环4</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50mm高圆环，直径90mm，注塑ABS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棋子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19*19*高26mm，注塑ABS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彩色青蛙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50*50*高18mm，塑料</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动物跳棋底垫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内部操作尺寸385*385*2.5mm，涤纶、环保橡胶（3L标胶）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72</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73</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8.捉虫游戏</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毛毛虫1</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直径40mm，高度30mm，注塑ABS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74</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毛毛虫2</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直径35mm，高度50mm，注塑ABS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75</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毛毛虫3</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直径30mm，高度70mm，注塑ABS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76</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毛毛虫4</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直径25mm，高度90mm，注塑ABS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77</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毛毛虫5</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直径20mm,高度110mm，注塑ABS</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78</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正方形底板</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110*110*10mm，60°EVA带压纹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79</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捉虫游戏底垫</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内部操作尺寸379*379*2.5mm，涤纶、环保橡胶（3L标胶）</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捕虫夹</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150*8*厚10mm，榉木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noWrap/>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81</w:t>
            </w:r>
          </w:p>
        </w:tc>
        <w:tc>
          <w:tcPr>
            <w:tcW w:w="0" w:type="auto"/>
            <w:vMerge w:val="continue"/>
            <w:tcBorders>
              <w:tl2br w:val="nil"/>
              <w:tr2bl w:val="nil"/>
            </w:tcBorders>
            <w:shd w:val="clear" w:color="auto" w:fill="FFFFFF" w:themeFill="background1"/>
            <w:vAlign w:val="center"/>
          </w:tcPr>
          <w:p>
            <w:pPr>
              <w:spacing w:line="360" w:lineRule="auto"/>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25*25*25mm，榉木</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bl>
    <w:p>
      <w:pPr>
        <w:rPr>
          <w:rFonts w:hint="eastAsia" w:ascii="宋体" w:hAnsi="宋体" w:eastAsia="宋体" w:cs="宋体"/>
          <w:color w:val="auto"/>
          <w:sz w:val="21"/>
          <w:szCs w:val="21"/>
          <w:highlight w:val="none"/>
          <w:lang w:val="en-US" w:eastAsia="zh-CN"/>
        </w:rPr>
      </w:pPr>
    </w:p>
    <w:p>
      <w:pPr>
        <w:numPr>
          <w:ilvl w:val="0"/>
          <w:numId w:val="9"/>
        </w:numPr>
        <w:ind w:left="0" w:leftChars="0" w:firstLine="420" w:firstLineChars="0"/>
        <w:outlineLvl w:val="4"/>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大班班级区域材料</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457"/>
        <w:gridCol w:w="1016"/>
        <w:gridCol w:w="1894"/>
        <w:gridCol w:w="4151"/>
        <w:gridCol w:w="457"/>
        <w:gridCol w:w="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大班班级区域材料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角色区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角色区使用手册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双胶纸+铜版纸</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56"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不干胶</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8"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标识牌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白卡纸</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240mm×482mm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餐厅</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灶台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木质450mm×450mm*220mm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调料罐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木质直径78mm×45mm高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碟子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筷子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勺子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木质长110mm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防烫手套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布165mm×130mm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布垫子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布110mm×110mm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木质170mm×100mm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7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长方形蔬菜篮子套装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木质+魔术贴篮子：223mm×160mm×80mm,1个；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菜刀：140mm×30mm，1把；</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青瓜：130mm×40mm，1个；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紫甘蓝：60mm×55mm，1个；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土豆：50mm×35mm,1个；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大葱：135mm×20mm，1个；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白萝卜：90mm×30mm，1个；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青椒：55mm×45mm，1个；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蘑菇：40mm×45mm，1个；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洋葱：40mm×50mm，1个；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玉米：100mm×30mm，1个；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胡萝卜：110mm×30mm，1个；</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茄子：110mm×30mm，1个；</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共13件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厨师围裙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布长550mm×宽450mm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厨师帽</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布中号，白色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服务员围裙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布中号，长550mm×宽450mm，咖啡色黄边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平底锅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不锈钢金属色款：130mm×31mm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口</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煎炒锅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不锈钢金属色款：160mm×25mm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口</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锅盖</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不锈钢金属色款：100mm×2mm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蒸锅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不锈钢金属色款：128mm×60mm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口</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蒸屉</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不锈钢128mm×28mm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汤勺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不锈钢130mm×40mm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锅铲</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不锈钢140mm×30mm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漏勺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不锈钢130mm×50mm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点心夹</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不锈钢130mm×50mm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打蛋器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不锈钢135mm×20mm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厨具架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不锈钢178mm×140mm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菜单</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纸币</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超市</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落地衣架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小衣架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天平秤</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木质125mm×95mm×140mm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收款机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木质收银机：190mm×150mm，1个</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银行卡1个，硬币4个。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胸牌卡套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塑料101mm×63mm，横版</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购物袋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无纺布</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工作证</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铜版纸200g，210mm×285mm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促销牌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铜版纸200g，210mm×285mm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纸币</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白卡纸250g，210mm×285mm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仓库标志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不干胶285mm×285mm</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类别标志</w:t>
            </w:r>
          </w:p>
        </w:tc>
        <w:tc>
          <w:tcPr>
            <w:tcW w:w="0" w:type="auto"/>
            <w:tcBorders>
              <w:tl2br w:val="nil"/>
              <w:tr2bl w:val="nil"/>
            </w:tcBorders>
            <w:shd w:val="clear" w:color="auto" w:fill="FFFFFF" w:themeFill="background1"/>
            <w:vAlign w:val="center"/>
          </w:tcPr>
          <w:p>
            <w:pPr>
              <w:jc w:val="left"/>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快递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快递马甲</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布胸围720mm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木质50mm×100mm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快递单</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双胶纸80g，180mm×120mm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本</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银行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取款机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木质125mm×160mm×190mm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记录册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铜版纸+双胶纸130mm×185mm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本</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银行卡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纸币</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白卡纸250g，210mm×285mm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学校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支架黑板（磁性）</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木质355mm×238mm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粉笔</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粉笔长82mm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黑板磁吸</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木质30mm×25mm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板擦</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木质+棉质40mm×30mm×12mm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法庭</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警察臂章</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布85mm×100mm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警帽</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布质内直径200mm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手枪</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木质160mm×100mm×15mm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法槌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木质锤宽：35mm~40mm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人物标识牌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白卡纸250g，200mm×354mm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消防队</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消防头盔</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塑料215mm×330mm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消防水枪</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不织布长610mm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消防员马甲</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布M码</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灭火器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塑料230mm×90mm×55mm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警铃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火情示意图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双胶纸80g，210mm×285mm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情景创意盒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纸黏土</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黏土20g/包</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包</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押运臂章</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布质85mm×100mm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安全竹签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木质200mm×3mm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不织布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硬质不织布200mm×300mm,1mm厚</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红色、橙色、粉色、褐色、草绿色、浅绿色、深绿色、黄色各2张。紫色、白色、灰色、土黄色各1张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点名板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木质纤维板228mm×150mm，A5，厚度：3mm，板夹厚18mm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9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建构区标识牌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纸质240mm×482mm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7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图片范例卡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3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情境拼搭任务卡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3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图卡底座</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木质150mm×30mm×20mm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1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地垫</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无纺布985mm×1300mm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4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圆形木球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木质直径35mm，黄色和蓝色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正方形球槽</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木质120mm×120mm×30mm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正方体轨道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半正方体轨道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有圆洞长条轨道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工字型轨道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工字长条轨道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木质240mm×60mm×60mm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半单元积木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单元积木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双倍单元积木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四倍单元积木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木质480mm×60mm×30mm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小三角形积木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大三角形积木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半柱形积木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木质60mm×30mm×30mm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柱形积木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木质120mm×30mm×30mm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双倍柱形积木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木质240mm×30mm×30mm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双倍地板砖形积木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木质240mm×60mm×15mm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四倍地板砖形积木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木质480mm×60mm×15mm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双倍圆柱体积木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木质60mm（直径）×120mm（高）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半圆柱体积木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木质30mm（直径）×60mm（高）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斜坡形积木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半圆环积木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木质120mm（外径)×60mm×30mm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四分之一圆环积木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木质120mm（外圈径)×60mm×30mm；90°</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小半圆形积木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大半圆形积木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木质（直径）120mm×60mm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扇形积木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木质120mm×30mm；90°</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拱桥形积木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锥形积木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木质30mm（直径）×60mm （高）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羊角形积木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木质180mm×180mm（长宽），柄60mm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手柄形积木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木质280mm×180mm（长宽）中间60mm，柄70mm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拐角形积木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木质120mm×60mm，小的：30mm×90mm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四角积木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木质90mm×90mm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四角分别向内凹陷四分之一圆，直径6mm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铜版纸+双胶纸210mm×285mm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7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整理标签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不干胶210mm×285mm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双胶纸80g，210mm×285mm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3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益智区标识牌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白卡纸240mm×482mm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连环扣</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彩色连环扣</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聚乙烯(PE)30mm-53mm之间</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备注：每套里8种图形，每种-25-30个，红、黄、蓝、绿、紫、橙6种颜色，共300片。</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塑料扣环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塑料35mm×37mm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鲁班椅子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坐板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木质215mm×215mm×18mm，1块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方楞后腿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木质30mm×30mm×325mm，2根</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方楞前腿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木质30mm×30mm×140mm2根</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长条木片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木质30mm×8mm×215mm，8片</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拱桥</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木质215mm×3mm×58mm，1个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扳手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木质45mm×10mm×135mm，1把</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螺丝刀</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木质125mm（高）×18mm（直径），1把</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锤子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木质65mm×22mm×115mm，1把</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刨子上的转转螺丝</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木质105mm×95mm×36mm，1个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红色方片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木质22mm×22mm×7mm，4块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绿色方片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木质57mm×38mm×10mm，1块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刨子上的转转螺丝</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木质70mm×95mm×25mm，1个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浅绿色镂空骰子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木质30mm×30mm×30mm，2个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蓝色钉</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木质37mm（长）×25mm（顶部直径）×10mm(底部直径)，2个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黄、绿色螺丝钉</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木质45mm（长）×20mm（最大直径）×10mm（底部直径），24个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蓝色短螺丝钉</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木质长约28mm×20mm（最大直径）×10mm（底部直径），2个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机关多米诺</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蓝色机关</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木质75mm×26mm×108mm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绿色机关</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木质75mm×26mm×108mm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红色机关</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木质75mm×26mm×100mm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铃铛</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铁质25mm（直径）×25mm（高度）</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木质直径20mm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带把小棒</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木质80mm×9mm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蓝色长木块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木质75mm×20mm×25mm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圆柱木块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小圆柱木块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高圆柱木块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带孔圆柱木块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木质35mm×20mm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台阶形木块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木质50mm×25mm×28mm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长条形木块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木质100mm×14mm×90mm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拱形门</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木质58mm×14mm×19mm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橘色机关</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木质75mm×40mm×90mm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小棒</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木质60mm×11mm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跑道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木质100mm×25mm×19mm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骨牌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木质55mm×30mm×10mm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片</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叠叠乐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粉色木块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绿色木块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蓝色木块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紫色木块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木质25mm×15mm×75mm，9块</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木质约15mm×15mm×15mm，1个</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猜猜我是谁</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酒杯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直径40mm×70mm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圆柱杯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40mm（直径）×30mm(高)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人偶套杯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直径30mm×70mm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松果</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25mm×35mm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松树</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36mm×61mm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雪人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30mm×51mm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伞身人偶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身体直径20mm，头部直径15mm，真题高度35mm，伞身高20mm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尖人偶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直径17mm×48mm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圆木球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半球1</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半球2</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圆柱</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直径25mm，高50mm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圆锥体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直径38mm，高32mm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三棱锥</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边长25mm，高50mm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长方体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30mm×50mm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二分之一圆柱</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直径58mm×20mm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六边形木片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边长27mm，边距47mm，厚度9mm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木质原木色，</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外径5cm内径3cm厚度1cm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异形圆木柱1</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木质40mm×17mm，榉木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异形圆木柱2</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木质60mm×18mm，榉木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异形圆木柱3</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木质73mm×18mm，榉木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异形圆木柱4</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木质75mm×18mm，榉木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异形圆木柱5</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木质60mm×18mm，榉木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异形圆木柱6</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木质45mm×19mm，榉木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布240mm×200mm，抽绳款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任务范例卡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铜版纸350g，120mm×120mm，双面四色印刷，双面覆哑膜，切圆角。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磁力拼图-图形变幻</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磁性拼片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工业板+磁力片240mm×165mm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翻盖盒子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工业板265mm×190mm×40mm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6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范例图卡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铜版纸120mm×120mm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彩虹空间</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彩色立方体积木块</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木质彩色，红、橙、黄、绿、蓝五种颜色，各10块，一共100块</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30mm×30mm×30mm</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拼摆底座</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工业板175mm×175mm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157g铜版纸单面四色印刷，双面裱糊3mm厚工业板，双面覆哑膜。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范例图卡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铜版纸350g,120mm×120mm，双面四色印刷，双面覆哑膜，切圆角</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拔萝卜大赛</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拔萝卜记忆棋板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木质227mm×227mm×12mm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铜版纸220mm×220mm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彩色套圈</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彩色套圈</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塑料大环：约外径44mm，内径32mm,高13mm</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中环：约外径25mm，内径18mm，高16mm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小圆柱：直径8mm，高21mm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二十四节气拼图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拼图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工业板310mm×310mm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平头子母扣</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塑料直径5mm，长度10mm，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平衡木棒拼拼乐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3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彩色木棒</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木质直径5mm，长100mm，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红、橙、黄、蓝、绿各20根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6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塑料20mm×20mm×20mm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颜色骰子，六面分别为：红、橙、黄、绿、蓝和灰色星星。</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点数骰子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木质20mm×20mm×20mm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木质塑料，内径约45mm,外径约60mm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范例图卡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布240mm×200mm，棉麻抽绳款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铜版纸240mm×200mm，抽绳款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偷吃蜂蜜</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卡牌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铜版纸80mm×80mm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功能卡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布240mm×200mm，抽绳款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一样不一样</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卡片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铜版纸350g，80mm×80mm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布240mm×200mm，抽绳款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套杯魔法</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89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圆柱形套杯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大号外径76mm,高76mm，壁厚7mm，内径62mm×65mm</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中号外径58mm,高58mm，壁厚7mm,内径44mm×47mm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小号外径40mm，高40mm，壁厚7mm，内径26mm×33mm深</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圆木片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木质咖啡色圆形木片，直径约58mm（同中号套杯的外径），厚度5mm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45"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兔子棋子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木质兔子型粉色棋子。20mm×30mm×5mm厚</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任务图卡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铜版纸120mm×120mm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冒险纸牌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底板</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木质220mm×220mm×9mm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小小房屋设计师</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材料图例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纸质210mm×140mm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房屋卡片</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白卡纸210mm×285mm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任务卡</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铜版纸120mm×120mm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抽绳布袋</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布240mm×200mm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gridSpan w:val="6"/>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材质：纸质规格：210mm*285mm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装箱明细</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材质：纸质规格：210mm*285mm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表演区整理标签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材质：不干胶规格：185mm*260mm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标识牌</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材质：纸质规格：550mm*250mm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老虎和青蛙</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老虎发箍</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短毛绒规格：发箍总高度约180mm，耳朵高约80mm。发箍宽约180mm，高约140mm</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材质：短毛绒</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狐狸发箍</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规格：发箍总高度约180mm，耳朵高约60mm。发箍宽约250mm，高约135mm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青蛙发箍</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短毛绒规格：发箍总高度约150mm，耳朵高约80mm。发箍宽约150mm，高约125mm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领结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短毛绒规格：领结长约100mm，宽约50mm颜色：绿色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老虎尾巴</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短毛绒规格：尾巴长约600mm，最粗部位40mm。腰带长约460mm，最长拉伸到700mm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狐狸尾巴</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规格：尾巴长约560mm，最粗部位40mm。腰带长约460mm，最长拉伸到700mm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颜色：橘色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找不到眼镜</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眼镜</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塑料规格：镜框高约50mm，宽约110mm，镜腿长约135mm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副</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草莓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保丽龙规格：直径30mm，高38mm，重1g</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颜色：红色、黄色、绿色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香蕉</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保丽龙规格：直径40mm，长200mm，重20g</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苹果</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保丽龙规格：直径82mm，高85mm，重25g</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盘子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塑料规格：直径175mm，底径115mm，高20mm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颜色：橘色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围裙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涤纶规格：长550mm×宽450mm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小熊帽子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狐狸帽子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颜色：紫色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熊猫帽子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松鼠帽子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猫头鹰帽子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小鸟飞飞</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飞行员帽子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棉</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规格：宽约200mm，高约150mm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颜色：咖啡色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小鸟帽子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松鼠帽子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蚂蚁发箍</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短毛绒规格：含触角高约300mm,发箍高约140mm,宽约115mm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蜜蜂发箍</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短毛绒规格：含触角高约300mm,发箍高约140mm,宽约115mm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小鸟翅膀</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平面绒规格：740mm*480mm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丝巾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仿真丝规格：500mm*500mm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颜色：蓝色、紫色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领结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涤纶丝规格：105mm*65mm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蜜蜂纱裙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涤纶规格：裙长300mm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蜜蜂背心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你会和我做朋友吗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北极熊帽子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短毛绒规格：头围约600mm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狐狸帽子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短毛绒规格：头围约600mm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颜色：橙色、白色、黑色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兔子帽子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短毛绒规格：头围约600mm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颜色：白色、粉色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鱼篓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铁架、塑料规格：高160mm，口径120mm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棉线绳</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棉规格：直径约5mm，长1000mm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颜色：米白色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卷</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斜挎包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亚麻规格：上宽160mm，下宽170mm，高200mm，肩带长1150mm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颜色：粉色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胡萝卜</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泡沫规格：长约150mm，最宽处45mm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许愿瓶</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塑料规格：100mm*37mm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颜色：透明</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海螺</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贝壳规格：115mm*70mm*60mm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花环</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布艺规格：周长960~1000mm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颜色：红色、紫色、黄色、绿色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皮影戏</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皮影盒</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木质规格：400mm*350mm*88mm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颜色：原木色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狐假虎威故事皮影</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皮质规格：长约200mm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颜色：橙色、红色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龟兔赛跑故事皮影</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皮质规格：长约200mm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西游记皮影</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皮质规格：长约200mm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颜色：黄色、红色、黑色、绿色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丑小鸭</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黄色鸭子帽子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小狗帽子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灰色鸭子帽子</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毛毡规格：头围约400mm，深80mm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颜色：灰色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棕色背心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颜色：棕色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灰色背心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颜色：灰色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灰色短裤</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平面绒规格：380mm*300mm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花围裙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棉规格：450mm*570mm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花头巾</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棉规格：440mm*220mm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天鹅公主裙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涤纶规格：纱裙760mm*450mm；翅膀820mm*400mm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森林音乐会</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孔雀头饰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大象头饰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颜色：黄色、蓝色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小羊头饰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颜色：黄色、蓝色、白色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小兔头饰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颜色：粉色、白色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小鸟头饰</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EVA规格：头围约550mm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颜色：黄色、绿色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8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鼓</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塑料、木质规格：鼓200mm×100mm，鼓槌210mm×20mm</w:t>
            </w:r>
          </w:p>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材质：塑料、木质</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面</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鼓锤</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木质规格：225mm×20mm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颜色：原木色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话筒</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塑料规格：麦头直径约53mm，话筒长200mm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颜色：蓝色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翅膀</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平面绒规格：740mm*480mm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颜色：绿色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粉色背心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颜色：粉色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灰色背心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颜色：灰色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白色背心</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平面绒规格：300mm*400mm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颜色：白色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彩色纱裙</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涤纶规格：裙长300mm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颜色：紫色、橙色、绿色、蓝色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过大年</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红绸</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丝绸规格：宽120mm，长1500mm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腰鼓套装</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木质、牛皮规格：鼓120mm*270mm，鼓槌210mm×20mm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颜色：红色、原木色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10" w:hRule="atLeast"/>
        </w:trPr>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小镲</w:t>
            </w:r>
          </w:p>
        </w:tc>
        <w:tc>
          <w:tcPr>
            <w:tcW w:w="0" w:type="auto"/>
            <w:tcBorders>
              <w:tl2br w:val="nil"/>
              <w:tr2bl w:val="nil"/>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金属规格：直径90mm</w:t>
            </w:r>
          </w:p>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颜色：金色</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gridSpan w:val="6"/>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语言区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语言区使用手册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正16开，48P，封面：200g铜板纸，覆哑膜，单面四色印刷；内芯：80g双胶纸，双面彩色印刷；胶装</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区域标识牌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186*260mm，250g白卡；单面四色印刷，双面覆哑膜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9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区域规则牌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260*370mm，200g铜版纸；单面四色印刷，单面覆哑膜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玩具柜彩色标签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120*75mm，32小张/套；8小张/套，2套/班，80g不干胶；单面四色印刷；单面覆哑膜</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玩具说明书</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正16开（185*260mm），200g铜版纸，覆哑膜，双面八色印刷</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装箱说明</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16开，80g双胶纸，单面单色印刷</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第1盒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好朋友</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小鸡头饰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172.333*111.079mm，硬度45度EVA表面印刷，加底托加ABS，加橡筋，宽10mm，长360mm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小猪头饰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174.026*110.808mm，硬度45度EVA表面印刷，加底托加ABS，加橡筋，宽10mm，长360mm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老鼠头饰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186.408*129.986mm，硬度45度EVA表面印刷，加底托加ABS，加橡筋，宽10mm，长360mm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小鸟头饰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175.972*108.707mm，硬度45度EVA表面印刷，加底托加ABS，加橡筋，宽10mm，长360mm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月亮头饰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160*160mm，硬度45度EVA表面印刷，加底托加ABS，加橡筋，宽10mm，长360mm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太阳头饰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160*160mm，硬度45度EVA表面印刷，加底托加ABS，加橡筋，宽10mm，长360mm</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海盗眼罩</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全长60cm，0.6cm宽橡筋，眼罩直径8.5mm</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面布颜色：PANTONE 653C辅料颜色：PANTONE 653C，面布：真丝缎面辅料：0.6cm宽橡筋</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2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小鸡翅膀</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120*58cm面布颜色：PANTONE 123C辅料颜色：PANTONE WHITE C，面布：罗尔呢(250g/m-260g/m）门幅：150cm（100%专纺弹性涤纶纤维）辅料：2.5cm宽橡筋</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樱桃</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正16开，面纸、底纸190g白卡，中层2mm工业纸板，圆角，双面覆哑膜</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童话剧剧本</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正16开；8P；封面、内芯157g亚光铜板，封面、内芯105g铜版，封面覆哑膜，八色双面印刷，骑马钉</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第2盒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熊猫学本领</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豪猪头饰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176.221*147.925mm，度45度EVA表面印刷，加底托加ABS，加橡筋，宽10mm，长360mm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豹子头饰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174.1*100.642mm，度45度EVA表面印刷，加底托加ABS，加橡筋，宽10mm，长360mm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老虎头饰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163.415*119.907mm，度45度EVA表面印刷，加底托加ABS，加橡筋，宽10mm，长360mm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刺猬头饰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180.693*133.514mm，度45度EVA表面印刷，加底托加ABS，加橡筋，宽10mm，长360mm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黄鼠狼头饰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183.38*132.317mm，度45度EVA表面印刷，加底托加ABS，加橡筋，宽10mm，长360mm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熊猫宝宝头饰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150.571*118.259mm，度45度EVA表面印刷，加底托加ABS，加橡筋，宽10mm，长360mm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熊猫爸爸头饰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151.315*118.153mm，度45度EVA表面印刷，加底托加ABS，加橡筋，宽10mm，长360mm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熊猫妈妈头饰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157.917*127.141mm，度45度EVA表面印刷，加底托加ABS，加橡筋，宽10mm，长360mm</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小熊猫掌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16*20cm面布颜色：PANTONE WHITE C(数码印花）里布颜色：PANTONE BLACK C，面布：短毛绒里布：边纶布</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童话剧剧本</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正16开；8P；封面、内芯157g亚光铜板，封面、内芯105g铜版，封面覆哑膜，八色双面印刷，骑马钉</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第3盒 </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犟龟</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场景底板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215*280*3mm 、200*295*3mm 、200*295*3mm、 215*280*3mm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故事拼插板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 (插孔长15mm)（内含37个小部件），3mm厚椴木夹板，轮廓及插孔激光切割，1底2面清漆，表面图案热转印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立体拼插件-桌子1</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112*75*3mm，3mm厚椴木夹板，轮廓及插孔激光切割，1底2面清漆，表面图案热转印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立体拼插件-桌子2</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43.5*15*3mm，3mm厚椴木夹板，轮廓及插孔激光切割，1底2面清漆，表面图案热转印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正32开（142*210mm）10张，300g白卡，双面八色印刷，双面覆亮膜，模切圆角，每10张入自封袋</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第4盒 </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晚安，大猩猩</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场景底板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215*280*3mm 、200*295*3mm 、200*295*3mm 、215*280*3mm ，3mm厚椴木夹板，轮廓及插孔激光切割，1底2面清漆，表面图案热转印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故事拼插板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 (插孔长15mm)（内含36个小部件），3mm厚椴木夹板，轮廓及插孔激光切割，1底2面清漆，表面图案热转印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故事图卡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正32开（142*210mm）10张，300g白卡，双面八色印刷，双面覆亮膜，模切圆角，每10张入自封袋</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第5盒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城市与乡村·运动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场景磁力底板-第1本·城市与乡村</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206*206*2mm，2mm厚工业纸板，内含0.5mm厚软铁布，整体157g铜版纸包裹并印刷，覆亮膜，背板白色底</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场景磁力底板-第2本·运动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206*206*2mm，2mm厚工业纸板，内含0.5mm厚软铁布，整体157g铜版纸包裹并印刷，覆亮膜，背板白色底</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棋子磁力板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204*284*3mm，3mm厚椴木夹板，底面0.3mm厚软磁，表面128g铜版纸印刷，覆亮膜</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环扣</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外径30mm，内径24mm，接头最宽不超过5mm（外采件），材料PE，颜色PANTONE WHITE C</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玩具说明</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正16开（185*260mm），200g铜版纸，覆哑膜，双面八色，模切圆角</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第6盒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旅游达人</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讲述底板-游北京</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285*420mm（8开），370*260mm（正8开）</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讲述底板-游中国</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285*420mm（8开），370*260mm（正8开）</w:t>
            </w: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游戏棋子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（2套，每套8个，共16个）40*40*16mm，榉木，原木色，2底2面清漆，表面热转印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讲述挡板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250*210*3mm，面纸、底纸190g白卡，中层2mm工业纸板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挡板支架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116.52*45.78*3mm，面纸、底纸190g白卡，中层2mm工业纸板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第7盒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我喜欢</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讲述底板-讲述场景图，分别为餐厅和植物园</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370*540mm（四开），370*260mm（正8开）</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讲述图卡-餐厅主题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105*140mm，250g白卡，双面彩色印刷，覆亮膜</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讲述图卡-植物园主题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105*140mm，250g白卡，双面彩色印刷，覆亮膜</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骰子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25*25*25mm，荷木，原木色，2底2面清漆，表面私印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第8盒</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姓氏印章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手写画板（含笔）</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164*70*255mm（外采件），ABS环保材质，电子元件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姓氏印章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40*40*25.5mm，印章材质为TPR，颜色为PANTONE 185C；垫子硬度45°EVA，颜色为PANTONE BLACK C，榉木，2底2面清漆，桦木夹板，TPR</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gridSpan w:val="6"/>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数学区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数学区使用手册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操作步骤图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正8开，纸质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区域标识牌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区域规则牌</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正8开，纸质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玩具柜彩色标签</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120*75mm，不干胶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gridSpan w:val="2"/>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装箱说明</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1.积木分分乐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 150*60*12mm，60°EVA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 120*60*12mmm，60°EVA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 90*60*12mmm，60°EVA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60*60*12mmm，60°EVA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60*30*12mmm，60°EVA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1孔积木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30*30*12mmm，60°EVA</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黄蓝方柱</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19*19*26mm，注塑ABS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32开/16开，纸质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2.点算高楼</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方块积木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33*33*20mm，注塑ABS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积木底座</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85*50*20mm，注塑ABS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225*16*16mm，注塑ABS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加法转盘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直径152mm，厚1mm，注塑ABS+冲压PP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7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减法转盘</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直径152mm，厚1mm，注塑ABS+冲压PP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2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3.数字小能手</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数字插袋  </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706*681mm，牛津布+PVC</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计数圆片</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直径35mm，厚2.5mm，注塑ABS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计数圆环</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30*45mm，厚5mm，注塑ABS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55*40mm，厚度0.6mm，注塑ABS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4.超市大比拼</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购物清单</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购物车</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物品卡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代币</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5.时间对对碰</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时钟</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直径180mm，厚1mm，注塑ABS+冲压PP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日历插袋</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626*508mm，牛津布+PVC</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季节卡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140*60mm，厚度0.6mm，冲压pp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日期卡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55*40mm，厚度0.6mm，冲压pp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年月卡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70*40mm，厚度0.6mm，冲压pp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星期卡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55*40mm，厚度0.6mm，冲压pp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4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天气卡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140*60mm，厚度0.6mm，冲压pp</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4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6.图形拼一拼</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多孔球</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直径25mm，注塑TPE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小连接棒（直）</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直径6mm，长65mm，注塑TPE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中连接棒（直）</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直径6mm，长95mm，注塑TPE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大连接棒（直）</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直径6mm，长140mm，注塑TPE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弧形连接棒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直径6mm，长72mm，注塑TPE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斜角连接棒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直径6mm，长73mm，注塑TPE</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66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7.捕鱼大赛</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彩色鱼-圆形鱼花纹1</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尺寸为52*50*5mm，密度板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彩色鱼-圆形鱼花纹2</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尺寸为52*50*5mm，密度板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彩色鱼-三角形鱼花纹1</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尺寸为52*54*5mm，密度板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51</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彩色鱼-三角形鱼花纹2</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尺寸为52*54*5mm，密度板</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分类盒</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100*100*80mm，注塑PC</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骰子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w:t>
            </w:r>
          </w:p>
        </w:tc>
        <w:tc>
          <w:tcPr>
            <w:tcW w:w="0" w:type="auto"/>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8.交通游戏</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棋子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19*19*26mm，注塑ABS</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56</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骰子</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25*25*25mm，荷木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57</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底垫</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内部操作尺寸433*305mm，涤纶、环保橡胶（3L标胶）</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580" w:hRule="atLeast"/>
        </w:trPr>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58</w:t>
            </w:r>
          </w:p>
        </w:tc>
        <w:tc>
          <w:tcPr>
            <w:tcW w:w="0" w:type="auto"/>
            <w:vMerge w:val="continue"/>
            <w:tcBorders>
              <w:tl2br w:val="nil"/>
              <w:tr2bl w:val="nil"/>
            </w:tcBorders>
            <w:shd w:val="clear" w:color="auto" w:fill="FFFFFF" w:themeFill="background1"/>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游戏图卡</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16开/320*200mm，纸质</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0" w:type="auto"/>
            <w:tcBorders>
              <w:tl2br w:val="nil"/>
              <w:tr2bl w:val="nil"/>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r>
    </w:tbl>
    <w:p>
      <w:pPr>
        <w:bidi w:val="0"/>
        <w:rPr>
          <w:rFonts w:hint="eastAsia" w:ascii="宋体" w:hAnsi="宋体" w:eastAsia="宋体" w:cs="宋体"/>
          <w:color w:val="auto"/>
          <w:sz w:val="21"/>
          <w:szCs w:val="21"/>
          <w:highlight w:val="none"/>
          <w:lang w:val="en-US" w:eastAsia="zh-CN"/>
        </w:rPr>
      </w:pPr>
    </w:p>
    <w:p>
      <w:pPr>
        <w:numPr>
          <w:ilvl w:val="0"/>
          <w:numId w:val="9"/>
        </w:numPr>
        <w:ind w:left="0" w:leftChars="0" w:firstLine="420" w:firstLineChars="0"/>
        <w:outlineLvl w:val="4"/>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美术室材料</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26"/>
        <w:gridCol w:w="1686"/>
        <w:gridCol w:w="3714"/>
        <w:gridCol w:w="556"/>
        <w:gridCol w:w="867"/>
        <w:gridCol w:w="846"/>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2" w:hRule="atLeast"/>
        </w:trPr>
        <w:tc>
          <w:tcPr>
            <w:tcW w:w="0" w:type="auto"/>
            <w:gridSpan w:val="7"/>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美术室材料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9" w:hRule="atLeast"/>
        </w:trPr>
        <w:tc>
          <w:tcPr>
            <w:tcW w:w="0" w:type="auto"/>
            <w:gridSpan w:val="7"/>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美术室产品参数汇总表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幼儿园美术室活动指导手册</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16开（185mm*260mm）；</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封面250g铜板纸，覆亚膜，四色印刷；内芯80g双胶纸，双面四色印刷，小、中、大班各1册</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幼儿园美术室活动游戏图册</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大16开，封面和内芯200g铜版纸，单面四色印刷，小、中、大班各1册</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铲（大）</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540*150*50mm，蓝色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HDPE</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9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铲（小）</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234*82*58mm，黄色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耙</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540*150*50mm，黄色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HDPE</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9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舀</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236*130*107mm，蓝色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小桶</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容积约1.3L</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底部直径为125mm，高130mm，桶身蓝色，把手蓝色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盆1</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容积10-11L,390*290*111mm，半透明蓝色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盆2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226*346*41mm，黄色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漏斗（单口）</w:t>
            </w:r>
          </w:p>
        </w:tc>
        <w:tc>
          <w:tcPr>
            <w:tcW w:w="0" w:type="auto"/>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135*130*135mm，红色、黄色和蓝色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漏斗（两口）</w:t>
            </w:r>
          </w:p>
        </w:tc>
        <w:tc>
          <w:tcPr>
            <w:tcW w:w="0" w:type="auto"/>
            <w:vMerge w:val="continue"/>
            <w:tcBorders>
              <w:tl2br w:val="nil"/>
              <w:tr2bl w:val="nil"/>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漏斗（三口）</w:t>
            </w:r>
          </w:p>
        </w:tc>
        <w:tc>
          <w:tcPr>
            <w:tcW w:w="0" w:type="auto"/>
            <w:vMerge w:val="continue"/>
            <w:tcBorders>
              <w:tl2br w:val="nil"/>
              <w:tr2bl w:val="nil"/>
            </w:tcBorders>
            <w:shd w:val="clear" w:color="auto" w:fill="FFFFFF"/>
            <w:vAlign w:val="center"/>
          </w:tcPr>
          <w:p>
            <w:pPr>
              <w:jc w:val="center"/>
              <w:rPr>
                <w:rFonts w:hint="eastAsia" w:ascii="宋体" w:hAnsi="宋体" w:eastAsia="宋体" w:cs="宋体"/>
                <w:b w:val="0"/>
                <w:bCs w:val="0"/>
                <w:i w:val="0"/>
                <w:iCs w:val="0"/>
                <w:color w:val="auto"/>
                <w:sz w:val="21"/>
                <w:szCs w:val="21"/>
                <w:highlight w:val="none"/>
                <w:u w:val="none"/>
              </w:rPr>
            </w:pP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透明细圆直管1</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直径50mm*90mm，透明</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透明细圆直管2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直径50mm*190mm，透明</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0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透明细圆直管3</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直径50mm*290mm，透明</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0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多孔透明细圆直管</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直径50mm*290mm，透明</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透明粗圆直管</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直径75mm*400mm，透明</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软管</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直径50mm*1000mm，管头蓝色，管身半透明</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1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剖面直管</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107*800mm，蓝色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olor w:val="auto"/>
                <w:sz w:val="21"/>
                <w:szCs w:val="21"/>
                <w:highlight w:val="none"/>
              </w:rPr>
              <w:t>●</w:t>
            </w:r>
            <w:r>
              <w:rPr>
                <w:rFonts w:hint="eastAsia" w:ascii="宋体" w:hAnsi="宋体" w:eastAsia="宋体" w:cs="宋体"/>
                <w:b w:val="0"/>
                <w:bCs w:val="0"/>
                <w:i w:val="0"/>
                <w:iCs w:val="0"/>
                <w:color w:val="auto"/>
                <w:kern w:val="0"/>
                <w:sz w:val="21"/>
                <w:szCs w:val="21"/>
                <w:highlight w:val="none"/>
                <w:u w:val="none"/>
                <w:lang w:val="en-US" w:eastAsia="zh-CN" w:bidi="ar"/>
              </w:rPr>
              <w:t>多孔板</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2460*1035mm，立柱、梯形支架、长方形脚板蓝色，孔板白色</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金属</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支架底座</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256*180*157mm，红色</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64</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支架管</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184*32*85mm，黄色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ABS+PC</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1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卡扣</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56*46.5*10mm，白色</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PC+金属</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弯头（50）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直径50mm，黄色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弯头（75）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直径75mm，黄色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变径直通</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直径50mm*75mm，红色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直通</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管径75mm，蓝色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45°弯头（50）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直径50mm，蓝色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45°弯头（75）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直径75mm，蓝色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等径三通（50）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直径50mm，红色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等径三通（75）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直径75mm，红色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直径50mm*75mm，阀门管蓝色，阀门片红色</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ABS+TPE</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2"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直径50mm，红色</w:t>
            </w:r>
          </w:p>
        </w:tc>
        <w:tc>
          <w:tcPr>
            <w:tcW w:w="0" w:type="auto"/>
            <w:gridSpan w:val="2"/>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79"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120*18*79mm，红色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60*55mm，叶片红色，轴黄色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ABS+PP+金属</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113*59*51mm，红色10艘，黄色10艘</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直径35mm，红色</w:t>
            </w:r>
          </w:p>
        </w:tc>
        <w:tc>
          <w:tcPr>
            <w:tcW w:w="0" w:type="auto"/>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PVC</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托印工具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直径35mm，黄色</w:t>
            </w:r>
          </w:p>
        </w:tc>
        <w:tc>
          <w:tcPr>
            <w:tcW w:w="0" w:type="auto"/>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长方体模型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218*131*106mm，黄色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长方体模型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263*166*127mm，红色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长方体模型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308*201*147mm，蓝色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圆柱体模型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157*145*107mm，黄色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圆柱体模型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209*189*127mm，红色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6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圆柱体模型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257*233*147mm，蓝色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四棱锥模型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（小号）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93*93*101mm，黄色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四棱台模型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182*182*125mm，红色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四棱台模型</w:t>
            </w:r>
          </w:p>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（大号）</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284*284*144mm，蓝色</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ABS</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美术活动墙面海报</w:t>
            </w:r>
          </w:p>
        </w:tc>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正对开，157g铜版纸，覆光膜，单面四色印刷</w:t>
            </w:r>
          </w:p>
        </w:tc>
        <w:tc>
          <w:tcPr>
            <w:tcW w:w="0" w:type="auto"/>
            <w:gridSpan w:val="2"/>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纸质</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20" w:hRule="atLeast"/>
        </w:trPr>
        <w:tc>
          <w:tcPr>
            <w:tcW w:w="0" w:type="auto"/>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收纳筐</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545*365*375mm，蓝色</w:t>
            </w:r>
          </w:p>
        </w:tc>
        <w:tc>
          <w:tcPr>
            <w:tcW w:w="0" w:type="auto"/>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PP</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213" w:type="dxa"/>
          <w:trHeight w:val="780" w:hRule="atLeast"/>
        </w:trPr>
        <w:tc>
          <w:tcPr>
            <w:tcW w:w="28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83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规格（长*宽*高）</w:t>
            </w:r>
          </w:p>
        </w:tc>
        <w:tc>
          <w:tcPr>
            <w:tcW w:w="2635"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技术参数及性能配置</w:t>
            </w:r>
          </w:p>
        </w:tc>
        <w:tc>
          <w:tcPr>
            <w:tcW w:w="62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61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213" w:type="dxa"/>
          <w:trHeight w:val="1780" w:hRule="atLeast"/>
        </w:trPr>
        <w:tc>
          <w:tcPr>
            <w:tcW w:w="284"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83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直径10CM、20CM\30CM\40CM各2个为一套</w:t>
            </w:r>
          </w:p>
        </w:tc>
        <w:tc>
          <w:tcPr>
            <w:tcW w:w="2635"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304全身不锈钢</w:t>
            </w:r>
          </w:p>
        </w:tc>
        <w:tc>
          <w:tcPr>
            <w:tcW w:w="629"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61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213" w:type="dxa"/>
          <w:trHeight w:val="1720" w:hRule="atLeast"/>
        </w:trPr>
        <w:tc>
          <w:tcPr>
            <w:tcW w:w="284"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8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筛框</w:t>
            </w:r>
          </w:p>
        </w:tc>
        <w:tc>
          <w:tcPr>
            <w:tcW w:w="2635"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不锈钢网面，75*35cm</w:t>
            </w:r>
          </w:p>
        </w:tc>
        <w:tc>
          <w:tcPr>
            <w:tcW w:w="629"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61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213" w:type="dxa"/>
          <w:trHeight w:val="1760" w:hRule="atLeast"/>
        </w:trPr>
        <w:tc>
          <w:tcPr>
            <w:tcW w:w="284"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83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画框</w:t>
            </w:r>
          </w:p>
        </w:tc>
        <w:tc>
          <w:tcPr>
            <w:tcW w:w="2635" w:type="pct"/>
            <w:gridSpan w:val="2"/>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80*50CM，69*80*102cm</w:t>
            </w:r>
          </w:p>
        </w:tc>
        <w:tc>
          <w:tcPr>
            <w:tcW w:w="629"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61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个</w:t>
            </w:r>
          </w:p>
        </w:tc>
      </w:tr>
    </w:tbl>
    <w:p>
      <w:pPr>
        <w:bidi w:val="0"/>
        <w:rPr>
          <w:rFonts w:hint="eastAsia" w:ascii="宋体" w:hAnsi="宋体" w:eastAsia="宋体" w:cs="宋体"/>
          <w:color w:val="auto"/>
          <w:sz w:val="21"/>
          <w:szCs w:val="21"/>
          <w:highlight w:val="none"/>
          <w:lang w:val="en-US" w:eastAsia="zh-CN"/>
        </w:rPr>
      </w:pPr>
    </w:p>
    <w:p>
      <w:pPr>
        <w:numPr>
          <w:ilvl w:val="0"/>
          <w:numId w:val="9"/>
        </w:numPr>
        <w:ind w:left="0" w:leftChars="0" w:firstLine="420" w:firstLineChars="0"/>
        <w:outlineLvl w:val="4"/>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STEAM室 教具</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636"/>
        <w:gridCol w:w="1971"/>
        <w:gridCol w:w="4643"/>
        <w:gridCol w:w="636"/>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8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STEAM室 教具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700" w:hRule="atLeast"/>
        </w:trPr>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产品参数</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插座圆柱体</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由4组圆柱体组成。培养儿童辨别大小、高低、粗细、深浅的触觉、视觉能力，依圆柱体顺序对应培养逻辑思考敏锐观察能力；把握圆柄可作握笔练习和写字前准备。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彩色圆柱体</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由4盒、每盒10个圆柱组成。培养视觉上识别大小、对应概念，发展手眼动作的协调，手臂肌肉控制力，培养敏锐的观察和注意力。30*12*17cm,木质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分解几何盘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由一个木座、9组多种几何图形组成。是进入分数的预备。包装规格约为23*23*4cm,木质。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树叶嵌板柜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学习识别各种树叶、植物、木质。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工作毯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面料是丙纶，底料是无纺布。</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六格地毯架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尺寸：90*18.5*60cm，高档木材，环保水性漆，重量7kg</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动植物嵌板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培养手眼协作及独立性提高观察分析能力和专注力，了解植物的叶和动物的各个部分的基本构造。25*25*3cm。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二项式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由红、蓝、黑三色木制立方体及长方体组成，培养数学思考能力，为三项式教学作准备。11.5*8.8*11.7cm。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滴的工作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螺丝配对的工作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木质托盘加手眼协调螺丝组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开锁箱工作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木质锁箱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切的工作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木质托盘加水果组合</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刷牙的工作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塑料托盘加牙模型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擦镜子的工作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木质托盘加小喷壶加棉球</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二指抓的工作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三指抓的工作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夹的工作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木质托盘加夹子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穿的工作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木质托盘加虫吃苹果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nil"/>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打扫工作</w:t>
            </w:r>
          </w:p>
        </w:tc>
        <w:tc>
          <w:tcPr>
            <w:tcW w:w="0" w:type="auto"/>
            <w:tcBorders>
              <w:top w:val="single" w:color="000000" w:sz="4" w:space="0"/>
              <w:left w:val="single" w:color="000000" w:sz="4" w:space="0"/>
              <w:bottom w:val="nil"/>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木质托盘加小扫把簸箕套装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nil"/>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棕色梯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43*30*10cm,由4组圆柱体组成。培养儿童辨别大小、高低、粗细、深浅的触觉、视觉能力，依圆柱体顺序对应培养逻辑思考敏锐观察能力；把握圆柄可作握笔练习和写字前准备，木质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触觉板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由13块表面粗糙和光滑程度不同的木板组成。培养粗糙与光滑的触觉感和分析、比较的思维能力。27*15*8cm,，木质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二项式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由红、蓝、黑三色木制立方体及长方体组成，培养数学思考能力，为三项式教学作准备。11.5*8.8*11.7cm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邮票游戏</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幼儿通过银行游戏认识十进制元法以后，即可进入邮票游戏的操作，熟悉数字的转换关系，并进行大数量的四则运算，培养数学思考能力。33*24*5cm。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灰色串珠棒</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加深了解十以内的数量的概念，体会等量交换的概念，可用于进行加减法运算练习。22*14*4cm，木质+塑料</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彩色小数棒</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学习0-10的概念，10以内的加减法，23*23*3cm，木质 0.9kg</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中号工作毯（灰色）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面料是丙纶，底料是无纺布。</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六格地毯架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尺寸：90*18.5*60cm，高档木材，环保水性漆，重量7kg</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数字与筹码卡片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由10张纸卡组成，与数字与筹码的教具配合使用，25*10cm，纸卡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几何立体组三部卡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与几何立体组配合使用，14*10cm，纸卡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分数小人卡片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与几何立体组配合使用，10*10cm，纸卡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11色笔筒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6*6*7木质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砂纸数字板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由0到9数字长板1块，0到9数字单板10块组成。培养认识0到9数字，练习书写数字，是写前的预备，18*14*7cm，木质+砂 1kg</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纺锤棒</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由2个整理箱、45根纺棰棒，10块数字片组成。指导0的概念，加强数与量的集合概念。33*26*11cm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彩色串珠梯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木质加塑料</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数字与筹码</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色卡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大木盒里有63个色卡，代表红、黄、蓝、橙、绿、紫、棕、粉、灰九种颜色，每种颜色分七级，每个色卡边装有便于拿握的木框；通过颜色深浅、明暗的变化，培养儿童视觉分辨渐进色的能力，建立初步对美术的审美观念。1.1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几何立体组及投影板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一个木盒，里面装有圆柱体、立方体、椭圆体、圆锥体、球体、四角棱柱，三角棱椎，卵形体，矩形棱柱，三角形棱柱，还有五个对应的木质投影平面和三个木质基座。培养儿童对实体的感觉，认识各种几何体及其特征，培养儿童直观的三维立体经验，初步认识立体几何学，培养敏锐的观察力和逻辑思考能力。1.85kg</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构成三角形（五盒）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五个木盒分别是：长方形盒Ⅰ、长方形盒Ⅱ、三角形盒、大六边形盒和小六边形盒；透过视觉认识三角形，了解多边形的组合与分解，向儿童展示三角形千变万化的组合方式，并引入直角、钝角、等边、等腰等几何概念，了解三角形与多边形的几何关系和相等概念，培养儿童对平面几何的兴趣。26.5*17*24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温觉板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2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活动时钟</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只管认识时钟的构成，了解事件概念，为看生活中的表打基础。20*20*3cm，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活动时钟三步卡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纸卡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四方拼图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14.5*3.8*35.3cm，木质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 日常生活教具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640" w:hRule="atLeast"/>
        </w:trPr>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0" w:type="auto"/>
            <w:tcBorders>
              <w:top w:val="nil"/>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产品参数</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0" w:type="auto"/>
            <w:tcBorders>
              <w:top w:val="nil"/>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倒水与分配</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木质托盘加瓷杯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功夫茶（1倒三）</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木质托盘加瓷杯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漏斗倒水与分配（1倒四）</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木质托盘加瓷杯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夹的工作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木质托盘加瓷碗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1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夹的工作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木质托盘加瓷碗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筷子夹与分配工作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穿的工作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木质托盘加虫吃苹果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切香蕉的工作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木质托盘加切工具</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打扫工作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木质托盘加小扫把簸箕套装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插花的工作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木质托盘加玻璃花瓶</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缝的工作</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木质托盘加线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份</w:t>
            </w:r>
          </w:p>
        </w:tc>
      </w:tr>
    </w:tbl>
    <w:p>
      <w:pPr>
        <w:bidi w:val="0"/>
        <w:rPr>
          <w:rFonts w:hint="eastAsia" w:ascii="宋体" w:hAnsi="宋体" w:eastAsia="宋体" w:cs="宋体"/>
          <w:color w:val="auto"/>
          <w:sz w:val="21"/>
          <w:szCs w:val="21"/>
          <w:highlight w:val="none"/>
          <w:lang w:val="en-US" w:eastAsia="zh-CN"/>
        </w:rPr>
      </w:pPr>
    </w:p>
    <w:p>
      <w:pPr>
        <w:numPr>
          <w:ilvl w:val="0"/>
          <w:numId w:val="9"/>
        </w:numPr>
        <w:ind w:left="0" w:leftChars="0" w:firstLine="420" w:firstLineChars="0"/>
        <w:outlineLvl w:val="4"/>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STEAM室 材料类</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0"/>
        <w:gridCol w:w="1647"/>
        <w:gridCol w:w="5465"/>
        <w:gridCol w:w="470"/>
        <w:gridCol w:w="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STEAM室 材料类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货物名称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规格参数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垃圾分类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单个垃圾桶尺寸为：14.5*8cm，赠送60张卡片8个不织布实物垃圾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俄罗斯方块游戏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19.8*5*23cm，ABS环保材质圆润光滑无毛刺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泡沫积木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积木7cm共150粒；含圆柱6个7*14cm，正方形40个7*7cm，小长方形60个7*14cm，大长方形30个7*28cm，小三角12个7*14*18cm，大三角2个7*28*14cm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软胶积木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130块（带底板）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磁力片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磁力片共107片；含小三角47片，正方形26片，菱形2片，六边形2片，小扇形6片，大扇形6片，小长方6片，五边形2片，圆形6片，长三角2片，梯形2片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EPP积木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每套块数：156块，EPP材料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平衡小人叠高积木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5.5*5cm，优质木材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彩色积木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每套块数：100块，单块厚度：3.5cm厚，环保EVA,安全，无毒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EPP积木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每套块数：72块，EPP材料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吸管构建积木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盒装（200根吸管+200个接头），吸管尺寸：长度20厘米，外直径0.7厘米，材质：环保ABS</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蛋塔-圆形套装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圆形纸板7张不同尺寸，防真塑料鸡蛋30个，瓶盖颜色30个，迷你小红旗1个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管道积木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每套50块，大车轮2个，小车轮2个，三通管5个，直通管14个，四通管5个，弯管12个，小车轴6个，大车轴4个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r>
    </w:tbl>
    <w:p>
      <w:pPr>
        <w:rPr>
          <w:color w:val="auto"/>
          <w:highlight w:val="none"/>
        </w:rPr>
      </w:pPr>
    </w:p>
    <w:p>
      <w:pPr>
        <w:shd w:val="clear"/>
        <w:snapToGrid w:val="0"/>
        <w:spacing w:line="360" w:lineRule="auto"/>
        <w:ind w:left="361" w:hanging="361" w:hangingChars="150"/>
        <w:outlineLvl w:val="3"/>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三、样品及要求</w:t>
      </w:r>
    </w:p>
    <w:p>
      <w:pPr>
        <w:numPr>
          <w:ilvl w:val="0"/>
          <w:numId w:val="10"/>
        </w:numPr>
        <w:bidi w:val="0"/>
        <w:ind w:left="0" w:leftChars="0" w:firstLine="420" w:firstLineChars="0"/>
        <w:outlineLvl w:val="4"/>
        <w:rPr>
          <w:rFonts w:hint="default"/>
          <w:b/>
          <w:bCs/>
          <w:color w:val="auto"/>
          <w:highlight w:val="none"/>
          <w:lang w:val="en-US" w:eastAsia="zh-CN"/>
        </w:rPr>
      </w:pPr>
      <w:r>
        <w:rPr>
          <w:rFonts w:hint="eastAsia"/>
          <w:b/>
          <w:bCs/>
          <w:color w:val="auto"/>
          <w:highlight w:val="none"/>
          <w:lang w:val="en-US" w:eastAsia="zh-CN"/>
        </w:rPr>
        <w:t>样品清单</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722"/>
        <w:gridCol w:w="1155"/>
        <w:gridCol w:w="5038"/>
        <w:gridCol w:w="485"/>
        <w:gridCol w:w="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技术参数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套杯魔法</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材料图例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纸质210mm×140mm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圆柱形套杯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大号外径76mm,高76mm，壁厚7mm，内径62mm×65mm</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中号外径58mm,高58mm，壁厚7mm,内径44mm×47mm</w:t>
            </w:r>
          </w:p>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小号外径40mm，高40mm，壁厚7mm，内径26mm×33mm深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圆木片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木质咖啡色圆形木片，直径约58mm（同中号套杯的外径），厚度5mm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兔子棋子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木质兔子型粉色棋子。20mm×30mm×5mm厚</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任务图卡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铜版纸120mm×120mm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熊孩子搬苹果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游戏控制板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木质440mm×190mm×60mm；</w:t>
            </w:r>
          </w:p>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铁棒长42mm，棒端木球直径2mm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红色木球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木质直径45mm，自带包装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苹果奖励卡片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白卡纸210mm×285mm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数字去旅行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数字“1”黄色积木块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木质40mm×40mm×15mm厚，9块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数字“2”橙色积木块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木质40mm×40mm×30mm厚，3块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数字“3”红色积木块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木质40mm×40mm×45mm厚，2块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数字“4”蓝色积木块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木质40mm×40mm×60mm厚，1块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数字“5”绿色积木块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木质40mm×40mm×75mm厚，1块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火车头部分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木质火车头1组：木质连接车头带轮底座1个，列车员积木块1个、正方形槽1个、半圆柱块2个、长方形块1个、烟囱块1个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中间车厢部分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木质木质连接，1个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车尾部分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木质木质连接，1个</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猴王吃西瓜</w:t>
            </w:r>
          </w:p>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手偶剧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表演台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木质规格：600mm*500mm*120mm  颜色：原木色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幕布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平面绒规格：300mm*500mm  </w:t>
            </w:r>
          </w:p>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颜色：红色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小猴子手偶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毛绒规格：高250mm，宽150mm</w:t>
            </w:r>
          </w:p>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颜色：浅棕色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老猴子手偶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毛绒规格：高250mm，宽150mm</w:t>
            </w:r>
          </w:p>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颜色：深棕色</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猴王手偶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毛绒规格：高250mm，宽150mm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numPr>
          <w:ilvl w:val="0"/>
          <w:numId w:val="10"/>
        </w:numPr>
        <w:bidi w:val="0"/>
        <w:ind w:left="0" w:leftChars="0" w:firstLine="420" w:firstLineChars="0"/>
        <w:outlineLvl w:val="4"/>
        <w:rPr>
          <w:rFonts w:hint="eastAsia"/>
          <w:b/>
          <w:bCs/>
          <w:color w:val="auto"/>
          <w:highlight w:val="none"/>
          <w:lang w:val="en-US" w:eastAsia="zh-CN"/>
        </w:rPr>
      </w:pPr>
      <w:r>
        <w:rPr>
          <w:rFonts w:hint="eastAsia"/>
          <w:b/>
          <w:bCs/>
          <w:color w:val="auto"/>
          <w:highlight w:val="none"/>
          <w:lang w:val="en-US" w:eastAsia="zh-CN"/>
        </w:rPr>
        <w:t>样品要求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default"/>
          <w:color w:val="auto"/>
          <w:highlight w:val="none"/>
          <w:lang w:val="en-US" w:eastAsia="zh-CN"/>
        </w:rPr>
      </w:pPr>
      <w:r>
        <w:rPr>
          <w:rFonts w:hint="default"/>
          <w:color w:val="auto"/>
          <w:highlight w:val="none"/>
          <w:lang w:val="en-US" w:eastAsia="zh-CN"/>
        </w:rPr>
        <w:t>不同投标人提供的全部响应招标要求的样品，由评委按实际情况评分，主要评分依据按规格尺寸、材质、工艺、颜色、款式等主要因素评比。技术参数有偏差并与招标文件不符的样品按0分处理。投标样品必须在投标截止时间前送达指定地点。评标完后各投标单位所提供样品自行处理。</w:t>
      </w:r>
    </w:p>
    <w:p>
      <w:pPr>
        <w:bidi w:val="0"/>
        <w:rPr>
          <w:rFonts w:hint="default"/>
          <w:color w:val="auto"/>
          <w:highlight w:val="none"/>
          <w:lang w:val="en-US" w:eastAsia="zh-CN"/>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1"/>
      <w:bookmarkEnd w:id="182"/>
      <w:bookmarkEnd w:id="183"/>
      <w:bookmarkEnd w:id="184"/>
      <w:bookmarkStart w:id="186" w:name="_Toc12485"/>
      <w:bookmarkStart w:id="187" w:name="_Toc21448"/>
    </w:p>
    <w:p>
      <w:pPr>
        <w:bidi w:val="0"/>
        <w:rPr>
          <w:rFonts w:hint="eastAsia"/>
          <w:color w:val="auto"/>
          <w:highlight w:val="none"/>
        </w:rPr>
      </w:pPr>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2"/>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21155"/>
      <w:bookmarkStart w:id="190" w:name="_Toc13430"/>
      <w:bookmarkStart w:id="191" w:name="_Toc1534"/>
    </w:p>
    <w:p>
      <w:pPr>
        <w:pStyle w:val="6"/>
        <w:spacing w:before="0" w:after="0" w:line="240" w:lineRule="auto"/>
        <w:jc w:val="center"/>
        <w:rPr>
          <w:rFonts w:ascii="宋体" w:hAnsi="宋体" w:eastAsia="宋体" w:cs="宋体"/>
          <w:color w:val="auto"/>
          <w:highlight w:val="none"/>
        </w:rPr>
      </w:pPr>
      <w:bookmarkStart w:id="192" w:name="_Toc8880"/>
      <w:bookmarkStart w:id="193" w:name="_Toc16730"/>
      <w:bookmarkStart w:id="194" w:name="_Toc19575"/>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4"/>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4"/>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4"/>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6"/>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6"/>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6"/>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3"/>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3"/>
              <w:jc w:val="both"/>
              <w:rPr>
                <w:rFonts w:hint="eastAsia" w:ascii="宋体" w:hAnsi="宋体" w:eastAsia="宋体" w:cs="宋体"/>
                <w:color w:val="auto"/>
                <w:sz w:val="21"/>
                <w:szCs w:val="21"/>
                <w:highlight w:val="none"/>
              </w:rPr>
            </w:pPr>
          </w:p>
        </w:tc>
        <w:tc>
          <w:tcPr>
            <w:tcW w:w="5028" w:type="dxa"/>
            <w:noWrap w:val="0"/>
            <w:vAlign w:val="center"/>
          </w:tcPr>
          <w:p>
            <w:pPr>
              <w:pStyle w:val="33"/>
              <w:jc w:val="both"/>
              <w:rPr>
                <w:rFonts w:hint="eastAsia" w:ascii="宋体" w:hAnsi="宋体" w:eastAsia="宋体" w:cs="宋体"/>
                <w:color w:val="auto"/>
                <w:sz w:val="21"/>
                <w:szCs w:val="21"/>
                <w:highlight w:val="none"/>
              </w:rPr>
            </w:pPr>
          </w:p>
        </w:tc>
        <w:tc>
          <w:tcPr>
            <w:tcW w:w="2126" w:type="dxa"/>
            <w:noWrap w:val="0"/>
            <w:vAlign w:val="center"/>
          </w:tcPr>
          <w:p>
            <w:pPr>
              <w:pStyle w:val="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4"/>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22080"/>
      <w:bookmarkStart w:id="208" w:name="_Toc8194"/>
      <w:bookmarkStart w:id="209" w:name="_Toc30640"/>
      <w:r>
        <w:rPr>
          <w:rFonts w:hint="eastAsia"/>
          <w:color w:val="auto"/>
          <w:highlight w:val="none"/>
          <w:lang w:val="en-US" w:eastAsia="zh-CN"/>
        </w:rPr>
        <w:t>第一章价格文件</w:t>
      </w:r>
      <w:bookmarkEnd w:id="207"/>
      <w:bookmarkEnd w:id="208"/>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19750"/>
      <w:bookmarkStart w:id="211" w:name="_Toc4168"/>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4"/>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bidi w:val="0"/>
        <w:rPr>
          <w:color w:val="auto"/>
          <w:highlight w:val="none"/>
        </w:rPr>
      </w:pPr>
    </w:p>
    <w:p>
      <w:pPr>
        <w:pStyle w:val="4"/>
        <w:rPr>
          <w:color w:val="auto"/>
          <w:highlight w:val="none"/>
        </w:rPr>
      </w:pPr>
    </w:p>
    <w:p>
      <w:pPr>
        <w:rPr>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31172"/>
      <w:bookmarkStart w:id="213" w:name="_Toc31062"/>
      <w:r>
        <w:rPr>
          <w:rFonts w:hint="eastAsia"/>
          <w:color w:val="auto"/>
          <w:highlight w:val="none"/>
          <w:lang w:val="en-US" w:eastAsia="zh-CN"/>
        </w:rPr>
        <w:t>二、报价明细表</w:t>
      </w:r>
      <w:bookmarkEnd w:id="212"/>
      <w:bookmarkEnd w:id="213"/>
    </w:p>
    <w:p>
      <w:pPr>
        <w:pStyle w:val="33"/>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3"/>
        <w:rPr>
          <w:rFonts w:ascii="黑体" w:eastAsia="黑体"/>
          <w:color w:val="auto"/>
          <w:sz w:val="32"/>
          <w:szCs w:val="32"/>
          <w:highlight w:val="none"/>
        </w:rPr>
      </w:pPr>
    </w:p>
    <w:p>
      <w:pPr>
        <w:pStyle w:val="33"/>
        <w:rPr>
          <w:rFonts w:ascii="黑体" w:eastAsia="黑体"/>
          <w:color w:val="auto"/>
          <w:sz w:val="32"/>
          <w:szCs w:val="32"/>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3355"/>
      <w:bookmarkStart w:id="215" w:name="_Toc20974"/>
      <w:r>
        <w:rPr>
          <w:rFonts w:hint="eastAsia"/>
          <w:color w:val="auto"/>
          <w:highlight w:val="none"/>
          <w:lang w:val="en-US" w:eastAsia="zh-CN"/>
        </w:rPr>
        <w:t>三、小型或微型企业（货物/服务/承担的工程）明细表</w:t>
      </w:r>
      <w:bookmarkEnd w:id="214"/>
      <w:bookmarkEnd w:id="215"/>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6"/>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6"/>
          <w:rFonts w:hint="eastAsia"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w:t>
      </w:r>
      <w:r>
        <w:rPr>
          <w:rStyle w:val="46"/>
          <w:rFonts w:hint="eastAsia" w:ascii="宋体" w:hAnsi="宋体" w:eastAsia="宋体" w:cs="宋体"/>
          <w:b/>
          <w:color w:val="auto"/>
          <w:sz w:val="21"/>
          <w:szCs w:val="21"/>
          <w:highlight w:val="none"/>
          <w:lang w:val="en-US" w:eastAsia="zh-CN"/>
        </w:rPr>
        <w:t>/</w:t>
      </w:r>
      <w:r>
        <w:rPr>
          <w:rStyle w:val="46"/>
          <w:rFonts w:hint="eastAsia" w:ascii="宋体" w:hAnsi="宋体" w:eastAsia="宋体" w:cs="宋体"/>
          <w:b/>
          <w:color w:val="auto"/>
          <w:sz w:val="21"/>
          <w:szCs w:val="21"/>
          <w:highlight w:val="none"/>
        </w:rPr>
        <w:t>服务报价</w:t>
      </w:r>
      <w:r>
        <w:rPr>
          <w:rStyle w:val="46"/>
          <w:rFonts w:hint="eastAsia" w:ascii="宋体" w:hAnsi="宋体" w:eastAsia="宋体" w:cs="宋体"/>
          <w:b/>
          <w:color w:val="auto"/>
          <w:sz w:val="21"/>
          <w:szCs w:val="21"/>
          <w:highlight w:val="none"/>
          <w:lang w:val="en-US" w:eastAsia="zh-CN"/>
        </w:rPr>
        <w:t>明细</w:t>
      </w:r>
      <w:r>
        <w:rPr>
          <w:rStyle w:val="46"/>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6"/>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w:t>
      </w:r>
      <w:r>
        <w:rPr>
          <w:rStyle w:val="46"/>
          <w:rFonts w:hint="eastAsia" w:ascii="宋体" w:hAnsi="宋体" w:eastAsia="宋体" w:cs="宋体"/>
          <w:b/>
          <w:color w:val="auto"/>
          <w:sz w:val="21"/>
          <w:szCs w:val="21"/>
          <w:highlight w:val="none"/>
          <w:lang w:val="en-US" w:eastAsia="zh-CN"/>
        </w:rPr>
        <w:t>或</w:t>
      </w:r>
      <w:r>
        <w:rPr>
          <w:rStyle w:val="46"/>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6718"/>
      <w:bookmarkStart w:id="217" w:name="_Toc13970"/>
      <w:r>
        <w:rPr>
          <w:rFonts w:hint="eastAsia"/>
          <w:color w:val="auto"/>
          <w:highlight w:val="none"/>
          <w:lang w:val="en-US" w:eastAsia="zh-CN"/>
        </w:rPr>
        <w:t>四、节能产品或环境标志产品明细表</w:t>
      </w:r>
      <w:bookmarkEnd w:id="216"/>
      <w:bookmarkEnd w:id="217"/>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33"/>
        <w:rPr>
          <w:rFonts w:hint="eastAsia"/>
          <w:color w:val="auto"/>
          <w:highlight w:val="none"/>
        </w:rPr>
      </w:pPr>
    </w:p>
    <w:p>
      <w:pPr>
        <w:tabs>
          <w:tab w:val="left" w:pos="284"/>
        </w:tabs>
        <w:spacing w:after="0"/>
        <w:rPr>
          <w:rStyle w:val="46"/>
          <w:rFonts w:hint="eastAsia"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w:t>
      </w:r>
      <w:r>
        <w:rPr>
          <w:rStyle w:val="46"/>
          <w:rFonts w:hint="eastAsia" w:ascii="宋体" w:hAnsi="宋体" w:eastAsia="宋体" w:cs="宋体"/>
          <w:b/>
          <w:color w:val="auto"/>
          <w:sz w:val="21"/>
          <w:szCs w:val="21"/>
          <w:highlight w:val="none"/>
          <w:lang w:val="en-US" w:eastAsia="zh-CN"/>
        </w:rPr>
        <w:t>/</w:t>
      </w:r>
      <w:r>
        <w:rPr>
          <w:rStyle w:val="46"/>
          <w:rFonts w:hint="eastAsia" w:ascii="宋体" w:hAnsi="宋体" w:eastAsia="宋体" w:cs="宋体"/>
          <w:b/>
          <w:color w:val="auto"/>
          <w:sz w:val="21"/>
          <w:szCs w:val="21"/>
          <w:highlight w:val="none"/>
        </w:rPr>
        <w:t>服务报价</w:t>
      </w:r>
      <w:r>
        <w:rPr>
          <w:rStyle w:val="46"/>
          <w:rFonts w:hint="eastAsia" w:ascii="宋体" w:hAnsi="宋体" w:eastAsia="宋体" w:cs="宋体"/>
          <w:b/>
          <w:color w:val="auto"/>
          <w:sz w:val="21"/>
          <w:szCs w:val="21"/>
          <w:highlight w:val="none"/>
          <w:lang w:val="en-US" w:eastAsia="zh-CN"/>
        </w:rPr>
        <w:t>明细</w:t>
      </w:r>
      <w:r>
        <w:rPr>
          <w:rStyle w:val="46"/>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0853"/>
      <w:bookmarkStart w:id="219" w:name="_Toc17482"/>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4"/>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4"/>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4"/>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4"/>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4"/>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4"/>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4"/>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4"/>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4"/>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4"/>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4"/>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4"/>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7959"/>
      <w:bookmarkStart w:id="221" w:name="_Toc8560"/>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17761"/>
      <w:bookmarkStart w:id="223" w:name="_Toc509927455"/>
      <w:bookmarkStart w:id="224" w:name="_Toc510171693"/>
      <w:bookmarkStart w:id="225" w:name="_Toc30277"/>
      <w:bookmarkStart w:id="226" w:name="_Toc30247"/>
      <w:bookmarkStart w:id="227" w:name="_Toc508898066"/>
      <w:bookmarkStart w:id="228" w:name="_Toc22970"/>
      <w:bookmarkStart w:id="229" w:name="_Toc20910"/>
      <w:bookmarkStart w:id="230" w:name="_Toc508960153"/>
      <w:bookmarkStart w:id="231" w:name="_Toc508958703"/>
      <w:bookmarkStart w:id="232" w:name="_Toc509479530"/>
      <w:bookmarkStart w:id="233" w:name="_Toc50984482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4"/>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508960154"/>
      <w:bookmarkStart w:id="235" w:name="_Toc509479531"/>
      <w:bookmarkStart w:id="236" w:name="_Toc26216"/>
      <w:bookmarkStart w:id="237" w:name="_Toc5447"/>
      <w:bookmarkStart w:id="238" w:name="_Toc509927456"/>
      <w:bookmarkStart w:id="239" w:name="_Toc28527"/>
      <w:bookmarkStart w:id="240" w:name="_Toc508958704"/>
      <w:bookmarkStart w:id="241" w:name="_Toc31520"/>
      <w:bookmarkStart w:id="242" w:name="_Toc508898067"/>
      <w:bookmarkStart w:id="243" w:name="_Toc510171694"/>
      <w:bookmarkStart w:id="244" w:name="_Toc21053"/>
      <w:bookmarkStart w:id="245" w:name="_Toc50984482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14653"/>
      <w:bookmarkStart w:id="247" w:name="_Toc508898068"/>
      <w:bookmarkStart w:id="248" w:name="_Toc28126"/>
      <w:bookmarkStart w:id="249" w:name="_Toc509479532"/>
      <w:bookmarkStart w:id="250" w:name="_Toc28626"/>
      <w:bookmarkStart w:id="251" w:name="_Toc509844827"/>
      <w:bookmarkStart w:id="252" w:name="_Toc508958705"/>
      <w:bookmarkStart w:id="253" w:name="_Toc510171695"/>
      <w:bookmarkStart w:id="254" w:name="_Toc508960155"/>
      <w:bookmarkStart w:id="255" w:name="_Toc9148"/>
      <w:bookmarkStart w:id="256" w:name="_Toc509927457"/>
      <w:bookmarkStart w:id="257" w:name="_Toc24848"/>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508960156"/>
      <w:bookmarkStart w:id="259" w:name="_Toc28044"/>
      <w:bookmarkStart w:id="260" w:name="_Toc508958706"/>
      <w:bookmarkStart w:id="261" w:name="_Toc509479533"/>
      <w:bookmarkStart w:id="262" w:name="_Toc508898069"/>
      <w:bookmarkStart w:id="263" w:name="_Toc28686"/>
      <w:bookmarkStart w:id="264" w:name="_Toc22981"/>
      <w:bookmarkStart w:id="265" w:name="_Toc510171696"/>
      <w:bookmarkStart w:id="266" w:name="_Toc9837"/>
      <w:bookmarkStart w:id="267" w:name="_Toc509927458"/>
      <w:bookmarkStart w:id="268" w:name="_Toc7858"/>
      <w:bookmarkStart w:id="269" w:name="_Toc509844828"/>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08958707"/>
      <w:bookmarkStart w:id="271" w:name="_Toc508960157"/>
      <w:bookmarkStart w:id="272" w:name="_Toc509479534"/>
      <w:bookmarkStart w:id="273" w:name="_Toc18843"/>
      <w:bookmarkStart w:id="274" w:name="_Toc510171697"/>
      <w:bookmarkStart w:id="275" w:name="_Toc509927459"/>
      <w:bookmarkStart w:id="276" w:name="_Toc5289"/>
      <w:bookmarkStart w:id="277" w:name="_Toc508898070"/>
      <w:bookmarkStart w:id="278" w:name="_Toc50984482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23948"/>
      <w:bookmarkStart w:id="280" w:name="_Toc6471"/>
      <w:r>
        <w:rPr>
          <w:rFonts w:hint="eastAsia"/>
          <w:color w:val="auto"/>
          <w:highlight w:val="none"/>
          <w:lang w:val="en-US" w:eastAsia="zh-CN"/>
        </w:rPr>
        <w:t>第二章商务文件</w:t>
      </w:r>
      <w:bookmarkEnd w:id="279"/>
      <w:bookmarkEnd w:id="280"/>
    </w:p>
    <w:bookmarkEnd w:id="209"/>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23787"/>
      <w:bookmarkStart w:id="282" w:name="_Toc1952"/>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28616"/>
      <w:bookmarkStart w:id="284" w:name="_Toc15719"/>
      <w:r>
        <w:rPr>
          <w:rFonts w:hint="eastAsia"/>
          <w:color w:val="auto"/>
          <w:highlight w:val="none"/>
          <w:lang w:val="en-US" w:eastAsia="zh-CN"/>
        </w:rPr>
        <w:t>二、资格申明函</w:t>
      </w:r>
      <w:bookmarkEnd w:id="283"/>
      <w:bookmarkEnd w:id="284"/>
    </w:p>
    <w:p>
      <w:pPr>
        <w:pStyle w:val="39"/>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9"/>
        <w:spacing w:line="500" w:lineRule="atLeast"/>
        <w:ind w:firstLine="3517" w:firstLineChars="1675"/>
        <w:rPr>
          <w:rFonts w:ascii="宋体" w:eastAsia="宋体"/>
          <w:color w:val="auto"/>
          <w:sz w:val="21"/>
          <w:szCs w:val="21"/>
          <w:highlight w:val="none"/>
        </w:rPr>
      </w:pP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4"/>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4"/>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4"/>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4"/>
        <w:rPr>
          <w:color w:val="auto"/>
          <w:highlight w:val="none"/>
        </w:rPr>
      </w:pPr>
    </w:p>
    <w:p>
      <w:pPr>
        <w:rPr>
          <w:color w:val="auto"/>
          <w:highlight w:val="none"/>
        </w:rPr>
      </w:pPr>
      <w:bookmarkStart w:id="285" w:name="_Toc16412"/>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32742"/>
      <w:bookmarkStart w:id="287" w:name="_Toc21273"/>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13243"/>
      <w:bookmarkStart w:id="289" w:name="_Toc3894"/>
      <w:r>
        <w:rPr>
          <w:rFonts w:hint="eastAsia"/>
          <w:color w:val="auto"/>
          <w:highlight w:val="none"/>
          <w:lang w:val="en-US" w:eastAsia="zh-CN"/>
        </w:rPr>
        <w:t>四、法定代表人证明书</w:t>
      </w:r>
      <w:bookmarkEnd w:id="288"/>
      <w:bookmarkEnd w:id="289"/>
    </w:p>
    <w:p>
      <w:pPr>
        <w:pStyle w:val="39"/>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9"/>
        <w:spacing w:line="420" w:lineRule="atLeast"/>
        <w:ind w:firstLine="433"/>
        <w:rPr>
          <w:rFonts w:ascii="宋体" w:eastAsia="宋体"/>
          <w:color w:val="auto"/>
          <w:sz w:val="21"/>
          <w:szCs w:val="21"/>
          <w:highlight w:val="none"/>
        </w:rPr>
      </w:pPr>
    </w:p>
    <w:p>
      <w:pPr>
        <w:pStyle w:val="39"/>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pStyle w:val="39"/>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918"/>
      <w:bookmarkStart w:id="291" w:name="_Toc5626"/>
      <w:r>
        <w:rPr>
          <w:rFonts w:hint="eastAsia"/>
          <w:color w:val="auto"/>
          <w:highlight w:val="none"/>
          <w:lang w:val="en-US" w:eastAsia="zh-CN"/>
        </w:rPr>
        <w:t>五、法定代表人授权书</w:t>
      </w:r>
      <w:bookmarkEnd w:id="290"/>
      <w:bookmarkEnd w:id="291"/>
    </w:p>
    <w:p>
      <w:pPr>
        <w:pStyle w:val="39"/>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9"/>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9"/>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9"/>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18562"/>
      <w:bookmarkStart w:id="294" w:name="_Toc24013"/>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4"/>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39"/>
        <w:spacing w:line="500" w:lineRule="atLeast"/>
        <w:ind w:firstLine="433"/>
        <w:rPr>
          <w:rFonts w:ascii="宋体" w:eastAsia="宋体"/>
          <w:color w:val="auto"/>
          <w:sz w:val="21"/>
          <w:szCs w:val="21"/>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24210"/>
      <w:bookmarkStart w:id="296" w:name="_Toc17470"/>
      <w:bookmarkStart w:id="297" w:name="_Toc4926"/>
      <w:bookmarkStart w:id="298" w:name="_Toc29995"/>
      <w:bookmarkStart w:id="299" w:name="_Toc28067"/>
      <w:bookmarkStart w:id="300" w:name="_Toc5919"/>
      <w:bookmarkStart w:id="301" w:name="_Toc1511"/>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9439"/>
      <w:bookmarkStart w:id="303" w:name="_Toc21638"/>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4263"/>
      <w:bookmarkStart w:id="305" w:name="_Toc23341"/>
      <w:r>
        <w:rPr>
          <w:rFonts w:hint="eastAsia"/>
          <w:color w:val="auto"/>
          <w:highlight w:val="none"/>
          <w:lang w:val="en-US" w:eastAsia="zh-CN"/>
        </w:rPr>
        <w:t>九、</w:t>
      </w:r>
      <w:r>
        <w:rPr>
          <w:rFonts w:hint="eastAsia"/>
          <w:color w:val="auto"/>
          <w:highlight w:val="none"/>
        </w:rPr>
        <w:t>承诺书</w:t>
      </w:r>
      <w:bookmarkEnd w:id="304"/>
      <w:bookmarkEnd w:id="305"/>
    </w:p>
    <w:p>
      <w:pPr>
        <w:pStyle w:val="39"/>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9"/>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9"/>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4"/>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955"/>
      <w:bookmarkStart w:id="308" w:name="_Toc13653"/>
      <w:r>
        <w:rPr>
          <w:rFonts w:hint="eastAsia"/>
          <w:color w:val="auto"/>
          <w:highlight w:val="none"/>
          <w:lang w:val="en-US" w:eastAsia="zh-CN"/>
        </w:rPr>
        <w:t>十、招标代理服务费承诺书</w:t>
      </w:r>
      <w:bookmarkEnd w:id="307"/>
      <w:bookmarkEnd w:id="308"/>
    </w:p>
    <w:p>
      <w:pPr>
        <w:pStyle w:val="39"/>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975"/>
      <w:bookmarkStart w:id="310" w:name="_Toc12598"/>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19276"/>
      <w:bookmarkStart w:id="313" w:name="_Toc25391"/>
      <w:r>
        <w:rPr>
          <w:rFonts w:hint="eastAsia"/>
          <w:color w:val="auto"/>
          <w:highlight w:val="none"/>
          <w:lang w:val="en-US" w:eastAsia="zh-CN"/>
        </w:rPr>
        <w:t>十二、</w:t>
      </w:r>
      <w:r>
        <w:rPr>
          <w:rFonts w:hint="eastAsia"/>
          <w:color w:val="auto"/>
          <w:highlight w:val="none"/>
        </w:rPr>
        <w:t>业绩表</w:t>
      </w:r>
      <w:bookmarkEnd w:id="312"/>
      <w:bookmarkEnd w:id="313"/>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6"/>
        <w:spacing w:after="0"/>
        <w:rPr>
          <w:rFonts w:ascii="宋体" w:hAnsi="宋体" w:eastAsia="宋体"/>
          <w:color w:val="auto"/>
          <w:sz w:val="21"/>
          <w:szCs w:val="21"/>
          <w:highlight w:val="none"/>
        </w:rPr>
      </w:pPr>
    </w:p>
    <w:p>
      <w:pPr>
        <w:pStyle w:val="36"/>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rPr>
          <w:rFonts w:hint="eastAsia"/>
          <w:color w:val="auto"/>
          <w:highlight w:val="none"/>
        </w:rPr>
      </w:pPr>
    </w:p>
    <w:p>
      <w:pPr>
        <w:pStyle w:val="4"/>
        <w:ind w:left="0" w:leftChars="0" w:firstLine="0" w:firstLineChars="0"/>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20520"/>
      <w:bookmarkStart w:id="315" w:name="_Toc14688"/>
      <w:r>
        <w:rPr>
          <w:rFonts w:hint="eastAsia"/>
          <w:color w:val="auto"/>
          <w:highlight w:val="none"/>
          <w:lang w:val="en-US" w:eastAsia="zh-CN"/>
        </w:rPr>
        <w:t>第三章技术文件</w:t>
      </w:r>
      <w:bookmarkEnd w:id="311"/>
      <w:bookmarkEnd w:id="314"/>
      <w:bookmarkEnd w:id="315"/>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13097"/>
      <w:bookmarkStart w:id="317" w:name="_Toc7092"/>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18668"/>
      <w:bookmarkStart w:id="320" w:name="_Toc4827"/>
      <w:bookmarkStart w:id="321" w:name="_Toc26078"/>
      <w:bookmarkStart w:id="322" w:name="_Toc1274"/>
      <w:bookmarkStart w:id="323" w:name="_Toc4464"/>
      <w:bookmarkStart w:id="324" w:name="_Toc6080"/>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0734"/>
      <w:bookmarkStart w:id="326" w:name="_Toc13461"/>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7079"/>
            <w:bookmarkStart w:id="328" w:name="_Toc29642"/>
            <w:bookmarkStart w:id="329" w:name="_Toc29560"/>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1016"/>
            <w:bookmarkStart w:id="331" w:name="_Toc14815"/>
            <w:bookmarkStart w:id="332" w:name="_Toc16872"/>
            <w:bookmarkStart w:id="333" w:name="_Toc12049"/>
            <w:bookmarkStart w:id="334" w:name="_Toc10045"/>
            <w:bookmarkStart w:id="335" w:name="_Toc27090"/>
            <w:bookmarkStart w:id="336" w:name="_Toc26124"/>
            <w:bookmarkStart w:id="337" w:name="_Toc15368"/>
            <w:bookmarkStart w:id="338" w:name="_Toc21739"/>
            <w:bookmarkStart w:id="339" w:name="_Toc2700"/>
            <w:bookmarkStart w:id="340" w:name="_Toc22448"/>
            <w:bookmarkStart w:id="341" w:name="_Toc15903"/>
            <w:bookmarkStart w:id="342" w:name="_Toc4304"/>
            <w:bookmarkStart w:id="343" w:name="_Toc22917"/>
            <w:bookmarkStart w:id="344" w:name="_Toc21809"/>
            <w:bookmarkStart w:id="345" w:name="_Toc32531"/>
            <w:bookmarkStart w:id="346" w:name="_Toc8312"/>
            <w:bookmarkStart w:id="347" w:name="_Toc7333"/>
            <w:bookmarkStart w:id="348" w:name="_Toc27442"/>
            <w:bookmarkStart w:id="349" w:name="_Toc19251"/>
            <w:bookmarkStart w:id="350" w:name="_Toc24662"/>
            <w:bookmarkStart w:id="351" w:name="_Toc22879"/>
            <w:bookmarkStart w:id="352" w:name="_Toc8490"/>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22153"/>
            <w:bookmarkStart w:id="354" w:name="_Toc10122"/>
            <w:bookmarkStart w:id="355" w:name="_Toc2408"/>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27285"/>
            <w:bookmarkStart w:id="357" w:name="_Toc16003"/>
            <w:bookmarkStart w:id="358" w:name="_Toc29838"/>
            <w:bookmarkStart w:id="359" w:name="_Toc20820"/>
            <w:bookmarkStart w:id="360" w:name="_Toc27185"/>
            <w:bookmarkStart w:id="361" w:name="_Toc17642"/>
            <w:bookmarkStart w:id="362" w:name="_Toc17296"/>
            <w:bookmarkStart w:id="363" w:name="_Toc3701"/>
            <w:bookmarkStart w:id="364" w:name="_Toc5563"/>
            <w:bookmarkStart w:id="365" w:name="_Toc20139"/>
            <w:bookmarkStart w:id="366" w:name="_Toc5992"/>
            <w:bookmarkStart w:id="367" w:name="_Toc1912"/>
            <w:bookmarkStart w:id="368" w:name="_Toc1330"/>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19105"/>
            <w:bookmarkStart w:id="370" w:name="_Toc857"/>
            <w:bookmarkStart w:id="371" w:name="_Toc3520"/>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6"/>
        <w:spacing w:after="0" w:line="360" w:lineRule="auto"/>
        <w:rPr>
          <w:rFonts w:ascii="宋体" w:hAnsi="宋体" w:eastAsia="宋体"/>
          <w:color w:val="auto"/>
          <w:sz w:val="21"/>
          <w:szCs w:val="21"/>
          <w:highlight w:val="none"/>
        </w:rPr>
      </w:pP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6"/>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6"/>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6"/>
        <w:spacing w:after="0" w:line="360" w:lineRule="auto"/>
        <w:rPr>
          <w:rFonts w:ascii="宋体" w:hAnsi="宋体" w:eastAsia="宋体"/>
          <w:color w:val="auto"/>
          <w:sz w:val="21"/>
          <w:szCs w:val="21"/>
          <w:highlight w:val="none"/>
        </w:rPr>
      </w:pPr>
    </w:p>
    <w:p>
      <w:pPr>
        <w:pStyle w:val="36"/>
        <w:numPr>
          <w:ilvl w:val="0"/>
          <w:numId w:val="1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16328"/>
      <w:bookmarkStart w:id="376" w:name="_Toc26880"/>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4"/>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15431"/>
      <w:bookmarkStart w:id="378" w:name="_Toc26980"/>
      <w:r>
        <w:rPr>
          <w:rFonts w:hint="eastAsia"/>
          <w:color w:val="auto"/>
          <w:highlight w:val="none"/>
          <w:lang w:val="en-US" w:eastAsia="zh-CN"/>
        </w:rPr>
        <w:t>六、投标货物明细一览表</w:t>
      </w:r>
      <w:bookmarkEnd w:id="377"/>
      <w:bookmarkEnd w:id="378"/>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3"/>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3"/>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6961"/>
      <w:r>
        <w:rPr>
          <w:rFonts w:hint="eastAsia"/>
          <w:color w:val="auto"/>
          <w:highlight w:val="none"/>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4"/>
        <w:rPr>
          <w:color w:val="auto"/>
          <w:highlight w:val="none"/>
        </w:rPr>
      </w:pPr>
    </w:p>
    <w:p>
      <w:pPr>
        <w:bidi w:val="0"/>
        <w:rPr>
          <w:color w:val="auto"/>
          <w:highlight w:val="none"/>
        </w:rPr>
      </w:pPr>
      <w:r>
        <w:rPr>
          <w:color w:val="auto"/>
          <w:highlight w:val="none"/>
        </w:rPr>
        <w:br w:type="page"/>
      </w: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6772"/>
      <w:bookmarkStart w:id="381" w:name="_Toc26782"/>
      <w:r>
        <w:rPr>
          <w:rFonts w:hint="eastAsia"/>
          <w:color w:val="auto"/>
          <w:highlight w:val="none"/>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4"/>
        <w:rPr>
          <w:rFonts w:hint="eastAsia"/>
          <w:color w:val="auto"/>
          <w:highlight w:val="none"/>
        </w:rPr>
      </w:pPr>
    </w:p>
    <w:p>
      <w:pPr>
        <w:rPr>
          <w:rFonts w:hint="eastAsia"/>
          <w:color w:val="auto"/>
          <w:highlight w:val="none"/>
        </w:rPr>
      </w:pPr>
    </w:p>
    <w:p>
      <w:pPr>
        <w:pStyle w:val="4"/>
        <w:rPr>
          <w:rFonts w:hint="eastAsia"/>
          <w:color w:val="auto"/>
          <w:highlight w:val="none"/>
        </w:rPr>
      </w:pPr>
    </w:p>
    <w:p>
      <w:pPr>
        <w:rPr>
          <w:rFonts w:hint="eastAsia"/>
          <w:color w:val="auto"/>
          <w:highlight w:val="none"/>
        </w:rPr>
      </w:pPr>
    </w:p>
    <w:p>
      <w:pPr>
        <w:pStyle w:val="4"/>
        <w:rPr>
          <w:rFonts w:hint="eastAsia"/>
          <w:color w:val="auto"/>
          <w:highlight w:val="none"/>
        </w:rPr>
      </w:pPr>
    </w:p>
    <w:p>
      <w:pPr>
        <w:rPr>
          <w:rFonts w:hint="eastAsia"/>
          <w:color w:val="auto"/>
          <w:highlight w:val="none"/>
        </w:rPr>
      </w:pPr>
    </w:p>
    <w:p>
      <w:pPr>
        <w:pStyle w:val="4"/>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710"/>
      <w:bookmarkStart w:id="384" w:name="_Toc22736"/>
      <w:r>
        <w:rPr>
          <w:rFonts w:hint="eastAsia"/>
          <w:color w:val="auto"/>
          <w:highlight w:val="none"/>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2"/>
    <w:p>
      <w:pPr>
        <w:pStyle w:val="4"/>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4"/>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4"/>
        <w:rPr>
          <w:color w:val="auto"/>
          <w:highlight w:val="none"/>
        </w:rPr>
      </w:pPr>
    </w:p>
    <w:p>
      <w:pPr>
        <w:spacing w:after="0" w:line="360" w:lineRule="auto"/>
        <w:rPr>
          <w:color w:val="auto"/>
          <w:highlight w:val="none"/>
        </w:rPr>
      </w:pPr>
    </w:p>
    <w:p>
      <w:pPr>
        <w:pStyle w:val="4"/>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6"/>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snapToGrid w:val="0"/>
        <w:rPr>
          <w:rFonts w:hint="eastAsia" w:eastAsia="微软雅黑"/>
          <w:lang w:eastAsia="zh-CN"/>
        </w:rPr>
      </w:pPr>
      <w:r>
        <w:rPr>
          <w:rStyle w:val="32"/>
        </w:rPr>
        <w:footnoteRef/>
      </w:r>
      <w:r>
        <w:t xml:space="preserve"> </w:t>
      </w:r>
      <w:r>
        <w:rPr>
          <w:rFonts w:hint="eastAsia"/>
          <w:lang w:eastAsia="zh-CN"/>
        </w:rPr>
        <w:t>从业人员、营业人员、资产总额填报上一年度数据，无上一年度数据的新成立企业可不填报。</w:t>
      </w:r>
    </w:p>
  </w:footnote>
  <w:footnote w:id="1">
    <w:p>
      <w:pPr>
        <w:pStyle w:val="22"/>
        <w:snapToGrid w:val="0"/>
      </w:pPr>
      <w:r>
        <w:rPr>
          <w:rStyle w:val="32"/>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5B0FB07"/>
    <w:multiLevelType w:val="singleLevel"/>
    <w:tmpl w:val="A5B0FB07"/>
    <w:lvl w:ilvl="0" w:tentative="0">
      <w:start w:val="1"/>
      <w:numFmt w:val="chineseCounting"/>
      <w:suff w:val="nothing"/>
      <w:lvlText w:val="（%1）"/>
      <w:lvlJc w:val="left"/>
      <w:pPr>
        <w:ind w:left="0" w:firstLine="420"/>
      </w:pPr>
      <w:rPr>
        <w:rFonts w:hint="eastAsia"/>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abstractNum w:abstractNumId="13">
    <w:nsid w:val="7710A667"/>
    <w:multiLevelType w:val="singleLevel"/>
    <w:tmpl w:val="7710A667"/>
    <w:lvl w:ilvl="0" w:tentative="0">
      <w:start w:val="1"/>
      <w:numFmt w:val="chineseCounting"/>
      <w:suff w:val="nothing"/>
      <w:lvlText w:val="（%1）"/>
      <w:lvlJc w:val="left"/>
      <w:pPr>
        <w:ind w:left="0" w:firstLine="420"/>
      </w:pPr>
      <w:rPr>
        <w:rFonts w:hint="eastAsia"/>
      </w:rPr>
    </w:lvl>
  </w:abstractNum>
  <w:num w:numId="1">
    <w:abstractNumId w:val="12"/>
  </w:num>
  <w:num w:numId="2">
    <w:abstractNumId w:val="10"/>
  </w:num>
  <w:num w:numId="3">
    <w:abstractNumId w:val="7"/>
  </w:num>
  <w:num w:numId="4">
    <w:abstractNumId w:val="11"/>
  </w:num>
  <w:num w:numId="5">
    <w:abstractNumId w:val="8"/>
  </w:num>
  <w:num w:numId="6">
    <w:abstractNumId w:val="4"/>
  </w:num>
  <w:num w:numId="7">
    <w:abstractNumId w:val="5"/>
  </w:num>
  <w:num w:numId="8">
    <w:abstractNumId w:val="2"/>
  </w:num>
  <w:num w:numId="9">
    <w:abstractNumId w:val="1"/>
  </w:num>
  <w:num w:numId="10">
    <w:abstractNumId w:val="13"/>
  </w:num>
  <w:num w:numId="11">
    <w:abstractNumId w:val="3"/>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706DF7"/>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742C8E"/>
    <w:rsid w:val="0D890E47"/>
    <w:rsid w:val="0DC64A00"/>
    <w:rsid w:val="0DFC60BA"/>
    <w:rsid w:val="0E4249F1"/>
    <w:rsid w:val="0F0B7AC2"/>
    <w:rsid w:val="0F6C5A53"/>
    <w:rsid w:val="0F7C5FF6"/>
    <w:rsid w:val="0FC63FBD"/>
    <w:rsid w:val="106C564D"/>
    <w:rsid w:val="107B7B8F"/>
    <w:rsid w:val="107C67CE"/>
    <w:rsid w:val="1080523F"/>
    <w:rsid w:val="108F06C9"/>
    <w:rsid w:val="109D68CB"/>
    <w:rsid w:val="10A949B8"/>
    <w:rsid w:val="10C54639"/>
    <w:rsid w:val="11200D07"/>
    <w:rsid w:val="11DA73AF"/>
    <w:rsid w:val="12C60D80"/>
    <w:rsid w:val="12FC7368"/>
    <w:rsid w:val="131867D4"/>
    <w:rsid w:val="131F7A3A"/>
    <w:rsid w:val="132645D0"/>
    <w:rsid w:val="133F7AF9"/>
    <w:rsid w:val="13455ABC"/>
    <w:rsid w:val="1370322B"/>
    <w:rsid w:val="138F2F3B"/>
    <w:rsid w:val="13B27845"/>
    <w:rsid w:val="13BE469F"/>
    <w:rsid w:val="13F87121"/>
    <w:rsid w:val="141A03E1"/>
    <w:rsid w:val="143B2E0B"/>
    <w:rsid w:val="14492F3F"/>
    <w:rsid w:val="14672B11"/>
    <w:rsid w:val="14892735"/>
    <w:rsid w:val="14CC769D"/>
    <w:rsid w:val="15315FD6"/>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577DB1"/>
    <w:rsid w:val="190B7894"/>
    <w:rsid w:val="19A2789F"/>
    <w:rsid w:val="1A460CF5"/>
    <w:rsid w:val="1A7A758B"/>
    <w:rsid w:val="1A7F297D"/>
    <w:rsid w:val="1AB16AC1"/>
    <w:rsid w:val="1B034A52"/>
    <w:rsid w:val="1B1F34AD"/>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EC80718"/>
    <w:rsid w:val="1F43381C"/>
    <w:rsid w:val="1FA4148D"/>
    <w:rsid w:val="20121621"/>
    <w:rsid w:val="201A421D"/>
    <w:rsid w:val="20341172"/>
    <w:rsid w:val="204E554F"/>
    <w:rsid w:val="20590035"/>
    <w:rsid w:val="20C35213"/>
    <w:rsid w:val="20FC799E"/>
    <w:rsid w:val="22154DDD"/>
    <w:rsid w:val="22213E42"/>
    <w:rsid w:val="22336873"/>
    <w:rsid w:val="23175889"/>
    <w:rsid w:val="2323582A"/>
    <w:rsid w:val="238C2182"/>
    <w:rsid w:val="239015D1"/>
    <w:rsid w:val="23BB4E7D"/>
    <w:rsid w:val="23C172D6"/>
    <w:rsid w:val="23F04F64"/>
    <w:rsid w:val="24814CBE"/>
    <w:rsid w:val="24AC168B"/>
    <w:rsid w:val="24DC39C8"/>
    <w:rsid w:val="258C3BEC"/>
    <w:rsid w:val="25E576CC"/>
    <w:rsid w:val="260E3862"/>
    <w:rsid w:val="26103CA8"/>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211B1D"/>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284934"/>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64412"/>
    <w:rsid w:val="3FD70BB0"/>
    <w:rsid w:val="3FEE57AE"/>
    <w:rsid w:val="3FFB55AC"/>
    <w:rsid w:val="401024A9"/>
    <w:rsid w:val="401C5F9D"/>
    <w:rsid w:val="401C690C"/>
    <w:rsid w:val="401D7195"/>
    <w:rsid w:val="405F1BE4"/>
    <w:rsid w:val="40A51286"/>
    <w:rsid w:val="40CE3DC0"/>
    <w:rsid w:val="40D7455A"/>
    <w:rsid w:val="40E743E5"/>
    <w:rsid w:val="4110038E"/>
    <w:rsid w:val="41734CBA"/>
    <w:rsid w:val="41C01B53"/>
    <w:rsid w:val="41D76C2E"/>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5865B0"/>
    <w:rsid w:val="4571374F"/>
    <w:rsid w:val="458B1BB0"/>
    <w:rsid w:val="4611075B"/>
    <w:rsid w:val="46214818"/>
    <w:rsid w:val="46744E6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8F1C1B"/>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E7766"/>
    <w:rsid w:val="54693932"/>
    <w:rsid w:val="549A6BFA"/>
    <w:rsid w:val="54E72921"/>
    <w:rsid w:val="55806F07"/>
    <w:rsid w:val="55FA2961"/>
    <w:rsid w:val="56397DC2"/>
    <w:rsid w:val="565E3E0E"/>
    <w:rsid w:val="565E7F4F"/>
    <w:rsid w:val="56775789"/>
    <w:rsid w:val="56857D06"/>
    <w:rsid w:val="56914056"/>
    <w:rsid w:val="569F0E63"/>
    <w:rsid w:val="56DB613D"/>
    <w:rsid w:val="572B0310"/>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573FF3"/>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A50D92"/>
    <w:rsid w:val="62BA0953"/>
    <w:rsid w:val="62D03A7C"/>
    <w:rsid w:val="62F16BCB"/>
    <w:rsid w:val="62F648FE"/>
    <w:rsid w:val="63341DB1"/>
    <w:rsid w:val="63447612"/>
    <w:rsid w:val="63907004"/>
    <w:rsid w:val="63A10995"/>
    <w:rsid w:val="63C23EFA"/>
    <w:rsid w:val="643A070A"/>
    <w:rsid w:val="644812E4"/>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660A0"/>
    <w:rsid w:val="6F9B1C65"/>
    <w:rsid w:val="6FD47A25"/>
    <w:rsid w:val="6FF44026"/>
    <w:rsid w:val="6FFB146E"/>
    <w:rsid w:val="701A5C74"/>
    <w:rsid w:val="70391B59"/>
    <w:rsid w:val="703C547B"/>
    <w:rsid w:val="706516C3"/>
    <w:rsid w:val="70864A71"/>
    <w:rsid w:val="70896E68"/>
    <w:rsid w:val="708A6853"/>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85A0D"/>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9486C"/>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3"/>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5"/>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Body Text First Indent"/>
    <w:basedOn w:val="4"/>
    <w:unhideWhenUsed/>
    <w:qFormat/>
    <w:uiPriority w:val="99"/>
    <w:pPr>
      <w:ind w:firstLine="420" w:firstLineChars="100"/>
    </w:pPr>
    <w:rPr>
      <w:rFonts w:ascii="Times New Roman" w:hAnsi="Times New Roman" w:cs="Times New Roman"/>
    </w:rPr>
  </w:style>
  <w:style w:type="paragraph" w:styleId="4">
    <w:name w:val="Body Text"/>
    <w:basedOn w:val="1"/>
    <w:next w:val="1"/>
    <w:qFormat/>
    <w:uiPriority w:val="1"/>
    <w:pPr>
      <w:spacing w:before="161"/>
      <w:ind w:left="120"/>
    </w:pPr>
    <w:rPr>
      <w:rFonts w:ascii="宋体" w:hAnsi="宋体" w:eastAsia="宋体" w:cs="宋体"/>
      <w:sz w:val="24"/>
      <w:lang w:val="zh-CN" w:bidi="zh-CN"/>
    </w:rPr>
  </w:style>
  <w:style w:type="paragraph" w:styleId="8">
    <w:name w:val="Normal Indent"/>
    <w:basedOn w:val="1"/>
    <w:qFormat/>
    <w:uiPriority w:val="99"/>
    <w:pPr>
      <w:widowControl w:val="0"/>
      <w:spacing w:line="360" w:lineRule="atLeast"/>
      <w:ind w:firstLine="482"/>
    </w:pPr>
    <w:rPr>
      <w:sz w:val="24"/>
    </w:rPr>
  </w:style>
  <w:style w:type="paragraph" w:styleId="9">
    <w:name w:val="annotation text"/>
    <w:basedOn w:val="1"/>
    <w:semiHidden/>
    <w:unhideWhenUsed/>
    <w:qFormat/>
    <w:uiPriority w:val="99"/>
  </w:style>
  <w:style w:type="paragraph" w:styleId="10">
    <w:name w:val="Body Text Indent"/>
    <w:basedOn w:val="1"/>
    <w:next w:val="11"/>
    <w:qFormat/>
    <w:uiPriority w:val="0"/>
    <w:pPr>
      <w:spacing w:after="120"/>
      <w:ind w:left="420" w:leftChars="200"/>
    </w:p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tabs>
        <w:tab w:val="right" w:leader="dot" w:pos="8296"/>
      </w:tabs>
      <w:ind w:left="838" w:leftChars="381"/>
    </w:pPr>
    <w:rPr>
      <w:sz w:val="21"/>
      <w:szCs w:val="21"/>
    </w:rPr>
  </w:style>
  <w:style w:type="paragraph" w:styleId="13">
    <w:name w:val="Plain Text"/>
    <w:basedOn w:val="1"/>
    <w:link w:val="48"/>
    <w:qFormat/>
    <w:uiPriority w:val="0"/>
    <w:pPr>
      <w:widowControl w:val="0"/>
      <w:adjustRightInd/>
      <w:snapToGrid/>
      <w:spacing w:after="0"/>
      <w:jc w:val="both"/>
    </w:pPr>
    <w:rPr>
      <w:rFonts w:ascii="宋体" w:hAnsi="Courier New" w:eastAsia="宋体" w:cs="Times New Roman"/>
      <w:b/>
      <w:kern w:val="2"/>
      <w:sz w:val="21"/>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1"/>
    <w:semiHidden/>
    <w:unhideWhenUsed/>
    <w:qFormat/>
    <w:uiPriority w:val="99"/>
    <w:pPr>
      <w:spacing w:after="0"/>
    </w:pPr>
    <w:rPr>
      <w:sz w:val="18"/>
      <w:szCs w:val="18"/>
    </w:rPr>
  </w:style>
  <w:style w:type="paragraph" w:styleId="16">
    <w:name w:val="footer"/>
    <w:basedOn w:val="1"/>
    <w:link w:val="50"/>
    <w:unhideWhenUsed/>
    <w:qFormat/>
    <w:uiPriority w:val="99"/>
    <w:pPr>
      <w:tabs>
        <w:tab w:val="center" w:pos="4153"/>
        <w:tab w:val="right" w:pos="8306"/>
      </w:tabs>
    </w:pPr>
    <w:rPr>
      <w:sz w:val="18"/>
      <w:szCs w:val="18"/>
    </w:rPr>
  </w:style>
  <w:style w:type="paragraph" w:styleId="17">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footnote text"/>
    <w:basedOn w:val="1"/>
    <w:semiHidden/>
    <w:unhideWhenUsed/>
    <w:qFormat/>
    <w:uiPriority w:val="99"/>
    <w:pPr>
      <w:snapToGrid w:val="0"/>
      <w:jc w:val="left"/>
    </w:pPr>
    <w:rPr>
      <w:sz w:val="18"/>
    </w:rPr>
  </w:style>
  <w:style w:type="paragraph" w:styleId="23">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4">
    <w:name w:val="Normal (Web)"/>
    <w:basedOn w:val="1"/>
    <w:link w:val="53"/>
    <w:qFormat/>
    <w:uiPriority w:val="0"/>
    <w:pPr>
      <w:widowControl w:val="0"/>
      <w:adjustRightInd/>
      <w:snapToGrid/>
      <w:spacing w:after="0"/>
      <w:jc w:val="both"/>
    </w:pPr>
    <w:rPr>
      <w:rFonts w:eastAsia="宋体" w:asciiTheme="minorHAnsi" w:hAnsiTheme="minorHAnsi"/>
      <w:kern w:val="2"/>
      <w:sz w:val="24"/>
      <w:szCs w:val="24"/>
    </w:rPr>
  </w:style>
  <w:style w:type="paragraph" w:styleId="25">
    <w:name w:val="Body Text First Indent 2"/>
    <w:basedOn w:val="10"/>
    <w:qFormat/>
    <w:uiPriority w:val="0"/>
    <w:pPr>
      <w:ind w:firstLine="420"/>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表格文字"/>
    <w:basedOn w:val="1"/>
    <w:qFormat/>
    <w:uiPriority w:val="0"/>
    <w:pPr>
      <w:autoSpaceDE/>
      <w:autoSpaceDN/>
      <w:adjustRightInd/>
      <w:spacing w:before="25" w:after="25"/>
    </w:pPr>
    <w:rPr>
      <w:rFonts w:ascii="Times New Roman"/>
      <w:bCs/>
      <w:spacing w:val="10"/>
      <w:szCs w:val="20"/>
    </w:rPr>
  </w:style>
  <w:style w:type="character" w:customStyle="1" w:styleId="34">
    <w:name w:val="标题 2 Char"/>
    <w:basedOn w:val="28"/>
    <w:link w:val="2"/>
    <w:qFormat/>
    <w:uiPriority w:val="9"/>
    <w:rPr>
      <w:rFonts w:asciiTheme="majorHAnsi" w:hAnsiTheme="majorHAnsi" w:eastAsiaTheme="majorEastAsia" w:cstheme="majorBidi"/>
      <w:b/>
      <w:bCs/>
      <w:sz w:val="32"/>
      <w:szCs w:val="32"/>
    </w:rPr>
  </w:style>
  <w:style w:type="character" w:customStyle="1" w:styleId="35">
    <w:name w:val="标题 3 Char"/>
    <w:basedOn w:val="28"/>
    <w:link w:val="6"/>
    <w:qFormat/>
    <w:uiPriority w:val="9"/>
    <w:rPr>
      <w:rFonts w:ascii="Tahoma" w:hAnsi="Tahoma" w:eastAsia="宋体"/>
      <w:b/>
      <w:bCs/>
      <w:sz w:val="28"/>
      <w:szCs w:val="32"/>
    </w:rPr>
  </w:style>
  <w:style w:type="paragraph" w:styleId="36">
    <w:name w:val="List Paragraph"/>
    <w:basedOn w:val="1"/>
    <w:qFormat/>
    <w:uiPriority w:val="34"/>
    <w:pPr>
      <w:ind w:firstLine="420" w:firstLineChars="200"/>
    </w:pPr>
  </w:style>
  <w:style w:type="character" w:customStyle="1" w:styleId="37">
    <w:name w:val="标题 4 Char"/>
    <w:basedOn w:val="28"/>
    <w:link w:val="7"/>
    <w:qFormat/>
    <w:uiPriority w:val="9"/>
    <w:rPr>
      <w:rFonts w:asciiTheme="majorHAnsi" w:hAnsiTheme="majorHAnsi" w:eastAsiaTheme="majorEastAsia" w:cstheme="majorBidi"/>
      <w:b/>
      <w:bCs/>
      <w:sz w:val="28"/>
      <w:szCs w:val="28"/>
    </w:rPr>
  </w:style>
  <w:style w:type="character" w:customStyle="1" w:styleId="38">
    <w:name w:val="正文缩进2格 Char"/>
    <w:link w:val="39"/>
    <w:qFormat/>
    <w:uiPriority w:val="0"/>
    <w:rPr>
      <w:rFonts w:ascii="仿宋_GB2312" w:hAnsi="宋体" w:eastAsia="仿宋_GB2312"/>
      <w:kern w:val="2"/>
      <w:sz w:val="31"/>
    </w:rPr>
  </w:style>
  <w:style w:type="paragraph" w:customStyle="1" w:styleId="39">
    <w:name w:val="正文缩进2格"/>
    <w:basedOn w:val="1"/>
    <w:link w:val="38"/>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40">
    <w:name w:val="正文缩进4格"/>
    <w:basedOn w:val="39"/>
    <w:qFormat/>
    <w:uiPriority w:val="0"/>
    <w:pPr>
      <w:ind w:left="2" w:firstLine="538" w:firstLineChars="192"/>
    </w:pPr>
    <w:rPr>
      <w:color w:val="0000FF"/>
      <w:sz w:val="28"/>
    </w:rPr>
  </w:style>
  <w:style w:type="character" w:customStyle="1" w:styleId="41">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2">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6"/>
    <w:link w:val="44"/>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3"/>
    <w:semiHidden/>
    <w:qFormat/>
    <w:uiPriority w:val="99"/>
    <w:rPr>
      <w:rFonts w:ascii="宋体" w:hAnsi="Courier New" w:eastAsia="宋体" w:cs="Courier New"/>
      <w:sz w:val="21"/>
      <w:szCs w:val="21"/>
    </w:rPr>
  </w:style>
  <w:style w:type="character" w:customStyle="1" w:styleId="49">
    <w:name w:val="页眉 Char"/>
    <w:basedOn w:val="28"/>
    <w:link w:val="17"/>
    <w:qFormat/>
    <w:uiPriority w:val="99"/>
    <w:rPr>
      <w:rFonts w:ascii="Tahoma" w:hAnsi="Tahoma"/>
      <w:sz w:val="18"/>
      <w:szCs w:val="18"/>
    </w:rPr>
  </w:style>
  <w:style w:type="character" w:customStyle="1" w:styleId="50">
    <w:name w:val="页脚 Char"/>
    <w:basedOn w:val="28"/>
    <w:link w:val="16"/>
    <w:qFormat/>
    <w:uiPriority w:val="99"/>
    <w:rPr>
      <w:rFonts w:ascii="Tahoma" w:hAnsi="Tahoma"/>
      <w:sz w:val="18"/>
      <w:szCs w:val="18"/>
    </w:rPr>
  </w:style>
  <w:style w:type="character" w:customStyle="1" w:styleId="51">
    <w:name w:val="批注框文本 Char"/>
    <w:basedOn w:val="28"/>
    <w:link w:val="15"/>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3">
    <w:name w:val="普通(网站) Char"/>
    <w:link w:val="24"/>
    <w:qFormat/>
    <w:uiPriority w:val="0"/>
    <w:rPr>
      <w:rFonts w:eastAsia="宋体"/>
      <w:kern w:val="2"/>
      <w:sz w:val="24"/>
      <w:szCs w:val="24"/>
    </w:rPr>
  </w:style>
  <w:style w:type="paragraph" w:customStyle="1" w:styleId="54">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7">
    <w:name w:val="正文无缩进"/>
    <w:basedOn w:val="39"/>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11"/>
    <w:basedOn w:val="28"/>
    <w:qFormat/>
    <w:uiPriority w:val="0"/>
    <w:rPr>
      <w:rFonts w:hint="eastAsia" w:ascii="宋体" w:hAnsi="宋体" w:eastAsia="宋体" w:cs="宋体"/>
      <w:color w:val="000000"/>
      <w:sz w:val="24"/>
      <w:szCs w:val="24"/>
      <w:u w:val="none"/>
    </w:rPr>
  </w:style>
  <w:style w:type="character" w:customStyle="1" w:styleId="62">
    <w:name w:val="NormalCharacter"/>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141</Pages>
  <Words>51900</Words>
  <Characters>62564</Characters>
  <Lines>264</Lines>
  <Paragraphs>74</Paragraphs>
  <TotalTime>1</TotalTime>
  <ScaleCrop>false</ScaleCrop>
  <LinksUpToDate>false</LinksUpToDate>
  <CharactersWithSpaces>64876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2022-05-16T06:12:00Z</cp:lastPrinted>
  <dcterms:modified xsi:type="dcterms:W3CDTF">2022-05-16T06:25:26Z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C2498242E79C41AFA01F947424CB0653</vt:lpwstr>
  </property>
</Properties>
</file>