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GDZT2022111C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东莞市横沥市政工程建设有限公司一般常用建筑材料（砂、石、石粉、墙体材料、水泥、瓷砖）协议供应商供货资格采购项目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东莞市横沥市政工程建设有限公司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投标保证金必须于投标文件递交截止时间前到达</w:t>
      </w:r>
      <w:r>
        <w:rPr>
          <w:rFonts w:hint="eastAsia" w:ascii="宋体" w:hAnsi="宋体" w:eastAsia="宋体" w:cs="宋体"/>
          <w:b/>
          <w:bCs w:val="0"/>
          <w:color w:val="auto"/>
          <w:sz w:val="21"/>
          <w:szCs w:val="21"/>
          <w:u w:val="none"/>
          <w:lang w:val="zh-CN"/>
        </w:rPr>
        <w:t>广东政通招标有限公司</w:t>
      </w:r>
      <w:r>
        <w:rPr>
          <w:rFonts w:hint="eastAsia" w:ascii="宋体" w:hAnsi="宋体" w:eastAsia="宋体" w:cs="宋体"/>
          <w:b/>
          <w:bCs w:val="0"/>
          <w:color w:val="auto"/>
          <w:sz w:val="21"/>
          <w:szCs w:val="21"/>
          <w:u w:val="none"/>
        </w:rPr>
        <w:t>账户</w:t>
      </w:r>
      <w:r>
        <w:rPr>
          <w:rFonts w:hint="eastAsia" w:ascii="宋体" w:hAnsi="宋体" w:eastAsia="宋体" w:cs="宋体"/>
          <w:b/>
          <w:bCs w:val="0"/>
          <w:color w:val="auto"/>
          <w:sz w:val="21"/>
          <w:szCs w:val="21"/>
          <w:u w:val="none"/>
          <w:lang w:eastAsia="zh-CN"/>
        </w:rPr>
        <w:t>，</w:t>
      </w:r>
      <w:r>
        <w:rPr>
          <w:rFonts w:hint="eastAsia" w:ascii="宋体" w:hAnsi="宋体" w:eastAsia="宋体" w:cs="宋体"/>
          <w:b/>
          <w:bCs w:val="0"/>
          <w:color w:val="auto"/>
          <w:sz w:val="21"/>
          <w:szCs w:val="21"/>
          <w:u w:val="none"/>
          <w:lang w:val="en-US" w:eastAsia="zh-CN"/>
        </w:rPr>
        <w:t>账户详见招标文件</w:t>
      </w:r>
      <w:r>
        <w:rPr>
          <w:rFonts w:hint="eastAsia" w:ascii="宋体" w:hAnsi="宋体" w:eastAsia="宋体" w:cs="宋体"/>
          <w:b/>
          <w:bCs w:val="0"/>
          <w:color w:val="auto"/>
          <w:sz w:val="21"/>
          <w:szCs w:val="21"/>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10</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29</w:t>
      </w:r>
      <w:r>
        <w:rPr>
          <w:rFonts w:hint="eastAsia" w:ascii="宋体" w:hAnsi="宋体" w:eastAsia="宋体" w:cs="宋体"/>
          <w:color w:val="auto"/>
          <w:sz w:val="21"/>
          <w:szCs w:val="21"/>
        </w:rPr>
        <w:t>.发布采购结果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七、投标保证金汇入情况说明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2"/>
        <w:spacing w:before="0" w:after="0" w:line="240" w:lineRule="auto"/>
        <w:rPr>
          <w:color w:val="auto"/>
          <w:sz w:val="28"/>
          <w:szCs w:val="28"/>
        </w:rPr>
      </w:pPr>
      <w:bookmarkStart w:id="0" w:name="_Toc17306"/>
      <w:bookmarkStart w:id="1" w:name="_Toc245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8850"/>
      <w:bookmarkStart w:id="3" w:name="_Toc142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cs="宋体"/>
          <w:b/>
          <w:bCs/>
          <w:color w:val="auto"/>
          <w:sz w:val="21"/>
          <w:szCs w:val="21"/>
          <w:highlight w:val="none"/>
          <w:u w:val="single"/>
          <w:lang w:val="en-US" w:eastAsia="zh-CN"/>
        </w:rPr>
        <w:t>东莞市横沥市政工程建设有限公司</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cs="宋体"/>
          <w:b/>
          <w:bCs/>
          <w:color w:val="auto"/>
          <w:sz w:val="21"/>
          <w:szCs w:val="21"/>
          <w:highlight w:val="none"/>
          <w:u w:val="single"/>
          <w:lang w:val="en-US" w:eastAsia="zh-CN"/>
        </w:rPr>
        <w:t>东莞市横沥市政工程建设有限公司一般常用建筑材料（砂、石、石粉、墙体材料、水泥、瓷砖）协议供应商供货资格采购项目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GDZT2022111C</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东莞市横沥市政工程建设有限公司一般常用建筑材料（砂、石、石粉、墙体材料、水泥、瓷砖）协议供应商供货资格采购项目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3"/>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4546"/>
        <w:gridCol w:w="119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内容</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数量</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东莞市横沥市政工程建设有限公司一般常用建筑材料（砂、石、石粉、墙体材料、水泥、瓷砖）协议供应商供货资格采购项目</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u w:val="none"/>
                <w:lang w:val="en-US" w:eastAsia="zh-CN"/>
              </w:rPr>
              <w:t>三家</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u w:val="none"/>
                <w:lang w:val="en-US" w:eastAsia="zh-CN"/>
              </w:rPr>
            </w:pPr>
            <w:r>
              <w:rPr>
                <w:rFonts w:hint="eastAsia" w:ascii="宋体" w:hAnsi="宋体"/>
                <w:b/>
                <w:color w:val="auto"/>
                <w:sz w:val="21"/>
                <w:szCs w:val="21"/>
                <w:u w:val="none"/>
                <w:lang w:val="en-US" w:eastAsia="zh-CN"/>
              </w:rPr>
              <w:t>三年</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ind w:firstLine="420" w:firstLineChars="200"/>
        <w:rPr>
          <w:rFonts w:ascii="宋体" w:hAnsi="宋体"/>
          <w:color w:val="auto"/>
          <w:szCs w:val="21"/>
        </w:rPr>
      </w:pPr>
      <w:r>
        <w:rPr>
          <w:rFonts w:hint="eastAsia" w:ascii="宋体" w:hAnsi="宋体"/>
          <w:color w:val="auto"/>
          <w:szCs w:val="21"/>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15</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15</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w:t>
      </w:r>
      <w:r>
        <w:rPr>
          <w:rFonts w:hint="eastAsia" w:ascii="宋体" w:hAnsi="宋体"/>
          <w:color w:val="auto"/>
          <w:sz w:val="21"/>
          <w:szCs w:val="21"/>
          <w:lang w:val="en-US" w:eastAsia="zh-CN"/>
        </w:rPr>
        <w:t>建议</w:t>
      </w:r>
      <w:r>
        <w:rPr>
          <w:rFonts w:hint="eastAsia" w:ascii="宋体" w:hAnsi="宋体" w:eastAsia="宋体"/>
          <w:color w:val="auto"/>
          <w:sz w:val="21"/>
          <w:szCs w:val="21"/>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lang w:eastAsia="zh-CN"/>
        </w:rPr>
        <w:t>。</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b/>
          <w:color w:val="auto"/>
          <w:sz w:val="21"/>
          <w:szCs w:val="21"/>
          <w:lang w:val="en-US" w:eastAsia="zh-CN"/>
        </w:rPr>
        <w:t>四</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5</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5</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b/>
          <w:color w:val="auto"/>
          <w:sz w:val="21"/>
          <w:szCs w:val="21"/>
          <w:lang w:val="en-US" w:eastAsia="zh-CN"/>
        </w:rPr>
        <w:t>五</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eastAsia" w:ascii="宋体" w:hAnsi="宋体" w:eastAsia="宋体"/>
          <w:bCs/>
          <w:color w:val="auto"/>
          <w:sz w:val="21"/>
          <w:szCs w:val="21"/>
          <w:lang w:val="en-US" w:eastAsia="zh-CN"/>
        </w:rPr>
      </w:pPr>
      <w:r>
        <w:rPr>
          <w:rFonts w:hint="eastAsia" w:ascii="宋体" w:hAnsi="宋体" w:eastAsia="宋体"/>
          <w:bCs/>
          <w:color w:val="auto"/>
          <w:sz w:val="21"/>
          <w:szCs w:val="21"/>
        </w:rPr>
        <w:t>采购人联系人：李</w:t>
      </w:r>
      <w:r>
        <w:rPr>
          <w:rFonts w:hint="eastAsia" w:ascii="宋体" w:hAnsi="宋体"/>
          <w:bCs/>
          <w:color w:val="auto"/>
          <w:sz w:val="21"/>
          <w:szCs w:val="21"/>
          <w:lang w:val="en-US" w:eastAsia="zh-CN"/>
        </w:rPr>
        <w:t>工</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地址：东莞市横沥镇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联系电话：0769-83373808</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p>
    <w:p>
      <w:pPr>
        <w:pStyle w:val="2"/>
        <w:spacing w:before="0" w:after="0" w:line="240" w:lineRule="auto"/>
        <w:rPr>
          <w:rFonts w:hint="eastAsia"/>
          <w:color w:val="auto"/>
          <w:sz w:val="28"/>
          <w:szCs w:val="28"/>
          <w:lang w:val="en-US" w:eastAsia="zh-CN"/>
        </w:rPr>
      </w:pPr>
      <w:bookmarkStart w:id="5" w:name="_Toc28550"/>
      <w:bookmarkStart w:id="6" w:name="_Toc24505"/>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7532" w:type="dxa"/>
            <w:gridSpan w:val="4"/>
            <w:vAlign w:val="center"/>
          </w:tcPr>
          <w:p>
            <w:pPr>
              <w:spacing w:after="0" w:line="480" w:lineRule="auto"/>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3</w:t>
            </w: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4</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5</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政通招标网</w:t>
            </w:r>
          </w:p>
        </w:tc>
        <w:tc>
          <w:tcPr>
            <w:tcW w:w="3691"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line="480" w:lineRule="auto"/>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6</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7</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8</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9</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both"/>
              <w:rPr>
                <w:rFonts w:ascii="宋体" w:hAnsi="宋体" w:eastAsia="宋体"/>
                <w:color w:val="auto"/>
                <w:sz w:val="21"/>
                <w:szCs w:val="21"/>
              </w:rPr>
            </w:pPr>
          </w:p>
        </w:tc>
        <w:tc>
          <w:tcPr>
            <w:tcW w:w="7532" w:type="dxa"/>
            <w:gridSpan w:val="4"/>
            <w:vAlign w:val="center"/>
          </w:tcPr>
          <w:p>
            <w:pPr>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7532" w:type="dxa"/>
            <w:gridSpan w:val="4"/>
            <w:vAlign w:val="center"/>
          </w:tcPr>
          <w:p>
            <w:pPr>
              <w:spacing w:after="0" w:line="480" w:lineRule="auto"/>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11</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12</w:t>
            </w:r>
          </w:p>
        </w:tc>
        <w:tc>
          <w:tcPr>
            <w:tcW w:w="7532" w:type="dxa"/>
            <w:gridSpan w:val="4"/>
            <w:vAlign w:val="center"/>
          </w:tcPr>
          <w:p>
            <w:pPr>
              <w:spacing w:after="0" w:line="480" w:lineRule="auto"/>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line="480" w:lineRule="auto"/>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13</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15</w:t>
            </w: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16</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本项目向每家中标</w:t>
            </w:r>
            <w:r>
              <w:rPr>
                <w:rFonts w:hint="eastAsia" w:ascii="宋体" w:hAnsi="宋体"/>
                <w:color w:val="auto"/>
                <w:sz w:val="21"/>
                <w:szCs w:val="21"/>
                <w:lang w:val="en-US" w:eastAsia="zh-CN"/>
              </w:rPr>
              <w:t>单位</w:t>
            </w:r>
            <w:r>
              <w:rPr>
                <w:rFonts w:hint="eastAsia" w:ascii="宋体" w:hAnsi="宋体" w:eastAsia="宋体"/>
                <w:color w:val="auto"/>
                <w:sz w:val="21"/>
                <w:szCs w:val="21"/>
                <w:lang w:val="en-US" w:eastAsia="zh-CN"/>
              </w:rPr>
              <w:t>定额收取中标服务费人民币</w:t>
            </w:r>
            <w:r>
              <w:rPr>
                <w:rFonts w:hint="eastAsia" w:ascii="宋体" w:hAnsi="宋体"/>
                <w:color w:val="auto"/>
                <w:sz w:val="21"/>
                <w:szCs w:val="21"/>
                <w:lang w:val="en-US" w:eastAsia="zh-CN"/>
              </w:rPr>
              <w:t>叁仟</w:t>
            </w:r>
            <w:r>
              <w:rPr>
                <w:rFonts w:hint="eastAsia" w:ascii="宋体" w:hAnsi="宋体" w:eastAsia="宋体"/>
                <w:color w:val="auto"/>
                <w:sz w:val="21"/>
                <w:szCs w:val="21"/>
                <w:lang w:val="en-US" w:eastAsia="zh-CN"/>
              </w:rPr>
              <w:t>元整（¥</w:t>
            </w:r>
            <w:r>
              <w:rPr>
                <w:rFonts w:hint="eastAsia" w:ascii="宋体" w:hAnsi="宋体"/>
                <w:color w:val="auto"/>
                <w:sz w:val="21"/>
                <w:szCs w:val="21"/>
                <w:lang w:val="en-US" w:eastAsia="zh-CN"/>
              </w:rPr>
              <w:t>3</w:t>
            </w:r>
            <w:r>
              <w:rPr>
                <w:rFonts w:hint="eastAsia" w:ascii="宋体" w:hAnsi="宋体" w:eastAsia="宋体"/>
                <w:color w:val="auto"/>
                <w:sz w:val="21"/>
                <w:szCs w:val="21"/>
                <w:lang w:val="en-US" w:eastAsia="zh-CN"/>
              </w:rPr>
              <w:t>,000.00）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line="48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8"/>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rPr>
          <w:rFonts w:hint="eastAsia"/>
          <w:color w:val="auto"/>
          <w:sz w:val="28"/>
          <w:szCs w:val="28"/>
          <w:lang w:val="en-US" w:eastAsia="zh-CN"/>
        </w:rPr>
      </w:pPr>
      <w:bookmarkStart w:id="8" w:name="_Toc13473"/>
      <w:bookmarkStart w:id="9" w:name="_Toc5749"/>
      <w:bookmarkStart w:id="10" w:name="_Hlk55300595"/>
      <w:bookmarkStart w:id="11" w:name="_Toc9572"/>
      <w:r>
        <w:rPr>
          <w:rFonts w:hint="eastAsia"/>
          <w:color w:val="auto"/>
          <w:sz w:val="28"/>
          <w:szCs w:val="28"/>
          <w:lang w:val="en-US" w:eastAsia="zh-CN"/>
        </w:rPr>
        <w:br w:type="page"/>
      </w: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Toc71133523"/>
      <w:bookmarkStart w:id="13" w:name="_Hlk5530064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商务技术评分（90分）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w:t>
            </w:r>
          </w:p>
        </w:tc>
        <w:tc>
          <w:tcPr>
            <w:tcW w:w="1607"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根据投标人提供的供货方案的完整性、合理性、可行性等情况进行综合评审：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供货方案科学完整、合理、可行，得15分。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供货方案较完整、较合理、较可行，得10分。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供货方案基本完整、基本合理、基本可行，得5分。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供货方案简单，可行性差，得1分。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根据投标人所提供产品的资料对产品的质量、先进性、适用性、耐用程度等进行综合评审：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产品质量满足文件要求，环保、耐用程度优秀，得15分。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产品质量基本满足文件要求，环保、耐用程度良好，得10分。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产品质量一般，环保、耐用程度一般，得5分。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产品质量较差，环保、耐用程度较差，耐用程度较差，得1分。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无提供产品质量说明，得0分。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90"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607"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质量保证承诺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根据投标人的质量保证承诺及质保期内的服务方案详细完善程度进行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hint="eastAsia" w:ascii="宋体" w:eastAsia="宋体"/>
                <w:color w:val="auto"/>
                <w:sz w:val="21"/>
                <w:szCs w:val="21"/>
                <w:lang w:val="en-US" w:eastAsia="zh-CN"/>
              </w:rPr>
            </w:pPr>
            <w:r>
              <w:rPr>
                <w:rFonts w:hint="eastAsia" w:ascii="宋体" w:eastAsia="宋体"/>
                <w:color w:val="auto"/>
                <w:sz w:val="21"/>
                <w:szCs w:val="21"/>
                <w:lang w:val="en-US" w:eastAsia="zh-CN"/>
              </w:rPr>
              <w:t>质量保证承诺优于文件要求，服务方案详细完整，可行性强，得15分。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质量保证承诺满足文件要求，服务方案较完整，可行性较强，得10分。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质量保证承诺满足文件要求，服务方案基本完整，可行性一般，得5分。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质量保证承诺不能满足文件要求，服务方案不完整，可行性差，得1分。</w:t>
            </w:r>
          </w:p>
          <w:p>
            <w:pPr>
              <w:pStyle w:val="36"/>
              <w:spacing w:line="240" w:lineRule="auto"/>
              <w:ind w:firstLine="420" w:firstLineChars="200"/>
              <w:rPr>
                <w:rFonts w:ascii="宋体" w:eastAsia="宋体" w:cs="宋体"/>
                <w:bCs/>
                <w:color w:val="auto"/>
                <w:sz w:val="21"/>
                <w:szCs w:val="21"/>
                <w:lang w:val="pt-BR" w:eastAsia="zh-CN"/>
              </w:rPr>
            </w:pPr>
            <w:r>
              <w:rPr>
                <w:rFonts w:hint="eastAsia" w:ascii="宋体" w:eastAsia="宋体"/>
                <w:color w:val="auto"/>
                <w:sz w:val="21"/>
                <w:szCs w:val="21"/>
                <w:lang w:val="en-US" w:eastAsia="zh-CN"/>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供货进度方案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根据投标人的生产、运输、储存、供货进度方案进行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hint="eastAsia" w:ascii="宋体" w:eastAsia="宋体"/>
                <w:color w:val="auto"/>
                <w:sz w:val="21"/>
                <w:szCs w:val="21"/>
                <w:lang w:val="en-US" w:eastAsia="zh-CN"/>
              </w:rPr>
            </w:pPr>
            <w:r>
              <w:rPr>
                <w:rFonts w:hint="eastAsia" w:ascii="宋体" w:eastAsia="宋体"/>
                <w:color w:val="auto"/>
                <w:sz w:val="21"/>
                <w:szCs w:val="21"/>
                <w:lang w:val="en-US" w:eastAsia="zh-CN"/>
              </w:rPr>
              <w:t>方案科学合理，可操作性强，得15分。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方案较合理，可操作性较强，得10分。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方案基本合理，可操作性一般，得5分。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方案不合理，可操作性差，得1分。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olor w:val="auto"/>
                <w:sz w:val="21"/>
                <w:szCs w:val="21"/>
                <w:lang w:val="en-US" w:eastAsia="zh-CN"/>
              </w:rPr>
              <w:t>无提供供货进度方案，得0分。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规章管理制度</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根据投标人的规章管理制度进行综合评审：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制度详细完整，可行性强，得10分。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制度较完整，可行性较强，得6分。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制度基本完整，可行性一般，得3分。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制度不完整，可行性较差，得1分。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hint="eastAsia" w:ascii="宋体" w:eastAsia="宋体" w:cs="宋体"/>
                <w:bCs/>
                <w:color w:val="auto"/>
                <w:sz w:val="21"/>
                <w:szCs w:val="21"/>
                <w:lang w:val="en-US" w:eastAsia="zh-CN"/>
              </w:rPr>
            </w:pPr>
            <w:r>
              <w:rPr>
                <w:rFonts w:hint="eastAsia" w:ascii="宋体" w:eastAsia="宋体" w:cs="宋体"/>
                <w:bCs/>
                <w:color w:val="auto"/>
                <w:sz w:val="21"/>
                <w:szCs w:val="21"/>
                <w:lang w:val="en-US" w:eastAsia="zh-CN"/>
              </w:rPr>
              <w:t>投标人具有一般常用建筑材料（包括：砂或碎石或石粉或墙体材料或水泥或瓷砖）供货</w:t>
            </w:r>
            <w:r>
              <w:rPr>
                <w:rFonts w:hint="eastAsia" w:ascii="宋体" w:eastAsia="宋体" w:cs="宋体"/>
                <w:bCs/>
                <w:color w:val="auto"/>
                <w:sz w:val="21"/>
                <w:szCs w:val="21"/>
                <w:lang w:val="zh-CN" w:eastAsia="zh-CN"/>
              </w:rPr>
              <w:t>类业绩</w:t>
            </w:r>
            <w:r>
              <w:rPr>
                <w:rFonts w:hint="eastAsia" w:ascii="宋体" w:eastAsia="宋体" w:cs="宋体"/>
                <w:bCs/>
                <w:color w:val="auto"/>
                <w:sz w:val="21"/>
                <w:szCs w:val="21"/>
                <w:lang w:val="en-US" w:eastAsia="zh-CN"/>
              </w:rPr>
              <w:t>的，每提供一个合同业绩得2分，本项最高得8分。</w:t>
            </w:r>
          </w:p>
          <w:p>
            <w:pPr>
              <w:pStyle w:val="36"/>
              <w:spacing w:line="240" w:lineRule="auto"/>
              <w:ind w:firstLine="420" w:firstLineChars="200"/>
              <w:rPr>
                <w:rFonts w:hint="default" w:ascii="宋体" w:eastAsia="宋体" w:cs="宋体"/>
                <w:color w:val="auto"/>
                <w:sz w:val="21"/>
                <w:szCs w:val="21"/>
                <w:lang w:val="en-US" w:eastAsia="zh-CN"/>
              </w:rPr>
            </w:pPr>
            <w:r>
              <w:rPr>
                <w:rFonts w:hint="eastAsia" w:ascii="宋体" w:eastAsia="宋体" w:cs="宋体"/>
                <w:bCs/>
                <w:color w:val="auto"/>
                <w:sz w:val="21"/>
                <w:szCs w:val="21"/>
                <w:lang w:val="en-US" w:eastAsia="zh-CN"/>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7</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服务便利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根据投标人提供的服务响应时间承诺进行评分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投标人承诺在接到采购人通知后1小时内到现场，得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投标人承诺在接到采购人通知后2小时内到现场，得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投标人未承诺或承诺在接到采购人通知后超过3小时到现场，不得分。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hAnsi="宋体" w:eastAsia="宋体" w:cs="宋体"/>
                <w:bCs/>
                <w:color w:val="auto"/>
                <w:sz w:val="21"/>
                <w:szCs w:val="21"/>
                <w:highlight w:val="none"/>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售后服务方案科学完整，售后服务承诺优于文件要求，可操作性强，得6分。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售后服务方案基本完整，售后服务承诺满足文件要求，可操作性一般，得3分。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售后服务方案不完整，售后服务承诺不满足文件要求，可操作性差，得1分。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olor w:val="auto"/>
                <w:sz w:val="21"/>
                <w:szCs w:val="21"/>
                <w:lang w:val="en-US" w:eastAsia="zh-CN"/>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exact"/>
              <w:ind w:firstLine="422" w:firstLineChars="200"/>
              <w:jc w:val="both"/>
              <w:rPr>
                <w:rFonts w:ascii="宋体" w:hAnsi="宋体" w:eastAsia="宋体"/>
                <w:b/>
                <w:color w:val="auto"/>
                <w:sz w:val="21"/>
                <w:szCs w:val="21"/>
              </w:rPr>
            </w:pPr>
            <w:r>
              <w:rPr>
                <w:rFonts w:hint="eastAsia" w:ascii="宋体" w:hAnsi="宋体" w:eastAsia="宋体"/>
                <w:b/>
                <w:color w:val="auto"/>
                <w:sz w:val="21"/>
                <w:szCs w:val="21"/>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rPr>
            </w:pPr>
            <w:r>
              <w:rPr>
                <w:rFonts w:hint="eastAsia" w:ascii="宋体" w:hAnsi="宋体" w:eastAsia="宋体"/>
                <w:b/>
                <w:color w:val="auto"/>
                <w:sz w:val="21"/>
                <w:szCs w:val="21"/>
              </w:rPr>
              <w:t>（1）</w:t>
            </w:r>
            <w:r>
              <w:rPr>
                <w:rFonts w:hint="eastAsia" w:ascii="宋体" w:hAnsi="宋体" w:eastAsia="宋体"/>
                <w:b/>
                <w:color w:val="auto"/>
                <w:sz w:val="21"/>
                <w:szCs w:val="21"/>
                <w:lang w:val="en-US" w:eastAsia="zh-CN"/>
              </w:rPr>
              <w:t>除</w:t>
            </w:r>
            <w:r>
              <w:rPr>
                <w:rFonts w:hint="eastAsia" w:ascii="宋体" w:hAnsi="宋体" w:eastAsia="宋体"/>
                <w:b/>
                <w:color w:val="auto"/>
                <w:sz w:val="21"/>
                <w:szCs w:val="21"/>
              </w:rPr>
              <w:t>特殊说明外，以上评审项，同一证明文件不重复计分。</w:t>
            </w:r>
          </w:p>
          <w:p>
            <w:pPr>
              <w:pStyle w:val="33"/>
              <w:widowControl w:val="0"/>
              <w:tabs>
                <w:tab w:val="left" w:pos="907"/>
              </w:tabs>
              <w:adjustRightInd/>
              <w:snapToGrid/>
              <w:spacing w:after="0" w:line="360" w:lineRule="exact"/>
              <w:ind w:firstLine="422"/>
              <w:jc w:val="both"/>
              <w:rPr>
                <w:rFonts w:ascii="宋体" w:hAnsi="宋体" w:eastAsia="宋体"/>
                <w:b/>
                <w:color w:val="auto"/>
                <w:sz w:val="21"/>
                <w:szCs w:val="21"/>
              </w:rPr>
            </w:pPr>
            <w:r>
              <w:rPr>
                <w:rFonts w:hint="eastAsia" w:ascii="宋体" w:hAnsi="宋体" w:eastAsia="宋体"/>
                <w:b/>
                <w:color w:val="auto"/>
                <w:sz w:val="21"/>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zh-CN" w:eastAsia="zh-CN"/>
              </w:rPr>
            </w:pPr>
            <w:r>
              <w:rPr>
                <w:rFonts w:hint="eastAsia" w:ascii="宋体" w:eastAsia="宋体" w:cs="宋体"/>
                <w:color w:val="auto"/>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价格分计算方法：满足招标文件要求且投标价格最低（即最大下浮率）的投标报价为评标基准价，其价格分为满分。其他投标人的价格分统一按照下列公式计算：</w:t>
            </w:r>
            <w:bookmarkStart w:id="321" w:name="_GoBack"/>
            <w:bookmarkEnd w:id="321"/>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投标报价得分</w:t>
            </w:r>
            <w:r>
              <w:rPr>
                <w:rFonts w:ascii="宋体" w:hAnsi="宋体" w:eastAsia="宋体"/>
                <w:color w:val="auto"/>
                <w:sz w:val="21"/>
                <w:szCs w:val="21"/>
              </w:rPr>
              <w:t>=(</w:t>
            </w:r>
            <w:r>
              <w:rPr>
                <w:rFonts w:hint="eastAsia" w:ascii="宋体" w:hAnsi="宋体" w:eastAsia="宋体"/>
                <w:color w:val="auto"/>
                <w:sz w:val="21"/>
                <w:szCs w:val="21"/>
              </w:rPr>
              <w:t>（</w:t>
            </w:r>
            <w:r>
              <w:rPr>
                <w:rFonts w:ascii="宋体" w:hAnsi="宋体" w:eastAsia="宋体"/>
                <w:color w:val="auto"/>
                <w:sz w:val="21"/>
                <w:szCs w:val="21"/>
              </w:rPr>
              <w:t>1-</w:t>
            </w:r>
            <w:r>
              <w:rPr>
                <w:rFonts w:hint="eastAsia" w:ascii="宋体" w:hAnsi="宋体" w:eastAsia="宋体"/>
                <w:color w:val="auto"/>
                <w:sz w:val="21"/>
                <w:szCs w:val="21"/>
              </w:rPr>
              <w:t>评标基准价）／（</w:t>
            </w:r>
            <w:r>
              <w:rPr>
                <w:rFonts w:ascii="宋体" w:hAnsi="宋体" w:eastAsia="宋体"/>
                <w:color w:val="auto"/>
                <w:sz w:val="21"/>
                <w:szCs w:val="21"/>
              </w:rPr>
              <w:t>1-</w:t>
            </w:r>
            <w:r>
              <w:rPr>
                <w:rFonts w:hint="eastAsia" w:ascii="宋体" w:hAnsi="宋体" w:eastAsia="宋体"/>
                <w:color w:val="auto"/>
                <w:sz w:val="21"/>
                <w:szCs w:val="21"/>
              </w:rPr>
              <w:t>投标下浮率）</w:t>
            </w:r>
            <w:r>
              <w:rPr>
                <w:rFonts w:ascii="宋体" w:hAnsi="宋体" w:eastAsia="宋体"/>
                <w:color w:val="auto"/>
                <w:sz w:val="21"/>
                <w:szCs w:val="21"/>
              </w:rPr>
              <w:t>)</w:t>
            </w:r>
            <w:r>
              <w:rPr>
                <w:rFonts w:hint="eastAsia" w:ascii="宋体" w:hAnsi="宋体" w:eastAsia="宋体"/>
                <w:color w:val="auto"/>
                <w:sz w:val="21"/>
                <w:szCs w:val="21"/>
              </w:rPr>
              <w:t>×价格权重×</w:t>
            </w:r>
            <w:r>
              <w:rPr>
                <w:rFonts w:ascii="宋体" w:hAnsi="宋体" w:eastAsia="宋体"/>
                <w:color w:val="auto"/>
                <w:sz w:val="21"/>
                <w:szCs w:val="21"/>
              </w:rPr>
              <w:t>100</w:t>
            </w:r>
          </w:p>
        </w:tc>
      </w:tr>
    </w:tbl>
    <w:p>
      <w:pPr>
        <w:bidi w:val="0"/>
        <w:rPr>
          <w:rFonts w:hint="eastAsia"/>
          <w:color w:val="auto"/>
        </w:rPr>
      </w:pPr>
      <w:r>
        <w:rPr>
          <w:rFonts w:hint="eastAsia"/>
          <w:color w:val="auto"/>
        </w:rPr>
        <w:br w:type="page"/>
      </w:r>
    </w:p>
    <w:p>
      <w:pPr>
        <w:pStyle w:val="2"/>
        <w:spacing w:before="0" w:after="0" w:line="240" w:lineRule="auto"/>
        <w:rPr>
          <w:color w:val="auto"/>
          <w:sz w:val="24"/>
          <w:szCs w:val="24"/>
        </w:rPr>
      </w:pPr>
      <w:bookmarkStart w:id="17" w:name="_Toc29685"/>
      <w:bookmarkStart w:id="18" w:name="_Toc2479"/>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1105"/>
      <w:bookmarkStart w:id="22" w:name="_Toc19746"/>
      <w:bookmarkStart w:id="23" w:name="_Toc309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03"/>
      <w:bookmarkStart w:id="25" w:name="_Toc22847"/>
      <w:bookmarkStart w:id="26" w:name="_Toc18488"/>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21002"/>
      <w:bookmarkStart w:id="28" w:name="_Toc16848"/>
      <w:bookmarkStart w:id="29" w:name="_Toc13400"/>
      <w:r>
        <w:rPr>
          <w:rFonts w:hint="eastAsia" w:ascii="宋体" w:hAnsi="宋体" w:eastAsia="宋体"/>
          <w:color w:val="auto"/>
          <w:sz w:val="21"/>
          <w:szCs w:val="21"/>
        </w:rPr>
        <w:t>2.</w:t>
      </w:r>
      <w:bookmarkStart w:id="30" w:name="_Toc303084246"/>
      <w:bookmarkStart w:id="31" w:name="_Toc382049092"/>
      <w:bookmarkStart w:id="32" w:name="_Toc1530"/>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w:t>
      </w:r>
      <w:r>
        <w:rPr>
          <w:rFonts w:hint="eastAsia" w:ascii="宋体" w:hAnsi="宋体" w:eastAsia="宋体"/>
          <w:color w:val="auto"/>
          <w:sz w:val="21"/>
          <w:szCs w:val="21"/>
          <w:lang w:val="en-US" w:eastAsia="zh-CN"/>
        </w:rPr>
        <w:t>东莞市横沥市政工程建设有限公司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line="360" w:lineRule="exact"/>
        <w:jc w:val="both"/>
        <w:rPr>
          <w:rFonts w:ascii="宋体" w:hAnsi="宋体" w:eastAsia="宋体"/>
          <w:color w:val="auto"/>
          <w:sz w:val="21"/>
          <w:szCs w:val="21"/>
        </w:rPr>
      </w:pPr>
      <w:r>
        <w:rPr>
          <w:rFonts w:hint="eastAsia" w:ascii="宋体" w:hAnsi="宋体" w:eastAsia="宋体"/>
          <w:color w:val="auto"/>
          <w:sz w:val="21"/>
          <w:szCs w:val="21"/>
        </w:rPr>
        <w:t>评标委员会：</w:t>
      </w:r>
      <w:r>
        <w:rPr>
          <w:rFonts w:hint="eastAsia" w:ascii="宋体" w:hAnsi="宋体"/>
          <w:color w:val="auto"/>
          <w:szCs w:val="21"/>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2996"/>
      <w:bookmarkStart w:id="35" w:name="_Toc3780"/>
      <w:bookmarkStart w:id="36" w:name="_Toc9710"/>
      <w:r>
        <w:rPr>
          <w:rFonts w:hint="eastAsia" w:ascii="宋体" w:hAnsi="宋体" w:eastAsia="宋体"/>
          <w:color w:val="auto"/>
          <w:sz w:val="21"/>
          <w:szCs w:val="21"/>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3909"/>
      <w:bookmarkStart w:id="38" w:name="_Toc15945"/>
      <w:bookmarkStart w:id="39" w:name="_Toc12536"/>
      <w:r>
        <w:rPr>
          <w:rFonts w:hint="eastAsia" w:ascii="宋体" w:hAnsi="宋体" w:eastAsia="宋体"/>
          <w:color w:val="auto"/>
          <w:sz w:val="21"/>
          <w:szCs w:val="21"/>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25040"/>
      <w:bookmarkStart w:id="41" w:name="_Toc19094"/>
      <w:bookmarkStart w:id="42" w:name="_Toc19532"/>
      <w:r>
        <w:rPr>
          <w:rFonts w:hint="eastAsia" w:ascii="宋体" w:hAnsi="宋体" w:eastAsia="宋体"/>
          <w:color w:val="auto"/>
          <w:sz w:val="21"/>
          <w:szCs w:val="21"/>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21930"/>
      <w:bookmarkStart w:id="44" w:name="_Toc31885"/>
      <w:bookmarkStart w:id="45" w:name="_Toc8432"/>
      <w:r>
        <w:rPr>
          <w:rFonts w:hint="eastAsia" w:ascii="宋体" w:hAnsi="宋体" w:eastAsia="宋体"/>
          <w:color w:val="auto"/>
          <w:sz w:val="21"/>
          <w:szCs w:val="21"/>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w:t>
      </w:r>
      <w:r>
        <w:rPr>
          <w:rFonts w:hint="eastAsia" w:ascii="宋体" w:hAnsi="宋体"/>
          <w:color w:val="auto"/>
          <w:szCs w:val="21"/>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32331"/>
      <w:bookmarkStart w:id="47" w:name="_Toc1657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3494"/>
      <w:bookmarkStart w:id="54" w:name="_Toc1423"/>
      <w:bookmarkStart w:id="55" w:name="_Toc21771"/>
      <w:r>
        <w:rPr>
          <w:rFonts w:hint="eastAsia" w:ascii="宋体" w:hAnsi="宋体" w:eastAsia="宋体"/>
          <w:color w:val="auto"/>
          <w:sz w:val="21"/>
          <w:szCs w:val="21"/>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7274"/>
      <w:bookmarkStart w:id="57" w:name="_Toc7997"/>
      <w:bookmarkStart w:id="58" w:name="_Toc14217"/>
      <w:r>
        <w:rPr>
          <w:rFonts w:hint="eastAsia" w:ascii="宋体" w:hAnsi="宋体" w:eastAsia="宋体"/>
          <w:color w:val="auto"/>
          <w:sz w:val="21"/>
          <w:szCs w:val="21"/>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4773"/>
      <w:bookmarkStart w:id="60" w:name="_Toc23726"/>
      <w:bookmarkStart w:id="61" w:name="_Toc16712"/>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7434"/>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28866"/>
      <w:bookmarkStart w:id="66" w:name="_Toc307934854"/>
      <w:bookmarkStart w:id="67" w:name="_Toc303084256"/>
      <w:bookmarkStart w:id="68" w:name="_Toc12145"/>
      <w:bookmarkStart w:id="69" w:name="_Toc382049103"/>
      <w:bookmarkStart w:id="70" w:name="_Toc18999"/>
      <w:bookmarkStart w:id="71" w:name="_Toc7728"/>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0189"/>
      <w:bookmarkStart w:id="73" w:name="_Toc3882"/>
      <w:bookmarkStart w:id="74" w:name="_Toc21747"/>
      <w:r>
        <w:rPr>
          <w:rFonts w:hint="eastAsia" w:ascii="宋体" w:hAnsi="宋体" w:eastAsia="宋体"/>
          <w:color w:val="auto"/>
          <w:sz w:val="21"/>
          <w:szCs w:val="21"/>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259"/>
      <w:bookmarkStart w:id="77" w:name="_Toc17188"/>
      <w:bookmarkStart w:id="78" w:name="_Toc7847"/>
      <w:r>
        <w:rPr>
          <w:rFonts w:hint="eastAsia" w:ascii="宋体" w:hAnsi="宋体" w:eastAsia="宋体"/>
          <w:color w:val="auto"/>
          <w:sz w:val="21"/>
          <w:szCs w:val="21"/>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6535"/>
      <w:bookmarkStart w:id="80" w:name="_Toc18911"/>
      <w:bookmarkStart w:id="81" w:name="_Toc27724"/>
      <w:r>
        <w:rPr>
          <w:rFonts w:hint="eastAsia" w:ascii="宋体" w:hAnsi="宋体" w:eastAsia="宋体"/>
          <w:color w:val="auto"/>
          <w:sz w:val="21"/>
          <w:szCs w:val="21"/>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7" w:name="_Toc25817"/>
      <w:bookmarkStart w:id="88" w:name="_Toc12456"/>
      <w:bookmarkStart w:id="89" w:name="_Toc30257"/>
      <w:r>
        <w:rPr>
          <w:rFonts w:hint="eastAsia" w:ascii="宋体" w:hAnsi="宋体" w:eastAsia="宋体"/>
          <w:color w:val="auto"/>
          <w:sz w:val="21"/>
          <w:szCs w:val="21"/>
        </w:rPr>
        <w:t>16.投标保证金</w:t>
      </w:r>
      <w:bookmarkEnd w:id="87"/>
      <w:bookmarkEnd w:id="88"/>
      <w:bookmarkEnd w:id="8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1124"/>
      <w:bookmarkStart w:id="92" w:name="_Toc24109"/>
      <w:bookmarkStart w:id="93" w:name="_Toc3200"/>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303084264"/>
      <w:bookmarkStart w:id="95" w:name="_Toc29590"/>
      <w:bookmarkStart w:id="96" w:name="_Toc23678"/>
      <w:bookmarkStart w:id="97" w:name="_Toc24997"/>
      <w:bookmarkStart w:id="98" w:name="_Toc473"/>
      <w:bookmarkStart w:id="99" w:name="_Toc382049111"/>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17417"/>
      <w:bookmarkStart w:id="102" w:name="_Toc8628"/>
      <w:r>
        <w:rPr>
          <w:rFonts w:hint="eastAsia" w:ascii="宋体" w:hAnsi="宋体" w:eastAsia="宋体"/>
          <w:color w:val="auto"/>
          <w:sz w:val="21"/>
          <w:szCs w:val="21"/>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19649"/>
      <w:bookmarkStart w:id="104" w:name="_Toc8526"/>
      <w:bookmarkStart w:id="105" w:name="_Toc13212"/>
      <w:r>
        <w:rPr>
          <w:rFonts w:hint="eastAsia" w:ascii="宋体" w:hAnsi="宋体" w:eastAsia="宋体"/>
          <w:color w:val="auto"/>
          <w:sz w:val="21"/>
          <w:szCs w:val="21"/>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9777"/>
      <w:bookmarkStart w:id="107" w:name="_Toc303084265"/>
      <w:bookmarkStart w:id="108" w:name="_Toc382049112"/>
      <w:bookmarkStart w:id="109" w:name="_Toc5900"/>
      <w:bookmarkStart w:id="110" w:name="_Toc7689"/>
      <w:bookmarkStart w:id="111" w:name="_Toc23477"/>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1133"/>
      <w:bookmarkStart w:id="113" w:name="_Toc15569"/>
      <w:bookmarkStart w:id="114" w:name="_Toc6003"/>
      <w:r>
        <w:rPr>
          <w:rFonts w:hint="eastAsia" w:ascii="宋体" w:hAnsi="宋体" w:eastAsia="宋体"/>
          <w:color w:val="auto"/>
          <w:sz w:val="21"/>
          <w:szCs w:val="21"/>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23466"/>
      <w:bookmarkStart w:id="116" w:name="_Toc29574"/>
      <w:bookmarkStart w:id="117" w:name="_Toc5049"/>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4251"/>
      <w:bookmarkStart w:id="119" w:name="_Toc28458"/>
      <w:bookmarkStart w:id="120" w:name="_Toc27700"/>
      <w:r>
        <w:rPr>
          <w:rFonts w:hint="eastAsia" w:ascii="宋体" w:hAnsi="宋体" w:eastAsia="宋体"/>
          <w:color w:val="auto"/>
          <w:sz w:val="21"/>
          <w:szCs w:val="21"/>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974"/>
      <w:bookmarkStart w:id="122" w:name="_Toc5524"/>
      <w:bookmarkStart w:id="123" w:name="_Toc4921"/>
      <w:r>
        <w:rPr>
          <w:rFonts w:hint="eastAsia" w:ascii="宋体" w:hAnsi="宋体" w:eastAsia="宋体"/>
          <w:color w:val="auto"/>
          <w:sz w:val="21"/>
          <w:szCs w:val="21"/>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15231"/>
      <w:bookmarkStart w:id="126" w:name="_Toc26402"/>
      <w:r>
        <w:rPr>
          <w:rFonts w:hint="eastAsia" w:ascii="宋体" w:hAnsi="宋体" w:eastAsia="宋体"/>
          <w:color w:val="auto"/>
          <w:sz w:val="21"/>
          <w:szCs w:val="21"/>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w:t>
      </w:r>
      <w:r>
        <w:rPr>
          <w:rFonts w:hint="eastAsia" w:ascii="宋体" w:hAnsi="宋体"/>
          <w:color w:val="auto"/>
          <w:szCs w:val="21"/>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8436"/>
      <w:bookmarkStart w:id="128" w:name="_Toc3762"/>
      <w:bookmarkStart w:id="129" w:name="_Toc16745"/>
      <w:r>
        <w:rPr>
          <w:rFonts w:hint="eastAsia" w:ascii="宋体" w:hAnsi="宋体" w:eastAsia="宋体"/>
          <w:color w:val="auto"/>
          <w:sz w:val="21"/>
          <w:szCs w:val="21"/>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1742"/>
      <w:bookmarkStart w:id="131" w:name="_Toc27673"/>
      <w:bookmarkStart w:id="132" w:name="_Toc29184"/>
      <w:r>
        <w:rPr>
          <w:rFonts w:hint="eastAsia" w:ascii="宋体" w:hAnsi="宋体" w:eastAsia="宋体"/>
          <w:color w:val="auto"/>
          <w:sz w:val="21"/>
          <w:szCs w:val="21"/>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316375620"/>
      <w:bookmarkStart w:id="134" w:name="_Toc382049120"/>
      <w:bookmarkStart w:id="135" w:name="_Toc31141"/>
      <w:bookmarkStart w:id="136" w:name="_Toc22591"/>
      <w:bookmarkStart w:id="137" w:name="_Toc20328"/>
      <w:bookmarkStart w:id="138" w:name="_Toc12115"/>
      <w:r>
        <w:rPr>
          <w:rFonts w:hint="eastAsia" w:ascii="宋体" w:hAnsi="宋体" w:eastAsia="宋体"/>
          <w:color w:val="auto"/>
          <w:sz w:val="21"/>
          <w:szCs w:val="21"/>
        </w:rPr>
        <w:t>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.纪律和</w:t>
      </w:r>
      <w:r>
        <w:rPr>
          <w:rFonts w:ascii="宋体" w:hAnsi="宋体" w:eastAsia="宋体"/>
          <w:color w:val="auto"/>
          <w:sz w:val="21"/>
          <w:szCs w:val="21"/>
        </w:rPr>
        <w:t>保密</w:t>
      </w:r>
      <w:bookmarkEnd w:id="133"/>
      <w:r>
        <w:rPr>
          <w:rFonts w:hint="eastAsia" w:ascii="宋体" w:hAnsi="宋体" w:eastAsia="宋体"/>
          <w:color w:val="auto"/>
          <w:sz w:val="21"/>
          <w:szCs w:val="21"/>
        </w:rPr>
        <w:t>事项</w:t>
      </w:r>
      <w:bookmarkEnd w:id="134"/>
      <w:bookmarkEnd w:id="135"/>
      <w:bookmarkEnd w:id="136"/>
      <w:bookmarkEnd w:id="137"/>
      <w:bookmarkEnd w:id="13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39" w:name="_Toc5528"/>
      <w:bookmarkStart w:id="140" w:name="_Toc12251"/>
      <w:bookmarkStart w:id="141" w:name="_Toc29310"/>
      <w:r>
        <w:rPr>
          <w:rFonts w:hint="eastAsia" w:ascii="宋体" w:hAnsi="宋体"/>
          <w:color w:val="auto"/>
          <w:lang w:val="en-US" w:eastAsia="zh-CN"/>
        </w:rPr>
        <w:t>第六章</w:t>
      </w:r>
      <w:r>
        <w:rPr>
          <w:rFonts w:hint="eastAsia" w:ascii="宋体" w:hAnsi="宋体" w:eastAsia="宋体"/>
          <w:color w:val="auto"/>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2" w:name="_Toc27817"/>
      <w:bookmarkStart w:id="143" w:name="_Toc17778"/>
      <w:bookmarkStart w:id="144" w:name="_Toc508284011"/>
      <w:bookmarkStart w:id="145" w:name="_Toc6696"/>
      <w:r>
        <w:rPr>
          <w:rFonts w:hint="eastAsia" w:ascii="宋体" w:hAnsi="宋体" w:eastAsia="宋体"/>
          <w:color w:val="auto"/>
          <w:sz w:val="21"/>
          <w:szCs w:val="21"/>
        </w:rPr>
        <w:t>2</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w:t>
      </w:r>
      <w:r>
        <w:rPr>
          <w:rFonts w:ascii="宋体" w:hAnsi="宋体" w:eastAsia="宋体"/>
          <w:color w:val="auto"/>
          <w:sz w:val="21"/>
          <w:szCs w:val="21"/>
        </w:rPr>
        <w:t>合同授予标准</w:t>
      </w:r>
      <w:bookmarkEnd w:id="142"/>
      <w:bookmarkEnd w:id="143"/>
      <w:bookmarkEnd w:id="144"/>
      <w:bookmarkEnd w:id="14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6" w:name="_Toc29283"/>
      <w:bookmarkStart w:id="147" w:name="_Toc508284013"/>
      <w:bookmarkStart w:id="148" w:name="_Toc23136"/>
      <w:bookmarkStart w:id="149" w:name="_Toc12440"/>
      <w:r>
        <w:rPr>
          <w:rFonts w:hint="eastAsia" w:ascii="宋体" w:hAnsi="宋体" w:eastAsia="宋体"/>
          <w:color w:val="auto"/>
          <w:sz w:val="21"/>
          <w:szCs w:val="21"/>
          <w:lang w:val="en-US" w:eastAsia="zh-CN"/>
        </w:rPr>
        <w:t>29</w:t>
      </w:r>
      <w:r>
        <w:rPr>
          <w:rFonts w:hint="eastAsia" w:ascii="宋体" w:hAnsi="宋体" w:eastAsia="宋体"/>
          <w:color w:val="auto"/>
          <w:sz w:val="21"/>
          <w:szCs w:val="21"/>
        </w:rPr>
        <w:t>.发布采购结果</w:t>
      </w:r>
      <w:bookmarkEnd w:id="146"/>
      <w:bookmarkEnd w:id="147"/>
      <w:bookmarkEnd w:id="148"/>
      <w:bookmarkEnd w:id="14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0" w:name="_Toc27279"/>
      <w:bookmarkStart w:id="151" w:name="_Toc22451"/>
      <w:bookmarkStart w:id="152" w:name="_Toc22262"/>
      <w:r>
        <w:rPr>
          <w:rFonts w:hint="eastAsia" w:ascii="宋体" w:hAnsi="宋体" w:eastAsia="宋体"/>
          <w:color w:val="auto"/>
          <w:sz w:val="21"/>
          <w:szCs w:val="21"/>
        </w:rPr>
        <w:t>3</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.合同的签订与履行</w:t>
      </w:r>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382049124"/>
      <w:bookmarkStart w:id="154" w:name="_Toc303084277"/>
      <w:bookmarkStart w:id="155" w:name="_Toc7405"/>
      <w:bookmarkStart w:id="156" w:name="_Toc2744"/>
      <w:bookmarkStart w:id="157" w:name="_Toc25756"/>
      <w:bookmarkStart w:id="158" w:name="_Toc29009"/>
      <w:r>
        <w:rPr>
          <w:rFonts w:hint="eastAsia" w:ascii="宋体" w:hAnsi="宋体" w:eastAsia="宋体"/>
          <w:color w:val="auto"/>
          <w:sz w:val="21"/>
          <w:szCs w:val="21"/>
        </w:rPr>
        <w:t>3</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w:t>
      </w:r>
      <w:r>
        <w:rPr>
          <w:rFonts w:ascii="宋体" w:hAnsi="宋体" w:eastAsia="宋体"/>
          <w:color w:val="auto"/>
          <w:sz w:val="21"/>
          <w:szCs w:val="21"/>
        </w:rPr>
        <w:t>履约</w:t>
      </w:r>
      <w:r>
        <w:rPr>
          <w:rFonts w:hint="eastAsia" w:ascii="宋体" w:hAnsi="宋体" w:eastAsia="宋体"/>
          <w:color w:val="auto"/>
          <w:sz w:val="21"/>
          <w:szCs w:val="21"/>
        </w:rPr>
        <w:t>保证金</w:t>
      </w:r>
      <w:bookmarkEnd w:id="153"/>
      <w:bookmarkEnd w:id="154"/>
      <w:bookmarkEnd w:id="155"/>
      <w:bookmarkEnd w:id="156"/>
      <w:bookmarkEnd w:id="157"/>
      <w:bookmarkEnd w:id="15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59" w:name="_Toc20699"/>
      <w:bookmarkStart w:id="160" w:name="_Toc7360"/>
      <w:bookmarkStart w:id="161" w:name="_Toc13694"/>
      <w:r>
        <w:rPr>
          <w:rFonts w:hint="eastAsia" w:ascii="宋体" w:hAnsi="宋体"/>
          <w:color w:val="auto"/>
          <w:lang w:val="en-US" w:eastAsia="zh-CN"/>
        </w:rPr>
        <w:t>第七章</w:t>
      </w:r>
      <w:r>
        <w:rPr>
          <w:rFonts w:hint="eastAsia" w:ascii="宋体" w:hAnsi="宋体" w:eastAsia="宋体"/>
          <w:color w:val="auto"/>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2" w:name="_Toc22900"/>
      <w:bookmarkStart w:id="163" w:name="_Toc17974"/>
      <w:bookmarkStart w:id="164" w:name="_Toc25498"/>
      <w:r>
        <w:rPr>
          <w:rFonts w:hint="eastAsia" w:ascii="宋体" w:hAnsi="宋体" w:eastAsia="宋体"/>
          <w:color w:val="auto"/>
          <w:sz w:val="21"/>
          <w:szCs w:val="21"/>
        </w:rPr>
        <w:t>3</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.询问</w:t>
      </w:r>
      <w:bookmarkEnd w:id="162"/>
      <w:bookmarkEnd w:id="163"/>
      <w:bookmarkEnd w:id="164"/>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767"/>
      <w:bookmarkStart w:id="166" w:name="_Toc8234"/>
      <w:bookmarkStart w:id="167" w:name="_Toc11264"/>
      <w:r>
        <w:rPr>
          <w:rFonts w:hint="eastAsia" w:ascii="宋体" w:hAnsi="宋体" w:eastAsia="宋体"/>
          <w:color w:val="auto"/>
          <w:sz w:val="21"/>
          <w:szCs w:val="21"/>
        </w:rPr>
        <w:t>3</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.质疑</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8" w:name="_Toc5690"/>
      <w:bookmarkStart w:id="169" w:name="_Toc24383"/>
      <w:bookmarkStart w:id="170" w:name="_Toc8919"/>
      <w:r>
        <w:rPr>
          <w:rFonts w:hint="eastAsia" w:ascii="宋体" w:hAnsi="宋体"/>
          <w:color w:val="auto"/>
          <w:lang w:val="en-US" w:eastAsia="zh-CN"/>
        </w:rPr>
        <w:t>第八章</w:t>
      </w:r>
      <w:r>
        <w:rPr>
          <w:rFonts w:hint="eastAsia" w:ascii="宋体" w:hAnsi="宋体" w:eastAsia="宋体"/>
          <w:color w:val="auto"/>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1" w:name="_Toc10082"/>
      <w:bookmarkStart w:id="172" w:name="_Toc6548"/>
      <w:bookmarkStart w:id="173" w:name="_Toc21187"/>
      <w:r>
        <w:rPr>
          <w:rFonts w:hint="eastAsia" w:ascii="宋体" w:hAnsi="宋体" w:eastAsia="宋体"/>
          <w:color w:val="auto"/>
          <w:sz w:val="21"/>
          <w:szCs w:val="21"/>
        </w:rPr>
        <w:t>3</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.招标文件的解释权</w:t>
      </w:r>
      <w:bookmarkEnd w:id="171"/>
      <w:bookmarkEnd w:id="172"/>
      <w:bookmarkEnd w:id="173"/>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w:t>
      </w:r>
      <w:r>
        <w:rPr>
          <w:rFonts w:hint="eastAsia" w:ascii="宋体" w:hAnsi="宋体"/>
          <w:color w:val="auto"/>
          <w:sz w:val="21"/>
          <w:szCs w:val="21"/>
          <w:lang w:val="en-US" w:eastAsia="zh-CN"/>
        </w:rPr>
        <w:t>220406</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2"/>
        <w:spacing w:before="0" w:after="0" w:line="240" w:lineRule="auto"/>
        <w:rPr>
          <w:rFonts w:hint="eastAsia"/>
          <w:color w:val="auto"/>
          <w:sz w:val="28"/>
          <w:szCs w:val="28"/>
        </w:rPr>
      </w:pPr>
      <w:bookmarkStart w:id="174" w:name="_Toc31854"/>
      <w:bookmarkStart w:id="175" w:name="_Toc382"/>
      <w:bookmarkStart w:id="176" w:name="_Toc7011"/>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77" w:name="_Toc1593"/>
      <w:bookmarkStart w:id="178" w:name="_Toc19316"/>
      <w:r>
        <w:rPr>
          <w:rFonts w:hint="eastAsia" w:ascii="宋体" w:hAnsi="宋体"/>
          <w:color w:val="auto"/>
          <w:lang w:val="en-US" w:eastAsia="zh-CN"/>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3"/>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三年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以单项合同实际供货量结算，材料到达现场并提供等额发票后，由采购单位15天内完成支付。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=（1-下浮率）×供应商当天供货报价（价格可参考当月东莞建设工程造价信息，按实际情况为准），按实际使用数量结算。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下浮率定义：投标人对本项目进行投标时承诺报价下调的比率。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78"/>
    </w:p>
    <w:p>
      <w:pPr>
        <w:pStyle w:val="5"/>
        <w:bidi w:val="0"/>
        <w:rPr>
          <w:color w:val="auto"/>
        </w:rPr>
      </w:pPr>
      <w:bookmarkStart w:id="179" w:name="_Toc14462"/>
      <w:bookmarkStart w:id="180" w:name="_Toc31278"/>
      <w:bookmarkStart w:id="181" w:name="_Toc24679"/>
      <w:bookmarkStart w:id="182" w:name="_Toc13112"/>
      <w:r>
        <w:rPr>
          <w:rFonts w:hint="eastAsia"/>
          <w:color w:val="auto"/>
        </w:rPr>
        <w:t>一、协议供货材料明细</w:t>
      </w:r>
    </w:p>
    <w:tbl>
      <w:tblPr>
        <w:tblStyle w:val="23"/>
        <w:tblW w:w="8296" w:type="dxa"/>
        <w:jc w:val="center"/>
        <w:tblLayout w:type="fixed"/>
        <w:tblCellMar>
          <w:top w:w="0" w:type="dxa"/>
          <w:left w:w="108" w:type="dxa"/>
          <w:bottom w:w="0" w:type="dxa"/>
          <w:right w:w="108" w:type="dxa"/>
        </w:tblCellMar>
      </w:tblPr>
      <w:tblGrid>
        <w:gridCol w:w="3114"/>
        <w:gridCol w:w="5182"/>
      </w:tblGrid>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材料名称</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规格型号</w:t>
            </w:r>
          </w:p>
        </w:tc>
      </w:tr>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砂</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中砂</w:t>
            </w:r>
          </w:p>
        </w:tc>
      </w:tr>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碎石</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5-25mm</w:t>
            </w:r>
          </w:p>
        </w:tc>
      </w:tr>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石粉</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按实际情况提供</w:t>
            </w:r>
          </w:p>
        </w:tc>
      </w:tr>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墙体材料</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按实际情况提供</w:t>
            </w:r>
          </w:p>
        </w:tc>
      </w:tr>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瓷砖</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按实际情况提供</w:t>
            </w:r>
          </w:p>
        </w:tc>
      </w:tr>
      <w:tr>
        <w:tblPrEx>
          <w:tblCellMar>
            <w:top w:w="0" w:type="dxa"/>
            <w:left w:w="108" w:type="dxa"/>
            <w:bottom w:w="0" w:type="dxa"/>
            <w:right w:w="108" w:type="dxa"/>
          </w:tblCellMar>
        </w:tblPrEx>
        <w:trPr>
          <w:trHeight w:val="533" w:hRule="atLeast"/>
          <w:jc w:val="center"/>
        </w:trPr>
        <w:tc>
          <w:tcPr>
            <w:tcW w:w="3114"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eastAsia="宋体" w:cs="宋体"/>
                <w:color w:val="auto"/>
                <w:sz w:val="21"/>
                <w:szCs w:val="21"/>
              </w:rPr>
              <w:t>预拌砂浆（湿拌）</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M7.5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M10</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M15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M20</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p>
        </w:tc>
        <w:tc>
          <w:tcPr>
            <w:tcW w:w="518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ascii="宋体" w:hAnsi="宋体" w:eastAsia="宋体" w:cs="宋体"/>
                <w:color w:val="auto"/>
                <w:sz w:val="21"/>
                <w:szCs w:val="21"/>
              </w:rPr>
              <w:t>M25</w:t>
            </w:r>
          </w:p>
        </w:tc>
      </w:tr>
    </w:tbl>
    <w:p>
      <w:pPr>
        <w:adjustRightInd/>
        <w:snapToGrid/>
        <w:spacing w:after="0"/>
        <w:rPr>
          <w:rFonts w:ascii="宋体" w:hAnsi="宋体" w:eastAsia="宋体" w:cs="宋体"/>
          <w:color w:val="auto"/>
          <w:sz w:val="21"/>
          <w:szCs w:val="21"/>
        </w:rPr>
      </w:pPr>
    </w:p>
    <w:p>
      <w:pPr>
        <w:pStyle w:val="5"/>
        <w:bidi w:val="0"/>
        <w:rPr>
          <w:rFonts w:hint="eastAsia" w:eastAsia="宋体"/>
          <w:color w:val="auto"/>
        </w:rPr>
      </w:pPr>
      <w:r>
        <w:rPr>
          <w:rFonts w:hint="eastAsia" w:eastAsia="宋体"/>
          <w:color w:val="auto"/>
        </w:rPr>
        <w:t>二、</w:t>
      </w:r>
      <w:r>
        <w:rPr>
          <w:rFonts w:hint="eastAsia"/>
          <w:color w:val="auto"/>
        </w:rPr>
        <w:t>协议供货</w:t>
      </w:r>
      <w:r>
        <w:rPr>
          <w:rFonts w:hint="eastAsia" w:eastAsia="宋体"/>
          <w:color w:val="auto"/>
        </w:rPr>
        <w:t>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所投报的产品应当是在中国境内合法销售，且符合国家有关部门规定的相应技术、节能、安全和环保标准；国家有关部门对投标人所投报的产品有强制性规定或要求的，投标人所投报的货物应当符合相应规定或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（2）投标人应对所投报货物提供1年的质保期，质保期内有质量问题实行包退、包换。在质保期限内发生质量问题的，投标人需承担整改工程费用。</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（3）投标人应当提供相关部门出具的产品质量认证证明和检测报告。</w:t>
      </w:r>
    </w:p>
    <w:p>
      <w:pPr>
        <w:bidi w:val="0"/>
        <w:rPr>
          <w:color w:val="auto"/>
        </w:rPr>
      </w:pPr>
    </w:p>
    <w:p>
      <w:pPr>
        <w:pStyle w:val="5"/>
        <w:bidi w:val="0"/>
        <w:rPr>
          <w:rFonts w:hint="eastAsia" w:eastAsia="宋体"/>
          <w:color w:val="auto"/>
        </w:rPr>
      </w:pPr>
      <w:r>
        <w:rPr>
          <w:rFonts w:hint="eastAsia" w:eastAsia="宋体"/>
          <w:color w:val="auto"/>
          <w:lang w:val="en-US" w:eastAsia="zh-CN"/>
        </w:rPr>
        <w:t>三</w:t>
      </w:r>
      <w:r>
        <w:rPr>
          <w:rFonts w:hint="eastAsia" w:eastAsia="宋体"/>
          <w:color w:val="auto"/>
        </w:rPr>
        <w:t>、派单方式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分组循环排号法：项目的委托轮换一般采用本办法。循环排号指对所有中标人以抽签方式确定顺序号，各单位编号（“1”、“2”、“3”），依照编号顺序分配项目给中标人，并依次循环分配。用循环排号法分配任务给中标人时，中标人拒绝接受任务的，采购人将与该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（1）分配任务均为单项合同总价不超过90万（含90万）的供货任务。</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（2）当采购人有特殊项目（如时间紧急、内容特殊、专业性强、大型重点等项目）时， 采购人将不按以上方法选定中标人，而是根据中标人的综合实力、经验、服务质量等采取择优选择的分配办法进行任务分配。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（3）任务分配确定后，由采购人与中标人就单个项目签订单项目合同。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（4）采购人有权与拒绝接受任务的中标人解除合同。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（5）采购人无法预计也无法保证各中标人承接项目的数量。</w:t>
      </w:r>
    </w:p>
    <w:p>
      <w:pPr>
        <w:spacing w:after="0" w:line="360" w:lineRule="auto"/>
        <w:rPr>
          <w:rFonts w:ascii="宋体" w:hAnsi="宋体" w:eastAsia="宋体"/>
          <w:color w:val="auto"/>
          <w:sz w:val="21"/>
          <w:szCs w:val="21"/>
        </w:rPr>
      </w:pPr>
    </w:p>
    <w:p>
      <w:pPr>
        <w:pStyle w:val="5"/>
        <w:bidi w:val="0"/>
        <w:rPr>
          <w:rFonts w:hint="eastAsia" w:eastAsia="宋体"/>
          <w:color w:val="auto"/>
        </w:rPr>
      </w:pPr>
      <w:r>
        <w:rPr>
          <w:rFonts w:hint="eastAsia" w:eastAsia="宋体"/>
          <w:color w:val="auto"/>
          <w:lang w:val="en-US" w:eastAsia="zh-CN"/>
        </w:rPr>
        <w:t>四</w:t>
      </w:r>
      <w:r>
        <w:rPr>
          <w:rFonts w:hint="eastAsia" w:eastAsia="宋体"/>
          <w:color w:val="auto"/>
        </w:rPr>
        <w:t>、服务要求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必须具备相应的生产或供货能力，能及时提供采购人所需的货物，并可接受采购人到生产或销售现场进行检查或对货物进行抽样检测，以确保所提供的货物质量。在接到采购人发出的订单（或电话通知）后 按实际情况将货物运抵采购人指定的交货地点并完成验收。</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2、货物由中标供应商负责运输，采购单位不再另行支付运输费用。</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3、投标人应可接受采购人到生产或销售现场进行检查或对产品进行抽样检验。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4、供货过程中因中标供应商原因对工程现场造成损坏，中标供应商应负责将损坏场地修复，并自行支付相关费用。</w:t>
      </w:r>
    </w:p>
    <w:p>
      <w:pPr>
        <w:spacing w:after="0" w:line="360" w:lineRule="auto"/>
        <w:ind w:firstLine="420" w:firstLineChars="200"/>
        <w:rPr>
          <w:rFonts w:ascii="宋体" w:hAnsi="宋体" w:eastAsia="宋体"/>
          <w:color w:val="auto"/>
          <w:sz w:val="21"/>
          <w:szCs w:val="21"/>
        </w:rPr>
      </w:pPr>
    </w:p>
    <w:p>
      <w:pPr>
        <w:pStyle w:val="5"/>
        <w:bidi w:val="0"/>
        <w:rPr>
          <w:rFonts w:hint="eastAsia" w:eastAsia="宋体"/>
          <w:color w:val="auto"/>
        </w:rPr>
      </w:pPr>
      <w:r>
        <w:rPr>
          <w:rFonts w:hint="eastAsia" w:eastAsia="宋体"/>
          <w:color w:val="auto"/>
          <w:lang w:val="en-US" w:eastAsia="zh-CN"/>
        </w:rPr>
        <w:t>五</w:t>
      </w:r>
      <w:r>
        <w:rPr>
          <w:rFonts w:hint="eastAsia" w:eastAsia="宋体"/>
          <w:color w:val="auto"/>
        </w:rPr>
        <w:t>、其他要求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1、投标人应充分结合本招标文件上下文了解项目招标需求。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3、所有产品材料及货物标准必须符合国家标准及相关规定。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4、投标人应根据采购要求，在投标文件中提供切实可行的供货方案。</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5、中标单位在供货安装过程中必须采取足够的安全措施，确保施工的安全，并自行负责相关安全责任。</w:t>
      </w:r>
    </w:p>
    <w:p>
      <w:pPr>
        <w:spacing w:after="0" w:line="360" w:lineRule="auto"/>
        <w:ind w:firstLine="420" w:firstLineChars="200"/>
        <w:rPr>
          <w:rFonts w:hint="eastAsia" w:ascii="宋体" w:hAnsi="宋体" w:eastAsia="宋体"/>
          <w:color w:val="auto"/>
          <w:sz w:val="21"/>
          <w:szCs w:val="21"/>
          <w:highlight w:val="yellow"/>
          <w:lang w:val="en-US" w:eastAsia="zh-CN"/>
        </w:rPr>
      </w:pPr>
      <w:r>
        <w:rPr>
          <w:rFonts w:hint="eastAsia" w:ascii="宋体" w:hAnsi="宋体" w:eastAsia="宋体"/>
          <w:color w:val="auto"/>
          <w:sz w:val="21"/>
          <w:szCs w:val="21"/>
          <w:highlight w:val="yellow"/>
          <w:lang w:val="en-US" w:eastAsia="zh-CN"/>
        </w:rPr>
        <w:t>6、如遇采购</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单位</w:t>
      </w:r>
      <w:r>
        <w:rPr>
          <w:rFonts w:hint="eastAsia" w:ascii="宋体" w:hAnsi="宋体"/>
          <w:color w:val="auto"/>
          <w:sz w:val="21"/>
          <w:szCs w:val="21"/>
          <w:highlight w:val="yellow"/>
          <w:lang w:val="en-US" w:eastAsia="zh-CN"/>
        </w:rPr>
        <w:t>性质</w:t>
      </w:r>
      <w:r>
        <w:rPr>
          <w:rFonts w:hint="eastAsia" w:ascii="宋体" w:hAnsi="宋体" w:eastAsia="宋体"/>
          <w:color w:val="auto"/>
          <w:sz w:val="21"/>
          <w:szCs w:val="21"/>
          <w:highlight w:val="yellow"/>
          <w:lang w:val="en-US" w:eastAsia="zh-CN"/>
        </w:rPr>
        <w:t>发生变动导致合同终止的，中标</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不得追究采购</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责任。</w:t>
      </w:r>
    </w:p>
    <w:p>
      <w:pPr>
        <w:bidi w:val="0"/>
        <w:rPr>
          <w:rFonts w:hint="default"/>
          <w:color w:val="auto"/>
          <w:lang w:val="en-US" w:eastAsia="zh-CN"/>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79"/>
      <w:bookmarkEnd w:id="180"/>
      <w:bookmarkEnd w:id="181"/>
      <w:bookmarkEnd w:id="182"/>
      <w:bookmarkStart w:id="183" w:name="_Toc12485"/>
      <w:bookmarkStart w:id="184" w:name="_Toc21448"/>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spacing w:before="0" w:after="0" w:line="240" w:lineRule="auto"/>
        <w:rPr>
          <w:color w:val="auto"/>
          <w:sz w:val="28"/>
          <w:szCs w:val="28"/>
        </w:rPr>
      </w:pPr>
      <w:bookmarkStart w:id="185"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3"/>
      <w:bookmarkEnd w:id="184"/>
      <w:bookmarkEnd w:id="185"/>
      <w:bookmarkStart w:id="186" w:name="_Toc1534"/>
      <w:bookmarkStart w:id="187" w:name="_Toc13430"/>
      <w:bookmarkStart w:id="188" w:name="_Toc21155"/>
    </w:p>
    <w:p>
      <w:pPr>
        <w:pStyle w:val="4"/>
        <w:spacing w:before="0" w:after="0" w:line="240" w:lineRule="auto"/>
        <w:jc w:val="center"/>
        <w:rPr>
          <w:rFonts w:ascii="宋体" w:hAnsi="宋体" w:eastAsia="宋体" w:cs="宋体"/>
          <w:color w:val="auto"/>
        </w:rPr>
      </w:pPr>
      <w:bookmarkStart w:id="189" w:name="_Toc19575"/>
      <w:bookmarkStart w:id="190" w:name="_Toc8880"/>
      <w:bookmarkStart w:id="191" w:name="_Toc16730"/>
      <w:r>
        <w:rPr>
          <w:rFonts w:hint="eastAsia" w:ascii="宋体" w:hAnsi="宋体" w:eastAsia="宋体" w:cs="宋体"/>
          <w:color w:val="auto"/>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w:t>
      </w:r>
      <w:r>
        <w:rPr>
          <w:rFonts w:hint="eastAsia" w:ascii="宋体" w:hAnsi="宋体"/>
          <w:color w:val="auto"/>
          <w:sz w:val="21"/>
          <w:szCs w:val="21"/>
          <w:lang w:val="en-US" w:eastAsia="zh-CN"/>
        </w:rPr>
        <w:t>相关采购法律法规</w:t>
      </w:r>
      <w:r>
        <w:rPr>
          <w:rFonts w:hint="eastAsia" w:ascii="宋体" w:hAnsi="宋体" w:eastAsia="宋体"/>
          <w:color w:val="auto"/>
          <w:sz w:val="21"/>
          <w:szCs w:val="21"/>
        </w:rPr>
        <w:t>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w:t>
      </w:r>
      <w:r>
        <w:rPr>
          <w:rFonts w:hint="eastAsia" w:ascii="宋体" w:hAnsi="宋体"/>
          <w:color w:val="auto"/>
          <w:sz w:val="21"/>
          <w:szCs w:val="21"/>
          <w:lang w:val="en-US" w:eastAsia="zh-CN"/>
        </w:rPr>
        <w:t>甲方</w:t>
      </w:r>
      <w:r>
        <w:rPr>
          <w:rFonts w:hint="eastAsia" w:ascii="宋体" w:hAnsi="宋体"/>
          <w:color w:val="auto"/>
          <w:sz w:val="21"/>
          <w:szCs w:val="21"/>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rPr>
      </w:pPr>
      <w:bookmarkStart w:id="19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4" w:name="_Toc86481569"/>
      <w:r>
        <w:rPr>
          <w:rFonts w:hint="eastAsia" w:ascii="宋体" w:hAnsi="宋体" w:eastAsia="宋体"/>
          <w:b/>
          <w:color w:val="auto"/>
          <w:sz w:val="21"/>
          <w:szCs w:val="21"/>
        </w:rPr>
        <w:t>第十二条 合同生效</w:t>
      </w:r>
      <w:bookmarkEnd w:id="19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2"/>
        <w:spacing w:before="0" w:after="0" w:line="240" w:lineRule="auto"/>
        <w:rPr>
          <w:color w:val="auto"/>
          <w:sz w:val="28"/>
          <w:szCs w:val="28"/>
        </w:rPr>
      </w:pPr>
      <w:bookmarkStart w:id="195" w:name="_Toc1478"/>
      <w:bookmarkStart w:id="196" w:name="_Toc23749"/>
      <w:bookmarkStart w:id="197" w:name="_Toc31587"/>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5"/>
      <w:bookmarkEnd w:id="196"/>
      <w:bookmarkEnd w:id="197"/>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198" w:name="_Toc6790"/>
      <w:bookmarkStart w:id="199" w:name="_Toc5794"/>
      <w:bookmarkStart w:id="200" w:name="_Toc26830"/>
      <w:r>
        <w:rPr>
          <w:rFonts w:hint="eastAsia"/>
          <w:color w:val="auto"/>
        </w:rPr>
        <w:t>投标文件目录</w:t>
      </w:r>
      <w:bookmarkEnd w:id="198"/>
      <w:bookmarkEnd w:id="199"/>
      <w:bookmarkEnd w:id="20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5670"/>
      <w:bookmarkStart w:id="202" w:name="_Toc25502"/>
      <w:bookmarkStart w:id="203" w:name="_Toc18893"/>
      <w:r>
        <w:rPr>
          <w:rFonts w:hint="eastAsia"/>
          <w:color w:val="auto"/>
        </w:rPr>
        <w:t>评分标准索引表</w:t>
      </w:r>
      <w:bookmarkEnd w:id="201"/>
      <w:bookmarkEnd w:id="202"/>
      <w:bookmarkEnd w:id="20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8"/>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4" w:name="_Toc22080"/>
      <w:bookmarkStart w:id="205" w:name="_Toc8194"/>
      <w:bookmarkStart w:id="206" w:name="_Toc30640"/>
      <w:r>
        <w:rPr>
          <w:rFonts w:hint="eastAsia"/>
          <w:color w:val="auto"/>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7" w:name="_Toc19750"/>
      <w:bookmarkStart w:id="208" w:name="_Toc4168"/>
      <w:r>
        <w:rPr>
          <w:rFonts w:hint="eastAsia"/>
          <w:color w:val="auto"/>
          <w:lang w:val="en-US" w:eastAsia="zh-CN"/>
        </w:rPr>
        <w:t>一、唱标一览表</w:t>
      </w:r>
      <w:bookmarkEnd w:id="207"/>
      <w:bookmarkEnd w:id="208"/>
    </w:p>
    <w:p>
      <w:pPr>
        <w:spacing w:line="360" w:lineRule="auto"/>
        <w:rPr>
          <w:color w:val="auto"/>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rPr>
              <w:t>投标</w:t>
            </w:r>
            <w:r>
              <w:rPr>
                <w:rFonts w:hint="eastAsia" w:ascii="宋体" w:hAnsi="宋体"/>
                <w:color w:val="auto"/>
                <w:sz w:val="21"/>
                <w:szCs w:val="21"/>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Pr>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9" w:name="_Toc31172"/>
      <w:bookmarkStart w:id="210" w:name="_Toc31062"/>
      <w:r>
        <w:rPr>
          <w:rFonts w:hint="eastAsia"/>
          <w:color w:val="auto"/>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0"/>
        <w:rPr>
          <w:rFonts w:ascii="黑体" w:eastAsia="黑体"/>
          <w:color w:val="auto"/>
          <w:sz w:val="32"/>
          <w:szCs w:val="32"/>
        </w:rPr>
      </w:pPr>
    </w:p>
    <w:p>
      <w:pPr>
        <w:pStyle w:val="30"/>
        <w:rPr>
          <w:rFonts w:ascii="黑体" w:eastAsia="黑体"/>
          <w:color w:val="auto"/>
          <w:sz w:val="32"/>
          <w:szCs w:val="32"/>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11" w:name="_Toc23948"/>
      <w:bookmarkStart w:id="212" w:name="_Toc6471"/>
      <w:r>
        <w:rPr>
          <w:rFonts w:hint="eastAsia"/>
          <w:color w:val="auto"/>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23787"/>
      <w:bookmarkStart w:id="214" w:name="_Toc1952"/>
      <w:r>
        <w:rPr>
          <w:rFonts w:hint="eastAsia"/>
          <w:color w:val="auto"/>
          <w:lang w:val="en-US" w:eastAsia="zh-CN"/>
        </w:rPr>
        <w:t>一、投标函</w:t>
      </w:r>
      <w:bookmarkEnd w:id="213"/>
      <w:bookmarkEnd w:id="214"/>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15719"/>
      <w:bookmarkStart w:id="216" w:name="_Toc28616"/>
      <w:r>
        <w:rPr>
          <w:rFonts w:hint="eastAsia"/>
          <w:color w:val="auto"/>
          <w:lang w:val="en-US" w:eastAsia="zh-CN"/>
        </w:rPr>
        <w:t>二、资格申明函</w:t>
      </w:r>
      <w:bookmarkEnd w:id="215"/>
      <w:bookmarkEnd w:id="216"/>
    </w:p>
    <w:p>
      <w:pPr>
        <w:pStyle w:val="36"/>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ascii="宋体" w:hAnsi="宋体"/>
          <w:color w:val="auto"/>
          <w:szCs w:val="21"/>
        </w:rPr>
        <w:t>我方依法注册，在法律上、财务上和运作上完全独立于（甲方名称）（甲方）及</w:t>
      </w:r>
      <w:r>
        <w:rPr>
          <w:rFonts w:hint="eastAsia" w:ascii="宋体" w:hAnsi="宋体"/>
          <w:color w:val="auto"/>
          <w:szCs w:val="21"/>
        </w:rPr>
        <w:t>广东政通招标有限公司</w:t>
      </w:r>
      <w:r>
        <w:rPr>
          <w:rFonts w:ascii="宋体" w:hAnsi="宋体"/>
          <w:color w:val="auto"/>
          <w:szCs w:val="21"/>
        </w:rPr>
        <w:t>（采购代理机构）</w:t>
      </w:r>
      <w:r>
        <w:rPr>
          <w:rFonts w:hint="eastAsia" w:ascii="宋体" w:hAnsi="宋体"/>
          <w:color w:val="auto"/>
          <w:szCs w:val="21"/>
        </w:rPr>
        <w:t>。</w:t>
      </w:r>
    </w:p>
    <w:p>
      <w:pPr>
        <w:pStyle w:val="36"/>
        <w:spacing w:line="500" w:lineRule="atLeast"/>
        <w:ind w:firstLine="3517" w:firstLineChars="1675"/>
        <w:rPr>
          <w:rFonts w:ascii="宋体" w:eastAsia="宋体"/>
          <w:color w:val="auto"/>
          <w:sz w:val="21"/>
          <w:szCs w:val="21"/>
        </w:rPr>
      </w:pP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pStyle w:val="8"/>
        <w:rPr>
          <w:color w:val="auto"/>
        </w:rPr>
      </w:pPr>
    </w:p>
    <w:p>
      <w:pPr>
        <w:pStyle w:val="9"/>
        <w:rPr>
          <w:color w:val="auto"/>
        </w:rPr>
      </w:pPr>
    </w:p>
    <w:p>
      <w:pPr>
        <w:rPr>
          <w:color w:val="auto"/>
        </w:rPr>
      </w:pPr>
    </w:p>
    <w:p>
      <w:pPr>
        <w:pStyle w:val="7"/>
        <w:rPr>
          <w:color w:val="auto"/>
        </w:rPr>
      </w:pPr>
    </w:p>
    <w:p>
      <w:pPr>
        <w:rPr>
          <w:color w:val="auto"/>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21273"/>
      <w:bookmarkStart w:id="219" w:name="_Toc32742"/>
      <w:r>
        <w:rPr>
          <w:rFonts w:hint="eastAsia"/>
          <w:color w:val="auto"/>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13243"/>
      <w:bookmarkStart w:id="221" w:name="_Toc3894"/>
      <w:r>
        <w:rPr>
          <w:rFonts w:hint="eastAsia"/>
          <w:color w:val="auto"/>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pStyle w:val="36"/>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2" w:name="_Toc5918"/>
      <w:bookmarkStart w:id="223" w:name="_Toc5626"/>
      <w:r>
        <w:rPr>
          <w:rFonts w:hint="eastAsia"/>
          <w:color w:val="auto"/>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6"/>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24"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25" w:name="_Toc24013"/>
      <w:bookmarkStart w:id="226" w:name="_Toc18562"/>
      <w:r>
        <w:rPr>
          <w:rFonts w:hint="eastAsia"/>
          <w:color w:val="auto"/>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27" w:name="_Toc1511"/>
      <w:bookmarkStart w:id="228" w:name="_Toc17470"/>
      <w:bookmarkStart w:id="229" w:name="_Toc4926"/>
      <w:bookmarkStart w:id="230" w:name="_Toc5919"/>
      <w:bookmarkStart w:id="231" w:name="_Toc29995"/>
      <w:bookmarkStart w:id="232" w:name="_Toc24210"/>
      <w:bookmarkStart w:id="233" w:name="_Toc28067"/>
      <w:r>
        <w:rPr>
          <w:rFonts w:hint="eastAsia"/>
          <w:color w:val="auto"/>
          <w:lang w:val="en-US" w:eastAsia="zh-CN"/>
        </w:rPr>
        <w:t>七、</w:t>
      </w:r>
      <w:r>
        <w:rPr>
          <w:rFonts w:hint="eastAsia"/>
          <w:color w:val="auto"/>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4" w:name="_Toc21638"/>
      <w:bookmarkStart w:id="235" w:name="_Toc29439"/>
      <w:r>
        <w:rPr>
          <w:rFonts w:hint="eastAsia"/>
          <w:color w:val="auto"/>
          <w:lang w:val="en-US" w:eastAsia="zh-CN"/>
        </w:rPr>
        <w:t>八、</w:t>
      </w:r>
      <w:r>
        <w:rPr>
          <w:rFonts w:hint="eastAsia"/>
          <w:color w:val="auto"/>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6" w:name="_Toc14263"/>
      <w:bookmarkStart w:id="237" w:name="_Toc23341"/>
      <w:r>
        <w:rPr>
          <w:rFonts w:hint="eastAsia"/>
          <w:color w:val="auto"/>
          <w:lang w:val="en-US" w:eastAsia="zh-CN"/>
        </w:rPr>
        <w:t>九、</w:t>
      </w:r>
      <w:r>
        <w:rPr>
          <w:rFonts w:hint="eastAsia"/>
          <w:color w:val="auto"/>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9" w:name="_Toc13653"/>
      <w:bookmarkStart w:id="240" w:name="_Toc13955"/>
      <w:r>
        <w:rPr>
          <w:rFonts w:hint="eastAsia"/>
          <w:color w:val="auto"/>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1" w:name="_Toc1975"/>
      <w:bookmarkStart w:id="242" w:name="_Toc12598"/>
      <w:r>
        <w:rPr>
          <w:rFonts w:hint="eastAsia"/>
          <w:color w:val="auto"/>
          <w:lang w:val="en-US" w:eastAsia="zh-CN"/>
        </w:rPr>
        <w:t>十一、</w:t>
      </w:r>
      <w:r>
        <w:rPr>
          <w:rFonts w:hint="eastAsia"/>
          <w:color w:val="auto"/>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4" w:name="_Toc25391"/>
      <w:bookmarkStart w:id="245" w:name="_Toc19276"/>
      <w:r>
        <w:rPr>
          <w:rFonts w:hint="eastAsia"/>
          <w:color w:val="auto"/>
          <w:lang w:val="en-US" w:eastAsia="zh-CN"/>
        </w:rPr>
        <w:t>十二、</w:t>
      </w:r>
      <w:r>
        <w:rPr>
          <w:rFonts w:hint="eastAsia"/>
          <w:color w:val="auto"/>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rPr>
      </w:pPr>
    </w:p>
    <w:p>
      <w:pPr>
        <w:pStyle w:val="33"/>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246" w:name="_Toc14688"/>
      <w:bookmarkStart w:id="247" w:name="_Toc20520"/>
      <w:r>
        <w:rPr>
          <w:rFonts w:hint="eastAsia"/>
          <w:color w:val="auto"/>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8" w:name="_Toc7092"/>
      <w:bookmarkStart w:id="249" w:name="_Toc13097"/>
      <w:r>
        <w:rPr>
          <w:rFonts w:hint="eastAsia"/>
          <w:color w:val="auto"/>
          <w:lang w:val="en-US" w:eastAsia="zh-CN"/>
        </w:rPr>
        <w:t>一、</w:t>
      </w:r>
      <w:r>
        <w:rPr>
          <w:rFonts w:hint="eastAsia"/>
          <w:color w:val="auto"/>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250" w:name="_Toc17691"/>
      <w:r>
        <w:rPr>
          <w:rFonts w:hint="eastAsia" w:ascii="宋体" w:hAnsi="宋体" w:eastAsia="宋体"/>
          <w:color w:val="auto"/>
          <w:sz w:val="21"/>
          <w:szCs w:val="21"/>
        </w:rPr>
        <w:br w:type="page"/>
      </w:r>
      <w:bookmarkEnd w:id="250"/>
      <w:bookmarkStart w:id="251" w:name="_Toc4464"/>
      <w:bookmarkStart w:id="252" w:name="_Toc1274"/>
      <w:bookmarkStart w:id="253" w:name="_Toc26078"/>
      <w:bookmarkStart w:id="254" w:name="_Toc6080"/>
      <w:bookmarkStart w:id="255" w:name="_Toc18668"/>
      <w:bookmarkStart w:id="256"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57" w:name="_Toc10734"/>
      <w:bookmarkStart w:id="258" w:name="_Toc13461"/>
      <w:r>
        <w:rPr>
          <w:rFonts w:hint="eastAsia"/>
          <w:color w:val="auto"/>
          <w:lang w:val="en-US" w:eastAsia="zh-CN"/>
        </w:rPr>
        <w:t>二、</w:t>
      </w:r>
      <w:r>
        <w:rPr>
          <w:rFonts w:hint="eastAsia"/>
          <w:color w:val="auto"/>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59" w:name="_Toc27079"/>
            <w:bookmarkStart w:id="260" w:name="_Toc29560"/>
            <w:bookmarkStart w:id="261" w:name="_Toc29642"/>
            <w:r>
              <w:rPr>
                <w:rFonts w:hint="eastAsia" w:ascii="宋体" w:hAnsi="宋体" w:eastAsia="宋体" w:cs="宋体"/>
                <w:b w:val="0"/>
                <w:bCs w:val="0"/>
                <w:color w:val="auto"/>
                <w:sz w:val="21"/>
                <w:szCs w:val="21"/>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62" w:name="_Toc21739"/>
            <w:bookmarkStart w:id="263" w:name="_Toc2700"/>
            <w:bookmarkStart w:id="264" w:name="_Toc22448"/>
            <w:bookmarkStart w:id="265" w:name="_Toc14815"/>
            <w:bookmarkStart w:id="266" w:name="_Toc10045"/>
            <w:bookmarkStart w:id="267" w:name="_Toc12049"/>
            <w:bookmarkStart w:id="268" w:name="_Toc26124"/>
            <w:bookmarkStart w:id="269" w:name="_Toc27090"/>
            <w:bookmarkStart w:id="270" w:name="_Toc15903"/>
            <w:bookmarkStart w:id="271" w:name="_Toc15368"/>
            <w:bookmarkStart w:id="272" w:name="_Toc16872"/>
            <w:bookmarkStart w:id="273" w:name="_Toc4304"/>
            <w:bookmarkStart w:id="274" w:name="_Toc1016"/>
            <w:bookmarkStart w:id="275" w:name="_Toc8312"/>
            <w:bookmarkStart w:id="276" w:name="_Toc19251"/>
            <w:bookmarkStart w:id="277" w:name="_Toc8490"/>
            <w:bookmarkStart w:id="278" w:name="_Toc22879"/>
            <w:bookmarkStart w:id="279" w:name="_Toc21809"/>
            <w:bookmarkStart w:id="280" w:name="_Toc24662"/>
            <w:bookmarkStart w:id="281" w:name="_Toc32531"/>
            <w:bookmarkStart w:id="282" w:name="_Toc27442"/>
            <w:bookmarkStart w:id="283" w:name="_Toc7333"/>
            <w:bookmarkStart w:id="284" w:name="_Toc22917"/>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85" w:name="_Toc2408"/>
            <w:bookmarkStart w:id="286" w:name="_Toc22153"/>
            <w:bookmarkStart w:id="287" w:name="_Toc10122"/>
            <w:r>
              <w:rPr>
                <w:rFonts w:hint="eastAsia" w:ascii="宋体" w:hAnsi="宋体" w:eastAsia="宋体" w:cs="宋体"/>
                <w:b w:val="0"/>
                <w:bCs w:val="0"/>
                <w:color w:val="auto"/>
                <w:kern w:val="0"/>
                <w:sz w:val="21"/>
                <w:szCs w:val="21"/>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88" w:name="_Toc16003"/>
            <w:bookmarkStart w:id="289" w:name="_Toc27285"/>
            <w:bookmarkStart w:id="290" w:name="_Toc29838"/>
            <w:bookmarkStart w:id="291" w:name="_Toc27185"/>
            <w:bookmarkStart w:id="292" w:name="_Toc1330"/>
            <w:bookmarkStart w:id="293" w:name="_Toc20139"/>
            <w:bookmarkStart w:id="294" w:name="_Toc17296"/>
            <w:bookmarkStart w:id="295" w:name="_Toc5992"/>
            <w:bookmarkStart w:id="296" w:name="_Toc1912"/>
            <w:bookmarkStart w:id="297" w:name="_Toc3701"/>
            <w:bookmarkStart w:id="298" w:name="_Toc17642"/>
            <w:bookmarkStart w:id="299" w:name="_Toc5563"/>
            <w:bookmarkStart w:id="300" w:name="_Toc20820"/>
            <w:r>
              <w:rPr>
                <w:rFonts w:hint="eastAsia" w:ascii="宋体" w:hAnsi="宋体" w:eastAsia="宋体" w:cs="宋体"/>
                <w:b w:val="0"/>
                <w:bCs w:val="0"/>
                <w:color w:val="auto"/>
                <w:sz w:val="21"/>
                <w:szCs w:val="21"/>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01" w:name="_Toc3520"/>
            <w:bookmarkStart w:id="302" w:name="_Toc19105"/>
            <w:bookmarkStart w:id="303" w:name="_Toc857"/>
            <w:r>
              <w:rPr>
                <w:rFonts w:hint="eastAsia" w:ascii="宋体" w:hAnsi="宋体" w:eastAsia="宋体" w:cs="宋体"/>
                <w:b w:val="0"/>
                <w:bCs w:val="0"/>
                <w:color w:val="auto"/>
                <w:sz w:val="21"/>
                <w:szCs w:val="21"/>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3"/>
        <w:spacing w:after="0" w:line="360" w:lineRule="auto"/>
        <w:rPr>
          <w:rFonts w:ascii="宋体" w:hAnsi="宋体" w:eastAsia="宋体"/>
          <w:color w:val="auto"/>
          <w:sz w:val="21"/>
          <w:szCs w:val="21"/>
        </w:rPr>
      </w:pP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3"/>
        <w:spacing w:after="0" w:line="360" w:lineRule="auto"/>
        <w:rPr>
          <w:rFonts w:ascii="宋体" w:hAnsi="宋体" w:eastAsia="宋体"/>
          <w:color w:val="auto"/>
          <w:sz w:val="21"/>
          <w:szCs w:val="21"/>
        </w:rPr>
      </w:pPr>
    </w:p>
    <w:p>
      <w:pPr>
        <w:pStyle w:val="33"/>
        <w:numPr>
          <w:ilvl w:val="0"/>
          <w:numId w:val="10"/>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7139"/>
      <w:bookmarkStart w:id="305" w:name="_Toc19349"/>
      <w:r>
        <w:rPr>
          <w:rFonts w:hint="eastAsia"/>
          <w:color w:val="auto"/>
          <w:lang w:val="en-US" w:eastAsia="zh-CN"/>
        </w:rPr>
        <w:t>三、</w:t>
      </w:r>
      <w:r>
        <w:rPr>
          <w:rFonts w:hint="eastAsia"/>
          <w:color w:val="auto"/>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6"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16328"/>
      <w:bookmarkStart w:id="308" w:name="_Toc26880"/>
      <w:r>
        <w:rPr>
          <w:rFonts w:hint="eastAsia"/>
          <w:color w:val="auto"/>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09" w:name="_Toc26980"/>
      <w:bookmarkStart w:id="310" w:name="_Toc15431"/>
      <w:r>
        <w:rPr>
          <w:rFonts w:hint="eastAsia"/>
          <w:color w:val="auto"/>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1" w:name="_Toc16710"/>
      <w:bookmarkStart w:id="312" w:name="_Toc21541"/>
      <w:r>
        <w:rPr>
          <w:rFonts w:hint="eastAsia"/>
          <w:color w:val="auto"/>
          <w:lang w:val="en-US" w:eastAsia="zh-CN"/>
        </w:rPr>
        <w:t>七、投标保证金汇入情况说明</w:t>
      </w:r>
      <w:bookmarkEnd w:id="311"/>
      <w:bookmarkEnd w:id="312"/>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本单位已按</w:t>
      </w:r>
      <w:r>
        <w:rPr>
          <w:rFonts w:hint="eastAsia" w:ascii="宋体" w:hAnsi="宋体"/>
          <w:color w:val="auto"/>
          <w:sz w:val="21"/>
          <w:szCs w:val="21"/>
          <w:lang w:eastAsia="zh-CN"/>
        </w:rPr>
        <w:t>（</w:t>
      </w:r>
      <w:r>
        <w:rPr>
          <w:rFonts w:hint="eastAsia" w:ascii="宋体" w:hAnsi="宋体" w:eastAsia="宋体"/>
          <w:color w:val="auto"/>
          <w:sz w:val="21"/>
          <w:szCs w:val="21"/>
        </w:rPr>
        <w:t>项目</w:t>
      </w:r>
      <w:r>
        <w:rPr>
          <w:rFonts w:hint="eastAsia" w:ascii="宋体" w:hAnsi="宋体"/>
          <w:color w:val="auto"/>
          <w:sz w:val="21"/>
          <w:szCs w:val="21"/>
          <w:lang w:val="en-US" w:eastAsia="zh-CN"/>
        </w:rPr>
        <w:t>名称）</w:t>
      </w:r>
      <w:r>
        <w:rPr>
          <w:rFonts w:hint="eastAsia" w:ascii="宋体" w:hAnsi="宋体" w:eastAsia="宋体"/>
          <w:color w:val="auto"/>
          <w:sz w:val="21"/>
          <w:szCs w:val="21"/>
        </w:rPr>
        <w:t>包</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（采购项目编号：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）的招标文件要求，于</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，帐号：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,开户银行：</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汇出时间：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汇款金额：</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（大写）人民币（小写：￥</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4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28" w:rightChars="299"/>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注：</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1</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此表既要装订在投标文件中，又要按投标人须知的规定与</w:t>
      </w:r>
      <w:r>
        <w:rPr>
          <w:rFonts w:hint="eastAsia" w:ascii="宋体" w:hAnsi="宋体" w:eastAsia="宋体"/>
          <w:b/>
          <w:bCs/>
          <w:color w:val="auto"/>
          <w:sz w:val="21"/>
          <w:szCs w:val="21"/>
          <w:lang w:eastAsia="zh-CN"/>
        </w:rPr>
        <w:t>唱标一览表</w:t>
      </w:r>
      <w:r>
        <w:rPr>
          <w:rFonts w:hint="eastAsia" w:ascii="宋体" w:hAnsi="宋体" w:eastAsia="宋体"/>
          <w:b/>
          <w:bCs/>
          <w:color w:val="auto"/>
          <w:sz w:val="21"/>
          <w:szCs w:val="21"/>
        </w:rPr>
        <w:t>、投标保证金汇款底单复印件及授权委托书一同密封装入</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若投标人以投标担保函形式提交投标保证金，则无需在投标文件中提供此格式。</w:t>
      </w: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3" w:name="_Toc26855"/>
      <w:bookmarkStart w:id="314" w:name="_Toc24545"/>
      <w:r>
        <w:rPr>
          <w:rFonts w:hint="eastAsia"/>
          <w:color w:val="auto"/>
          <w:lang w:val="en-US" w:eastAsia="zh-CN"/>
        </w:rPr>
        <w:t>八、采购投标担保函</w:t>
      </w:r>
      <w:bookmarkEnd w:id="313"/>
      <w:bookmarkEnd w:id="314"/>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b/>
          <w:bCs/>
          <w:color w:val="auto"/>
          <w:sz w:val="21"/>
          <w:szCs w:val="21"/>
        </w:rPr>
      </w:pPr>
      <w:r>
        <w:rPr>
          <w:rFonts w:hint="eastAsia" w:ascii="宋体" w:hAnsi="宋体" w:eastAsia="宋体"/>
          <w:b/>
          <w:bCs/>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rPr>
      </w:pPr>
      <w:r>
        <w:rPr>
          <w:rFonts w:hint="eastAsia" w:ascii="宋体" w:hAnsi="宋体" w:eastAsia="宋体"/>
          <w:b/>
          <w:bCs/>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5" w:name="_Toc6961"/>
      <w:r>
        <w:rPr>
          <w:rFonts w:hint="eastAsia"/>
          <w:color w:val="auto"/>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6" w:name="_Toc26772"/>
      <w:bookmarkStart w:id="317" w:name="_Toc26782"/>
      <w:r>
        <w:rPr>
          <w:rFonts w:hint="eastAsia"/>
          <w:color w:val="auto"/>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）投标保证金汇入情况说明</w:t>
      </w:r>
      <w:r>
        <w:rPr>
          <w:rFonts w:hint="eastAsia"/>
          <w:color w:val="auto"/>
          <w:lang w:val="en-US" w:eastAsia="zh-CN"/>
        </w:rPr>
        <w:t>及</w:t>
      </w:r>
      <w:r>
        <w:rPr>
          <w:rFonts w:hint="eastAsia"/>
          <w:color w:val="auto"/>
        </w:rPr>
        <w:t>投标保证金汇款底单（复印件加盖公章）</w:t>
      </w:r>
      <w:r>
        <w:rPr>
          <w:rFonts w:hint="eastAsia"/>
          <w:color w:val="auto"/>
          <w:lang w:eastAsia="zh-CN"/>
        </w:rPr>
        <w:t>，</w:t>
      </w:r>
      <w:r>
        <w:rPr>
          <w:rFonts w:hint="eastAsia"/>
          <w:color w:val="auto"/>
          <w:lang w:val="en-US" w:eastAsia="zh-CN"/>
        </w:rPr>
        <w:t>或《采购投标担保函》复印件。</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1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9" w:name="_Toc2710"/>
      <w:bookmarkStart w:id="320" w:name="_Toc22736"/>
      <w:r>
        <w:rPr>
          <w:rFonts w:hint="eastAsia"/>
          <w:color w:val="auto"/>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18"/>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8"/>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7B4FF1"/>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62F4A"/>
    <w:rsid w:val="123346DD"/>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C83D5A"/>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B2106E"/>
    <w:rsid w:val="3BCD72F7"/>
    <w:rsid w:val="3BF267D2"/>
    <w:rsid w:val="3C414142"/>
    <w:rsid w:val="3C6C2B88"/>
    <w:rsid w:val="3CC34D7A"/>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B1926BD"/>
    <w:rsid w:val="4B560086"/>
    <w:rsid w:val="4B7501F5"/>
    <w:rsid w:val="4B8C2DEB"/>
    <w:rsid w:val="4BFA3C9F"/>
    <w:rsid w:val="4C0E3379"/>
    <w:rsid w:val="4C107F48"/>
    <w:rsid w:val="4C3277BC"/>
    <w:rsid w:val="4C686851"/>
    <w:rsid w:val="4CB25875"/>
    <w:rsid w:val="4CC353EB"/>
    <w:rsid w:val="4CEA1FD2"/>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EB0895"/>
    <w:rsid w:val="53F263AD"/>
    <w:rsid w:val="54693932"/>
    <w:rsid w:val="549A6BFA"/>
    <w:rsid w:val="54DA0AFD"/>
    <w:rsid w:val="54E72921"/>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5A7B61"/>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736B32"/>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2"/>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28203</Words>
  <Characters>28812</Characters>
  <Lines>264</Lines>
  <Paragraphs>74</Paragraphs>
  <TotalTime>0</TotalTime>
  <ScaleCrop>false</ScaleCrop>
  <LinksUpToDate>false</LinksUpToDate>
  <CharactersWithSpaces>31061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2022-04-08T08:41:35Z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FA883B9110314357BCCB0107BE1C437D</vt:lpwstr>
  </property>
</Properties>
</file>